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F6" w:rsidRPr="006B2EF6" w:rsidRDefault="0014087F" w:rsidP="006B2EF6">
      <w:r>
        <w:t>Table S4</w:t>
      </w:r>
    </w:p>
    <w:p w:rsidR="006B2EF6" w:rsidRPr="006B2EF6" w:rsidRDefault="006B2EF6" w:rsidP="006B2EF6"/>
    <w:p w:rsidR="006B2EF6" w:rsidRPr="006B2EF6" w:rsidRDefault="006B2EF6" w:rsidP="006B2EF6">
      <w:r w:rsidRPr="006B2EF6">
        <w:t xml:space="preserve">Chemical distance (a) was calculated with the function </w:t>
      </w:r>
      <w:proofErr w:type="spellStart"/>
      <w:r w:rsidRPr="006B2EF6">
        <w:t>vegdist</w:t>
      </w:r>
      <w:proofErr w:type="spellEnd"/>
      <w:r w:rsidRPr="006B2EF6">
        <w:t xml:space="preserve">  of package “vegan”. Microsatellite data of 12 polymorphic nuclear loci was obtained from Macleod et al 2015 (</w:t>
      </w:r>
      <w:r w:rsidRPr="006B2EF6">
        <w:rPr>
          <w:lang w:val="en-US"/>
        </w:rPr>
        <w:t>available in Dryad data repository; http://dx.doi.org/10.5061/dryad. pp6bm).</w:t>
      </w:r>
      <w:r w:rsidRPr="006B2EF6">
        <w:t xml:space="preserve"> Genetic distance was calculated using function </w:t>
      </w:r>
      <w:proofErr w:type="spellStart"/>
      <w:r w:rsidRPr="006B2EF6">
        <w:t>dist.genpop</w:t>
      </w:r>
      <w:proofErr w:type="spellEnd"/>
      <w:r w:rsidRPr="006B2EF6">
        <w:t xml:space="preserve"> (package “</w:t>
      </w:r>
      <w:proofErr w:type="spellStart"/>
      <w:r w:rsidRPr="006B2EF6">
        <w:t>adegenet</w:t>
      </w:r>
      <w:proofErr w:type="spellEnd"/>
      <w:r w:rsidR="006203F9" w:rsidRPr="006203F9">
        <w:t>”</w:t>
      </w:r>
      <w:r w:rsidRPr="006B2EF6">
        <w:t>) on the microsatellite data. Both chemical distance and genetic distance were calculated for each population. Mantel correlation between chemical distance and genetic distance is showed in (b).</w:t>
      </w:r>
    </w:p>
    <w:p w:rsidR="006B2EF6" w:rsidRPr="006B2EF6" w:rsidRDefault="006B2EF6" w:rsidP="006B2EF6"/>
    <w:p w:rsidR="006B2EF6" w:rsidRPr="006B2EF6" w:rsidRDefault="006B2EF6" w:rsidP="006B2EF6">
      <w:r w:rsidRPr="006B2EF6">
        <w:t>(a)</w:t>
      </w:r>
    </w:p>
    <w:tbl>
      <w:tblPr>
        <w:tblStyle w:val="Tablaconcuadrcula"/>
        <w:tblW w:w="0" w:type="auto"/>
        <w:tblInd w:w="-176" w:type="dxa"/>
        <w:tblLook w:val="04A0"/>
      </w:tblPr>
      <w:tblGrid>
        <w:gridCol w:w="710"/>
        <w:gridCol w:w="708"/>
        <w:gridCol w:w="733"/>
        <w:gridCol w:w="668"/>
        <w:gridCol w:w="669"/>
        <w:gridCol w:w="671"/>
        <w:gridCol w:w="671"/>
        <w:gridCol w:w="671"/>
        <w:gridCol w:w="671"/>
        <w:gridCol w:w="671"/>
        <w:gridCol w:w="711"/>
        <w:gridCol w:w="671"/>
        <w:gridCol w:w="671"/>
      </w:tblGrid>
      <w:tr w:rsidR="006B2EF6" w:rsidRPr="006B2EF6" w:rsidTr="00510F41">
        <w:trPr>
          <w:trHeight w:val="300"/>
        </w:trPr>
        <w:tc>
          <w:tcPr>
            <w:tcW w:w="710" w:type="dxa"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:rsidR="006B2EF6" w:rsidRPr="006B2EF6" w:rsidRDefault="006203F9" w:rsidP="006B2EF6">
            <w:pPr>
              <w:rPr>
                <w:sz w:val="18"/>
                <w:szCs w:val="18"/>
              </w:rPr>
            </w:pPr>
            <w:r w:rsidRPr="006203F9">
              <w:rPr>
                <w:sz w:val="18"/>
                <w:szCs w:val="18"/>
              </w:rPr>
              <w:t>ESP</w:t>
            </w:r>
          </w:p>
        </w:tc>
        <w:tc>
          <w:tcPr>
            <w:tcW w:w="733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F</w:t>
            </w:r>
            <w:r w:rsidR="006203F9" w:rsidRPr="006203F9">
              <w:rPr>
                <w:sz w:val="18"/>
                <w:szCs w:val="18"/>
              </w:rPr>
              <w:t>DA</w:t>
            </w:r>
          </w:p>
        </w:tc>
        <w:tc>
          <w:tcPr>
            <w:tcW w:w="668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F</w:t>
            </w:r>
            <w:r w:rsidR="006203F9" w:rsidRPr="006203F9">
              <w:rPr>
                <w:sz w:val="18"/>
                <w:szCs w:val="18"/>
              </w:rPr>
              <w:t>L</w:t>
            </w:r>
          </w:p>
        </w:tc>
        <w:tc>
          <w:tcPr>
            <w:tcW w:w="669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G</w:t>
            </w:r>
            <w:r w:rsidR="006203F9" w:rsidRPr="006203F9">
              <w:rPr>
                <w:sz w:val="18"/>
                <w:szCs w:val="18"/>
              </w:rPr>
              <w:t>EN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I</w:t>
            </w:r>
            <w:r w:rsidR="006203F9" w:rsidRPr="006203F9">
              <w:rPr>
                <w:sz w:val="18"/>
                <w:szCs w:val="18"/>
              </w:rPr>
              <w:t>S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203F9" w:rsidP="006B2EF6">
            <w:pPr>
              <w:rPr>
                <w:sz w:val="18"/>
                <w:szCs w:val="18"/>
              </w:rPr>
            </w:pPr>
            <w:r w:rsidRPr="006203F9">
              <w:rPr>
                <w:sz w:val="18"/>
                <w:szCs w:val="18"/>
              </w:rPr>
              <w:t>SRL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M</w:t>
            </w:r>
            <w:r w:rsidR="006203F9" w:rsidRPr="006203F9">
              <w:rPr>
                <w:sz w:val="18"/>
                <w:szCs w:val="18"/>
              </w:rPr>
              <w:t>AR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203F9" w:rsidP="006B2EF6">
            <w:pPr>
              <w:rPr>
                <w:sz w:val="18"/>
                <w:szCs w:val="18"/>
              </w:rPr>
            </w:pPr>
            <w:r w:rsidRPr="006203F9">
              <w:rPr>
                <w:sz w:val="18"/>
                <w:szCs w:val="18"/>
              </w:rPr>
              <w:t>PIN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203F9" w:rsidP="006B2EF6">
            <w:pPr>
              <w:rPr>
                <w:sz w:val="18"/>
                <w:szCs w:val="18"/>
              </w:rPr>
            </w:pPr>
            <w:r w:rsidRPr="006203F9">
              <w:rPr>
                <w:sz w:val="18"/>
                <w:szCs w:val="18"/>
              </w:rPr>
              <w:t>SRPC</w:t>
            </w:r>
          </w:p>
        </w:tc>
        <w:tc>
          <w:tcPr>
            <w:tcW w:w="711" w:type="dxa"/>
            <w:noWrap/>
            <w:hideMark/>
          </w:tcPr>
          <w:p w:rsidR="006B2EF6" w:rsidRPr="006B2EF6" w:rsidRDefault="006203F9" w:rsidP="006B2EF6">
            <w:pPr>
              <w:rPr>
                <w:sz w:val="18"/>
                <w:szCs w:val="18"/>
              </w:rPr>
            </w:pPr>
            <w:r w:rsidRPr="006203F9">
              <w:rPr>
                <w:sz w:val="18"/>
                <w:szCs w:val="18"/>
              </w:rPr>
              <w:t>CRUZ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203F9" w:rsidP="006B2EF6">
            <w:pPr>
              <w:rPr>
                <w:sz w:val="18"/>
                <w:szCs w:val="18"/>
              </w:rPr>
            </w:pPr>
            <w:r w:rsidRPr="006203F9">
              <w:rPr>
                <w:sz w:val="18"/>
                <w:szCs w:val="18"/>
              </w:rPr>
              <w:t>SFE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S</w:t>
            </w:r>
            <w:r w:rsidR="006203F9" w:rsidRPr="006203F9">
              <w:rPr>
                <w:sz w:val="18"/>
                <w:szCs w:val="18"/>
              </w:rPr>
              <w:t>AN</w:t>
            </w:r>
          </w:p>
        </w:tc>
      </w:tr>
      <w:tr w:rsidR="006B2EF6" w:rsidRPr="006B2EF6" w:rsidTr="00510F41">
        <w:trPr>
          <w:trHeight w:val="300"/>
        </w:trPr>
        <w:tc>
          <w:tcPr>
            <w:tcW w:w="710" w:type="dxa"/>
          </w:tcPr>
          <w:p w:rsidR="006B2EF6" w:rsidRPr="006B2EF6" w:rsidRDefault="006203F9" w:rsidP="006B2EF6">
            <w:pPr>
              <w:rPr>
                <w:sz w:val="18"/>
                <w:szCs w:val="18"/>
              </w:rPr>
            </w:pPr>
            <w:r w:rsidRPr="006203F9">
              <w:rPr>
                <w:sz w:val="18"/>
                <w:szCs w:val="18"/>
              </w:rPr>
              <w:t>ESP</w:t>
            </w:r>
          </w:p>
        </w:tc>
        <w:tc>
          <w:tcPr>
            <w:tcW w:w="708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0.000</w:t>
            </w:r>
          </w:p>
        </w:tc>
        <w:tc>
          <w:tcPr>
            <w:tcW w:w="733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0.360</w:t>
            </w:r>
          </w:p>
        </w:tc>
        <w:tc>
          <w:tcPr>
            <w:tcW w:w="668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0.500</w:t>
            </w:r>
          </w:p>
        </w:tc>
        <w:tc>
          <w:tcPr>
            <w:tcW w:w="669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0.258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0.440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0.437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0.208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0.162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0.309</w:t>
            </w:r>
          </w:p>
        </w:tc>
        <w:tc>
          <w:tcPr>
            <w:tcW w:w="71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0.414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0.332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0.211</w:t>
            </w:r>
          </w:p>
        </w:tc>
      </w:tr>
      <w:tr w:rsidR="006B2EF6" w:rsidRPr="006B2EF6" w:rsidTr="00510F41">
        <w:trPr>
          <w:trHeight w:val="300"/>
        </w:trPr>
        <w:tc>
          <w:tcPr>
            <w:tcW w:w="710" w:type="dxa"/>
          </w:tcPr>
          <w:p w:rsidR="006B2EF6" w:rsidRPr="006B2EF6" w:rsidRDefault="006203F9" w:rsidP="006B2EF6">
            <w:pPr>
              <w:rPr>
                <w:sz w:val="18"/>
                <w:szCs w:val="18"/>
              </w:rPr>
            </w:pPr>
            <w:r w:rsidRPr="006203F9">
              <w:rPr>
                <w:sz w:val="18"/>
                <w:szCs w:val="18"/>
              </w:rPr>
              <w:t>FDA</w:t>
            </w:r>
          </w:p>
        </w:tc>
        <w:tc>
          <w:tcPr>
            <w:tcW w:w="708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0.360</w:t>
            </w:r>
          </w:p>
        </w:tc>
        <w:tc>
          <w:tcPr>
            <w:tcW w:w="733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0.000</w:t>
            </w:r>
          </w:p>
        </w:tc>
        <w:tc>
          <w:tcPr>
            <w:tcW w:w="668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0.158</w:t>
            </w:r>
          </w:p>
        </w:tc>
        <w:tc>
          <w:tcPr>
            <w:tcW w:w="669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0.190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0.121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0.083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0.169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0.309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0.068</w:t>
            </w:r>
          </w:p>
        </w:tc>
        <w:tc>
          <w:tcPr>
            <w:tcW w:w="71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0.090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0.105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0.196</w:t>
            </w:r>
          </w:p>
        </w:tc>
      </w:tr>
      <w:tr w:rsidR="006B2EF6" w:rsidRPr="006B2EF6" w:rsidTr="00510F41">
        <w:trPr>
          <w:trHeight w:val="300"/>
        </w:trPr>
        <w:tc>
          <w:tcPr>
            <w:tcW w:w="710" w:type="dxa"/>
          </w:tcPr>
          <w:p w:rsidR="006B2EF6" w:rsidRPr="006B2EF6" w:rsidRDefault="006203F9" w:rsidP="006B2EF6">
            <w:pPr>
              <w:rPr>
                <w:sz w:val="18"/>
                <w:szCs w:val="18"/>
              </w:rPr>
            </w:pPr>
            <w:r w:rsidRPr="006203F9">
              <w:rPr>
                <w:sz w:val="18"/>
                <w:szCs w:val="18"/>
              </w:rPr>
              <w:t>FL</w:t>
            </w:r>
          </w:p>
        </w:tc>
        <w:tc>
          <w:tcPr>
            <w:tcW w:w="708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0.500</w:t>
            </w:r>
          </w:p>
        </w:tc>
        <w:tc>
          <w:tcPr>
            <w:tcW w:w="733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0.158</w:t>
            </w:r>
          </w:p>
        </w:tc>
        <w:tc>
          <w:tcPr>
            <w:tcW w:w="668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0.000</w:t>
            </w:r>
          </w:p>
        </w:tc>
        <w:tc>
          <w:tcPr>
            <w:tcW w:w="669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0.309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0.079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0.095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0.296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0.423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0.198</w:t>
            </w:r>
          </w:p>
        </w:tc>
        <w:tc>
          <w:tcPr>
            <w:tcW w:w="71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0.098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0.201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0.325</w:t>
            </w:r>
          </w:p>
        </w:tc>
      </w:tr>
      <w:tr w:rsidR="006B2EF6" w:rsidRPr="006B2EF6" w:rsidTr="00510F41">
        <w:trPr>
          <w:trHeight w:val="300"/>
        </w:trPr>
        <w:tc>
          <w:tcPr>
            <w:tcW w:w="710" w:type="dxa"/>
          </w:tcPr>
          <w:p w:rsidR="006B2EF6" w:rsidRPr="006B2EF6" w:rsidRDefault="006203F9" w:rsidP="006B2EF6">
            <w:pPr>
              <w:rPr>
                <w:sz w:val="18"/>
                <w:szCs w:val="18"/>
              </w:rPr>
            </w:pPr>
            <w:r w:rsidRPr="006203F9">
              <w:rPr>
                <w:sz w:val="18"/>
                <w:szCs w:val="18"/>
              </w:rPr>
              <w:t>GEN</w:t>
            </w:r>
          </w:p>
        </w:tc>
        <w:tc>
          <w:tcPr>
            <w:tcW w:w="708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0.258</w:t>
            </w:r>
          </w:p>
        </w:tc>
        <w:tc>
          <w:tcPr>
            <w:tcW w:w="733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0.190</w:t>
            </w:r>
          </w:p>
        </w:tc>
        <w:tc>
          <w:tcPr>
            <w:tcW w:w="668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0.309</w:t>
            </w:r>
          </w:p>
        </w:tc>
        <w:tc>
          <w:tcPr>
            <w:tcW w:w="669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0.000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0.275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0.254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0.124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0.158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0.171</w:t>
            </w:r>
          </w:p>
        </w:tc>
        <w:tc>
          <w:tcPr>
            <w:tcW w:w="71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0.255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0.140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0.193</w:t>
            </w:r>
          </w:p>
        </w:tc>
      </w:tr>
      <w:tr w:rsidR="006B2EF6" w:rsidRPr="006B2EF6" w:rsidTr="00510F41">
        <w:trPr>
          <w:trHeight w:val="300"/>
        </w:trPr>
        <w:tc>
          <w:tcPr>
            <w:tcW w:w="710" w:type="dxa"/>
          </w:tcPr>
          <w:p w:rsidR="006B2EF6" w:rsidRPr="006B2EF6" w:rsidRDefault="006203F9" w:rsidP="006B2EF6">
            <w:pPr>
              <w:rPr>
                <w:sz w:val="18"/>
                <w:szCs w:val="18"/>
              </w:rPr>
            </w:pPr>
            <w:r w:rsidRPr="006203F9">
              <w:rPr>
                <w:sz w:val="18"/>
                <w:szCs w:val="18"/>
              </w:rPr>
              <w:t>IS</w:t>
            </w:r>
          </w:p>
        </w:tc>
        <w:tc>
          <w:tcPr>
            <w:tcW w:w="708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0.440</w:t>
            </w:r>
          </w:p>
        </w:tc>
        <w:tc>
          <w:tcPr>
            <w:tcW w:w="733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0.121</w:t>
            </w:r>
          </w:p>
        </w:tc>
        <w:tc>
          <w:tcPr>
            <w:tcW w:w="668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0.079</w:t>
            </w:r>
          </w:p>
        </w:tc>
        <w:tc>
          <w:tcPr>
            <w:tcW w:w="669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0.275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0.000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0.079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0.270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0.396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0.162</w:t>
            </w:r>
          </w:p>
        </w:tc>
        <w:tc>
          <w:tcPr>
            <w:tcW w:w="71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0.052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0.147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0.308</w:t>
            </w:r>
          </w:p>
        </w:tc>
      </w:tr>
      <w:tr w:rsidR="006B2EF6" w:rsidRPr="006B2EF6" w:rsidTr="00510F41">
        <w:trPr>
          <w:trHeight w:val="300"/>
        </w:trPr>
        <w:tc>
          <w:tcPr>
            <w:tcW w:w="710" w:type="dxa"/>
          </w:tcPr>
          <w:p w:rsidR="006B2EF6" w:rsidRPr="006B2EF6" w:rsidRDefault="006203F9" w:rsidP="006B2EF6">
            <w:pPr>
              <w:rPr>
                <w:sz w:val="18"/>
                <w:szCs w:val="18"/>
              </w:rPr>
            </w:pPr>
            <w:r w:rsidRPr="006203F9">
              <w:rPr>
                <w:sz w:val="18"/>
                <w:szCs w:val="18"/>
              </w:rPr>
              <w:t>SRL</w:t>
            </w:r>
          </w:p>
        </w:tc>
        <w:tc>
          <w:tcPr>
            <w:tcW w:w="708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0.437</w:t>
            </w:r>
          </w:p>
        </w:tc>
        <w:tc>
          <w:tcPr>
            <w:tcW w:w="733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0.083</w:t>
            </w:r>
          </w:p>
        </w:tc>
        <w:tc>
          <w:tcPr>
            <w:tcW w:w="668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0.095</w:t>
            </w:r>
          </w:p>
        </w:tc>
        <w:tc>
          <w:tcPr>
            <w:tcW w:w="669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0.254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0.079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0.000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0.234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0.358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0.137</w:t>
            </w:r>
          </w:p>
        </w:tc>
        <w:tc>
          <w:tcPr>
            <w:tcW w:w="71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0.063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0.154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0.266</w:t>
            </w:r>
          </w:p>
        </w:tc>
      </w:tr>
      <w:tr w:rsidR="006B2EF6" w:rsidRPr="006B2EF6" w:rsidTr="00510F41">
        <w:trPr>
          <w:trHeight w:val="300"/>
        </w:trPr>
        <w:tc>
          <w:tcPr>
            <w:tcW w:w="710" w:type="dxa"/>
          </w:tcPr>
          <w:p w:rsidR="006B2EF6" w:rsidRPr="006B2EF6" w:rsidRDefault="006203F9" w:rsidP="006B2EF6">
            <w:pPr>
              <w:rPr>
                <w:sz w:val="18"/>
                <w:szCs w:val="18"/>
              </w:rPr>
            </w:pPr>
            <w:r w:rsidRPr="006203F9">
              <w:rPr>
                <w:sz w:val="18"/>
                <w:szCs w:val="18"/>
              </w:rPr>
              <w:t>MAR</w:t>
            </w:r>
          </w:p>
        </w:tc>
        <w:tc>
          <w:tcPr>
            <w:tcW w:w="708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0.208</w:t>
            </w:r>
          </w:p>
        </w:tc>
        <w:tc>
          <w:tcPr>
            <w:tcW w:w="733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0.169</w:t>
            </w:r>
          </w:p>
        </w:tc>
        <w:tc>
          <w:tcPr>
            <w:tcW w:w="668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0.296</w:t>
            </w:r>
          </w:p>
        </w:tc>
        <w:tc>
          <w:tcPr>
            <w:tcW w:w="669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0.124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0.270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0.234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0.000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0.139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0.128</w:t>
            </w:r>
          </w:p>
        </w:tc>
        <w:tc>
          <w:tcPr>
            <w:tcW w:w="71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0.240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0.165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0.098</w:t>
            </w:r>
          </w:p>
        </w:tc>
      </w:tr>
      <w:tr w:rsidR="006B2EF6" w:rsidRPr="006B2EF6" w:rsidTr="00510F41">
        <w:trPr>
          <w:trHeight w:val="300"/>
        </w:trPr>
        <w:tc>
          <w:tcPr>
            <w:tcW w:w="710" w:type="dxa"/>
          </w:tcPr>
          <w:p w:rsidR="006B2EF6" w:rsidRPr="006B2EF6" w:rsidRDefault="006203F9" w:rsidP="006B2EF6">
            <w:pPr>
              <w:rPr>
                <w:sz w:val="18"/>
                <w:szCs w:val="18"/>
              </w:rPr>
            </w:pPr>
            <w:r w:rsidRPr="006203F9">
              <w:rPr>
                <w:sz w:val="18"/>
                <w:szCs w:val="18"/>
              </w:rPr>
              <w:t>PIN</w:t>
            </w:r>
          </w:p>
        </w:tc>
        <w:tc>
          <w:tcPr>
            <w:tcW w:w="708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0.162</w:t>
            </w:r>
          </w:p>
        </w:tc>
        <w:tc>
          <w:tcPr>
            <w:tcW w:w="733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0.309</w:t>
            </w:r>
          </w:p>
        </w:tc>
        <w:tc>
          <w:tcPr>
            <w:tcW w:w="668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0.423</w:t>
            </w:r>
          </w:p>
        </w:tc>
        <w:tc>
          <w:tcPr>
            <w:tcW w:w="669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0.158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0.396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0.358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0.139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0.000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0.263</w:t>
            </w:r>
          </w:p>
        </w:tc>
        <w:tc>
          <w:tcPr>
            <w:tcW w:w="71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0.373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0.270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0.205</w:t>
            </w:r>
          </w:p>
        </w:tc>
      </w:tr>
      <w:tr w:rsidR="006B2EF6" w:rsidRPr="006B2EF6" w:rsidTr="00510F41">
        <w:trPr>
          <w:trHeight w:val="300"/>
        </w:trPr>
        <w:tc>
          <w:tcPr>
            <w:tcW w:w="710" w:type="dxa"/>
          </w:tcPr>
          <w:p w:rsidR="006B2EF6" w:rsidRPr="006B2EF6" w:rsidRDefault="006203F9" w:rsidP="006B2EF6">
            <w:pPr>
              <w:rPr>
                <w:sz w:val="18"/>
                <w:szCs w:val="18"/>
              </w:rPr>
            </w:pPr>
            <w:r w:rsidRPr="006203F9">
              <w:rPr>
                <w:sz w:val="18"/>
                <w:szCs w:val="18"/>
              </w:rPr>
              <w:t>SRPC</w:t>
            </w:r>
          </w:p>
        </w:tc>
        <w:tc>
          <w:tcPr>
            <w:tcW w:w="708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0.309</w:t>
            </w:r>
          </w:p>
        </w:tc>
        <w:tc>
          <w:tcPr>
            <w:tcW w:w="733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0.068</w:t>
            </w:r>
          </w:p>
        </w:tc>
        <w:tc>
          <w:tcPr>
            <w:tcW w:w="668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0.198</w:t>
            </w:r>
          </w:p>
        </w:tc>
        <w:tc>
          <w:tcPr>
            <w:tcW w:w="669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0.171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0.162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0.137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0.128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0.263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0.000</w:t>
            </w:r>
          </w:p>
        </w:tc>
        <w:tc>
          <w:tcPr>
            <w:tcW w:w="71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0.124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0.099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0.175</w:t>
            </w:r>
          </w:p>
        </w:tc>
      </w:tr>
      <w:tr w:rsidR="006B2EF6" w:rsidRPr="006B2EF6" w:rsidTr="00510F41">
        <w:trPr>
          <w:trHeight w:val="300"/>
        </w:trPr>
        <w:tc>
          <w:tcPr>
            <w:tcW w:w="710" w:type="dxa"/>
          </w:tcPr>
          <w:p w:rsidR="006B2EF6" w:rsidRPr="006B2EF6" w:rsidRDefault="006203F9" w:rsidP="006B2EF6">
            <w:pPr>
              <w:rPr>
                <w:sz w:val="18"/>
                <w:szCs w:val="18"/>
              </w:rPr>
            </w:pPr>
            <w:r w:rsidRPr="006203F9">
              <w:rPr>
                <w:sz w:val="18"/>
                <w:szCs w:val="18"/>
              </w:rPr>
              <w:t>CRUZ</w:t>
            </w:r>
          </w:p>
        </w:tc>
        <w:tc>
          <w:tcPr>
            <w:tcW w:w="708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0.414</w:t>
            </w:r>
          </w:p>
        </w:tc>
        <w:tc>
          <w:tcPr>
            <w:tcW w:w="733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0.090</w:t>
            </w:r>
          </w:p>
        </w:tc>
        <w:tc>
          <w:tcPr>
            <w:tcW w:w="668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0.098</w:t>
            </w:r>
          </w:p>
        </w:tc>
        <w:tc>
          <w:tcPr>
            <w:tcW w:w="669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0.255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0.052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0.063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0.240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0.373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0.124</w:t>
            </w:r>
          </w:p>
        </w:tc>
        <w:tc>
          <w:tcPr>
            <w:tcW w:w="71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0.000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0.143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0.282</w:t>
            </w:r>
          </w:p>
        </w:tc>
      </w:tr>
      <w:tr w:rsidR="006B2EF6" w:rsidRPr="006B2EF6" w:rsidTr="00510F41">
        <w:trPr>
          <w:trHeight w:val="300"/>
        </w:trPr>
        <w:tc>
          <w:tcPr>
            <w:tcW w:w="710" w:type="dxa"/>
          </w:tcPr>
          <w:p w:rsidR="006B2EF6" w:rsidRPr="006B2EF6" w:rsidRDefault="006203F9" w:rsidP="006B2EF6">
            <w:pPr>
              <w:rPr>
                <w:sz w:val="18"/>
                <w:szCs w:val="18"/>
              </w:rPr>
            </w:pPr>
            <w:r w:rsidRPr="006203F9">
              <w:rPr>
                <w:sz w:val="18"/>
                <w:szCs w:val="18"/>
              </w:rPr>
              <w:t>SFE</w:t>
            </w:r>
          </w:p>
        </w:tc>
        <w:tc>
          <w:tcPr>
            <w:tcW w:w="708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0.332</w:t>
            </w:r>
          </w:p>
        </w:tc>
        <w:tc>
          <w:tcPr>
            <w:tcW w:w="733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0.105</w:t>
            </w:r>
          </w:p>
        </w:tc>
        <w:tc>
          <w:tcPr>
            <w:tcW w:w="668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0.201</w:t>
            </w:r>
          </w:p>
        </w:tc>
        <w:tc>
          <w:tcPr>
            <w:tcW w:w="669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0.140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0.147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0.154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0.165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0.270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0.099</w:t>
            </w:r>
          </w:p>
        </w:tc>
        <w:tc>
          <w:tcPr>
            <w:tcW w:w="71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0.143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0.000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0.208</w:t>
            </w:r>
          </w:p>
        </w:tc>
      </w:tr>
      <w:tr w:rsidR="006B2EF6" w:rsidRPr="006B2EF6" w:rsidTr="00510F41">
        <w:trPr>
          <w:trHeight w:val="300"/>
        </w:trPr>
        <w:tc>
          <w:tcPr>
            <w:tcW w:w="710" w:type="dxa"/>
          </w:tcPr>
          <w:p w:rsidR="006B2EF6" w:rsidRPr="006B2EF6" w:rsidRDefault="006203F9" w:rsidP="006B2EF6">
            <w:pPr>
              <w:rPr>
                <w:sz w:val="18"/>
                <w:szCs w:val="18"/>
              </w:rPr>
            </w:pPr>
            <w:r w:rsidRPr="006203F9">
              <w:rPr>
                <w:sz w:val="18"/>
                <w:szCs w:val="18"/>
              </w:rPr>
              <w:t>SAN</w:t>
            </w:r>
          </w:p>
        </w:tc>
        <w:tc>
          <w:tcPr>
            <w:tcW w:w="708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0.211</w:t>
            </w:r>
          </w:p>
        </w:tc>
        <w:tc>
          <w:tcPr>
            <w:tcW w:w="733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0.196</w:t>
            </w:r>
          </w:p>
        </w:tc>
        <w:tc>
          <w:tcPr>
            <w:tcW w:w="668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0.325</w:t>
            </w:r>
          </w:p>
        </w:tc>
        <w:tc>
          <w:tcPr>
            <w:tcW w:w="669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0.193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0.308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0.266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0.098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0.205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0.175</w:t>
            </w:r>
          </w:p>
        </w:tc>
        <w:tc>
          <w:tcPr>
            <w:tcW w:w="71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0.282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0.208</w:t>
            </w:r>
          </w:p>
        </w:tc>
        <w:tc>
          <w:tcPr>
            <w:tcW w:w="671" w:type="dxa"/>
            <w:noWrap/>
            <w:hideMark/>
          </w:tcPr>
          <w:p w:rsidR="006B2EF6" w:rsidRPr="006B2EF6" w:rsidRDefault="006B2EF6" w:rsidP="006B2EF6">
            <w:pPr>
              <w:rPr>
                <w:sz w:val="18"/>
                <w:szCs w:val="18"/>
              </w:rPr>
            </w:pPr>
            <w:r w:rsidRPr="006B2EF6">
              <w:rPr>
                <w:sz w:val="18"/>
                <w:szCs w:val="18"/>
              </w:rPr>
              <w:t>0.000</w:t>
            </w:r>
          </w:p>
        </w:tc>
      </w:tr>
    </w:tbl>
    <w:p w:rsidR="006B2EF6" w:rsidRPr="006B2EF6" w:rsidRDefault="006B2EF6" w:rsidP="006B2EF6"/>
    <w:p w:rsidR="006B2EF6" w:rsidRPr="006B2EF6" w:rsidRDefault="006B2EF6" w:rsidP="006B2EF6">
      <w:r w:rsidRPr="006B2EF6">
        <w:t>(b)</w:t>
      </w:r>
    </w:p>
    <w:p w:rsidR="006B2EF6" w:rsidRPr="006B2EF6" w:rsidRDefault="006B2EF6" w:rsidP="006B2EF6">
      <w:r w:rsidRPr="006B2EF6">
        <w:t xml:space="preserve">Mantel statistic r: 0.05426 </w:t>
      </w:r>
    </w:p>
    <w:tbl>
      <w:tblPr>
        <w:tblStyle w:val="Tablaconcuadrcula"/>
        <w:tblW w:w="0" w:type="auto"/>
        <w:tblLook w:val="04A0"/>
      </w:tblPr>
      <w:tblGrid>
        <w:gridCol w:w="2376"/>
        <w:gridCol w:w="2268"/>
        <w:gridCol w:w="1985"/>
        <w:gridCol w:w="1843"/>
      </w:tblGrid>
      <w:tr w:rsidR="006B2EF6" w:rsidRPr="006B2EF6" w:rsidTr="00510F41">
        <w:tc>
          <w:tcPr>
            <w:tcW w:w="2376" w:type="dxa"/>
          </w:tcPr>
          <w:p w:rsidR="006B2EF6" w:rsidRPr="006B2EF6" w:rsidRDefault="006203F9" w:rsidP="006B2EF6">
            <w:pPr>
              <w:rPr>
                <w:b/>
              </w:rPr>
            </w:pPr>
            <w:r w:rsidRPr="006203F9">
              <w:rPr>
                <w:b/>
              </w:rPr>
              <w:t>Mantel test</w:t>
            </w:r>
          </w:p>
        </w:tc>
        <w:tc>
          <w:tcPr>
            <w:tcW w:w="2268" w:type="dxa"/>
          </w:tcPr>
          <w:p w:rsidR="006B2EF6" w:rsidRPr="006B2EF6" w:rsidRDefault="006203F9" w:rsidP="006B2EF6">
            <w:pPr>
              <w:rPr>
                <w:b/>
              </w:rPr>
            </w:pPr>
            <w:r w:rsidRPr="006203F9">
              <w:rPr>
                <w:b/>
              </w:rPr>
              <w:t>Permutations</w:t>
            </w:r>
          </w:p>
        </w:tc>
        <w:tc>
          <w:tcPr>
            <w:tcW w:w="1985" w:type="dxa"/>
          </w:tcPr>
          <w:p w:rsidR="006B2EF6" w:rsidRPr="006B2EF6" w:rsidRDefault="006203F9" w:rsidP="006B2EF6">
            <w:pPr>
              <w:rPr>
                <w:b/>
              </w:rPr>
            </w:pPr>
            <w:r w:rsidRPr="006203F9">
              <w:rPr>
                <w:b/>
              </w:rPr>
              <w:t>R</w:t>
            </w:r>
          </w:p>
        </w:tc>
        <w:tc>
          <w:tcPr>
            <w:tcW w:w="1843" w:type="dxa"/>
          </w:tcPr>
          <w:p w:rsidR="006B2EF6" w:rsidRPr="006B2EF6" w:rsidRDefault="006203F9" w:rsidP="006B2EF6">
            <w:pPr>
              <w:rPr>
                <w:b/>
              </w:rPr>
            </w:pPr>
            <w:r w:rsidRPr="006203F9">
              <w:rPr>
                <w:b/>
              </w:rPr>
              <w:t>P value</w:t>
            </w:r>
          </w:p>
        </w:tc>
      </w:tr>
      <w:tr w:rsidR="006B2EF6" w:rsidRPr="006B2EF6" w:rsidTr="00510F41">
        <w:tc>
          <w:tcPr>
            <w:tcW w:w="2376" w:type="dxa"/>
          </w:tcPr>
          <w:p w:rsidR="006B2EF6" w:rsidRPr="006B2EF6" w:rsidRDefault="006B2EF6" w:rsidP="006B2EF6"/>
        </w:tc>
        <w:tc>
          <w:tcPr>
            <w:tcW w:w="2268" w:type="dxa"/>
          </w:tcPr>
          <w:p w:rsidR="006B2EF6" w:rsidRPr="006B2EF6" w:rsidRDefault="006B2EF6" w:rsidP="006B2EF6">
            <w:r w:rsidRPr="006B2EF6">
              <w:t>999</w:t>
            </w:r>
          </w:p>
        </w:tc>
        <w:tc>
          <w:tcPr>
            <w:tcW w:w="1985" w:type="dxa"/>
          </w:tcPr>
          <w:p w:rsidR="006B2EF6" w:rsidRPr="006B2EF6" w:rsidRDefault="006B2EF6" w:rsidP="006B2EF6">
            <w:r w:rsidRPr="006B2EF6">
              <w:t>0.054</w:t>
            </w:r>
          </w:p>
        </w:tc>
        <w:tc>
          <w:tcPr>
            <w:tcW w:w="1843" w:type="dxa"/>
          </w:tcPr>
          <w:p w:rsidR="006B2EF6" w:rsidRPr="006B2EF6" w:rsidRDefault="006B2EF6" w:rsidP="006B2EF6">
            <w:r w:rsidRPr="006B2EF6">
              <w:t>0.375</w:t>
            </w:r>
          </w:p>
        </w:tc>
      </w:tr>
    </w:tbl>
    <w:p w:rsidR="006B2EF6" w:rsidRPr="006B2EF6" w:rsidRDefault="006B2EF6" w:rsidP="006B2EF6"/>
    <w:p w:rsidR="006B2EF6" w:rsidRPr="006B2EF6" w:rsidRDefault="006B2EF6" w:rsidP="006B2EF6"/>
    <w:p w:rsidR="007A539D" w:rsidRPr="007A539D" w:rsidRDefault="007A539D" w:rsidP="007A539D"/>
    <w:sectPr w:rsidR="007A539D" w:rsidRPr="007A539D" w:rsidSect="00517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8E7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0CCCE1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FEC"/>
    <w:rsid w:val="000B305D"/>
    <w:rsid w:val="000C08F5"/>
    <w:rsid w:val="0014087F"/>
    <w:rsid w:val="00242374"/>
    <w:rsid w:val="00245CF9"/>
    <w:rsid w:val="002E796C"/>
    <w:rsid w:val="00381FEC"/>
    <w:rsid w:val="00517BFD"/>
    <w:rsid w:val="00595FB8"/>
    <w:rsid w:val="006203F9"/>
    <w:rsid w:val="006B2EF6"/>
    <w:rsid w:val="007A539D"/>
    <w:rsid w:val="00886625"/>
    <w:rsid w:val="009B7A45"/>
    <w:rsid w:val="00D01ECE"/>
    <w:rsid w:val="00EA4B36"/>
    <w:rsid w:val="00E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B8"/>
    <w:rPr>
      <w:rFonts w:ascii="Times New Roman" w:hAnsi="Times New Roman"/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8866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866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866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866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es-ES"/>
    </w:rPr>
  </w:style>
  <w:style w:type="paragraph" w:styleId="Ttulo5">
    <w:name w:val="heading 5"/>
    <w:basedOn w:val="Normal"/>
    <w:link w:val="Ttulo5Car"/>
    <w:uiPriority w:val="9"/>
    <w:qFormat/>
    <w:rsid w:val="00886625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6625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86625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86625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86625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88662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886625"/>
    <w:pPr>
      <w:spacing w:after="60"/>
      <w:jc w:val="center"/>
      <w:outlineLvl w:val="1"/>
    </w:pPr>
    <w:rPr>
      <w:rFonts w:ascii="Cambria" w:eastAsia="Times New Roman" w:hAnsi="Cambria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886625"/>
    <w:rPr>
      <w:rFonts w:ascii="Cambria" w:eastAsia="Times New Roman" w:hAnsi="Cambria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886625"/>
    <w:rPr>
      <w:i/>
      <w:iCs/>
    </w:rPr>
  </w:style>
  <w:style w:type="table" w:styleId="Tablaconcuadrcula">
    <w:name w:val="Table Grid"/>
    <w:basedOn w:val="Tablanormal"/>
    <w:uiPriority w:val="59"/>
    <w:rsid w:val="00595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5FB8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FB8"/>
    <w:rPr>
      <w:rFonts w:ascii="Tahoma" w:hAnsi="Tahoma"/>
      <w:sz w:val="16"/>
      <w:szCs w:val="16"/>
      <w:lang w:val="en-GB"/>
    </w:rPr>
  </w:style>
  <w:style w:type="character" w:styleId="Refdecomentario">
    <w:name w:val="annotation reference"/>
    <w:uiPriority w:val="99"/>
    <w:semiHidden/>
    <w:unhideWhenUsed/>
    <w:rsid w:val="00595F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5F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5FB8"/>
    <w:rPr>
      <w:rFonts w:ascii="Times New Roman" w:hAnsi="Times New Roman"/>
      <w:lang w:val="en-GB"/>
    </w:rPr>
  </w:style>
  <w:style w:type="character" w:styleId="Hipervnculo">
    <w:name w:val="Hyperlink"/>
    <w:uiPriority w:val="99"/>
    <w:unhideWhenUsed/>
    <w:rsid w:val="00595FB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95FB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5F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5FB8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595F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5FB8"/>
    <w:rPr>
      <w:rFonts w:ascii="Times New Roman" w:hAnsi="Times New Roman"/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95F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FB8"/>
    <w:rPr>
      <w:rFonts w:ascii="Times New Roman" w:hAnsi="Times New Roman"/>
      <w:sz w:val="24"/>
      <w:szCs w:val="24"/>
      <w:lang w:val="en-GB"/>
    </w:rPr>
  </w:style>
  <w:style w:type="paragraph" w:styleId="Listaconvietas">
    <w:name w:val="List Bullet"/>
    <w:basedOn w:val="Normal"/>
    <w:uiPriority w:val="99"/>
    <w:unhideWhenUsed/>
    <w:rsid w:val="00595FB8"/>
    <w:pPr>
      <w:numPr>
        <w:numId w:val="1"/>
      </w:numPr>
      <w:contextualSpacing/>
    </w:pPr>
  </w:style>
  <w:style w:type="character" w:customStyle="1" w:styleId="current-selection">
    <w:name w:val="current-selection"/>
    <w:basedOn w:val="Fuentedeprrafopredeter"/>
    <w:rsid w:val="00595FB8"/>
  </w:style>
  <w:style w:type="character" w:customStyle="1" w:styleId="a">
    <w:name w:val="_"/>
    <w:basedOn w:val="Fuentedeprrafopredeter"/>
    <w:rsid w:val="00595FB8"/>
  </w:style>
  <w:style w:type="character" w:styleId="Nmerodelnea">
    <w:name w:val="line number"/>
    <w:basedOn w:val="Fuentedeprrafopredeter"/>
    <w:uiPriority w:val="99"/>
    <w:semiHidden/>
    <w:unhideWhenUsed/>
    <w:rsid w:val="00595FB8"/>
  </w:style>
  <w:style w:type="character" w:customStyle="1" w:styleId="shorttext">
    <w:name w:val="short_text"/>
    <w:rsid w:val="00595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Ibáñez</dc:creator>
  <cp:lastModifiedBy>Alex Ibáñez</cp:lastModifiedBy>
  <cp:revision>4</cp:revision>
  <dcterms:created xsi:type="dcterms:W3CDTF">2017-07-10T08:30:00Z</dcterms:created>
  <dcterms:modified xsi:type="dcterms:W3CDTF">2017-07-10T09:49:00Z</dcterms:modified>
</cp:coreProperties>
</file>