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9D" w:rsidRPr="007A539D" w:rsidRDefault="007A539D" w:rsidP="007A539D">
      <w:pPr>
        <w:rPr>
          <w:lang w:val="en-US"/>
        </w:rPr>
      </w:pPr>
    </w:p>
    <w:p w:rsidR="007A539D" w:rsidRPr="007A539D" w:rsidRDefault="00CF4A52" w:rsidP="007A539D">
      <w:pPr>
        <w:rPr>
          <w:lang w:val="en-US"/>
        </w:rPr>
      </w:pPr>
      <w:r>
        <w:rPr>
          <w:b/>
          <w:iCs/>
          <w:lang w:val="en-US"/>
        </w:rPr>
        <w:t>Table S5</w:t>
      </w:r>
      <w:r w:rsidR="007A539D" w:rsidRPr="007A539D">
        <w:rPr>
          <w:b/>
          <w:iCs/>
          <w:lang w:val="en-US"/>
        </w:rPr>
        <w:t xml:space="preserve"> </w:t>
      </w:r>
    </w:p>
    <w:p w:rsidR="007A539D" w:rsidRPr="007A539D" w:rsidRDefault="007A539D" w:rsidP="007A539D">
      <w:pPr>
        <w:rPr>
          <w:iCs/>
        </w:rPr>
      </w:pPr>
      <w:r w:rsidRPr="007A539D">
        <w:rPr>
          <w:iCs/>
        </w:rPr>
        <w:t>Descriptive statistics showing male behavio</w:t>
      </w:r>
      <w:r w:rsidR="00A30B55">
        <w:rPr>
          <w:iCs/>
        </w:rPr>
        <w:t>ural data and chemical profile.</w:t>
      </w:r>
      <w:r w:rsidRPr="007A539D">
        <w:rPr>
          <w:iCs/>
        </w:rPr>
        <w:t xml:space="preserve"> Average head bobbing rate (HB) was calculated per minute (see METHODS AND MATERIALS for details). The “Females” column represents the number of times a male was accompanied by females divided by the total number of observations. Chemical composition (%) shows the  most influential </w:t>
      </w:r>
      <w:proofErr w:type="spellStart"/>
      <w:r w:rsidRPr="007A539D">
        <w:rPr>
          <w:iCs/>
        </w:rPr>
        <w:t>lipophilic</w:t>
      </w:r>
      <w:proofErr w:type="spellEnd"/>
      <w:r w:rsidRPr="007A539D">
        <w:rPr>
          <w:iCs/>
        </w:rPr>
        <w:t xml:space="preserve"> components: HA = </w:t>
      </w:r>
      <w:proofErr w:type="spellStart"/>
      <w:r w:rsidRPr="007A539D">
        <w:rPr>
          <w:iCs/>
        </w:rPr>
        <w:t>Hexadecanoic</w:t>
      </w:r>
      <w:proofErr w:type="spellEnd"/>
      <w:r w:rsidRPr="007A539D">
        <w:rPr>
          <w:iCs/>
        </w:rPr>
        <w:t xml:space="preserve"> acid; TA = </w:t>
      </w:r>
      <w:proofErr w:type="spellStart"/>
      <w:r w:rsidRPr="007A539D">
        <w:rPr>
          <w:iCs/>
        </w:rPr>
        <w:t>Tetracosanoic</w:t>
      </w:r>
      <w:proofErr w:type="spellEnd"/>
      <w:r w:rsidRPr="007A539D">
        <w:rPr>
          <w:iCs/>
        </w:rPr>
        <w:t xml:space="preserve"> acid; 9OA = 9-Octadecenoic acid, 11EA = 11-Eicosenoic acid. ID: Male identity.</w:t>
      </w:r>
    </w:p>
    <w:tbl>
      <w:tblPr>
        <w:tblpPr w:leftFromText="141" w:rightFromText="141" w:vertAnchor="text" w:horzAnchor="margin" w:tblpY="253"/>
        <w:tblW w:w="7570" w:type="dxa"/>
        <w:tblLook w:val="04A0"/>
      </w:tblPr>
      <w:tblGrid>
        <w:gridCol w:w="583"/>
        <w:gridCol w:w="1086"/>
        <w:gridCol w:w="1137"/>
        <w:gridCol w:w="317"/>
        <w:gridCol w:w="1148"/>
        <w:gridCol w:w="1004"/>
        <w:gridCol w:w="861"/>
        <w:gridCol w:w="1434"/>
      </w:tblGrid>
      <w:tr w:rsidR="007A539D" w:rsidRPr="007A539D" w:rsidTr="00510F41">
        <w:trPr>
          <w:trHeight w:val="8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Behavioral variables</w:t>
            </w: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4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Chemical composition (%)</w:t>
            </w:r>
          </w:p>
        </w:tc>
      </w:tr>
      <w:tr w:rsidR="007A539D" w:rsidRPr="007A539D" w:rsidTr="00510F41">
        <w:trPr>
          <w:trHeight w:val="4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HB rate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Females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HA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TA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11EA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9OA</w:t>
            </w:r>
          </w:p>
        </w:tc>
      </w:tr>
      <w:tr w:rsidR="007A539D" w:rsidRPr="007A539D" w:rsidTr="00510F41">
        <w:trPr>
          <w:trHeight w:val="828"/>
        </w:trPr>
        <w:tc>
          <w:tcPr>
            <w:tcW w:w="0" w:type="auto"/>
            <w:tcBorders>
              <w:top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0/7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19.95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14.45</w:t>
            </w:r>
          </w:p>
        </w:tc>
      </w:tr>
      <w:tr w:rsidR="007A539D" w:rsidRPr="007A539D" w:rsidTr="00510F41">
        <w:trPr>
          <w:trHeight w:val="828"/>
        </w:trPr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2.34</w:t>
            </w:r>
          </w:p>
        </w:tc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9/9</w:t>
            </w:r>
          </w:p>
        </w:tc>
        <w:tc>
          <w:tcPr>
            <w:tcW w:w="317" w:type="dxa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13.06</w:t>
            </w:r>
          </w:p>
        </w:tc>
        <w:tc>
          <w:tcPr>
            <w:tcW w:w="100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0.77</w:t>
            </w:r>
          </w:p>
        </w:tc>
        <w:tc>
          <w:tcPr>
            <w:tcW w:w="861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1.09</w:t>
            </w:r>
          </w:p>
        </w:tc>
        <w:tc>
          <w:tcPr>
            <w:tcW w:w="143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19.95</w:t>
            </w:r>
          </w:p>
        </w:tc>
      </w:tr>
      <w:tr w:rsidR="007A539D" w:rsidRPr="007A539D" w:rsidTr="00510F41">
        <w:trPr>
          <w:trHeight w:val="843"/>
        </w:trPr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10</w:t>
            </w:r>
          </w:p>
        </w:tc>
        <w:tc>
          <w:tcPr>
            <w:tcW w:w="0" w:type="auto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2.07</w:t>
            </w:r>
          </w:p>
        </w:tc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5/6</w:t>
            </w:r>
          </w:p>
        </w:tc>
        <w:tc>
          <w:tcPr>
            <w:tcW w:w="317" w:type="dxa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11.69</w:t>
            </w:r>
          </w:p>
        </w:tc>
        <w:tc>
          <w:tcPr>
            <w:tcW w:w="100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2.47</w:t>
            </w:r>
          </w:p>
        </w:tc>
        <w:tc>
          <w:tcPr>
            <w:tcW w:w="861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0.51</w:t>
            </w:r>
          </w:p>
        </w:tc>
        <w:tc>
          <w:tcPr>
            <w:tcW w:w="143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12.23</w:t>
            </w:r>
          </w:p>
        </w:tc>
      </w:tr>
      <w:tr w:rsidR="007A539D" w:rsidRPr="007A539D" w:rsidTr="00510F41">
        <w:trPr>
          <w:trHeight w:val="828"/>
        </w:trPr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12</w:t>
            </w:r>
          </w:p>
        </w:tc>
        <w:tc>
          <w:tcPr>
            <w:tcW w:w="0" w:type="auto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1.6</w:t>
            </w:r>
          </w:p>
        </w:tc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2/4</w:t>
            </w:r>
          </w:p>
        </w:tc>
        <w:tc>
          <w:tcPr>
            <w:tcW w:w="317" w:type="dxa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13.03</w:t>
            </w:r>
          </w:p>
        </w:tc>
        <w:tc>
          <w:tcPr>
            <w:tcW w:w="100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1.16</w:t>
            </w:r>
          </w:p>
        </w:tc>
        <w:tc>
          <w:tcPr>
            <w:tcW w:w="861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1.17</w:t>
            </w:r>
          </w:p>
        </w:tc>
        <w:tc>
          <w:tcPr>
            <w:tcW w:w="143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23.70</w:t>
            </w:r>
          </w:p>
        </w:tc>
      </w:tr>
      <w:tr w:rsidR="007A539D" w:rsidRPr="007A539D" w:rsidTr="00510F41">
        <w:trPr>
          <w:trHeight w:val="828"/>
        </w:trPr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13</w:t>
            </w:r>
          </w:p>
        </w:tc>
        <w:tc>
          <w:tcPr>
            <w:tcW w:w="0" w:type="auto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0.73</w:t>
            </w:r>
          </w:p>
        </w:tc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0/5</w:t>
            </w:r>
          </w:p>
        </w:tc>
        <w:tc>
          <w:tcPr>
            <w:tcW w:w="317" w:type="dxa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13.43</w:t>
            </w:r>
          </w:p>
        </w:tc>
        <w:tc>
          <w:tcPr>
            <w:tcW w:w="100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2.05</w:t>
            </w:r>
          </w:p>
        </w:tc>
        <w:tc>
          <w:tcPr>
            <w:tcW w:w="861" w:type="dxa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</w:t>
            </w:r>
          </w:p>
        </w:tc>
        <w:tc>
          <w:tcPr>
            <w:tcW w:w="143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13.89</w:t>
            </w:r>
          </w:p>
        </w:tc>
      </w:tr>
      <w:tr w:rsidR="007A539D" w:rsidRPr="007A539D" w:rsidTr="00510F41">
        <w:trPr>
          <w:trHeight w:val="828"/>
        </w:trPr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392</w:t>
            </w:r>
          </w:p>
        </w:tc>
        <w:tc>
          <w:tcPr>
            <w:tcW w:w="0" w:type="auto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NA</w:t>
            </w:r>
          </w:p>
        </w:tc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1/6</w:t>
            </w:r>
          </w:p>
        </w:tc>
        <w:tc>
          <w:tcPr>
            <w:tcW w:w="317" w:type="dxa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14.44</w:t>
            </w:r>
          </w:p>
        </w:tc>
        <w:tc>
          <w:tcPr>
            <w:tcW w:w="100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1.93</w:t>
            </w:r>
          </w:p>
        </w:tc>
        <w:tc>
          <w:tcPr>
            <w:tcW w:w="861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</w:t>
            </w:r>
          </w:p>
        </w:tc>
        <w:tc>
          <w:tcPr>
            <w:tcW w:w="143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15.47</w:t>
            </w:r>
          </w:p>
        </w:tc>
      </w:tr>
      <w:tr w:rsidR="007A539D" w:rsidRPr="007A539D" w:rsidTr="00510F41">
        <w:trPr>
          <w:trHeight w:val="828"/>
        </w:trPr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393</w:t>
            </w:r>
          </w:p>
        </w:tc>
        <w:tc>
          <w:tcPr>
            <w:tcW w:w="0" w:type="auto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1.8</w:t>
            </w:r>
          </w:p>
        </w:tc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7/7</w:t>
            </w:r>
          </w:p>
        </w:tc>
        <w:tc>
          <w:tcPr>
            <w:tcW w:w="317" w:type="dxa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10.45</w:t>
            </w:r>
          </w:p>
        </w:tc>
        <w:tc>
          <w:tcPr>
            <w:tcW w:w="100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2.57</w:t>
            </w:r>
          </w:p>
        </w:tc>
        <w:tc>
          <w:tcPr>
            <w:tcW w:w="861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1.15</w:t>
            </w:r>
          </w:p>
        </w:tc>
        <w:tc>
          <w:tcPr>
            <w:tcW w:w="143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13.07</w:t>
            </w:r>
          </w:p>
        </w:tc>
      </w:tr>
      <w:tr w:rsidR="007A539D" w:rsidRPr="007A539D" w:rsidTr="00510F41">
        <w:trPr>
          <w:trHeight w:val="843"/>
        </w:trPr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396</w:t>
            </w:r>
          </w:p>
        </w:tc>
        <w:tc>
          <w:tcPr>
            <w:tcW w:w="0" w:type="auto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NA</w:t>
            </w:r>
          </w:p>
        </w:tc>
        <w:tc>
          <w:tcPr>
            <w:tcW w:w="0" w:type="auto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5/5</w:t>
            </w:r>
          </w:p>
        </w:tc>
        <w:tc>
          <w:tcPr>
            <w:tcW w:w="317" w:type="dxa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16.57</w:t>
            </w:r>
          </w:p>
        </w:tc>
        <w:tc>
          <w:tcPr>
            <w:tcW w:w="100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2.41</w:t>
            </w:r>
          </w:p>
        </w:tc>
        <w:tc>
          <w:tcPr>
            <w:tcW w:w="861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0.86</w:t>
            </w:r>
          </w:p>
        </w:tc>
        <w:tc>
          <w:tcPr>
            <w:tcW w:w="1434" w:type="dxa"/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16.74</w:t>
            </w:r>
          </w:p>
        </w:tc>
      </w:tr>
      <w:tr w:rsidR="007A539D" w:rsidRPr="007A539D" w:rsidTr="00510F41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397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4/6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11.19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2.48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1.09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bottom"/>
          </w:tcPr>
          <w:p w:rsidR="007A539D" w:rsidRPr="007A539D" w:rsidRDefault="007A539D" w:rsidP="007A539D">
            <w:pPr>
              <w:rPr>
                <w:iCs/>
                <w:lang w:val="en-US"/>
              </w:rPr>
            </w:pPr>
            <w:r w:rsidRPr="007A539D">
              <w:rPr>
                <w:iCs/>
                <w:lang w:val="en-US"/>
              </w:rPr>
              <w:t>13.22</w:t>
            </w:r>
          </w:p>
        </w:tc>
      </w:tr>
    </w:tbl>
    <w:p w:rsidR="007A539D" w:rsidRPr="007A539D" w:rsidRDefault="007A539D" w:rsidP="007A539D">
      <w:pPr>
        <w:rPr>
          <w:iCs/>
          <w:lang w:val="en-US"/>
        </w:rPr>
      </w:pPr>
    </w:p>
    <w:p w:rsidR="007A539D" w:rsidRPr="007A539D" w:rsidRDefault="007A539D" w:rsidP="007A539D">
      <w:pPr>
        <w:rPr>
          <w:iCs/>
        </w:rPr>
      </w:pPr>
    </w:p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p w:rsidR="007A539D" w:rsidRPr="007A539D" w:rsidRDefault="007A539D" w:rsidP="007A539D"/>
    <w:sectPr w:rsidR="007A539D" w:rsidRPr="007A539D" w:rsidSect="00517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8E7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0CCCE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FEC"/>
    <w:rsid w:val="000B305D"/>
    <w:rsid w:val="00242374"/>
    <w:rsid w:val="00245CF9"/>
    <w:rsid w:val="002E796C"/>
    <w:rsid w:val="00381FEC"/>
    <w:rsid w:val="00517BFD"/>
    <w:rsid w:val="00595FB8"/>
    <w:rsid w:val="007A539D"/>
    <w:rsid w:val="00875FB3"/>
    <w:rsid w:val="00886625"/>
    <w:rsid w:val="00886C68"/>
    <w:rsid w:val="009B7A45"/>
    <w:rsid w:val="00A30B55"/>
    <w:rsid w:val="00CF4A52"/>
    <w:rsid w:val="00D01ECE"/>
    <w:rsid w:val="00E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B8"/>
    <w:rPr>
      <w:rFonts w:ascii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886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6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6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66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styleId="Ttulo5">
    <w:name w:val="heading 5"/>
    <w:basedOn w:val="Normal"/>
    <w:link w:val="Ttulo5Car"/>
    <w:uiPriority w:val="9"/>
    <w:qFormat/>
    <w:rsid w:val="0088662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662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8662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8662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86625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866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86625"/>
    <w:pPr>
      <w:spacing w:after="60"/>
      <w:jc w:val="center"/>
      <w:outlineLvl w:val="1"/>
    </w:pPr>
    <w:rPr>
      <w:rFonts w:ascii="Cambria" w:eastAsia="Times New Roman" w:hAnsi="Cambria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86625"/>
    <w:rPr>
      <w:rFonts w:ascii="Cambria" w:eastAsia="Times New Roman" w:hAnsi="Cambria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86625"/>
    <w:rPr>
      <w:i/>
      <w:iCs/>
    </w:rPr>
  </w:style>
  <w:style w:type="table" w:styleId="Tablaconcuadrcula">
    <w:name w:val="Table Grid"/>
    <w:basedOn w:val="Tablanormal"/>
    <w:uiPriority w:val="59"/>
    <w:rsid w:val="0059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FB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FB8"/>
    <w:rPr>
      <w:rFonts w:ascii="Tahoma" w:hAnsi="Tahoma"/>
      <w:sz w:val="16"/>
      <w:szCs w:val="16"/>
      <w:lang w:val="en-GB"/>
    </w:rPr>
  </w:style>
  <w:style w:type="character" w:styleId="Refdecomentario">
    <w:name w:val="annotation reference"/>
    <w:uiPriority w:val="99"/>
    <w:semiHidden/>
    <w:unhideWhenUsed/>
    <w:rsid w:val="00595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FB8"/>
    <w:rPr>
      <w:rFonts w:ascii="Times New Roman" w:hAnsi="Times New Roman"/>
      <w:lang w:val="en-GB"/>
    </w:rPr>
  </w:style>
  <w:style w:type="character" w:styleId="Hipervnculo">
    <w:name w:val="Hyperlink"/>
    <w:uiPriority w:val="99"/>
    <w:unhideWhenUsed/>
    <w:rsid w:val="00595FB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5FB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FB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95F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FB8"/>
    <w:rPr>
      <w:rFonts w:ascii="Times New Roman" w:hAnsi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95F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B8"/>
    <w:rPr>
      <w:rFonts w:ascii="Times New Roman" w:hAnsi="Times New Roman"/>
      <w:sz w:val="24"/>
      <w:szCs w:val="24"/>
      <w:lang w:val="en-GB"/>
    </w:rPr>
  </w:style>
  <w:style w:type="paragraph" w:styleId="Listaconvietas">
    <w:name w:val="List Bullet"/>
    <w:basedOn w:val="Normal"/>
    <w:uiPriority w:val="99"/>
    <w:unhideWhenUsed/>
    <w:rsid w:val="00595FB8"/>
    <w:pPr>
      <w:numPr>
        <w:numId w:val="1"/>
      </w:numPr>
      <w:contextualSpacing/>
    </w:pPr>
  </w:style>
  <w:style w:type="character" w:customStyle="1" w:styleId="current-selection">
    <w:name w:val="current-selection"/>
    <w:basedOn w:val="Fuentedeprrafopredeter"/>
    <w:rsid w:val="00595FB8"/>
  </w:style>
  <w:style w:type="character" w:customStyle="1" w:styleId="a">
    <w:name w:val="_"/>
    <w:basedOn w:val="Fuentedeprrafopredeter"/>
    <w:rsid w:val="00595FB8"/>
  </w:style>
  <w:style w:type="character" w:styleId="Nmerodelnea">
    <w:name w:val="line number"/>
    <w:basedOn w:val="Fuentedeprrafopredeter"/>
    <w:uiPriority w:val="99"/>
    <w:semiHidden/>
    <w:unhideWhenUsed/>
    <w:rsid w:val="00595FB8"/>
  </w:style>
  <w:style w:type="character" w:customStyle="1" w:styleId="shorttext">
    <w:name w:val="short_text"/>
    <w:rsid w:val="0059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Ibáñez</dc:creator>
  <cp:lastModifiedBy>Alex Ibáñez</cp:lastModifiedBy>
  <cp:revision>4</cp:revision>
  <dcterms:created xsi:type="dcterms:W3CDTF">2017-07-10T08:29:00Z</dcterms:created>
  <dcterms:modified xsi:type="dcterms:W3CDTF">2017-07-10T09:49:00Z</dcterms:modified>
</cp:coreProperties>
</file>