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1A" w:rsidRPr="00A469FF" w:rsidRDefault="009C731A" w:rsidP="009C731A">
      <w:pPr>
        <w:widowControl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469FF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 Summary of significant main effects and interactions based on factorial analysis of variance for specific growth rate </w:t>
      </w:r>
      <w:r w:rsidRPr="00A469FF">
        <w:rPr>
          <w:rFonts w:ascii="Times New Roman" w:eastAsia="Times New Roman" w:hAnsi="Times New Roman" w:cs="Times New Roman"/>
          <w:sz w:val="24"/>
          <w:szCs w:val="24"/>
          <w:lang w:val="en-US"/>
        </w:rPr>
        <w:t>(during light treatment)</w:t>
      </w:r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, cell density, chlorophyll </w:t>
      </w:r>
      <w:proofErr w:type="gramStart"/>
      <w:r w:rsidRPr="00A469F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469FF">
        <w:rPr>
          <w:rFonts w:ascii="Times New Roman" w:eastAsia="Times New Roman" w:hAnsi="Times New Roman" w:cs="Times New Roman"/>
          <w:sz w:val="24"/>
          <w:szCs w:val="24"/>
          <w:lang w:val="en-US"/>
        </w:rPr>
        <w:t>photographic analyses,</w:t>
      </w:r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 linear mixed model for fluorescence (EQY) and </w:t>
      </w:r>
      <w:proofErr w:type="spellStart"/>
      <w:r w:rsidRPr="00A469FF">
        <w:rPr>
          <w:rFonts w:ascii="Times New Roman" w:hAnsi="Times New Roman" w:cs="Times New Roman"/>
          <w:sz w:val="24"/>
          <w:szCs w:val="24"/>
          <w:lang w:val="en-US"/>
        </w:rPr>
        <w:t>permutational</w:t>
      </w:r>
      <w:proofErr w:type="spellEnd"/>
      <w:r w:rsidRPr="00A469FF">
        <w:rPr>
          <w:rFonts w:ascii="Times New Roman" w:hAnsi="Times New Roman" w:cs="Times New Roman"/>
          <w:sz w:val="24"/>
          <w:szCs w:val="24"/>
          <w:lang w:val="en-US"/>
        </w:rPr>
        <w:t xml:space="preserve"> multivariate analysis of variance for zooxanthellae community.</w:t>
      </w:r>
    </w:p>
    <w:tbl>
      <w:tblPr>
        <w:tblW w:w="6486" w:type="dxa"/>
        <w:shd w:val="clear" w:color="auto" w:fill="FFFFFF" w:themeFill="background1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680"/>
        <w:gridCol w:w="1170"/>
        <w:gridCol w:w="630"/>
        <w:gridCol w:w="140"/>
        <w:gridCol w:w="651"/>
        <w:gridCol w:w="29"/>
        <w:gridCol w:w="260"/>
        <w:gridCol w:w="926"/>
      </w:tblGrid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Specific growth rate (during light treatment)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Photographic analysis (Inverted Luminosity)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177.2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Day:Colony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Photographic analysis (Necrosis/Tissue lost)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158.7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136.5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Day:Light</w:t>
            </w:r>
            <w:proofErr w:type="spellEnd"/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Treatment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Day:Colony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Treatment:Colony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186" w:type="dxa"/>
            <w:gridSpan w:val="2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Cell density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Day:Colony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Chlorophyll </w:t>
            </w: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Day:Light</w:t>
            </w:r>
            <w:proofErr w:type="spellEnd"/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Treatment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Day:Colony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 chlorophyll fluorescence Day 1 - 32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Light Treatment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1940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gridSpan w:val="3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Day:Light</w:t>
            </w:r>
            <w:proofErr w:type="spellEnd"/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Treatment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Variable chlorophyll fluorescence Day 37 - 57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C731A" w:rsidRPr="00A469FF" w:rsidTr="000957D2">
        <w:trPr>
          <w:trHeight w:val="300"/>
        </w:trPr>
        <w:tc>
          <w:tcPr>
            <w:tcW w:w="6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Zooxanthellae community</w:t>
            </w:r>
          </w:p>
        </w:tc>
      </w:tr>
      <w:tr w:rsidR="009C731A" w:rsidRPr="00A469FF" w:rsidTr="000957D2">
        <w:trPr>
          <w:trHeight w:val="300"/>
        </w:trPr>
        <w:tc>
          <w:tcPr>
            <w:tcW w:w="3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Pseudo-</w:t>
            </w: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C731A" w:rsidRPr="00A469FF" w:rsidTr="000957D2">
        <w:trPr>
          <w:trHeight w:val="300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Colony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731A" w:rsidRPr="00A469FF" w:rsidRDefault="009C731A" w:rsidP="000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9FF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A96EBF" w:rsidRPr="009C731A" w:rsidRDefault="00A96EBF" w:rsidP="009C731A">
      <w:bookmarkStart w:id="0" w:name="_GoBack"/>
      <w:bookmarkEnd w:id="0"/>
    </w:p>
    <w:sectPr w:rsidR="00A96EBF" w:rsidRPr="009C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4"/>
    <w:rsid w:val="0015166D"/>
    <w:rsid w:val="00215046"/>
    <w:rsid w:val="009C731A"/>
    <w:rsid w:val="00A96EBF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CD47"/>
  <w15:chartTrackingRefBased/>
  <w15:docId w15:val="{B18F9968-C692-424C-BD51-D369384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94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Bremen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Tilstra</dc:creator>
  <cp:keywords/>
  <dc:description/>
  <cp:lastModifiedBy>Arjen Tilstra</cp:lastModifiedBy>
  <cp:revision>2</cp:revision>
  <dcterms:created xsi:type="dcterms:W3CDTF">2017-05-31T22:15:00Z</dcterms:created>
  <dcterms:modified xsi:type="dcterms:W3CDTF">2017-05-31T22:15:00Z</dcterms:modified>
</cp:coreProperties>
</file>