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F6" w:rsidRDefault="00792E6C" w:rsidP="00A23FF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Supplemental</w:t>
      </w:r>
      <w:r w:rsidR="0076543D">
        <w:rPr>
          <w:rFonts w:ascii="Arial" w:hAnsi="Arial" w:cs="Arial"/>
          <w:b/>
          <w:sz w:val="24"/>
          <w:szCs w:val="24"/>
        </w:rPr>
        <w:t xml:space="preserve"> Table </w:t>
      </w:r>
      <w:r w:rsidR="006B050D">
        <w:rPr>
          <w:rFonts w:ascii="Arial" w:hAnsi="Arial" w:cs="Arial"/>
          <w:b/>
          <w:sz w:val="24"/>
          <w:szCs w:val="24"/>
        </w:rPr>
        <w:t>S</w:t>
      </w:r>
      <w:r w:rsidR="00A23FF6">
        <w:rPr>
          <w:rFonts w:ascii="Arial" w:hAnsi="Arial" w:cs="Arial"/>
          <w:b/>
          <w:sz w:val="24"/>
          <w:szCs w:val="24"/>
        </w:rPr>
        <w:t xml:space="preserve">1. </w:t>
      </w:r>
      <w:r w:rsidR="00A23FF6" w:rsidRPr="00976239">
        <w:rPr>
          <w:rFonts w:ascii="Times New Roman" w:hAnsi="Times New Roman" w:cs="Times New Roman"/>
          <w:sz w:val="24"/>
          <w:szCs w:val="24"/>
        </w:rPr>
        <w:t>Water chemistry variability across the three</w:t>
      </w:r>
      <w:r w:rsidR="00A23FF6">
        <w:rPr>
          <w:rFonts w:ascii="Times New Roman" w:hAnsi="Times New Roman" w:cs="Times New Roman"/>
          <w:sz w:val="24"/>
          <w:szCs w:val="24"/>
        </w:rPr>
        <w:t xml:space="preserve"> studied groups of streams, where the shared preference (group 1), the distinct preference (group 2), and the facilitative mode (group 3) were tested. The concentrations of NO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3FF6">
        <w:rPr>
          <w:rFonts w:ascii="Times New Roman" w:hAnsi="Times New Roman" w:cs="Times New Roman"/>
          <w:sz w:val="24"/>
          <w:szCs w:val="24"/>
        </w:rPr>
        <w:t xml:space="preserve"> + NO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3FF6">
        <w:rPr>
          <w:rFonts w:ascii="Times New Roman" w:hAnsi="Times New Roman" w:cs="Times New Roman"/>
          <w:sz w:val="24"/>
          <w:szCs w:val="24"/>
        </w:rPr>
        <w:t xml:space="preserve"> and PO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23FF6">
        <w:rPr>
          <w:rFonts w:ascii="Times New Roman" w:hAnsi="Times New Roman" w:cs="Times New Roman"/>
          <w:sz w:val="24"/>
          <w:szCs w:val="24"/>
        </w:rPr>
        <w:t xml:space="preserve"> were measured in mg·L</w:t>
      </w:r>
      <w:r w:rsidR="00A23FF6" w:rsidRPr="00A23C51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A23FF6">
        <w:rPr>
          <w:rFonts w:ascii="Times New Roman" w:hAnsi="Times New Roman" w:cs="Times New Roman"/>
          <w:sz w:val="24"/>
          <w:szCs w:val="24"/>
        </w:rPr>
        <w:t xml:space="preserve">. SD = standard deviation; and </w:t>
      </w:r>
      <w:r w:rsidR="00A23FF6" w:rsidRPr="001E2380">
        <w:rPr>
          <w:rFonts w:ascii="Times New Roman" w:hAnsi="Times New Roman" w:cs="Times New Roman"/>
          <w:i/>
          <w:sz w:val="24"/>
          <w:szCs w:val="24"/>
        </w:rPr>
        <w:t>n</w:t>
      </w:r>
      <w:r w:rsidR="00A23FF6">
        <w:rPr>
          <w:rFonts w:ascii="Times New Roman" w:hAnsi="Times New Roman" w:cs="Times New Roman"/>
          <w:sz w:val="24"/>
          <w:szCs w:val="24"/>
        </w:rPr>
        <w:t xml:space="preserve"> = number of stream localities. A different letter in the superscript indicates significant differences (</w:t>
      </w:r>
      <w:r w:rsidR="00A23FF6" w:rsidRPr="00FA0067">
        <w:rPr>
          <w:rFonts w:ascii="Times New Roman" w:hAnsi="Times New Roman" w:cs="Times New Roman"/>
          <w:i/>
          <w:sz w:val="24"/>
          <w:szCs w:val="24"/>
        </w:rPr>
        <w:t>P</w:t>
      </w:r>
      <w:r w:rsidR="00A23FF6">
        <w:rPr>
          <w:rFonts w:ascii="Times New Roman" w:hAnsi="Times New Roman" w:cs="Times New Roman"/>
          <w:sz w:val="24"/>
          <w:szCs w:val="24"/>
        </w:rPr>
        <w:t xml:space="preserve"> &lt; 0.05) in parameter values (ln-transformed in the case of NO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23FF6">
        <w:rPr>
          <w:rFonts w:ascii="Times New Roman" w:hAnsi="Times New Roman" w:cs="Times New Roman"/>
          <w:sz w:val="24"/>
          <w:szCs w:val="24"/>
        </w:rPr>
        <w:t xml:space="preserve"> + NO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23FF6">
        <w:rPr>
          <w:rFonts w:ascii="Times New Roman" w:hAnsi="Times New Roman" w:cs="Times New Roman"/>
          <w:sz w:val="24"/>
          <w:szCs w:val="24"/>
        </w:rPr>
        <w:t xml:space="preserve"> and PO</w:t>
      </w:r>
      <w:r w:rsidR="00A23FF6" w:rsidRPr="00DB19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23FF6">
        <w:rPr>
          <w:rFonts w:ascii="Times New Roman" w:hAnsi="Times New Roman" w:cs="Times New Roman"/>
          <w:sz w:val="24"/>
          <w:szCs w:val="24"/>
        </w:rPr>
        <w:t>) across the three groups, following ANOVA and Tukey post-hoc test.</w:t>
      </w: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1408"/>
        <w:gridCol w:w="1467"/>
        <w:gridCol w:w="1364"/>
        <w:gridCol w:w="1455"/>
        <w:gridCol w:w="928"/>
        <w:gridCol w:w="1130"/>
        <w:gridCol w:w="817"/>
        <w:gridCol w:w="928"/>
      </w:tblGrid>
      <w:tr w:rsidR="00A23FF6" w:rsidRPr="00EF5FF3" w:rsidTr="004B72C1">
        <w:trPr>
          <w:trHeight w:val="315"/>
        </w:trPr>
        <w:tc>
          <w:tcPr>
            <w:tcW w:w="140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46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136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Minimum</w:t>
            </w:r>
          </w:p>
        </w:tc>
        <w:tc>
          <w:tcPr>
            <w:tcW w:w="1455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Maximum</w:t>
            </w:r>
          </w:p>
        </w:tc>
        <w:tc>
          <w:tcPr>
            <w:tcW w:w="92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130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</w:t>
            </w:r>
          </w:p>
        </w:tc>
        <w:tc>
          <w:tcPr>
            <w:tcW w:w="81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928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A23FF6" w:rsidRPr="00EF5FF3" w:rsidRDefault="00A23FF6" w:rsidP="00A23FF6">
            <w:pPr>
              <w:spacing w:after="0"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F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SD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4D19A8">
              <w:rPr>
                <w:rStyle w:val="font271"/>
              </w:rPr>
              <w:t>n</w:t>
            </w:r>
            <w:r w:rsidRPr="004D19A8">
              <w:rPr>
                <w:rStyle w:val="font281"/>
              </w:rPr>
              <w:t xml:space="preserve"> = 381)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4D19A8">
              <w:rPr>
                <w:rStyle w:val="font291"/>
                <w:vertAlign w:val="superscript"/>
              </w:rPr>
              <w:t>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72" w:type="dxa"/>
              <w:left w:w="115" w:type="dxa"/>
              <w:right w:w="115" w:type="dxa"/>
            </w:tcMar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D19A8">
              <w:rPr>
                <w:rStyle w:val="font311"/>
                <w:vertAlign w:val="subscript"/>
              </w:rPr>
              <w:t xml:space="preserve">2 </w:t>
            </w:r>
            <w:r w:rsidRPr="004D19A8">
              <w:rPr>
                <w:rStyle w:val="font281"/>
              </w:rPr>
              <w:t>+ NO</w:t>
            </w:r>
            <w:r w:rsidRPr="004D19A8">
              <w:rPr>
                <w:rStyle w:val="font311"/>
                <w:vertAlign w:val="subscript"/>
              </w:rPr>
              <w:t>3</w:t>
            </w:r>
            <w:r w:rsidRPr="004D19A8">
              <w:rPr>
                <w:rStyle w:val="font291"/>
                <w:vertAlign w:val="superscript"/>
              </w:rPr>
              <w:t>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4D19A8">
              <w:rPr>
                <w:rStyle w:val="font311"/>
                <w:vertAlign w:val="subscript"/>
              </w:rPr>
              <w:t>4</w:t>
            </w:r>
            <w:r w:rsidR="007A06C9">
              <w:rPr>
                <w:rStyle w:val="font291"/>
                <w:vertAlign w:val="superscript"/>
              </w:rPr>
              <w:t>a</w:t>
            </w:r>
            <w:bookmarkStart w:id="0" w:name="_GoBack"/>
            <w:bookmarkEnd w:id="0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</w:t>
            </w:r>
            <w:r w:rsidRPr="004D19A8">
              <w:rPr>
                <w:rStyle w:val="font271"/>
              </w:rPr>
              <w:t>n</w:t>
            </w:r>
            <w:r w:rsidRPr="004D19A8">
              <w:rPr>
                <w:rStyle w:val="font281"/>
              </w:rPr>
              <w:t xml:space="preserve"> = 177)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4D19A8">
              <w:rPr>
                <w:rStyle w:val="font291"/>
                <w:vertAlign w:val="superscript"/>
              </w:rPr>
              <w:t>b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5.88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7.37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D19A8">
              <w:rPr>
                <w:rStyle w:val="font311"/>
                <w:vertAlign w:val="subscript"/>
              </w:rPr>
              <w:t xml:space="preserve">2 </w:t>
            </w:r>
            <w:r w:rsidRPr="004D19A8">
              <w:rPr>
                <w:rStyle w:val="font281"/>
              </w:rPr>
              <w:t>+ NO</w:t>
            </w:r>
            <w:r w:rsidRPr="004D19A8">
              <w:rPr>
                <w:rStyle w:val="font311"/>
                <w:vertAlign w:val="subscript"/>
              </w:rPr>
              <w:t>3</w:t>
            </w:r>
            <w:r w:rsidRPr="004D19A8">
              <w:rPr>
                <w:rStyle w:val="font291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9.65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9.64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4D19A8">
              <w:rPr>
                <w:rStyle w:val="font311"/>
                <w:vertAlign w:val="subscript"/>
              </w:rPr>
              <w:t>4</w:t>
            </w:r>
            <w:r w:rsidRPr="004D19A8">
              <w:rPr>
                <w:rStyle w:val="font291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</w:t>
            </w:r>
            <w:r w:rsidRPr="004D19A8">
              <w:rPr>
                <w:rStyle w:val="font271"/>
              </w:rPr>
              <w:t>n</w:t>
            </w:r>
            <w:r w:rsidRPr="004D19A8">
              <w:rPr>
                <w:rStyle w:val="font281"/>
              </w:rPr>
              <w:t xml:space="preserve"> = 97)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4D19A8">
              <w:rPr>
                <w:rStyle w:val="font291"/>
                <w:vertAlign w:val="superscript"/>
              </w:rPr>
              <w:t>c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4D19A8">
              <w:rPr>
                <w:rStyle w:val="font311"/>
                <w:vertAlign w:val="subscript"/>
              </w:rPr>
              <w:t xml:space="preserve">2 </w:t>
            </w:r>
            <w:r w:rsidRPr="004D19A8">
              <w:rPr>
                <w:rStyle w:val="font281"/>
              </w:rPr>
              <w:t>+ NO</w:t>
            </w:r>
            <w:r w:rsidRPr="004D19A8">
              <w:rPr>
                <w:rStyle w:val="font311"/>
                <w:vertAlign w:val="subscript"/>
              </w:rPr>
              <w:t>3</w:t>
            </w:r>
            <w:r w:rsidRPr="004D19A8">
              <w:rPr>
                <w:rStyle w:val="font291"/>
                <w:vertAlign w:val="superscript"/>
              </w:rPr>
              <w:t>c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9.26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5B7E22" w:rsidRPr="004D19A8" w:rsidTr="00A66CCD">
        <w:trPr>
          <w:trHeight w:val="315"/>
        </w:trPr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</w:t>
            </w:r>
            <w:r w:rsidRPr="004D19A8">
              <w:rPr>
                <w:rStyle w:val="font311"/>
                <w:vertAlign w:val="subscript"/>
              </w:rPr>
              <w:t>4</w:t>
            </w:r>
            <w:r w:rsidR="007A06C9">
              <w:rPr>
                <w:rStyle w:val="font291"/>
                <w:vertAlign w:val="superscript"/>
              </w:rPr>
              <w:t>b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7E22" w:rsidRPr="004D19A8" w:rsidRDefault="005B7E22" w:rsidP="005B7E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9A8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</w:tbl>
    <w:p w:rsidR="00A23FF6" w:rsidRDefault="00A23FF6" w:rsidP="00A23FF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EC2" w:rsidRPr="00AE6EC2" w:rsidRDefault="00A23FF6" w:rsidP="00765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Streams in group 1, spanning phosphate and nitrite + nitrate gradients, included low profile and motile guilds but no acidophilous or nitrogen fixing forms</w:t>
      </w:r>
      <w:r w:rsidRPr="00585B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Acidophilous and alkaliphilous low profile guilds were examined along a pH gradient in streams from group 2. Motile species are ubiquitous and could not be excluded from group 2, but their effect, which was significant only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low profile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guild density, did not confound the studied relationships of low profile guild density with acidophilous guild richness and pH (described in Results). Nitrogen fixers and </w:t>
      </w:r>
      <w:r>
        <w:rPr>
          <w:rFonts w:ascii="Times New Roman" w:hAnsi="Times New Roman" w:cs="Times New Roman"/>
          <w:sz w:val="24"/>
          <w:szCs w:val="24"/>
        </w:rPr>
        <w:lastRenderedPageBreak/>
        <w:t>motile species but no acidophilous forms were detected in group 3, spanning a nitrite + nitrate gradient. Low profile species had no impact on either response variable (density of nitrogen fixing and motile guilds). Removal of samples with acidophilous species from groups 1 and 3 ensured that the effect of this group was eliminated and this of pH, minimized. For example, both group 1 and 3 had significantly higher pH than group 2 (</w:t>
      </w:r>
      <w:r w:rsidR="00792E6C">
        <w:rPr>
          <w:rFonts w:ascii="Times New Roman" w:hAnsi="Times New Roman" w:cs="Times New Roman"/>
          <w:sz w:val="24"/>
          <w:szCs w:val="24"/>
        </w:rPr>
        <w:t>Supplemental</w:t>
      </w:r>
      <w:r w:rsidR="0076546D">
        <w:rPr>
          <w:rFonts w:ascii="Times New Roman" w:hAnsi="Times New Roman" w:cs="Times New Roman"/>
          <w:sz w:val="24"/>
          <w:szCs w:val="24"/>
        </w:rPr>
        <w:t xml:space="preserve"> Table </w:t>
      </w:r>
      <w:r w:rsidR="006B05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1). Removal of samples with nitrogen fixers from groups 1 and 2 eliminated any potential confounding effect of nitrogen facilitation. Group 1, with the highest mean nitrogen and phosphate levels, encompassed oligotrophic to eutrophic sites; group 2, with the lowest mean pH, included acidified and non-acidified sites of lower nutrient concentrations; and group 3, with the lowest mean nitrogen, included oligotrophic to eutrophic sites as well (</w:t>
      </w:r>
      <w:r w:rsidR="00792E6C">
        <w:rPr>
          <w:rFonts w:ascii="Times New Roman" w:hAnsi="Times New Roman" w:cs="Times New Roman"/>
          <w:sz w:val="24"/>
          <w:szCs w:val="24"/>
        </w:rPr>
        <w:t>Supplemental</w:t>
      </w:r>
      <w:r w:rsidR="0076546D">
        <w:rPr>
          <w:rFonts w:ascii="Times New Roman" w:hAnsi="Times New Roman" w:cs="Times New Roman"/>
          <w:sz w:val="24"/>
          <w:szCs w:val="24"/>
        </w:rPr>
        <w:t xml:space="preserve"> Table </w:t>
      </w:r>
      <w:r w:rsidR="006B050D">
        <w:rPr>
          <w:rFonts w:ascii="Times New Roman" w:hAnsi="Times New Roman" w:cs="Times New Roman"/>
          <w:sz w:val="24"/>
          <w:szCs w:val="24"/>
        </w:rPr>
        <w:t>S</w:t>
      </w:r>
      <w:r w:rsidR="007654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AE6EC2" w:rsidRPr="00AE6EC2" w:rsidSect="009D3CB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39" w:rsidRDefault="00AC0439" w:rsidP="003A0C04">
      <w:pPr>
        <w:spacing w:after="0" w:line="240" w:lineRule="auto"/>
      </w:pPr>
      <w:r>
        <w:separator/>
      </w:r>
    </w:p>
  </w:endnote>
  <w:endnote w:type="continuationSeparator" w:id="0">
    <w:p w:rsidR="00AC0439" w:rsidRDefault="00AC0439" w:rsidP="003A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44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C04" w:rsidRDefault="003A0C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6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0C04" w:rsidRDefault="003A0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39" w:rsidRDefault="00AC0439" w:rsidP="003A0C04">
      <w:pPr>
        <w:spacing w:after="0" w:line="240" w:lineRule="auto"/>
      </w:pPr>
      <w:r>
        <w:separator/>
      </w:r>
    </w:p>
  </w:footnote>
  <w:footnote w:type="continuationSeparator" w:id="0">
    <w:p w:rsidR="00AC0439" w:rsidRDefault="00AC0439" w:rsidP="003A0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6"/>
    <w:rsid w:val="000447EA"/>
    <w:rsid w:val="00047897"/>
    <w:rsid w:val="000B56E4"/>
    <w:rsid w:val="000B593D"/>
    <w:rsid w:val="003A0C04"/>
    <w:rsid w:val="003D1BCF"/>
    <w:rsid w:val="004B72C1"/>
    <w:rsid w:val="004D19A8"/>
    <w:rsid w:val="00546F17"/>
    <w:rsid w:val="00582AC2"/>
    <w:rsid w:val="005B7E22"/>
    <w:rsid w:val="006B050D"/>
    <w:rsid w:val="007233C7"/>
    <w:rsid w:val="0076543D"/>
    <w:rsid w:val="0076546D"/>
    <w:rsid w:val="00792E6C"/>
    <w:rsid w:val="007A06C9"/>
    <w:rsid w:val="007E4659"/>
    <w:rsid w:val="009D1762"/>
    <w:rsid w:val="009D3CB7"/>
    <w:rsid w:val="00A23FF6"/>
    <w:rsid w:val="00AC0439"/>
    <w:rsid w:val="00AE6EC2"/>
    <w:rsid w:val="00AF72A5"/>
    <w:rsid w:val="00B3344C"/>
    <w:rsid w:val="00C33ABA"/>
    <w:rsid w:val="00C36707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C8AA"/>
  <w15:chartTrackingRefBased/>
  <w15:docId w15:val="{4C997476-E667-42DD-9A71-ECD7CD62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3F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23FF6"/>
  </w:style>
  <w:style w:type="paragraph" w:styleId="Header">
    <w:name w:val="header"/>
    <w:basedOn w:val="Normal"/>
    <w:link w:val="HeaderChar"/>
    <w:uiPriority w:val="99"/>
    <w:unhideWhenUsed/>
    <w:rsid w:val="003A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C04"/>
  </w:style>
  <w:style w:type="paragraph" w:styleId="Footer">
    <w:name w:val="footer"/>
    <w:basedOn w:val="Normal"/>
    <w:link w:val="FooterChar"/>
    <w:uiPriority w:val="99"/>
    <w:unhideWhenUsed/>
    <w:rsid w:val="003A0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C04"/>
  </w:style>
  <w:style w:type="character" w:customStyle="1" w:styleId="font271">
    <w:name w:val="font271"/>
    <w:basedOn w:val="DefaultParagraphFont"/>
    <w:rsid w:val="005B7E2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81">
    <w:name w:val="font281"/>
    <w:basedOn w:val="DefaultParagraphFont"/>
    <w:rsid w:val="005B7E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91">
    <w:name w:val="font291"/>
    <w:basedOn w:val="DefaultParagraphFont"/>
    <w:rsid w:val="005B7E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1">
    <w:name w:val="font311"/>
    <w:basedOn w:val="DefaultParagraphFont"/>
    <w:rsid w:val="005B7E2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Sophia</cp:lastModifiedBy>
  <cp:revision>2</cp:revision>
  <dcterms:created xsi:type="dcterms:W3CDTF">2017-06-14T19:04:00Z</dcterms:created>
  <dcterms:modified xsi:type="dcterms:W3CDTF">2017-06-15T20:49:00Z</dcterms:modified>
</cp:coreProperties>
</file>