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1F5319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Supplementary</w:t>
      </w: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Table S1: Comparison of amount of each compound in different wing areas of males (10 days post-</w:t>
      </w:r>
      <w:proofErr w:type="spellStart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eclosion</w:t>
      </w:r>
      <w:proofErr w:type="spellEnd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, Ecuador samples). </w:t>
      </w:r>
      <w:proofErr w:type="spellStart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FWover</w:t>
      </w:r>
      <w:proofErr w:type="spellEnd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refers to the overlapping region of the forewing, </w:t>
      </w:r>
      <w:proofErr w:type="spellStart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FWrest</w:t>
      </w:r>
      <w:proofErr w:type="spellEnd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, the remaining portion of the wing, </w:t>
      </w:r>
      <w:proofErr w:type="spellStart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HWand</w:t>
      </w:r>
      <w:proofErr w:type="spellEnd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, the </w:t>
      </w:r>
      <w:proofErr w:type="spellStart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hindwing</w:t>
      </w:r>
      <w:proofErr w:type="spellEnd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androconial</w:t>
      </w:r>
      <w:proofErr w:type="spellEnd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overlapping region, and </w:t>
      </w:r>
      <w:proofErr w:type="spellStart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HWrest</w:t>
      </w:r>
      <w:proofErr w:type="spellEnd"/>
      <w:r w:rsidR="007F013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, the remaining portion of the wing. </w:t>
      </w:r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Results of </w:t>
      </w:r>
      <w:proofErr w:type="spellStart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Kruskal</w:t>
      </w:r>
      <w:proofErr w:type="spellEnd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-Wallis reported for each compound and of post-hoc analysis (Dunn test), where * signifies &lt;0.05, ** &lt;0.01 and *** &lt;0.001. </w:t>
      </w: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426"/>
        <w:gridCol w:w="850"/>
        <w:gridCol w:w="1032"/>
        <w:gridCol w:w="1033"/>
        <w:gridCol w:w="1033"/>
        <w:gridCol w:w="1032"/>
        <w:gridCol w:w="1033"/>
        <w:gridCol w:w="1033"/>
      </w:tblGrid>
      <w:tr w:rsidR="001F5319" w:rsidRPr="001F5319" w:rsidTr="00C8053A">
        <w:tc>
          <w:tcPr>
            <w:tcW w:w="1242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196" w:type="dxa"/>
            <w:gridSpan w:val="6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u w:val="single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u w:val="single"/>
              </w:rPr>
              <w:t>Difference in mean amount of compound between areas</w:t>
            </w:r>
          </w:p>
        </w:tc>
      </w:tr>
      <w:tr w:rsidR="001F5319" w:rsidRPr="001F5319" w:rsidTr="00C8053A">
        <w:tc>
          <w:tcPr>
            <w:tcW w:w="1242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Compound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x</w:t>
            </w:r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df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1F5319" w:rsidRPr="001F5319" w:rsidRDefault="001F5319" w:rsidP="007F01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FWrest-FW</w:t>
            </w:r>
            <w:r w:rsidR="007F01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over</w:t>
            </w:r>
            <w:proofErr w:type="spellEnd"/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F5319" w:rsidRPr="001F5319" w:rsidRDefault="001F5319" w:rsidP="007F01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HWand-FW</w:t>
            </w:r>
            <w:r w:rsidR="007F01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over</w:t>
            </w:r>
            <w:proofErr w:type="spellEnd"/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F5319" w:rsidRPr="001F5319" w:rsidRDefault="001F5319" w:rsidP="007F01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HWrest-FW</w:t>
            </w:r>
            <w:r w:rsidR="007F01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over</w:t>
            </w:r>
            <w:proofErr w:type="spellEnd"/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HWand-FWrest</w:t>
            </w:r>
            <w:proofErr w:type="spellEnd"/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HWrest-FWrest</w:t>
            </w:r>
            <w:proofErr w:type="spellEnd"/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HWrest-HWand</w:t>
            </w:r>
            <w:proofErr w:type="spellEnd"/>
          </w:p>
        </w:tc>
      </w:tr>
      <w:tr w:rsidR="001F5319" w:rsidRPr="001F5319" w:rsidTr="00C8053A">
        <w:trPr>
          <w:trHeight w:val="529"/>
        </w:trPr>
        <w:tc>
          <w:tcPr>
            <w:tcW w:w="1242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1F531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Z</w:t>
            </w: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)-9-octadecenal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-0.228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1.586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-0.228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1.814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-1.814</w:t>
            </w:r>
          </w:p>
        </w:tc>
      </w:tr>
      <w:tr w:rsidR="001F5319" w:rsidRPr="001F5319" w:rsidTr="00C8053A">
        <w:trPr>
          <w:trHeight w:val="529"/>
        </w:trPr>
        <w:tc>
          <w:tcPr>
            <w:tcW w:w="1242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octadecanal</w:t>
            </w:r>
            <w:proofErr w:type="spellEnd"/>
          </w:p>
        </w:tc>
        <w:tc>
          <w:tcPr>
            <w:tcW w:w="567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</w:tc>
        <w:tc>
          <w:tcPr>
            <w:tcW w:w="426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032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-10.95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8.40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-12.43</w:t>
            </w:r>
          </w:p>
        </w:tc>
        <w:tc>
          <w:tcPr>
            <w:tcW w:w="1032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19.35*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-20.83**</w:t>
            </w:r>
          </w:p>
        </w:tc>
      </w:tr>
      <w:tr w:rsidR="001F5319" w:rsidRPr="001F5319" w:rsidTr="00C8053A">
        <w:trPr>
          <w:trHeight w:val="529"/>
        </w:trPr>
        <w:tc>
          <w:tcPr>
            <w:tcW w:w="1242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1F531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Z</w:t>
            </w: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)-11-icosenal</w:t>
            </w:r>
          </w:p>
        </w:tc>
        <w:tc>
          <w:tcPr>
            <w:tcW w:w="567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</w:tc>
        <w:tc>
          <w:tcPr>
            <w:tcW w:w="426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032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-4.05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-4.05</w:t>
            </w:r>
          </w:p>
        </w:tc>
        <w:tc>
          <w:tcPr>
            <w:tcW w:w="1032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6.70**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-6.70**</w:t>
            </w:r>
          </w:p>
        </w:tc>
      </w:tr>
      <w:tr w:rsidR="001F5319" w:rsidRPr="001F5319" w:rsidTr="00C8053A">
        <w:trPr>
          <w:trHeight w:val="529"/>
        </w:trPr>
        <w:tc>
          <w:tcPr>
            <w:tcW w:w="1242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icosanal</w:t>
            </w:r>
            <w:proofErr w:type="spellEnd"/>
          </w:p>
        </w:tc>
        <w:tc>
          <w:tcPr>
            <w:tcW w:w="567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426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032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032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1.88**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33" w:type="dxa"/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-1.88**</w:t>
            </w:r>
          </w:p>
        </w:tc>
      </w:tr>
      <w:tr w:rsidR="001F5319" w:rsidRPr="001F5319" w:rsidTr="00C8053A">
        <w:trPr>
          <w:trHeight w:val="529"/>
        </w:trPr>
        <w:tc>
          <w:tcPr>
            <w:tcW w:w="1242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1F531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Z</w:t>
            </w: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)-13-docosenal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2.76*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-2.76*</w:t>
            </w:r>
          </w:p>
        </w:tc>
      </w:tr>
    </w:tbl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lastRenderedPageBreak/>
        <w:t>Table S2: Comparison of amount of each compound in different sex and age categories (mature individuals being 10 days post-</w:t>
      </w:r>
      <w:proofErr w:type="spellStart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eclosion</w:t>
      </w:r>
      <w:proofErr w:type="spellEnd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and young 0 days post-</w:t>
      </w:r>
      <w:proofErr w:type="spellStart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eclosion</w:t>
      </w:r>
      <w:proofErr w:type="spellEnd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, Ecuador samples). Results of </w:t>
      </w:r>
      <w:proofErr w:type="spellStart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Kruskal</w:t>
      </w:r>
      <w:proofErr w:type="spellEnd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-Wallis reported for each compound and of post-hoc analysis (Dunn test), where * signifies &lt;0.05, ** &lt;0.01 and *** &lt;0.001. </w:t>
      </w: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426"/>
        <w:gridCol w:w="850"/>
        <w:gridCol w:w="1876"/>
        <w:gridCol w:w="1876"/>
        <w:gridCol w:w="1877"/>
      </w:tblGrid>
      <w:tr w:rsidR="001F5319" w:rsidRPr="001F5319" w:rsidTr="00C8053A">
        <w:trPr>
          <w:trHeight w:val="210"/>
        </w:trPr>
        <w:tc>
          <w:tcPr>
            <w:tcW w:w="1668" w:type="dxa"/>
            <w:tcBorders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5629" w:type="dxa"/>
            <w:gridSpan w:val="3"/>
            <w:tcBorders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u w:val="single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u w:val="single"/>
              </w:rPr>
              <w:t>Difference in mean amount of compound between categories</w:t>
            </w:r>
          </w:p>
        </w:tc>
      </w:tr>
      <w:tr w:rsidR="001F5319" w:rsidRPr="001F5319" w:rsidTr="00C8053A">
        <w:trPr>
          <w:trHeight w:val="552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Compound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x</w:t>
            </w:r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df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Mature female - Young male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Mature male - Young male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Mature male -Young female</w:t>
            </w:r>
          </w:p>
        </w:tc>
      </w:tr>
      <w:tr w:rsidR="001F5319" w:rsidRPr="001F5319" w:rsidTr="00C8053A">
        <w:trPr>
          <w:trHeight w:val="552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1F531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Z</w:t>
            </w: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)-9-octadecenal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&lt;0.05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1.81</w:t>
            </w:r>
          </w:p>
        </w:tc>
      </w:tr>
      <w:tr w:rsidR="001F5319" w:rsidRPr="001F5319" w:rsidTr="00C8053A">
        <w:trPr>
          <w:trHeight w:val="55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octadecanal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20.83**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20.83**</w:t>
            </w:r>
          </w:p>
        </w:tc>
      </w:tr>
      <w:tr w:rsidR="001F5319" w:rsidRPr="001F5319" w:rsidTr="00C8053A">
        <w:trPr>
          <w:trHeight w:val="55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1F531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Z</w:t>
            </w: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)-11-icosenal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6.70**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6.70**</w:t>
            </w:r>
          </w:p>
        </w:tc>
      </w:tr>
      <w:tr w:rsidR="001F5319" w:rsidRPr="001F5319" w:rsidTr="00C8053A">
        <w:trPr>
          <w:trHeight w:val="55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icosanal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1.88**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1.88**</w:t>
            </w:r>
          </w:p>
        </w:tc>
      </w:tr>
      <w:tr w:rsidR="001F5319" w:rsidRPr="001F5319" w:rsidTr="00C8053A">
        <w:trPr>
          <w:trHeight w:val="55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1F531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Z</w:t>
            </w: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)-13-docosenal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2.76**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2.76**</w:t>
            </w:r>
          </w:p>
        </w:tc>
      </w:tr>
      <w:tr w:rsidR="001F5319" w:rsidRPr="001F5319" w:rsidTr="00C8053A">
        <w:trPr>
          <w:trHeight w:val="552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henicosane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-8.13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319" w:rsidRPr="001F5319" w:rsidRDefault="001F5319" w:rsidP="001F53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5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12.43</w:t>
            </w:r>
          </w:p>
        </w:tc>
      </w:tr>
    </w:tbl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92D89" w:rsidRDefault="00192D8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lastRenderedPageBreak/>
        <w:t xml:space="preserve">Table S3: Compounds identified in </w:t>
      </w:r>
      <w:r w:rsidRPr="001F5319">
        <w:rPr>
          <w:rFonts w:ascii="Times New Roman" w:eastAsia="MS Mincho" w:hAnsi="Times New Roman" w:cs="Times New Roman"/>
          <w:bCs/>
          <w:i/>
          <w:color w:val="000000"/>
          <w:sz w:val="24"/>
          <w:szCs w:val="24"/>
        </w:rPr>
        <w:t xml:space="preserve">H. </w:t>
      </w:r>
      <w:proofErr w:type="spellStart"/>
      <w:proofErr w:type="gramStart"/>
      <w:r w:rsidRPr="001F5319">
        <w:rPr>
          <w:rFonts w:ascii="Times New Roman" w:eastAsia="MS Mincho" w:hAnsi="Times New Roman" w:cs="Times New Roman"/>
          <w:bCs/>
          <w:i/>
          <w:color w:val="000000"/>
          <w:sz w:val="24"/>
          <w:szCs w:val="24"/>
        </w:rPr>
        <w:t>melpomene</w:t>
      </w:r>
      <w:proofErr w:type="spellEnd"/>
      <w:proofErr w:type="gramEnd"/>
      <w:r w:rsidRPr="001F5319">
        <w:rPr>
          <w:rFonts w:ascii="Times New Roman" w:eastAsia="MS Mincho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1F5319">
        <w:rPr>
          <w:rFonts w:ascii="Times New Roman" w:eastAsia="MS Mincho" w:hAnsi="Times New Roman" w:cs="Times New Roman"/>
          <w:bCs/>
          <w:i/>
          <w:color w:val="000000"/>
          <w:sz w:val="24"/>
          <w:szCs w:val="24"/>
        </w:rPr>
        <w:t>rosina</w:t>
      </w:r>
      <w:proofErr w:type="spellEnd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(Panama samples) with a mean amount greater than 1 ng in at least one of the sexes. Mean amounts </w:t>
      </w:r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± standard deviation </w:t>
      </w:r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listed for both male and female butterflies (10-12 days post-</w:t>
      </w:r>
      <w:proofErr w:type="spellStart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eclosion</w:t>
      </w:r>
      <w:proofErr w:type="spellEnd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), as well as the </w:t>
      </w:r>
      <w:r w:rsidR="00A03963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percentage</w:t>
      </w:r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of individuals in which the compound was detected. </w:t>
      </w:r>
      <w:proofErr w:type="spellStart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Kruskal</w:t>
      </w:r>
      <w:proofErr w:type="spellEnd"/>
      <w:r w:rsidRPr="001F531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-Wallis non-parametric test p-values highlight differences between males and females. Compounds identified by comparison with synthetic samples are shown in bold. Potential contaminants are denoted with an asterisk.</w:t>
      </w:r>
    </w:p>
    <w:tbl>
      <w:tblPr>
        <w:tblStyle w:val="TableGrid1"/>
        <w:tblW w:w="965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842"/>
        <w:gridCol w:w="993"/>
        <w:gridCol w:w="1559"/>
        <w:gridCol w:w="850"/>
        <w:gridCol w:w="1045"/>
      </w:tblGrid>
      <w:tr w:rsidR="00F644C8" w:rsidRPr="00F644C8" w:rsidTr="000C193B">
        <w:trPr>
          <w:trHeight w:val="416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</w:rPr>
              <w:t>Chemical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44C8">
              <w:rPr>
                <w:rFonts w:ascii="Times New Roman" w:hAnsi="Times New Roman" w:cs="Times New Roman"/>
                <w:color w:val="000000" w:themeColor="text1"/>
              </w:rPr>
              <w:t>Kovats</w:t>
            </w:r>
            <w:proofErr w:type="spellEnd"/>
            <w:r w:rsidRPr="00F644C8">
              <w:rPr>
                <w:rFonts w:ascii="Times New Roman" w:hAnsi="Times New Roman" w:cs="Times New Roman"/>
                <w:color w:val="000000" w:themeColor="text1"/>
              </w:rPr>
              <w:t xml:space="preserve"> RI</w:t>
            </w:r>
          </w:p>
        </w:tc>
        <w:tc>
          <w:tcPr>
            <w:tcW w:w="1842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</w:rPr>
              <w:t>Male (ng)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</w:rPr>
              <w:t xml:space="preserve">% 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0"/>
              </w:rPr>
              <w:t>o</w:t>
            </w: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-</w:t>
            </w:r>
            <w:proofErr w:type="spellStart"/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Guaiacol</w:t>
            </w:r>
            <w:proofErr w:type="spellEnd"/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1090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 ± 1.7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 ± 0.2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Nonanal</w:t>
            </w:r>
            <w:proofErr w:type="spellEnd"/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1105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 ± 34.2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 ± 1.7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Benzoic acid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1166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 ± 6.7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Naphthalene*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1181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 ± 1.1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 ± 1.6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Decanal</w:t>
            </w:r>
          </w:p>
        </w:tc>
        <w:tc>
          <w:tcPr>
            <w:tcW w:w="1134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1198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 ± 5.5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 ± 0.7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Ethyl 4-ethoxybenzoate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 ± 5.1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 ± 1.2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                                      </w:t>
            </w:r>
            <w:proofErr w:type="spellStart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Dihydroactinidiolide</w:t>
            </w:r>
            <w:proofErr w:type="spellEnd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1532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 ± 1.6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Syringaldehyde</w:t>
            </w:r>
            <w:proofErr w:type="spellEnd"/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1662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649.9 ± 398.1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3,5-Dimethoxy-4-hydroxybenzyl alcohol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1707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 ± 6.9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hydrocarbon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1709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 ± 1.6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 ± 0.6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         1-(3,5-Dimethoxy-4-hydroxybenzyl)</w:t>
            </w:r>
            <w:proofErr w:type="spellStart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ethanone</w:t>
            </w:r>
            <w:proofErr w:type="spellEnd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1735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 ± 2.0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aromatic compound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1738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 ± 5.5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aromatic compound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1757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 ± 2.8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Ethyl benzoate</w:t>
            </w:r>
          </w:p>
        </w:tc>
        <w:tc>
          <w:tcPr>
            <w:tcW w:w="1134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1762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 ± 1.4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 ± 1.3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Methyl 1</w:t>
            </w:r>
            <w:r w:rsidRPr="00F644C8">
              <w:rPr>
                <w:rFonts w:ascii="Times New Roman" w:hAnsi="Times New Roman" w:cs="Times New Roman"/>
                <w:i/>
                <w:color w:val="000000"/>
                <w:sz w:val="22"/>
                <w:szCs w:val="20"/>
              </w:rPr>
              <w:t>H</w:t>
            </w: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-indol-3-acetate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1822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 ± 3.2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1828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 ± 0.1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 ± 7.0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Methyl 1</w:t>
            </w:r>
            <w:r w:rsidRPr="00F644C8">
              <w:rPr>
                <w:rFonts w:ascii="Times New Roman" w:hAnsi="Times New Roman" w:cs="Times New Roman"/>
                <w:i/>
                <w:color w:val="000000"/>
                <w:sz w:val="22"/>
                <w:szCs w:val="20"/>
              </w:rPr>
              <w:t>H</w:t>
            </w: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-indol-3-carboxylate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1853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 ± 2.3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1914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 ± 1.8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 ± 0.4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aldehyde</w:t>
            </w:r>
          </w:p>
        </w:tc>
        <w:tc>
          <w:tcPr>
            <w:tcW w:w="1134" w:type="dxa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1968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 ± 11.0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&lt;0.05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1981</w:t>
            </w:r>
          </w:p>
        </w:tc>
        <w:tc>
          <w:tcPr>
            <w:tcW w:w="1842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 ± 0.0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 ± 3.9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lastRenderedPageBreak/>
              <w:t>(</w:t>
            </w:r>
            <w:r w:rsidRPr="00F644C8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0"/>
              </w:rPr>
              <w:t>Z</w:t>
            </w: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)-9-Octadecenal</w:t>
            </w:r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 ± 14.0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Octadecanal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740.7 ± 411.4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 ± 8.8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Ethyl 4-hydroxy-3,5- </w:t>
            </w:r>
            <w:proofErr w:type="spellStart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dimethoxybenzoate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 ± 67.5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 ± 5.0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&lt;0.05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Methyloctadecanal</w:t>
            </w:r>
            <w:proofErr w:type="spellEnd"/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 ± 6.5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Henicosadiene</w:t>
            </w:r>
            <w:proofErr w:type="spellEnd"/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 ± 4.2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Methyloctadecanal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 ± 3.7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Methyloctadecanal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 ± 20.9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2078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 ± 24.4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Octadecan-1-ol</w:t>
            </w:r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2082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232.5 ± 149.7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Henicosane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 ± 16.2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 ± 2.5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alkene or alcohol</w:t>
            </w:r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 ± 8.2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2132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 ± 22.9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2137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 ± 13.1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Methyloctadecan-1-ol</w:t>
            </w:r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 ± 7.3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hydrocarbon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 ± 2.4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Oleyl</w:t>
            </w:r>
            <w:proofErr w:type="spellEnd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acetate 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 ± 8.9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(</w:t>
            </w:r>
            <w:r w:rsidRPr="00F644C8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0"/>
              </w:rPr>
              <w:t>Z</w:t>
            </w: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)-11-Icosenal</w:t>
            </w:r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2198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6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164.0 ± 127.0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Icosanal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 ± 11.3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(</w:t>
            </w:r>
            <w:r w:rsidRPr="00F644C8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0"/>
              </w:rPr>
              <w:t>Z</w:t>
            </w: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)-11-Icosenol</w:t>
            </w:r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2261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6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615.7 ± 304.0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Tricosene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 ± 2.1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 ± 3.5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&lt;0.05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Tricosane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 ± 2.4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4.3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2352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 ± 5.7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 ± 18.3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7.8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(</w:t>
            </w:r>
            <w:r w:rsidRPr="00F644C8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0"/>
              </w:rPr>
              <w:t>Z</w:t>
            </w: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)-13-Docosenal</w:t>
            </w:r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64.2 ± 54.6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2459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 ± 20.6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(</w:t>
            </w:r>
            <w:r w:rsidRPr="00F644C8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0"/>
              </w:rPr>
              <w:t>Z</w:t>
            </w:r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)-13-Docosen-1-ol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 ± 23.5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lastRenderedPageBreak/>
              <w:t>Unknown compound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6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3.3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8.0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</w:t>
            </w: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Unknown compound</w:t>
            </w:r>
          </w:p>
        </w:tc>
        <w:tc>
          <w:tcPr>
            <w:tcW w:w="1134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2498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6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0.2 </w:t>
            </w: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0.7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 ± 13.5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proofErr w:type="spellStart"/>
            <w:r w:rsidRPr="00F644C8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Pentacosane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 ± 4.7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 ± 38.4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F644C8" w:rsidRPr="00F644C8" w:rsidTr="000C193B">
        <w:trPr>
          <w:trHeight w:val="340"/>
        </w:trPr>
        <w:tc>
          <w:tcPr>
            <w:tcW w:w="2235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11-Methylpentacosane</w:t>
            </w:r>
          </w:p>
        </w:tc>
        <w:tc>
          <w:tcPr>
            <w:tcW w:w="1134" w:type="dxa"/>
            <w:vAlign w:val="bottom"/>
            <w:hideMark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2533</w:t>
            </w:r>
          </w:p>
        </w:tc>
        <w:tc>
          <w:tcPr>
            <w:tcW w:w="1842" w:type="dxa"/>
            <w:vAlign w:val="bottom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 ± 0</w:t>
            </w:r>
          </w:p>
        </w:tc>
        <w:tc>
          <w:tcPr>
            <w:tcW w:w="993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105.9 ± 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111.3</w:t>
            </w: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</w:tcPr>
          <w:p w:rsidR="00F644C8" w:rsidRPr="00F644C8" w:rsidRDefault="00F644C8" w:rsidP="00F644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</w:tbl>
    <w:p w:rsidR="00F644C8" w:rsidRDefault="00F644C8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F644C8" w:rsidRDefault="00F644C8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A03963" w:rsidRPr="001F5319" w:rsidRDefault="00A03963" w:rsidP="001F5319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A03963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A03963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A03963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A03963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A03963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1F5319" w:rsidP="00A03963">
      <w:pPr>
        <w:rPr>
          <w:rFonts w:ascii="Times New Roman" w:eastAsia="MS Mincho" w:hAnsi="Times New Roman" w:cs="Times New Roman"/>
          <w:color w:val="000000"/>
        </w:rPr>
      </w:pPr>
      <w:bookmarkStart w:id="0" w:name="_GoBack"/>
      <w:bookmarkEnd w:id="0"/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 xml:space="preserve">Figure S1: </w:t>
      </w:r>
      <w:r w:rsidR="00A03963">
        <w:rPr>
          <w:rFonts w:ascii="Times New Roman" w:eastAsia="MS Mincho" w:hAnsi="Times New Roman" w:cs="Times New Roman"/>
          <w:color w:val="000000"/>
        </w:rPr>
        <w:t xml:space="preserve">NMDS in three dimensions on chemical compounds of male </w:t>
      </w:r>
      <w:proofErr w:type="spellStart"/>
      <w:r w:rsidR="00ED4136">
        <w:rPr>
          <w:rFonts w:ascii="Times New Roman" w:eastAsia="MS Mincho" w:hAnsi="Times New Roman" w:cs="Times New Roman"/>
          <w:color w:val="000000"/>
        </w:rPr>
        <w:t>hind</w:t>
      </w:r>
      <w:r w:rsidR="00A03963">
        <w:rPr>
          <w:rFonts w:ascii="Times New Roman" w:eastAsia="MS Mincho" w:hAnsi="Times New Roman" w:cs="Times New Roman"/>
          <w:color w:val="000000"/>
        </w:rPr>
        <w:t>wings</w:t>
      </w:r>
      <w:proofErr w:type="spellEnd"/>
      <w:r w:rsidR="00A03963">
        <w:rPr>
          <w:rFonts w:ascii="Times New Roman" w:eastAsia="MS Mincho" w:hAnsi="Times New Roman" w:cs="Times New Roman"/>
          <w:color w:val="000000"/>
        </w:rPr>
        <w:t xml:space="preserve"> of </w:t>
      </w:r>
      <w:r w:rsidR="00A03963">
        <w:rPr>
          <w:rFonts w:ascii="Times New Roman" w:eastAsia="MS Mincho" w:hAnsi="Times New Roman" w:cs="Times New Roman"/>
          <w:i/>
          <w:color w:val="000000"/>
        </w:rPr>
        <w:t xml:space="preserve">H. </w:t>
      </w:r>
      <w:proofErr w:type="spellStart"/>
      <w:proofErr w:type="gramStart"/>
      <w:r w:rsidR="00A03963">
        <w:rPr>
          <w:rFonts w:ascii="Times New Roman" w:eastAsia="MS Mincho" w:hAnsi="Times New Roman" w:cs="Times New Roman"/>
          <w:i/>
          <w:color w:val="000000"/>
        </w:rPr>
        <w:t>melpomene</w:t>
      </w:r>
      <w:proofErr w:type="spellEnd"/>
      <w:proofErr w:type="gramEnd"/>
      <w:r w:rsidR="00A03963">
        <w:rPr>
          <w:rFonts w:ascii="Times New Roman" w:eastAsia="MS Mincho" w:hAnsi="Times New Roman" w:cs="Times New Roman"/>
          <w:color w:val="000000"/>
        </w:rPr>
        <w:t xml:space="preserve"> soaked for 1 or 3 hours in solvent (10-12 days post-</w:t>
      </w:r>
      <w:proofErr w:type="spellStart"/>
      <w:r w:rsidR="00A03963">
        <w:rPr>
          <w:rFonts w:ascii="Times New Roman" w:eastAsia="MS Mincho" w:hAnsi="Times New Roman" w:cs="Times New Roman"/>
          <w:color w:val="000000"/>
        </w:rPr>
        <w:t>eclosion</w:t>
      </w:r>
      <w:proofErr w:type="spellEnd"/>
      <w:r w:rsidR="00A03963">
        <w:rPr>
          <w:rFonts w:ascii="Times New Roman" w:eastAsia="MS Mincho" w:hAnsi="Times New Roman" w:cs="Times New Roman"/>
          <w:color w:val="000000"/>
        </w:rPr>
        <w:t xml:space="preserve">, Panama samples). Stress=0.03. Each different colour corresponds to an individual. Closed circles are from the 1-hour group, and open squares 3-hours. No compounds were found in significantly different amounts between groups (Paired t-test, </w:t>
      </w:r>
      <w:proofErr w:type="spellStart"/>
      <w:proofErr w:type="gramStart"/>
      <w:r w:rsidR="00A03963">
        <w:rPr>
          <w:rFonts w:ascii="Times New Roman" w:eastAsia="MS Mincho" w:hAnsi="Times New Roman" w:cs="Times New Roman"/>
          <w:color w:val="000000"/>
        </w:rPr>
        <w:t>df</w:t>
      </w:r>
      <w:proofErr w:type="spellEnd"/>
      <w:r w:rsidR="00A03963">
        <w:rPr>
          <w:rFonts w:ascii="Times New Roman" w:eastAsia="MS Mincho" w:hAnsi="Times New Roman" w:cs="Times New Roman"/>
          <w:color w:val="000000"/>
        </w:rPr>
        <w:t>=</w:t>
      </w:r>
      <w:proofErr w:type="gramEnd"/>
      <w:r w:rsidR="00A03963">
        <w:rPr>
          <w:rFonts w:ascii="Times New Roman" w:eastAsia="MS Mincho" w:hAnsi="Times New Roman" w:cs="Times New Roman"/>
          <w:color w:val="000000"/>
        </w:rPr>
        <w:t xml:space="preserve">4, p=NS). </w:t>
      </w:r>
    </w:p>
    <w:p w:rsidR="00A03963" w:rsidRDefault="00A03963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color w:val="000000"/>
          <w:lang w:eastAsia="en-GB"/>
        </w:rPr>
        <w:drawing>
          <wp:inline distT="0" distB="0" distL="0" distR="0" wp14:anchorId="6C615261" wp14:editId="6CA2540A">
            <wp:extent cx="4130705" cy="55245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536" cy="552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963" w:rsidRDefault="00A03963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03963" w:rsidRDefault="00A03963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A03963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 xml:space="preserve">Figure S2: </w:t>
      </w:r>
      <w:r w:rsidR="001F5319"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NMDS in three dimensions on chemical compounds of male and female wings of </w:t>
      </w:r>
      <w:r w:rsidR="001F5319"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 xml:space="preserve">H. </w:t>
      </w:r>
      <w:proofErr w:type="spellStart"/>
      <w:proofErr w:type="gramStart"/>
      <w:r w:rsidR="001F5319"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melpomene</w:t>
      </w:r>
      <w:proofErr w:type="spellEnd"/>
      <w:proofErr w:type="gramEnd"/>
      <w:r w:rsidR="001F5319"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(10-12 days post-</w:t>
      </w:r>
      <w:proofErr w:type="spellStart"/>
      <w:r w:rsidR="001F5319"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>eclosion</w:t>
      </w:r>
      <w:proofErr w:type="spellEnd"/>
      <w:r w:rsidR="001F5319"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>, Panama samples). Stress=0.05. Differences between males and females was supported by ANOSIM (Bray-Curtis R-statistic=0.9226, p=0.001)</w:t>
      </w: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E40BD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5210175" cy="6263213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993" cy="626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>Figure S</w:t>
      </w:r>
      <w:r w:rsidR="00A03963">
        <w:rPr>
          <w:rFonts w:ascii="Times New Roman" w:eastAsia="MS Mincho" w:hAnsi="Times New Roman" w:cs="Times New Roman"/>
          <w:color w:val="000000"/>
          <w:sz w:val="24"/>
          <w:szCs w:val="24"/>
        </w:rPr>
        <w:t>3</w:t>
      </w:r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: Difference in number of courtships by control and experimental males represented by boxplots. Each point represents an experiment. Difference not significantly different from zero for </w:t>
      </w:r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 xml:space="preserve">H. </w:t>
      </w:r>
      <w:proofErr w:type="spellStart"/>
      <w:proofErr w:type="gramStart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erato</w:t>
      </w:r>
      <w:proofErr w:type="spellEnd"/>
      <w:proofErr w:type="gramEnd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demophoon</w:t>
      </w:r>
      <w:proofErr w:type="spellEnd"/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 xml:space="preserve">H. </w:t>
      </w:r>
      <w:proofErr w:type="spellStart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melpomene</w:t>
      </w:r>
      <w:proofErr w:type="spellEnd"/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rosina</w:t>
      </w:r>
      <w:proofErr w:type="spellEnd"/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and </w:t>
      </w:r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 xml:space="preserve">H. </w:t>
      </w:r>
      <w:proofErr w:type="spellStart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melpomene</w:t>
      </w:r>
      <w:proofErr w:type="spellEnd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malleti</w:t>
      </w:r>
      <w:proofErr w:type="spellEnd"/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Control </w:t>
      </w:r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 xml:space="preserve">H. </w:t>
      </w:r>
      <w:proofErr w:type="spellStart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timareta</w:t>
      </w:r>
      <w:proofErr w:type="spellEnd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F5319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florencia</w:t>
      </w:r>
      <w:proofErr w:type="spellEnd"/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males courted more than experimental males, complicating the interpretation in this species (</w:t>
      </w:r>
      <w:proofErr w:type="spellStart"/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>Wilcoxin</w:t>
      </w:r>
      <w:proofErr w:type="spellEnd"/>
      <w:r w:rsidRPr="001F53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Signed-Rank Test, V=138.5, p&lt;0.01). </w:t>
      </w: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F5319">
        <w:rPr>
          <w:rFonts w:ascii="Times New Roman" w:eastAsia="MS Mincho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1899AEB5" wp14:editId="5AD02062">
            <wp:extent cx="5756275" cy="431736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urtshipsma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319" w:rsidRPr="001F5319" w:rsidRDefault="001F531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F5319" w:rsidRPr="001F5319" w:rsidRDefault="001F531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92D89" w:rsidRDefault="00192D8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92D89" w:rsidRDefault="00192D8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92D89" w:rsidRDefault="00192D8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92D89" w:rsidRDefault="00192D8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192D89" w:rsidRDefault="00192D89" w:rsidP="001F5319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9699A" w:rsidRDefault="00F644C8" w:rsidP="00C77F81">
      <w:pPr>
        <w:spacing w:after="0" w:line="240" w:lineRule="auto"/>
        <w:outlineLvl w:val="0"/>
      </w:pPr>
    </w:p>
    <w:p w:rsidR="004157DC" w:rsidRPr="008A6B36" w:rsidRDefault="002C6F80" w:rsidP="00C77F81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Figure S</w:t>
      </w:r>
      <w:r w:rsidR="00A03963">
        <w:rPr>
          <w:rFonts w:ascii="Times New Roman" w:hAnsi="Times New Roman" w:cs="Times New Roman"/>
          <w:sz w:val="24"/>
          <w:szCs w:val="24"/>
        </w:rPr>
        <w:t>4</w:t>
      </w:r>
      <w:r w:rsidR="00FD618F" w:rsidRPr="008A6B36">
        <w:rPr>
          <w:rFonts w:ascii="Times New Roman" w:hAnsi="Times New Roman" w:cs="Times New Roman"/>
          <w:sz w:val="24"/>
          <w:szCs w:val="24"/>
        </w:rPr>
        <w:t>:</w:t>
      </w:r>
      <w:r w:rsidR="00FD618F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Proportion of courtships which resulted in different female behavioural responses. </w:t>
      </w:r>
      <w:r w:rsidR="00C33989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>Males that mated</w:t>
      </w:r>
      <w:r w:rsidR="00FD618F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are represented in </w:t>
      </w:r>
      <w:r w:rsidR="00C33989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>green</w:t>
      </w:r>
      <w:r w:rsidR="00FD618F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(left) and </w:t>
      </w:r>
      <w:r w:rsidR="00C33989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>males that did not</w:t>
      </w:r>
      <w:r w:rsidR="00FD618F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in </w:t>
      </w:r>
      <w:r w:rsidR="00C33989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>orange</w:t>
      </w:r>
      <w:r w:rsidR="00FD618F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(right). Means are marked with a black square and boxplots mark the inter-quartile ranges. Size of </w:t>
      </w:r>
      <w:proofErr w:type="spellStart"/>
      <w:r w:rsidR="00FD618F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>datapoint</w:t>
      </w:r>
      <w:proofErr w:type="spellEnd"/>
      <w:r w:rsidR="00FD618F" w:rsidRPr="008A6B3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is proportional to the number of courtships by that male.</w:t>
      </w:r>
      <w:r w:rsidR="008A6B3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Towards males which did not mate,</w:t>
      </w:r>
      <w:r w:rsidR="008A6B36" w:rsidRPr="008A6B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H. </w:t>
      </w:r>
      <w:proofErr w:type="spellStart"/>
      <w:r w:rsidR="008A6B36" w:rsidRPr="008A6B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melpomene</w:t>
      </w:r>
      <w:proofErr w:type="spellEnd"/>
      <w:r w:rsidR="008A6B36" w:rsidRPr="008A6B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A6B36" w:rsidRPr="008A6B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malleti</w:t>
      </w:r>
      <w:proofErr w:type="spellEnd"/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females were more likely to open their (</w:t>
      </w:r>
      <w:r w:rsidR="008A6B36" w:rsidRPr="008A6B36">
        <w:rPr>
          <w:rFonts w:ascii="Times New Roman" w:hAnsi="Times New Roman" w:cs="Times New Roman"/>
          <w:sz w:val="24"/>
          <w:szCs w:val="24"/>
        </w:rPr>
        <w:t>2ΔlnL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8A6B36" w:rsidRPr="008A6B36">
        <w:t xml:space="preserve">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18.65,</w:t>
      </w:r>
      <w:r w:rsidR="008A6B36" w:rsidRPr="008A6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36" w:rsidRPr="008A6B36">
        <w:rPr>
          <w:rFonts w:ascii="Times New Roman" w:hAnsi="Times New Roman" w:cs="Times New Roman"/>
          <w:sz w:val="24"/>
          <w:szCs w:val="24"/>
        </w:rPr>
        <w:t>d.f.</w:t>
      </w:r>
      <w:proofErr w:type="spellEnd"/>
      <w:r w:rsidR="008A6B36" w:rsidRPr="008A6B36">
        <w:rPr>
          <w:rFonts w:ascii="Times New Roman" w:hAnsi="Times New Roman" w:cs="Times New Roman"/>
          <w:sz w:val="24"/>
          <w:szCs w:val="24"/>
        </w:rPr>
        <w:t xml:space="preserve">=1,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p&lt;0.001), fly away (</w:t>
      </w:r>
      <w:r w:rsidR="008A6B36" w:rsidRPr="008A6B36">
        <w:rPr>
          <w:rFonts w:ascii="Times New Roman" w:hAnsi="Times New Roman" w:cs="Times New Roman"/>
          <w:sz w:val="24"/>
          <w:szCs w:val="24"/>
        </w:rPr>
        <w:t>2ΔlnL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8A6B36" w:rsidRPr="008A6B36">
        <w:rPr>
          <w:rFonts w:ascii="Times New Roman" w:hAnsi="Times New Roman" w:cs="Times New Roman"/>
          <w:sz w:val="24"/>
          <w:szCs w:val="24"/>
        </w:rPr>
        <w:t xml:space="preserve"> 20.454, </w:t>
      </w:r>
      <w:proofErr w:type="spellStart"/>
      <w:r w:rsidR="008A6B36" w:rsidRPr="008A6B36">
        <w:rPr>
          <w:rFonts w:ascii="Times New Roman" w:hAnsi="Times New Roman" w:cs="Times New Roman"/>
          <w:sz w:val="24"/>
          <w:szCs w:val="24"/>
        </w:rPr>
        <w:t>d.f.</w:t>
      </w:r>
      <w:proofErr w:type="spellEnd"/>
      <w:r w:rsidR="008A6B36" w:rsidRPr="008A6B36">
        <w:rPr>
          <w:rFonts w:ascii="Times New Roman" w:hAnsi="Times New Roman" w:cs="Times New Roman"/>
          <w:sz w:val="24"/>
          <w:szCs w:val="24"/>
        </w:rPr>
        <w:t xml:space="preserve">=1,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p&lt;0.01)</w:t>
      </w:r>
      <w:r w:rsidR="008A6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flutter (</w:t>
      </w:r>
      <w:r w:rsidR="008A6B36" w:rsidRPr="008A6B36">
        <w:rPr>
          <w:rFonts w:ascii="Times New Roman" w:hAnsi="Times New Roman" w:cs="Times New Roman"/>
          <w:sz w:val="24"/>
          <w:szCs w:val="24"/>
        </w:rPr>
        <w:t>2ΔlnL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8A6B36" w:rsidRPr="008A6B36">
        <w:rPr>
          <w:rFonts w:ascii="Times New Roman" w:hAnsi="Times New Roman" w:cs="Times New Roman"/>
          <w:sz w:val="24"/>
          <w:szCs w:val="24"/>
        </w:rPr>
        <w:t xml:space="preserve">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32.303, </w:t>
      </w:r>
      <w:proofErr w:type="spellStart"/>
      <w:r w:rsidR="008A6B36" w:rsidRPr="008A6B36">
        <w:rPr>
          <w:rFonts w:ascii="Times New Roman" w:hAnsi="Times New Roman" w:cs="Times New Roman"/>
          <w:sz w:val="24"/>
          <w:szCs w:val="24"/>
        </w:rPr>
        <w:t>d.f.</w:t>
      </w:r>
      <w:proofErr w:type="spellEnd"/>
      <w:r w:rsidR="008A6B36" w:rsidRPr="008A6B36">
        <w:rPr>
          <w:rFonts w:ascii="Times New Roman" w:hAnsi="Times New Roman" w:cs="Times New Roman"/>
          <w:sz w:val="24"/>
          <w:szCs w:val="24"/>
        </w:rPr>
        <w:t xml:space="preserve">=1,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p&lt;0.001). </w:t>
      </w:r>
      <w:r w:rsidR="008A6B36" w:rsidRPr="008A6B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H. </w:t>
      </w:r>
      <w:proofErr w:type="spellStart"/>
      <w:r w:rsidR="008A6B36" w:rsidRPr="008A6B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timareta</w:t>
      </w:r>
      <w:proofErr w:type="spellEnd"/>
      <w:r w:rsidR="008A6B36" w:rsidRPr="008A6B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A6B36" w:rsidRPr="008A6B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florencia</w:t>
      </w:r>
      <w:proofErr w:type="spellEnd"/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females were also more likely to open their wings (</w:t>
      </w:r>
      <w:r w:rsidR="008A6B36" w:rsidRPr="008A6B36">
        <w:rPr>
          <w:rFonts w:ascii="Times New Roman" w:hAnsi="Times New Roman" w:cs="Times New Roman"/>
          <w:sz w:val="24"/>
          <w:szCs w:val="24"/>
        </w:rPr>
        <w:t>2ΔlnL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8A6B36" w:rsidRPr="008A6B36">
        <w:rPr>
          <w:rFonts w:ascii="Times New Roman" w:hAnsi="Times New Roman" w:cs="Times New Roman"/>
          <w:sz w:val="24"/>
          <w:szCs w:val="24"/>
        </w:rPr>
        <w:t xml:space="preserve">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24.875,</w:t>
      </w:r>
      <w:r w:rsidR="008A6B36" w:rsidRPr="008A6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36" w:rsidRPr="008A6B36">
        <w:rPr>
          <w:rFonts w:ascii="Times New Roman" w:hAnsi="Times New Roman" w:cs="Times New Roman"/>
          <w:sz w:val="24"/>
          <w:szCs w:val="24"/>
        </w:rPr>
        <w:t>d.f</w:t>
      </w:r>
      <w:proofErr w:type="gramStart"/>
      <w:r w:rsidR="008A6B36" w:rsidRPr="008A6B3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A6B36" w:rsidRPr="008A6B36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8A6B36" w:rsidRPr="008A6B36">
        <w:rPr>
          <w:rFonts w:ascii="Times New Roman" w:hAnsi="Times New Roman" w:cs="Times New Roman"/>
          <w:sz w:val="24"/>
          <w:szCs w:val="24"/>
        </w:rPr>
        <w:t xml:space="preserve">1,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p&lt;0.001), fly away (</w:t>
      </w:r>
      <w:r w:rsidR="008A6B36" w:rsidRPr="008A6B36">
        <w:rPr>
          <w:rFonts w:ascii="Times New Roman" w:hAnsi="Times New Roman" w:cs="Times New Roman"/>
          <w:sz w:val="24"/>
          <w:szCs w:val="24"/>
        </w:rPr>
        <w:t>2ΔlnL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8A6B36" w:rsidRPr="008A6B36">
        <w:rPr>
          <w:rFonts w:ascii="Times New Roman" w:hAnsi="Times New Roman" w:cs="Times New Roman"/>
          <w:sz w:val="24"/>
          <w:szCs w:val="24"/>
        </w:rPr>
        <w:t xml:space="preserve">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12.3, </w:t>
      </w:r>
      <w:proofErr w:type="spellStart"/>
      <w:r w:rsidR="008A6B36" w:rsidRPr="008A6B36">
        <w:rPr>
          <w:rFonts w:ascii="Times New Roman" w:hAnsi="Times New Roman" w:cs="Times New Roman"/>
          <w:sz w:val="24"/>
          <w:szCs w:val="24"/>
        </w:rPr>
        <w:t>d.f.</w:t>
      </w:r>
      <w:proofErr w:type="spellEnd"/>
      <w:r w:rsidR="008A6B36" w:rsidRPr="008A6B36">
        <w:rPr>
          <w:rFonts w:ascii="Times New Roman" w:hAnsi="Times New Roman" w:cs="Times New Roman"/>
          <w:sz w:val="24"/>
          <w:szCs w:val="24"/>
        </w:rPr>
        <w:t xml:space="preserve">=1,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p&lt;0.001), and flutter (</w:t>
      </w:r>
      <w:r w:rsidR="008A6B36" w:rsidRPr="008A6B36">
        <w:rPr>
          <w:rFonts w:ascii="Times New Roman" w:hAnsi="Times New Roman" w:cs="Times New Roman"/>
          <w:sz w:val="24"/>
          <w:szCs w:val="24"/>
        </w:rPr>
        <w:t>2ΔlnL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8A6B36" w:rsidRPr="008A6B36">
        <w:rPr>
          <w:rFonts w:ascii="Times New Roman" w:hAnsi="Times New Roman" w:cs="Times New Roman"/>
          <w:sz w:val="24"/>
          <w:szCs w:val="24"/>
        </w:rPr>
        <w:t xml:space="preserve">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23.318, </w:t>
      </w:r>
      <w:proofErr w:type="spellStart"/>
      <w:r w:rsidR="008A6B36" w:rsidRPr="008A6B36">
        <w:rPr>
          <w:rFonts w:ascii="Times New Roman" w:hAnsi="Times New Roman" w:cs="Times New Roman"/>
          <w:sz w:val="24"/>
          <w:szCs w:val="24"/>
        </w:rPr>
        <w:t>d.f.</w:t>
      </w:r>
      <w:proofErr w:type="spellEnd"/>
      <w:r w:rsidR="008A6B36" w:rsidRPr="008A6B36">
        <w:rPr>
          <w:rFonts w:ascii="Times New Roman" w:hAnsi="Times New Roman" w:cs="Times New Roman"/>
          <w:sz w:val="24"/>
          <w:szCs w:val="24"/>
        </w:rPr>
        <w:t xml:space="preserve">=1, </w:t>
      </w:r>
      <w:r w:rsidR="008A6B36" w:rsidRPr="008A6B36">
        <w:rPr>
          <w:rFonts w:ascii="Times New Roman" w:hAnsi="Times New Roman" w:cs="Times New Roman"/>
          <w:color w:val="000000" w:themeColor="text1"/>
          <w:sz w:val="24"/>
          <w:szCs w:val="24"/>
        </w:rPr>
        <w:t>p&lt;0.001).</w:t>
      </w:r>
      <w:r w:rsidR="008A6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significant behavioural differences for </w:t>
      </w:r>
      <w:r w:rsidR="008A6B36" w:rsidRPr="008A6B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H. </w:t>
      </w:r>
      <w:proofErr w:type="spellStart"/>
      <w:proofErr w:type="gramStart"/>
      <w:r w:rsidR="008A6B36" w:rsidRPr="008A6B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melpomene</w:t>
      </w:r>
      <w:proofErr w:type="spellEnd"/>
      <w:proofErr w:type="gramEnd"/>
      <w:r w:rsidR="008A6B36" w:rsidRPr="008A6B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8A6B36" w:rsidRPr="008A6B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rosina</w:t>
      </w:r>
      <w:proofErr w:type="spellEnd"/>
      <w:r w:rsidR="008A6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="008A6B36" w:rsidRPr="008A6B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H. </w:t>
      </w:r>
      <w:proofErr w:type="spellStart"/>
      <w:r w:rsidR="008A6B36" w:rsidRPr="008A6B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erato</w:t>
      </w:r>
      <w:proofErr w:type="spellEnd"/>
      <w:r w:rsidR="008A6B36" w:rsidRPr="008A6B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8A6B36" w:rsidRPr="008A6B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demophoon</w:t>
      </w:r>
      <w:proofErr w:type="spellEnd"/>
      <w:r w:rsidR="008A6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detected. </w:t>
      </w:r>
    </w:p>
    <w:p w:rsidR="004157DC" w:rsidRPr="00FD618F" w:rsidRDefault="004157DC" w:rsidP="00C77F8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61996" cy="6467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956" cy="648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7DC" w:rsidRPr="00FD618F" w:rsidSect="00C77F81">
      <w:pgSz w:w="12240" w:h="15840" w:code="1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19"/>
    <w:rsid w:val="00062D32"/>
    <w:rsid w:val="00192D89"/>
    <w:rsid w:val="001F5319"/>
    <w:rsid w:val="002C6F80"/>
    <w:rsid w:val="00366FD4"/>
    <w:rsid w:val="004157DC"/>
    <w:rsid w:val="004A03DF"/>
    <w:rsid w:val="005E4386"/>
    <w:rsid w:val="006B2D11"/>
    <w:rsid w:val="007F0138"/>
    <w:rsid w:val="008A6B36"/>
    <w:rsid w:val="008C4311"/>
    <w:rsid w:val="00A03963"/>
    <w:rsid w:val="00A2767F"/>
    <w:rsid w:val="00A96C45"/>
    <w:rsid w:val="00C33989"/>
    <w:rsid w:val="00C77F81"/>
    <w:rsid w:val="00E40BD9"/>
    <w:rsid w:val="00ED4136"/>
    <w:rsid w:val="00EF029F"/>
    <w:rsid w:val="00F644C8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319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F5319"/>
  </w:style>
  <w:style w:type="paragraph" w:styleId="BalloonText">
    <w:name w:val="Balloon Text"/>
    <w:basedOn w:val="Normal"/>
    <w:link w:val="BalloonTextChar"/>
    <w:uiPriority w:val="99"/>
    <w:semiHidden/>
    <w:unhideWhenUsed/>
    <w:rsid w:val="001F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1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963"/>
    <w:rPr>
      <w:rFonts w:ascii="Courier New" w:eastAsia="Times New Roman" w:hAnsi="Courier New" w:cs="Courier New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F644C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319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F5319"/>
  </w:style>
  <w:style w:type="paragraph" w:styleId="BalloonText">
    <w:name w:val="Balloon Text"/>
    <w:basedOn w:val="Normal"/>
    <w:link w:val="BalloonTextChar"/>
    <w:uiPriority w:val="99"/>
    <w:semiHidden/>
    <w:unhideWhenUsed/>
    <w:rsid w:val="001F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1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963"/>
    <w:rPr>
      <w:rFonts w:ascii="Courier New" w:eastAsia="Times New Roman" w:hAnsi="Courier New" w:cs="Courier New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F644C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15</cp:revision>
  <dcterms:created xsi:type="dcterms:W3CDTF">2017-05-12T17:23:00Z</dcterms:created>
  <dcterms:modified xsi:type="dcterms:W3CDTF">2017-08-31T17:12:00Z</dcterms:modified>
</cp:coreProperties>
</file>