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</w:rPr>
        <w:t>Table S4. Analysis of cis-acting elements of PKS gene promoter in upland cotton.</w:t>
      </w:r>
      <w:bookmarkStart w:id="0" w:name="_GoBack"/>
      <w:bookmarkEnd w:id="0"/>
    </w:p>
    <w:tbl>
      <w:tblPr>
        <w:tblStyle w:val="4"/>
        <w:tblW w:w="11012" w:type="dxa"/>
        <w:tblInd w:w="-10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45"/>
        <w:gridCol w:w="832"/>
        <w:gridCol w:w="833"/>
        <w:gridCol w:w="832"/>
        <w:gridCol w:w="833"/>
        <w:gridCol w:w="833"/>
        <w:gridCol w:w="833"/>
        <w:gridCol w:w="835"/>
        <w:gridCol w:w="834"/>
        <w:gridCol w:w="834"/>
        <w:gridCol w:w="8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5" w:hRule="atLeast"/>
        </w:trPr>
        <w:tc>
          <w:tcPr>
            <w:tcW w:w="1845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32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GhPKS1</w:t>
            </w:r>
          </w:p>
        </w:tc>
        <w:tc>
          <w:tcPr>
            <w:tcW w:w="833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GhPKS2</w:t>
            </w:r>
          </w:p>
        </w:tc>
        <w:tc>
          <w:tcPr>
            <w:tcW w:w="832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GhPKS3</w:t>
            </w:r>
          </w:p>
        </w:tc>
        <w:tc>
          <w:tcPr>
            <w:tcW w:w="833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GhPKS4</w:t>
            </w:r>
          </w:p>
        </w:tc>
        <w:tc>
          <w:tcPr>
            <w:tcW w:w="833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GhPKS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3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GhPKS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5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GhPKS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4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GhPKS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4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GhPKS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4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GhPKS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34" w:type="dxa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14:textFill>
                  <w14:solidFill>
                    <w14:schemeClr w14:val="tx1"/>
                  </w14:solidFill>
                </w14:textFill>
              </w:rPr>
              <w:t>GhPKS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ARE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3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3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3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4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4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ATCT-Motifs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Box 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Box III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Box 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G-Box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I-Box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CATT-Motifs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GT1-Motifs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2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MBS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2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2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TC-rich repeats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2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2" w:hRule="atLeast"/>
        </w:trPr>
        <w:tc>
          <w:tcPr>
            <w:tcW w:w="184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CGTCA-Motifs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23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</dc:creator>
  <cp:lastModifiedBy>Administ</cp:lastModifiedBy>
  <dcterms:modified xsi:type="dcterms:W3CDTF">2017-10-08T05:28:57Z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