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94" w:rsidRPr="00CB5FF2" w:rsidRDefault="00931394" w:rsidP="00931394">
      <w:pPr>
        <w:pStyle w:val="berschrift1"/>
        <w:rPr>
          <w:sz w:val="32"/>
          <w:lang w:val="en-GB"/>
        </w:rPr>
      </w:pPr>
      <w:r>
        <w:rPr>
          <w:sz w:val="32"/>
          <w:lang w:val="en-GB"/>
        </w:rPr>
        <w:t>Supp</w:t>
      </w:r>
      <w:r w:rsidR="00F003DF">
        <w:rPr>
          <w:sz w:val="32"/>
          <w:lang w:val="en-GB"/>
        </w:rPr>
        <w:t>lemental</w:t>
      </w:r>
      <w:r>
        <w:rPr>
          <w:sz w:val="32"/>
          <w:lang w:val="en-GB"/>
        </w:rPr>
        <w:t xml:space="preserve"> Information</w:t>
      </w:r>
    </w:p>
    <w:p w:rsidR="00931394" w:rsidRPr="00537AF0" w:rsidRDefault="00931394" w:rsidP="00931394">
      <w:pPr>
        <w:rPr>
          <w:lang w:val="en-GB"/>
        </w:rPr>
      </w:pPr>
    </w:p>
    <w:p w:rsidR="00372ECF" w:rsidRDefault="00516C91" w:rsidP="00372ECF">
      <w:pPr>
        <w:spacing w:line="480" w:lineRule="auto"/>
        <w:jc w:val="left"/>
        <w:rPr>
          <w:b/>
          <w:sz w:val="28"/>
          <w:szCs w:val="32"/>
          <w:lang w:val="en-GB"/>
        </w:rPr>
      </w:pPr>
      <w:r w:rsidRPr="00516C91">
        <w:rPr>
          <w:b/>
          <w:sz w:val="28"/>
          <w:szCs w:val="32"/>
          <w:lang w:val="en-GB"/>
        </w:rPr>
        <w:t>Ground beetles in city forests: Does urbanization predict a personality trait?</w:t>
      </w:r>
    </w:p>
    <w:p w:rsidR="00516C91" w:rsidRPr="00372ECF" w:rsidRDefault="00516C91" w:rsidP="00372ECF">
      <w:pPr>
        <w:spacing w:line="480" w:lineRule="auto"/>
        <w:jc w:val="left"/>
        <w:rPr>
          <w:lang w:val="en-GB"/>
        </w:rPr>
      </w:pPr>
    </w:p>
    <w:p w:rsidR="00372ECF" w:rsidRPr="00372ECF" w:rsidRDefault="00372ECF" w:rsidP="00372ECF">
      <w:pPr>
        <w:spacing w:line="480" w:lineRule="auto"/>
        <w:jc w:val="left"/>
        <w:rPr>
          <w:lang w:val="en-GB"/>
        </w:rPr>
      </w:pPr>
      <w:proofErr w:type="spellStart"/>
      <w:r w:rsidRPr="00372ECF">
        <w:rPr>
          <w:lang w:val="en-GB"/>
        </w:rPr>
        <w:t>Wiebke</w:t>
      </w:r>
      <w:proofErr w:type="spellEnd"/>
      <w:r w:rsidRPr="00372ECF">
        <w:rPr>
          <w:lang w:val="en-GB"/>
        </w:rPr>
        <w:t xml:space="preserve"> Schuett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 xml:space="preserve">, </w:t>
      </w:r>
      <w:proofErr w:type="spellStart"/>
      <w:r w:rsidRPr="00372ECF">
        <w:rPr>
          <w:lang w:val="en-GB"/>
        </w:rPr>
        <w:t>Berit</w:t>
      </w:r>
      <w:proofErr w:type="spellEnd"/>
      <w:r w:rsidRPr="00372ECF">
        <w:rPr>
          <w:lang w:val="en-GB"/>
        </w:rPr>
        <w:t xml:space="preserve"> Delfs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>, Richard Haller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>, Sarah Kruber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>, Simone Roolfs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>, Desiree Timm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>, Magdalena Willmann</w:t>
      </w: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>, Claudia Drees</w:t>
      </w:r>
      <w:r w:rsidRPr="00372ECF">
        <w:rPr>
          <w:vertAlign w:val="superscript"/>
          <w:lang w:val="en-GB"/>
        </w:rPr>
        <w:t>1</w:t>
      </w:r>
    </w:p>
    <w:p w:rsidR="00372ECF" w:rsidRPr="00372ECF" w:rsidRDefault="00372ECF" w:rsidP="00372ECF">
      <w:pPr>
        <w:spacing w:line="480" w:lineRule="auto"/>
        <w:jc w:val="left"/>
        <w:rPr>
          <w:lang w:val="en-GB"/>
        </w:rPr>
      </w:pPr>
      <w:r w:rsidRPr="00372ECF">
        <w:rPr>
          <w:vertAlign w:val="superscript"/>
          <w:lang w:val="en-GB"/>
        </w:rPr>
        <w:t>1</w:t>
      </w:r>
      <w:r w:rsidRPr="00372ECF">
        <w:rPr>
          <w:lang w:val="en-GB"/>
        </w:rPr>
        <w:t xml:space="preserve">Zoological Institute, </w:t>
      </w:r>
      <w:proofErr w:type="spellStart"/>
      <w:r w:rsidRPr="00372ECF">
        <w:rPr>
          <w:lang w:val="en-GB"/>
        </w:rPr>
        <w:t>Biocenter</w:t>
      </w:r>
      <w:proofErr w:type="spellEnd"/>
      <w:r w:rsidRPr="00372ECF">
        <w:rPr>
          <w:lang w:val="en-GB"/>
        </w:rPr>
        <w:t xml:space="preserve"> </w:t>
      </w:r>
      <w:proofErr w:type="spellStart"/>
      <w:r w:rsidRPr="00372ECF">
        <w:rPr>
          <w:lang w:val="en-GB"/>
        </w:rPr>
        <w:t>Grindel</w:t>
      </w:r>
      <w:proofErr w:type="spellEnd"/>
      <w:r w:rsidRPr="00372ECF">
        <w:rPr>
          <w:lang w:val="en-GB"/>
        </w:rPr>
        <w:t xml:space="preserve">, </w:t>
      </w:r>
      <w:proofErr w:type="spellStart"/>
      <w:r w:rsidRPr="00372ECF">
        <w:rPr>
          <w:lang w:val="en-GB"/>
        </w:rPr>
        <w:t>Universität</w:t>
      </w:r>
      <w:proofErr w:type="spellEnd"/>
      <w:r w:rsidRPr="00372ECF">
        <w:rPr>
          <w:lang w:val="en-GB"/>
        </w:rPr>
        <w:t xml:space="preserve"> Hamburg, Hamburg, Germany</w:t>
      </w:r>
    </w:p>
    <w:p w:rsidR="00931394" w:rsidRPr="00372ECF" w:rsidRDefault="00931394" w:rsidP="00931394">
      <w:pPr>
        <w:rPr>
          <w:lang w:val="en-GB"/>
        </w:rPr>
      </w:pPr>
    </w:p>
    <w:p w:rsidR="006020CB" w:rsidRPr="00C437BC" w:rsidRDefault="006020CB" w:rsidP="00660238">
      <w:pPr>
        <w:pStyle w:val="berschrift1"/>
        <w:rPr>
          <w:lang w:val="en-GB"/>
        </w:rPr>
      </w:pPr>
      <w:r>
        <w:rPr>
          <w:lang w:val="en-GB"/>
        </w:rPr>
        <w:t>Methods</w:t>
      </w:r>
    </w:p>
    <w:p w:rsidR="00320075" w:rsidRDefault="006020CB" w:rsidP="00660238">
      <w:pPr>
        <w:rPr>
          <w:lang w:val="en-GB"/>
        </w:rPr>
      </w:pPr>
      <w:r w:rsidRPr="00537AF0">
        <w:rPr>
          <w:lang w:val="en-GB"/>
        </w:rPr>
        <w:t xml:space="preserve">Directly after the novel environment test </w:t>
      </w:r>
      <w:r w:rsidR="00320075">
        <w:rPr>
          <w:lang w:val="en-GB"/>
        </w:rPr>
        <w:t xml:space="preserve">we tested the beetles for their </w:t>
      </w:r>
      <w:r w:rsidR="00320075" w:rsidRPr="00320075">
        <w:rPr>
          <w:lang w:val="en-GB"/>
        </w:rPr>
        <w:t>death-feigning behaviour, also labelled ‘</w:t>
      </w:r>
      <w:proofErr w:type="spellStart"/>
      <w:r w:rsidR="00320075" w:rsidRPr="00320075">
        <w:rPr>
          <w:lang w:val="en-GB"/>
        </w:rPr>
        <w:t>thanatosis</w:t>
      </w:r>
      <w:proofErr w:type="spellEnd"/>
      <w:r w:rsidR="00320075" w:rsidRPr="00320075">
        <w:rPr>
          <w:lang w:val="en-GB"/>
        </w:rPr>
        <w:t xml:space="preserve">’ </w:t>
      </w:r>
      <w:r w:rsidR="00E75CAB">
        <w:rPr>
          <w:lang w:val="en-GB"/>
        </w:rPr>
        <w:fldChar w:fldCharType="begin"/>
      </w:r>
      <w:r w:rsidR="00E75CAB">
        <w:rPr>
          <w:lang w:val="en-GB"/>
        </w:rPr>
        <w:instrText xml:space="preserve"> ADDIN EN.CITE &lt;EndNote&gt;&lt;Cite&gt;&lt;Author&gt;Bleich&lt;/Author&gt;&lt;Year&gt;1927&lt;/Year&gt;&lt;RecNum&gt;201&lt;/RecNum&gt;&lt;DisplayText&gt;(Bleich, 1927)&lt;/DisplayText&gt;&lt;record&gt;&lt;rec-number&gt;201&lt;/rec-number&gt;&lt;foreign-keys&gt;&lt;key app="EN" db-id="rada2tfvevpdabeerwsxerf10pa0seee0efa" timestamp="1455135007"&gt;201&lt;/key&gt;&lt;/foreign-keys&gt;&lt;ref-type name="Journal Article"&gt;17&lt;/ref-type&gt;&lt;contributors&gt;&lt;authors&gt;&lt;author&gt;Bleich, Otto Ernst&lt;/author&gt;&lt;/authors&gt;&lt;/contributors&gt;&lt;titles&gt;&lt;title&gt;Thanatose und Hypnose bei Coleopteren. Experimentelle Untersuchungen&lt;/title&gt;&lt;secondary-title&gt;Zeitschrift für Morphologie und Ökologie der Tiere&lt;/secondary-title&gt;&lt;alt-title&gt;Z. f. Morphol. u. Ökol. d. Tiere&lt;/alt-title&gt;&lt;/titles&gt;&lt;periodical&gt;&lt;full-title&gt;Zeitschrift für Morphologie und Ökologie der Tiere&lt;/full-title&gt;&lt;abbr-1&gt;Z. f. Morphol. u. Ökol. d. Tiere&lt;/abbr-1&gt;&lt;/periodical&gt;&lt;alt-periodical&gt;&lt;full-title&gt;Zeitschrift für Morphologie und Ökologie der Tiere&lt;/full-title&gt;&lt;abbr-1&gt;Z. f. Morphol. u. Ökol. d. Tiere&lt;/abbr-1&gt;&lt;/alt-periodical&gt;&lt;pages&gt;1-61&lt;/pages&gt;&lt;volume&gt;10&lt;/volume&gt;&lt;dates&gt;&lt;year&gt;1927&lt;/year&gt;&lt;/dates&gt;&lt;urls&gt;&lt;/urls&gt;&lt;/record&gt;&lt;/Cite&gt;&lt;/EndNote&gt;</w:instrText>
      </w:r>
      <w:r w:rsidR="00E75CAB">
        <w:rPr>
          <w:lang w:val="en-GB"/>
        </w:rPr>
        <w:fldChar w:fldCharType="separate"/>
      </w:r>
      <w:r w:rsidR="00E75CAB">
        <w:rPr>
          <w:noProof/>
          <w:lang w:val="en-GB"/>
        </w:rPr>
        <w:t>(Bleich, 1927)</w:t>
      </w:r>
      <w:r w:rsidR="00E75CAB">
        <w:rPr>
          <w:lang w:val="en-GB"/>
        </w:rPr>
        <w:fldChar w:fldCharType="end"/>
      </w:r>
      <w:r w:rsidR="00320075" w:rsidRPr="00320075">
        <w:rPr>
          <w:lang w:val="en-GB"/>
        </w:rPr>
        <w:t xml:space="preserve"> or ‘tonic immobility’</w:t>
      </w:r>
      <w:r w:rsidR="00E75CAB">
        <w:rPr>
          <w:lang w:val="en-GB"/>
        </w:rPr>
        <w:t xml:space="preserve"> </w:t>
      </w:r>
      <w:r w:rsidR="00E75CAB">
        <w:rPr>
          <w:lang w:val="en-GB"/>
        </w:rPr>
        <w:fldChar w:fldCharType="begin"/>
      </w:r>
      <w:r w:rsidR="00E75CAB">
        <w:rPr>
          <w:lang w:val="en-GB"/>
        </w:rPr>
        <w:instrText xml:space="preserve"> ADDIN EN.CITE &lt;EndNote&gt;&lt;Cite&gt;&lt;Author&gt;Rogers&lt;/Author&gt;&lt;Year&gt;2014&lt;/Year&gt;&lt;RecNum&gt;26&lt;/RecNum&gt;&lt;DisplayText&gt;(Rogers &amp;amp; Simpson, 2014)&lt;/DisplayText&gt;&lt;record&gt;&lt;rec-number&gt;26&lt;/rec-number&gt;&lt;foreign-keys&gt;&lt;key app="EN" db-id="rada2tfvevpdabeerwsxerf10pa0seee0efa" timestamp="1440596653"&gt;26&lt;/key&gt;&lt;/foreign-keys&gt;&lt;ref-type name="Journal Article"&gt;17&lt;/ref-type&gt;&lt;contributors&gt;&lt;authors&gt;&lt;author&gt;Rogers, Stephen M.&lt;/author&gt;&lt;author&gt;Simpson, Stephen J.&lt;/author&gt;&lt;/authors&gt;&lt;/contributors&gt;&lt;titles&gt;&lt;title&gt;Thanatosis&lt;/title&gt;&lt;secondary-title&gt;Current Biology&lt;/secondary-title&gt;&lt;alt-title&gt;Curr. Biol.&lt;/alt-title&gt;&lt;/titles&gt;&lt;periodical&gt;&lt;full-title&gt;Current Biology&lt;/full-title&gt;&lt;/periodical&gt;&lt;alt-periodical&gt;&lt;full-title&gt;Current Biology&lt;/full-title&gt;&lt;abbr-1&gt;Curr. Biol.&lt;/abbr-1&gt;&lt;/alt-periodical&gt;&lt;pages&gt;R1031-R1033&lt;/pages&gt;&lt;volume&gt;24&lt;/volume&gt;&lt;number&gt;21&lt;/number&gt;&lt;dates&gt;&lt;year&gt;2014&lt;/year&gt;&lt;/dates&gt;&lt;isbn&gt;0960-9822&lt;/isbn&gt;&lt;urls&gt;&lt;related-urls&gt;&lt;url&gt;http://www.sciencedirect.com/science/article/pii/S0960982214010641&lt;/url&gt;&lt;url&gt;http://ac.els-cdn.com/S0960982214010641/1-s2.0-S0960982214010641-main.pdf?_tid=47711b76-4b38-11e5-b3da-00000aab0f27&amp;amp;acdnat=1440514259_1f60eabc2fba4254abfa5110ad1614ab&lt;/url&gt;&lt;/related-urls&gt;&lt;/urls&gt;&lt;electronic-resource-num&gt;10.1016/j.cub.2014.08.051&lt;/electronic-resource-num&gt;&lt;/record&gt;&lt;/Cite&gt;&lt;/EndNote&gt;</w:instrText>
      </w:r>
      <w:r w:rsidR="00E75CAB">
        <w:rPr>
          <w:lang w:val="en-GB"/>
        </w:rPr>
        <w:fldChar w:fldCharType="separate"/>
      </w:r>
      <w:r w:rsidR="00E75CAB">
        <w:rPr>
          <w:noProof/>
          <w:lang w:val="en-GB"/>
        </w:rPr>
        <w:t>(Rogers &amp; Simpson, 2014)</w:t>
      </w:r>
      <w:r w:rsidR="00E75CAB">
        <w:rPr>
          <w:lang w:val="en-GB"/>
        </w:rPr>
        <w:fldChar w:fldCharType="end"/>
      </w:r>
      <w:r w:rsidR="00320075" w:rsidRPr="00320075">
        <w:rPr>
          <w:lang w:val="en-GB"/>
        </w:rPr>
        <w:t>. Death-feigning behaviour reflects antipredator behaviour shown in the wild</w:t>
      </w:r>
      <w:r w:rsidR="00E75CAB">
        <w:rPr>
          <w:lang w:val="en-GB"/>
        </w:rPr>
        <w:t xml:space="preserve"> </w:t>
      </w:r>
      <w:r w:rsidR="00E75CAB">
        <w:rPr>
          <w:lang w:val="en-GB"/>
        </w:rPr>
        <w:fldChar w:fldCharType="begin"/>
      </w:r>
      <w:r w:rsidR="00E75CAB">
        <w:rPr>
          <w:lang w:val="en-GB"/>
        </w:rPr>
        <w:instrText xml:space="preserve"> ADDIN EN.CITE &lt;EndNote&gt;&lt;Cite&gt;&lt;Author&gt;Edelaar&lt;/Author&gt;&lt;Year&gt;2012&lt;/Year&gt;&lt;RecNum&gt;74&lt;/RecNum&gt;&lt;DisplayText&gt;(Edelaar et al., 2012)&lt;/DisplayText&gt;&lt;record&gt;&lt;rec-number&gt;74&lt;/rec-number&gt;&lt;foreign-keys&gt;&lt;key app="EN" db-id="rada2tfvevpdabeerwsxerf10pa0seee0efa" timestamp="1440603750"&gt;74&lt;/key&gt;&lt;/foreign-keys&gt;&lt;ref-type name="Journal Article"&gt;17&lt;/ref-type&gt;&lt;contributors&gt;&lt;authors&gt;&lt;author&gt;Edelaar, Pim&lt;/author&gt;&lt;author&gt;Serrano, David&lt;/author&gt;&lt;author&gt;Carrete, Martina&lt;/author&gt;&lt;author&gt;Blas, Julio&lt;/author&gt;&lt;author&gt;Potti, Jaime&lt;/author&gt;&lt;author&gt;Luis Tella, Jose&lt;/author&gt;&lt;/authors&gt;&lt;/contributors&gt;&lt;titles&gt;&lt;title&gt;Tonic immobility is a measure of boldness toward predators: an application of Bayesian structural equation modeling&lt;/title&gt;&lt;secondary-title&gt;Behavioral Ecology&lt;/secondary-title&gt;&lt;alt-title&gt;Behav. Ecol.&lt;/alt-title&gt;&lt;/titles&gt;&lt;periodical&gt;&lt;full-title&gt;Behavioral Ecology&lt;/full-title&gt;&lt;/periodical&gt;&lt;alt-periodical&gt;&lt;full-title&gt;Behavioral Ecology&lt;/full-title&gt;&lt;abbr-1&gt;Behav. Ecol.&lt;/abbr-1&gt;&lt;/alt-periodical&gt;&lt;pages&gt;619-626&lt;/pages&gt;&lt;volume&gt;23&lt;/volume&gt;&lt;number&gt;3&lt;/number&gt;&lt;dates&gt;&lt;year&gt;2012&lt;/year&gt;&lt;pub-dates&gt;&lt;date&gt;May-Jun&lt;/date&gt;&lt;/pub-dates&gt;&lt;/dates&gt;&lt;isbn&gt;1045-2249&lt;/isbn&gt;&lt;accession-num&gt;WOS:000302485200021&lt;/accession-num&gt;&lt;urls&gt;&lt;related-urls&gt;&lt;url&gt;&amp;lt;Go to ISI&amp;gt;://WOS:000302485200021&lt;/url&gt;&lt;url&gt;http://beheco.oxfordjournals.org/content/23/3/619.full.pdf&lt;/url&gt;&lt;/related-urls&gt;&lt;/urls&gt;&lt;electronic-resource-num&gt;10.1093/beheco/ars006&lt;/electronic-resource-num&gt;&lt;/record&gt;&lt;/Cite&gt;&lt;/EndNote&gt;</w:instrText>
      </w:r>
      <w:r w:rsidR="00E75CAB">
        <w:rPr>
          <w:lang w:val="en-GB"/>
        </w:rPr>
        <w:fldChar w:fldCharType="separate"/>
      </w:r>
      <w:r w:rsidR="00E75CAB">
        <w:rPr>
          <w:noProof/>
          <w:lang w:val="en-GB"/>
        </w:rPr>
        <w:t>(Edelaar et al., 2012)</w:t>
      </w:r>
      <w:r w:rsidR="00E75CAB">
        <w:rPr>
          <w:lang w:val="en-GB"/>
        </w:rPr>
        <w:fldChar w:fldCharType="end"/>
      </w:r>
      <w:r w:rsidR="00320075" w:rsidRPr="00320075">
        <w:rPr>
          <w:lang w:val="en-GB"/>
        </w:rPr>
        <w:t xml:space="preserve">; and flour beetles, </w:t>
      </w:r>
      <w:proofErr w:type="spellStart"/>
      <w:r w:rsidR="00320075" w:rsidRPr="00320075">
        <w:rPr>
          <w:i/>
          <w:lang w:val="en-GB"/>
        </w:rPr>
        <w:t>Tribolium</w:t>
      </w:r>
      <w:proofErr w:type="spellEnd"/>
      <w:r w:rsidR="00320075" w:rsidRPr="00320075">
        <w:rPr>
          <w:i/>
          <w:lang w:val="en-GB"/>
        </w:rPr>
        <w:t xml:space="preserve"> </w:t>
      </w:r>
      <w:proofErr w:type="spellStart"/>
      <w:r w:rsidR="00320075" w:rsidRPr="00320075">
        <w:rPr>
          <w:i/>
          <w:lang w:val="en-GB"/>
        </w:rPr>
        <w:t>castaneum</w:t>
      </w:r>
      <w:proofErr w:type="spellEnd"/>
      <w:r w:rsidR="00320075" w:rsidRPr="00320075">
        <w:rPr>
          <w:lang w:val="en-GB"/>
        </w:rPr>
        <w:t xml:space="preserve">, selected for a lower frequency and shorter duration of </w:t>
      </w:r>
      <w:proofErr w:type="spellStart"/>
      <w:r w:rsidR="00320075" w:rsidRPr="00320075">
        <w:rPr>
          <w:lang w:val="en-GB"/>
        </w:rPr>
        <w:t>thanatosis</w:t>
      </w:r>
      <w:proofErr w:type="spellEnd"/>
      <w:r w:rsidR="00320075" w:rsidRPr="00320075">
        <w:rPr>
          <w:lang w:val="en-GB"/>
        </w:rPr>
        <w:t xml:space="preserve"> had a lower survival rate under predation risk than those selected for a higher </w:t>
      </w:r>
      <w:proofErr w:type="spellStart"/>
      <w:r w:rsidR="00320075" w:rsidRPr="00320075">
        <w:rPr>
          <w:lang w:val="en-GB"/>
        </w:rPr>
        <w:t>thanatosis</w:t>
      </w:r>
      <w:proofErr w:type="spellEnd"/>
      <w:r w:rsidR="00320075" w:rsidRPr="00320075">
        <w:rPr>
          <w:lang w:val="en-GB"/>
        </w:rPr>
        <w:t xml:space="preserve"> frequ</w:t>
      </w:r>
      <w:r w:rsidR="00E75CAB">
        <w:rPr>
          <w:lang w:val="en-GB"/>
        </w:rPr>
        <w:t xml:space="preserve">ency </w:t>
      </w:r>
      <w:r w:rsidR="00E75CAB">
        <w:rPr>
          <w:lang w:val="en-GB"/>
        </w:rPr>
        <w:fldChar w:fldCharType="begin"/>
      </w:r>
      <w:r w:rsidR="00E75CAB">
        <w:rPr>
          <w:lang w:val="en-GB"/>
        </w:rPr>
        <w:instrText xml:space="preserve"> ADDIN EN.CITE &lt;EndNote&gt;&lt;Cite&gt;&lt;Author&gt;Nakayama&lt;/Author&gt;&lt;Year&gt;2010&lt;/Year&gt;&lt;RecNum&gt;11&lt;/RecNum&gt;&lt;DisplayText&gt;(Nakayama &amp;amp; Miyatake, 2010)&lt;/DisplayText&gt;&lt;record&gt;&lt;rec-number&gt;11&lt;/rec-number&gt;&lt;foreign-keys&gt;&lt;key app="EN" db-id="rada2tfvevpdabeerwsxerf10pa0seee0efa" timestamp="1440596025"&gt;11&lt;/key&gt;&lt;/foreign-keys&gt;&lt;ref-type name="Journal Article"&gt;17&lt;/ref-type&gt;&lt;contributors&gt;&lt;authors&gt;&lt;author&gt;Nakayama, Satoshi&lt;/author&gt;&lt;author&gt;Miyatake, Takahisa&lt;/author&gt;&lt;/authors&gt;&lt;/contributors&gt;&lt;titles&gt;&lt;title&gt;Genetic trade-off between abilities to avoid attack and to mate: a cost of tonic immobility&lt;/title&gt;&lt;secondary-title&gt;Biology Letters&lt;/secondary-title&gt;&lt;alt-title&gt;Biol. Lett.&lt;/alt-title&gt;&lt;/titles&gt;&lt;periodical&gt;&lt;full-title&gt;Biology Letters&lt;/full-title&gt;&lt;/periodical&gt;&lt;alt-periodical&gt;&lt;full-title&gt;Biology Letters&lt;/full-title&gt;&lt;abbr-1&gt;Biol. Lett.&lt;/abbr-1&gt;&lt;/alt-periodical&gt;&lt;pages&gt;18-20&lt;/pages&gt;&lt;volume&gt;6&lt;/volume&gt;&lt;number&gt;1&lt;/number&gt;&lt;keywords&gt;&lt;keyword&gt;insect&lt;/keyword&gt;&lt;keyword&gt;personality&lt;/keyword&gt;&lt;/keywords&gt;&lt;dates&gt;&lt;year&gt;2010&lt;/year&gt;&lt;pub-dates&gt;&lt;date&gt;February 23, 2010&lt;/date&gt;&lt;/pub-dates&gt;&lt;/dates&gt;&lt;call-num&gt;3380&lt;/call-num&gt;&lt;urls&gt;&lt;related-urls&gt;&lt;url&gt;http://rsbl.royalsocietypublishing.org/content/6/1/18.abstract&lt;/url&gt;&lt;url&gt;http://www.ncbi.nlm.nih.gov/pmc/articles/PMC2817238/pdf/rsbl20090494.pdf&lt;/url&gt;&lt;/related-urls&gt;&lt;/urls&gt;&lt;electronic-resource-num&gt;10.1098/rsbl.2009.0494&lt;/electronic-resource-num&gt;&lt;/record&gt;&lt;/Cite&gt;&lt;/EndNote&gt;</w:instrText>
      </w:r>
      <w:r w:rsidR="00E75CAB">
        <w:rPr>
          <w:lang w:val="en-GB"/>
        </w:rPr>
        <w:fldChar w:fldCharType="separate"/>
      </w:r>
      <w:r w:rsidR="00E75CAB">
        <w:rPr>
          <w:noProof/>
          <w:lang w:val="en-GB"/>
        </w:rPr>
        <w:t>(Nakayama &amp; Miyatake, 2010)</w:t>
      </w:r>
      <w:r w:rsidR="00E75CAB">
        <w:rPr>
          <w:lang w:val="en-GB"/>
        </w:rPr>
        <w:fldChar w:fldCharType="end"/>
      </w:r>
      <w:r w:rsidR="00320075" w:rsidRPr="00320075">
        <w:rPr>
          <w:lang w:val="en-GB"/>
        </w:rPr>
        <w:t xml:space="preserve">. Therefore, we used </w:t>
      </w:r>
      <w:proofErr w:type="spellStart"/>
      <w:r w:rsidR="00320075" w:rsidRPr="00320075">
        <w:rPr>
          <w:lang w:val="en-GB"/>
        </w:rPr>
        <w:t>thanatosis</w:t>
      </w:r>
      <w:proofErr w:type="spellEnd"/>
      <w:r w:rsidR="00320075" w:rsidRPr="00320075">
        <w:rPr>
          <w:lang w:val="en-GB"/>
        </w:rPr>
        <w:t xml:space="preserve"> behaviour as a proxy for risk-t</w:t>
      </w:r>
      <w:r w:rsidR="00320075">
        <w:rPr>
          <w:lang w:val="en-GB"/>
        </w:rPr>
        <w:t>aking</w:t>
      </w:r>
      <w:r w:rsidR="00320075" w:rsidRPr="00320075">
        <w:rPr>
          <w:lang w:val="en-GB"/>
        </w:rPr>
        <w:t xml:space="preserve">. </w:t>
      </w:r>
    </w:p>
    <w:p w:rsidR="006020CB" w:rsidRDefault="00320075" w:rsidP="00660238">
      <w:pPr>
        <w:rPr>
          <w:lang w:val="en-GB"/>
        </w:rPr>
      </w:pPr>
      <w:r>
        <w:rPr>
          <w:lang w:val="en-GB"/>
        </w:rPr>
        <w:t>T</w:t>
      </w:r>
      <w:r w:rsidR="006020CB" w:rsidRPr="00537AF0">
        <w:rPr>
          <w:lang w:val="en-GB"/>
        </w:rPr>
        <w:t xml:space="preserve">he beetle was turned on its back with insect forceps </w:t>
      </w:r>
      <w:r w:rsidR="006020CB">
        <w:rPr>
          <w:lang w:val="en-GB"/>
        </w:rPr>
        <w:t xml:space="preserve">(simulating a predation event) </w:t>
      </w:r>
      <w:r w:rsidR="006020CB" w:rsidRPr="00537AF0">
        <w:rPr>
          <w:lang w:val="en-GB"/>
        </w:rPr>
        <w:t xml:space="preserve">and placed again in the novel environment arena. We measured whether or not the beetle showed </w:t>
      </w:r>
      <w:proofErr w:type="spellStart"/>
      <w:r w:rsidR="006020CB" w:rsidRPr="00537AF0">
        <w:rPr>
          <w:lang w:val="en-GB"/>
        </w:rPr>
        <w:t>thanatosis</w:t>
      </w:r>
      <w:proofErr w:type="spellEnd"/>
      <w:r w:rsidR="006020CB" w:rsidRPr="00537AF0">
        <w:rPr>
          <w:lang w:val="en-GB"/>
        </w:rPr>
        <w:t xml:space="preserve"> within 90 s</w:t>
      </w:r>
      <w:r w:rsidR="006020CB">
        <w:rPr>
          <w:lang w:val="en-GB"/>
        </w:rPr>
        <w:t xml:space="preserve"> (including the latency until </w:t>
      </w:r>
      <w:proofErr w:type="spellStart"/>
      <w:r w:rsidR="006020CB">
        <w:rPr>
          <w:lang w:val="en-GB"/>
        </w:rPr>
        <w:t>thanatosis</w:t>
      </w:r>
      <w:proofErr w:type="spellEnd"/>
      <w:r w:rsidR="006020CB">
        <w:rPr>
          <w:lang w:val="en-GB"/>
        </w:rPr>
        <w:t xml:space="preserve">). The beetle </w:t>
      </w:r>
      <w:r w:rsidR="006020CB" w:rsidRPr="00537AF0">
        <w:rPr>
          <w:lang w:val="en-GB"/>
        </w:rPr>
        <w:t>show</w:t>
      </w:r>
      <w:r w:rsidR="006020CB">
        <w:rPr>
          <w:lang w:val="en-GB"/>
        </w:rPr>
        <w:t>ed</w:t>
      </w:r>
      <w:r w:rsidR="006020CB" w:rsidRPr="00537AF0">
        <w:rPr>
          <w:lang w:val="en-GB"/>
        </w:rPr>
        <w:t xml:space="preserve"> </w:t>
      </w:r>
      <w:proofErr w:type="spellStart"/>
      <w:r w:rsidR="006020CB" w:rsidRPr="00537AF0">
        <w:rPr>
          <w:lang w:val="en-GB"/>
        </w:rPr>
        <w:t>thanatosis</w:t>
      </w:r>
      <w:proofErr w:type="spellEnd"/>
      <w:r w:rsidR="006020CB" w:rsidRPr="00537AF0">
        <w:rPr>
          <w:lang w:val="en-GB"/>
        </w:rPr>
        <w:t xml:space="preserve"> if it completely stopped any movements. Alternatively, the beetle did not show </w:t>
      </w:r>
      <w:proofErr w:type="spellStart"/>
      <w:r w:rsidR="006020CB" w:rsidRPr="00537AF0">
        <w:rPr>
          <w:lang w:val="en-GB"/>
        </w:rPr>
        <w:t>thanatosis</w:t>
      </w:r>
      <w:proofErr w:type="spellEnd"/>
      <w:r w:rsidR="006020CB" w:rsidRPr="00537AF0">
        <w:rPr>
          <w:lang w:val="en-GB"/>
        </w:rPr>
        <w:t xml:space="preserve"> if it either continuously moved its legs for 90</w:t>
      </w:r>
      <w:r w:rsidR="006020CB">
        <w:rPr>
          <w:lang w:val="en-GB"/>
        </w:rPr>
        <w:t> </w:t>
      </w:r>
      <w:r w:rsidR="006020CB" w:rsidRPr="00537AF0">
        <w:rPr>
          <w:lang w:val="en-GB"/>
        </w:rPr>
        <w:t xml:space="preserve">s or turned itself onto its feet during the test. </w:t>
      </w:r>
      <w:r w:rsidR="006020CB">
        <w:rPr>
          <w:lang w:val="en-GB"/>
        </w:rPr>
        <w:t xml:space="preserve">When </w:t>
      </w:r>
      <w:proofErr w:type="spellStart"/>
      <w:r w:rsidR="006020CB">
        <w:rPr>
          <w:lang w:val="en-GB"/>
        </w:rPr>
        <w:t>thanatosis</w:t>
      </w:r>
      <w:proofErr w:type="spellEnd"/>
      <w:r w:rsidR="006020CB">
        <w:rPr>
          <w:lang w:val="en-GB"/>
        </w:rPr>
        <w:t xml:space="preserve"> occurred we measured its duration for </w:t>
      </w:r>
      <w:r w:rsidR="00372ECF">
        <w:rPr>
          <w:lang w:val="en-GB"/>
        </w:rPr>
        <w:t xml:space="preserve">up to </w:t>
      </w:r>
      <w:r w:rsidR="006020CB">
        <w:rPr>
          <w:lang w:val="en-GB"/>
        </w:rPr>
        <w:t xml:space="preserve">90 s. </w:t>
      </w:r>
    </w:p>
    <w:p w:rsidR="00086CDE" w:rsidRDefault="006020CB" w:rsidP="00660238">
      <w:pPr>
        <w:rPr>
          <w:lang w:val="en-GB"/>
        </w:rPr>
      </w:pPr>
      <w:r>
        <w:rPr>
          <w:lang w:val="en-GB"/>
        </w:rPr>
        <w:t>W</w:t>
      </w:r>
      <w:r w:rsidRPr="00537AF0">
        <w:rPr>
          <w:lang w:val="en-GB"/>
        </w:rPr>
        <w:t xml:space="preserve">e tested for an association between </w:t>
      </w:r>
      <w:r>
        <w:rPr>
          <w:lang w:val="en-GB"/>
        </w:rPr>
        <w:t xml:space="preserve">the novel environment and </w:t>
      </w:r>
      <w:proofErr w:type="spellStart"/>
      <w:r>
        <w:rPr>
          <w:lang w:val="en-GB"/>
        </w:rPr>
        <w:t>thanatosis</w:t>
      </w:r>
      <w:proofErr w:type="spellEnd"/>
      <w:r>
        <w:rPr>
          <w:lang w:val="en-GB"/>
        </w:rPr>
        <w:t xml:space="preserve"> behaviour with a </w:t>
      </w:r>
      <w:r w:rsidRPr="00537AF0">
        <w:rPr>
          <w:lang w:val="en-GB"/>
        </w:rPr>
        <w:t xml:space="preserve">LMM for each </w:t>
      </w:r>
      <w:r>
        <w:rPr>
          <w:lang w:val="en-GB"/>
        </w:rPr>
        <w:t xml:space="preserve">species: the models included the number of square visits as </w:t>
      </w:r>
      <w:r w:rsidRPr="00537AF0">
        <w:rPr>
          <w:lang w:val="en-GB"/>
        </w:rPr>
        <w:t>res</w:t>
      </w:r>
      <w:r>
        <w:rPr>
          <w:lang w:val="en-GB"/>
        </w:rPr>
        <w:t xml:space="preserve">ponse, the </w:t>
      </w:r>
      <w:r>
        <w:rPr>
          <w:lang w:val="en-GB"/>
        </w:rPr>
        <w:lastRenderedPageBreak/>
        <w:t xml:space="preserve">occurrence of </w:t>
      </w:r>
      <w:proofErr w:type="spellStart"/>
      <w:r>
        <w:rPr>
          <w:lang w:val="en-GB"/>
        </w:rPr>
        <w:t>thanatosis</w:t>
      </w:r>
      <w:proofErr w:type="spellEnd"/>
      <w:r w:rsidR="00372ECF">
        <w:rPr>
          <w:lang w:val="en-GB"/>
        </w:rPr>
        <w:t xml:space="preserve"> (binary variable)</w:t>
      </w:r>
      <w:r>
        <w:rPr>
          <w:lang w:val="en-GB"/>
        </w:rPr>
        <w:t xml:space="preserve">, sex </w:t>
      </w:r>
      <w:r w:rsidRPr="00537AF0">
        <w:rPr>
          <w:lang w:val="en-GB"/>
        </w:rPr>
        <w:t xml:space="preserve">and the interaction between sex and occurrence of </w:t>
      </w:r>
      <w:proofErr w:type="spellStart"/>
      <w:r w:rsidRPr="00537AF0">
        <w:rPr>
          <w:lang w:val="en-GB"/>
        </w:rPr>
        <w:t>thanatosis</w:t>
      </w:r>
      <w:proofErr w:type="spellEnd"/>
      <w:r w:rsidRPr="00537AF0">
        <w:rPr>
          <w:lang w:val="en-GB"/>
        </w:rPr>
        <w:t xml:space="preserve"> as fixed effects. Random terms </w:t>
      </w:r>
      <w:r>
        <w:rPr>
          <w:lang w:val="en-GB"/>
        </w:rPr>
        <w:t xml:space="preserve">in all models were forest site, observer and week of testing. </w:t>
      </w:r>
    </w:p>
    <w:p w:rsidR="00320075" w:rsidRDefault="00320075" w:rsidP="00660238">
      <w:pPr>
        <w:rPr>
          <w:lang w:val="en-GB"/>
        </w:rPr>
      </w:pPr>
      <w:r>
        <w:rPr>
          <w:lang w:val="en-GB"/>
        </w:rPr>
        <w:t xml:space="preserve">We did not statistically test for links between urbanization and </w:t>
      </w:r>
      <w:proofErr w:type="spellStart"/>
      <w:r>
        <w:rPr>
          <w:lang w:val="en-GB"/>
        </w:rPr>
        <w:t>thanatosis</w:t>
      </w:r>
      <w:proofErr w:type="spellEnd"/>
      <w:r>
        <w:rPr>
          <w:lang w:val="en-GB"/>
        </w:rPr>
        <w:t xml:space="preserve"> for two reasons. First, </w:t>
      </w:r>
      <w:r w:rsidRPr="00320075">
        <w:rPr>
          <w:lang w:val="en-GB"/>
        </w:rPr>
        <w:t xml:space="preserve">only few individuals showed </w:t>
      </w:r>
      <w:proofErr w:type="spellStart"/>
      <w:r w:rsidRPr="00320075">
        <w:rPr>
          <w:lang w:val="en-GB"/>
        </w:rPr>
        <w:t>thanatosis</w:t>
      </w:r>
      <w:proofErr w:type="spellEnd"/>
      <w:r w:rsidRPr="00320075">
        <w:rPr>
          <w:lang w:val="en-GB"/>
        </w:rPr>
        <w:t>, especially in the laboratory (Table S2</w:t>
      </w:r>
      <w:r>
        <w:rPr>
          <w:lang w:val="en-GB"/>
        </w:rPr>
        <w:t xml:space="preserve">). Second, </w:t>
      </w:r>
      <w:r w:rsidRPr="00320075">
        <w:rPr>
          <w:lang w:val="en-GB"/>
        </w:rPr>
        <w:t xml:space="preserve">the behaviour in the novel environment could have influenced subsequent </w:t>
      </w:r>
      <w:proofErr w:type="spellStart"/>
      <w:r w:rsidRPr="00320075">
        <w:rPr>
          <w:lang w:val="en-GB"/>
        </w:rPr>
        <w:t>thanatosis</w:t>
      </w:r>
      <w:proofErr w:type="spellEnd"/>
      <w:r w:rsidRPr="00320075">
        <w:rPr>
          <w:lang w:val="en-GB"/>
        </w:rPr>
        <w:t xml:space="preserve"> </w:t>
      </w:r>
      <w:r>
        <w:rPr>
          <w:lang w:val="en-GB"/>
        </w:rPr>
        <w:t>because</w:t>
      </w:r>
      <w:r w:rsidRPr="00320075">
        <w:rPr>
          <w:lang w:val="en-GB"/>
        </w:rPr>
        <w:t xml:space="preserve"> the novel environment and </w:t>
      </w:r>
      <w:proofErr w:type="spellStart"/>
      <w:r w:rsidRPr="00320075">
        <w:rPr>
          <w:lang w:val="en-GB"/>
        </w:rPr>
        <w:t>thanatosis</w:t>
      </w:r>
      <w:proofErr w:type="spellEnd"/>
      <w:r w:rsidRPr="00320075">
        <w:rPr>
          <w:lang w:val="en-GB"/>
        </w:rPr>
        <w:t xml:space="preserve"> tests were conduc</w:t>
      </w:r>
      <w:r>
        <w:rPr>
          <w:lang w:val="en-GB"/>
        </w:rPr>
        <w:t>ted directly after one another</w:t>
      </w:r>
      <w:r w:rsidRPr="00320075">
        <w:rPr>
          <w:lang w:val="en-GB"/>
        </w:rPr>
        <w:t>.</w:t>
      </w:r>
    </w:p>
    <w:p w:rsidR="006020CB" w:rsidRPr="00E75CAB" w:rsidRDefault="006020CB" w:rsidP="00660238">
      <w:pPr>
        <w:rPr>
          <w:sz w:val="12"/>
          <w:lang w:val="en-GB"/>
        </w:rPr>
      </w:pPr>
    </w:p>
    <w:p w:rsidR="006020CB" w:rsidRPr="00F76BE3" w:rsidRDefault="006020CB" w:rsidP="00660238">
      <w:pPr>
        <w:pStyle w:val="berschrift1"/>
        <w:rPr>
          <w:lang w:val="en-GB"/>
        </w:rPr>
      </w:pPr>
      <w:r>
        <w:rPr>
          <w:lang w:val="en-GB"/>
        </w:rPr>
        <w:t>Results</w:t>
      </w:r>
    </w:p>
    <w:p w:rsidR="00086CDE" w:rsidRPr="00660238" w:rsidRDefault="006020CB" w:rsidP="00660238">
      <w:pPr>
        <w:rPr>
          <w:rFonts w:ascii="Calibri" w:eastAsia="Times New Roman" w:hAnsi="Calibri" w:cs="Calibri"/>
          <w:color w:val="000000"/>
          <w:szCs w:val="24"/>
          <w:lang w:val="en-GB" w:eastAsia="de-DE"/>
        </w:rPr>
      </w:pPr>
      <w:r>
        <w:rPr>
          <w:lang w:val="en-GB"/>
        </w:rPr>
        <w:t>In the field, o</w:t>
      </w:r>
      <w:r w:rsidRPr="00537AF0">
        <w:rPr>
          <w:lang w:val="en-GB"/>
        </w:rPr>
        <w:t>nly 2</w:t>
      </w:r>
      <w:r>
        <w:rPr>
          <w:lang w:val="en-GB"/>
        </w:rPr>
        <w:t>1</w:t>
      </w:r>
      <w:r w:rsidRPr="00537AF0">
        <w:rPr>
          <w:lang w:val="en-GB"/>
        </w:rPr>
        <w:t xml:space="preserve">% </w:t>
      </w:r>
      <w:r>
        <w:rPr>
          <w:lang w:val="en-GB"/>
        </w:rPr>
        <w:t>(</w:t>
      </w:r>
      <w:r w:rsidRPr="00320075">
        <w:rPr>
          <w:i/>
          <w:lang w:val="en-GB"/>
        </w:rPr>
        <w:t>N</w:t>
      </w:r>
      <w:r>
        <w:rPr>
          <w:lang w:val="en-GB"/>
        </w:rPr>
        <w:t xml:space="preserve"> = 634) of the individuals (</w:t>
      </w:r>
      <w:r w:rsidRPr="004D5B37">
        <w:rPr>
          <w:i/>
          <w:lang w:val="en-GB"/>
        </w:rPr>
        <w:t>N</w:t>
      </w:r>
      <w:r>
        <w:rPr>
          <w:lang w:val="en-GB"/>
        </w:rPr>
        <w:t xml:space="preserve"> = 2956) </w:t>
      </w:r>
      <w:r w:rsidRPr="00537AF0">
        <w:rPr>
          <w:lang w:val="en-GB"/>
        </w:rPr>
        <w:t xml:space="preserve">showed </w:t>
      </w:r>
      <w:proofErr w:type="spellStart"/>
      <w:r w:rsidRPr="00537AF0">
        <w:rPr>
          <w:lang w:val="en-GB"/>
        </w:rPr>
        <w:t>thanatosis</w:t>
      </w:r>
      <w:proofErr w:type="spellEnd"/>
      <w:r w:rsidRPr="00537AF0">
        <w:rPr>
          <w:lang w:val="en-GB"/>
        </w:rPr>
        <w:t xml:space="preserve"> (</w:t>
      </w:r>
      <w:r>
        <w:rPr>
          <w:lang w:val="en-GB"/>
        </w:rPr>
        <w:t>Table S2</w:t>
      </w:r>
      <w:r w:rsidRPr="00537AF0">
        <w:rPr>
          <w:lang w:val="en-GB"/>
        </w:rPr>
        <w:t xml:space="preserve">). </w:t>
      </w:r>
      <w:proofErr w:type="spellStart"/>
      <w:r>
        <w:rPr>
          <w:lang w:val="en-GB"/>
        </w:rPr>
        <w:t>Thanatosis</w:t>
      </w:r>
      <w:proofErr w:type="spellEnd"/>
      <w:r>
        <w:rPr>
          <w:lang w:val="en-GB"/>
        </w:rPr>
        <w:t xml:space="preserve"> occurred most frequently within 5 s after the test start (</w:t>
      </w:r>
      <w:r w:rsidRPr="004D5B37">
        <w:rPr>
          <w:i/>
          <w:lang w:val="en-GB"/>
        </w:rPr>
        <w:t>N</w:t>
      </w:r>
      <w:r>
        <w:rPr>
          <w:lang w:val="en-GB"/>
        </w:rPr>
        <w:t xml:space="preserve"> = 427) and lasted on average 56.82 s </w:t>
      </w:r>
      <w:r w:rsidRPr="00F63EF8">
        <w:rPr>
          <w:lang w:val="en-GB"/>
        </w:rPr>
        <w:t>(</w:t>
      </w:r>
      <w:r w:rsidRPr="00F63EF8">
        <w:rPr>
          <w:lang w:val="en-GB"/>
        </w:rPr>
        <w:sym w:font="Symbol" w:char="F0B1"/>
      </w:r>
      <w:r>
        <w:rPr>
          <w:lang w:val="en-GB"/>
        </w:rPr>
        <w:t xml:space="preserve"> 1.34</w:t>
      </w:r>
      <w:r w:rsidRPr="00F63EF8">
        <w:rPr>
          <w:lang w:val="en-GB"/>
        </w:rPr>
        <w:t xml:space="preserve"> SE</w:t>
      </w:r>
      <w:r>
        <w:rPr>
          <w:lang w:val="en-GB"/>
        </w:rPr>
        <w:t xml:space="preserve">; </w:t>
      </w:r>
      <w:r w:rsidRPr="00320075">
        <w:rPr>
          <w:i/>
          <w:lang w:val="en-GB"/>
        </w:rPr>
        <w:t>N</w:t>
      </w:r>
      <w:r>
        <w:rPr>
          <w:lang w:val="en-GB"/>
        </w:rPr>
        <w:t xml:space="preserve"> = 634</w:t>
      </w:r>
      <w:r w:rsidRPr="00F63EF8">
        <w:rPr>
          <w:lang w:val="en-GB"/>
        </w:rPr>
        <w:t>)</w:t>
      </w:r>
      <w:r>
        <w:rPr>
          <w:lang w:val="en-GB"/>
        </w:rPr>
        <w:t>. Most</w:t>
      </w:r>
      <w:r w:rsidRPr="00537AF0">
        <w:rPr>
          <w:lang w:val="en-GB"/>
        </w:rPr>
        <w:t xml:space="preserve"> individuals that di</w:t>
      </w:r>
      <w:r w:rsidR="00E75CAB">
        <w:rPr>
          <w:lang w:val="en-GB"/>
        </w:rPr>
        <w:t xml:space="preserve">d not show </w:t>
      </w:r>
      <w:proofErr w:type="spellStart"/>
      <w:r w:rsidR="00E75CAB">
        <w:rPr>
          <w:lang w:val="en-GB"/>
        </w:rPr>
        <w:t>thanatosis</w:t>
      </w:r>
      <w:proofErr w:type="spellEnd"/>
      <w:r w:rsidR="00E75CAB">
        <w:rPr>
          <w:lang w:val="en-GB"/>
        </w:rPr>
        <w:t xml:space="preserve"> within 90</w:t>
      </w:r>
      <w:r w:rsidR="001B209F">
        <w:rPr>
          <w:lang w:val="en-GB"/>
        </w:rPr>
        <w:t> </w:t>
      </w:r>
      <w:r w:rsidRPr="00537AF0">
        <w:rPr>
          <w:lang w:val="en-GB"/>
        </w:rPr>
        <w:t>s (</w:t>
      </w:r>
      <w:r w:rsidRPr="004D5B37">
        <w:rPr>
          <w:i/>
          <w:lang w:val="en-GB"/>
        </w:rPr>
        <w:t>N</w:t>
      </w:r>
      <w:r w:rsidRPr="00537AF0">
        <w:rPr>
          <w:lang w:val="en-GB"/>
        </w:rPr>
        <w:t xml:space="preserve"> = </w:t>
      </w:r>
      <w:r>
        <w:rPr>
          <w:lang w:val="en-GB"/>
        </w:rPr>
        <w:t>2322</w:t>
      </w:r>
      <w:r w:rsidRPr="00537AF0">
        <w:rPr>
          <w:lang w:val="en-GB"/>
        </w:rPr>
        <w:t>) were able to turn themselves from the back onto their feet (</w:t>
      </w:r>
      <w:r w:rsidRPr="004D5B37">
        <w:rPr>
          <w:i/>
          <w:lang w:val="en-GB"/>
        </w:rPr>
        <w:t>N</w:t>
      </w:r>
      <w:r w:rsidRPr="00537AF0">
        <w:rPr>
          <w:lang w:val="en-GB"/>
        </w:rPr>
        <w:t xml:space="preserve"> = </w:t>
      </w:r>
      <w:r>
        <w:rPr>
          <w:lang w:val="en-GB"/>
        </w:rPr>
        <w:t>2147</w:t>
      </w:r>
      <w:r w:rsidRPr="00537AF0">
        <w:rPr>
          <w:lang w:val="en-GB"/>
        </w:rPr>
        <w:t xml:space="preserve">). </w:t>
      </w:r>
      <w:r w:rsidR="00A9180D" w:rsidRPr="005B0D13">
        <w:rPr>
          <w:lang w:val="en-GB"/>
        </w:rPr>
        <w:t xml:space="preserve">The more square visits an individual </w:t>
      </w:r>
      <w:r w:rsidR="009F61EF">
        <w:rPr>
          <w:lang w:val="en-GB"/>
        </w:rPr>
        <w:t>had</w:t>
      </w:r>
      <w:r w:rsidR="00A9180D" w:rsidRPr="005B0D13">
        <w:rPr>
          <w:lang w:val="en-GB"/>
        </w:rPr>
        <w:t xml:space="preserve">, the less likely it was to show </w:t>
      </w:r>
      <w:proofErr w:type="spellStart"/>
      <w:r w:rsidR="00A9180D" w:rsidRPr="005B0D13">
        <w:rPr>
          <w:lang w:val="en-GB"/>
        </w:rPr>
        <w:t>thanatosis</w:t>
      </w:r>
      <w:proofErr w:type="spellEnd"/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in all species except </w:t>
      </w:r>
      <w:r w:rsidRPr="00372ECF">
        <w:rPr>
          <w:rFonts w:ascii="Calibri" w:eastAsia="Times New Roman" w:hAnsi="Calibri" w:cs="Calibri"/>
          <w:i/>
          <w:color w:val="000000"/>
          <w:szCs w:val="24"/>
          <w:lang w:val="en-GB" w:eastAsia="de-DE"/>
        </w:rPr>
        <w:t xml:space="preserve">C. </w:t>
      </w:r>
      <w:proofErr w:type="spellStart"/>
      <w:r w:rsidRPr="00372ECF">
        <w:rPr>
          <w:rFonts w:ascii="Calibri" w:eastAsia="Times New Roman" w:hAnsi="Calibri" w:cs="Calibri"/>
          <w:i/>
          <w:color w:val="000000"/>
          <w:szCs w:val="24"/>
          <w:lang w:val="en-GB" w:eastAsia="de-DE"/>
        </w:rPr>
        <w:t>nemoralis</w:t>
      </w:r>
      <w:proofErr w:type="spellEnd"/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(Table </w:t>
      </w:r>
      <w:r w:rsidR="00C719D4">
        <w:rPr>
          <w:rFonts w:ascii="Calibri" w:eastAsia="Times New Roman" w:hAnsi="Calibri" w:cs="Calibri"/>
          <w:color w:val="000000"/>
          <w:szCs w:val="24"/>
          <w:lang w:val="en-GB" w:eastAsia="de-DE"/>
        </w:rPr>
        <w:t>S</w:t>
      </w:r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>3</w:t>
      </w:r>
      <w:r w:rsidR="00F42E1E">
        <w:rPr>
          <w:rFonts w:ascii="Calibri" w:eastAsia="Times New Roman" w:hAnsi="Calibri" w:cs="Calibri"/>
          <w:color w:val="000000"/>
          <w:szCs w:val="24"/>
          <w:lang w:val="en-GB" w:eastAsia="de-DE"/>
        </w:rPr>
        <w:t>;</w:t>
      </w:r>
      <w:bookmarkStart w:id="0" w:name="_GoBack"/>
      <w:bookmarkEnd w:id="0"/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Fig</w:t>
      </w:r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>.</w:t>
      </w:r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</w:t>
      </w:r>
      <w:r w:rsidR="00C719D4">
        <w:rPr>
          <w:rFonts w:ascii="Calibri" w:eastAsia="Times New Roman" w:hAnsi="Calibri" w:cs="Calibri"/>
          <w:color w:val="000000"/>
          <w:szCs w:val="24"/>
          <w:lang w:val="en-GB" w:eastAsia="de-DE"/>
        </w:rPr>
        <w:t>S1</w:t>
      </w:r>
      <w:r w:rsidR="00372ECF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A-D</w:t>
      </w:r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). The link between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>thanatosis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and the number of square visits</w:t>
      </w:r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>was independent of sex</w:t>
      </w:r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in all </w:t>
      </w:r>
      <w:r w:rsidR="009F61EF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four </w:t>
      </w:r>
      <w:r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species </w:t>
      </w:r>
      <w:r w:rsidRPr="00C719D4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(Table </w:t>
      </w:r>
      <w:r w:rsidR="00C719D4" w:rsidRPr="00C719D4">
        <w:rPr>
          <w:rFonts w:ascii="Calibri" w:eastAsia="Times New Roman" w:hAnsi="Calibri" w:cs="Calibri"/>
          <w:color w:val="000000"/>
          <w:szCs w:val="24"/>
          <w:lang w:val="en-GB" w:eastAsia="de-DE"/>
        </w:rPr>
        <w:t>S</w:t>
      </w:r>
      <w:r w:rsidRPr="00C719D4">
        <w:rPr>
          <w:rFonts w:ascii="Calibri" w:eastAsia="Times New Roman" w:hAnsi="Calibri" w:cs="Calibri"/>
          <w:color w:val="000000"/>
          <w:szCs w:val="24"/>
          <w:lang w:val="en-GB" w:eastAsia="de-DE"/>
        </w:rPr>
        <w:t>3).</w:t>
      </w:r>
      <w:r w:rsidRPr="00537AF0">
        <w:rPr>
          <w:rFonts w:ascii="Calibri" w:eastAsia="Times New Roman" w:hAnsi="Calibri" w:cs="Calibri"/>
          <w:color w:val="000000"/>
          <w:szCs w:val="24"/>
          <w:lang w:val="en-GB" w:eastAsia="de-DE"/>
        </w:rPr>
        <w:t xml:space="preserve"> </w:t>
      </w:r>
    </w:p>
    <w:p w:rsidR="005B0D13" w:rsidRPr="00086CDE" w:rsidRDefault="006020CB" w:rsidP="005B0D13">
      <w:pPr>
        <w:rPr>
          <w:lang w:val="en-GB"/>
        </w:rPr>
      </w:pPr>
      <w:r>
        <w:rPr>
          <w:lang w:val="en-GB"/>
        </w:rPr>
        <w:t>In the laboratory, only 3% on day 2 (</w:t>
      </w:r>
      <w:r w:rsidRPr="004D5B37">
        <w:rPr>
          <w:i/>
          <w:lang w:val="en-GB"/>
        </w:rPr>
        <w:t>N</w:t>
      </w:r>
      <w:r>
        <w:rPr>
          <w:lang w:val="en-GB"/>
        </w:rPr>
        <w:t xml:space="preserve"> = 24) and 4% on day 7 (</w:t>
      </w:r>
      <w:r w:rsidRPr="004D5B37">
        <w:rPr>
          <w:i/>
          <w:lang w:val="en-GB"/>
        </w:rPr>
        <w:t>N</w:t>
      </w:r>
      <w:r>
        <w:rPr>
          <w:lang w:val="en-GB"/>
        </w:rPr>
        <w:t xml:space="preserve"> = 28) of the individuals (</w:t>
      </w:r>
      <w:r w:rsidRPr="004D5B37">
        <w:rPr>
          <w:i/>
          <w:lang w:val="en-GB"/>
        </w:rPr>
        <w:t>N</w:t>
      </w:r>
      <w:r>
        <w:rPr>
          <w:lang w:val="en-GB"/>
        </w:rPr>
        <w:t xml:space="preserve"> = 767) showed </w:t>
      </w:r>
      <w:proofErr w:type="spellStart"/>
      <w:r>
        <w:rPr>
          <w:lang w:val="en-GB"/>
        </w:rPr>
        <w:t>thanatosis</w:t>
      </w:r>
      <w:proofErr w:type="spellEnd"/>
      <w:r>
        <w:rPr>
          <w:lang w:val="en-GB"/>
        </w:rPr>
        <w:t xml:space="preserve">. Again, individuals that showed no </w:t>
      </w:r>
      <w:proofErr w:type="spellStart"/>
      <w:r>
        <w:rPr>
          <w:lang w:val="en-GB"/>
        </w:rPr>
        <w:t>thanatosis</w:t>
      </w:r>
      <w:proofErr w:type="spellEnd"/>
      <w:r>
        <w:rPr>
          <w:lang w:val="en-GB"/>
        </w:rPr>
        <w:t xml:space="preserve"> had more square visits </w:t>
      </w:r>
      <w:r w:rsidRPr="00C719D4">
        <w:rPr>
          <w:lang w:val="en-GB"/>
        </w:rPr>
        <w:t xml:space="preserve">in the laboratory for both species tested (Table </w:t>
      </w:r>
      <w:r w:rsidR="00C719D4" w:rsidRPr="00C719D4">
        <w:rPr>
          <w:lang w:val="en-GB"/>
        </w:rPr>
        <w:t>S</w:t>
      </w:r>
      <w:r w:rsidRPr="00C719D4">
        <w:rPr>
          <w:lang w:val="en-GB"/>
        </w:rPr>
        <w:t xml:space="preserve">3; Fig. </w:t>
      </w:r>
      <w:r w:rsidR="00C719D4" w:rsidRPr="00C719D4">
        <w:rPr>
          <w:lang w:val="en-GB"/>
        </w:rPr>
        <w:t>S1</w:t>
      </w:r>
      <w:r w:rsidR="00372ECF">
        <w:rPr>
          <w:lang w:val="en-GB"/>
        </w:rPr>
        <w:t xml:space="preserve"> E-F</w:t>
      </w:r>
      <w:r w:rsidRPr="00C719D4">
        <w:rPr>
          <w:lang w:val="en-GB"/>
        </w:rPr>
        <w:t>).</w:t>
      </w:r>
    </w:p>
    <w:p w:rsidR="00E75CAB" w:rsidRDefault="00E75CAB" w:rsidP="00E75CAB">
      <w:pPr>
        <w:pStyle w:val="berschrift1"/>
        <w:rPr>
          <w:lang w:val="en-GB"/>
        </w:rPr>
      </w:pPr>
      <w:r>
        <w:rPr>
          <w:lang w:val="en-GB"/>
        </w:rPr>
        <w:t>References</w:t>
      </w:r>
    </w:p>
    <w:p w:rsidR="00E75CAB" w:rsidRPr="00E75CAB" w:rsidRDefault="00E75CAB" w:rsidP="00E75CAB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E75CAB">
        <w:t xml:space="preserve">Bleich, O. E. (1927). Thanatose und Hypnose bei Coleopteren. Experimentelle Untersuchungen. </w:t>
      </w:r>
      <w:r w:rsidRPr="00E75CAB">
        <w:rPr>
          <w:i/>
        </w:rPr>
        <w:t>Zeitschrift für Morphologie und Ökologie der Tiere, 10</w:t>
      </w:r>
      <w:r w:rsidRPr="00E75CAB">
        <w:t xml:space="preserve">, 1-61. </w:t>
      </w:r>
    </w:p>
    <w:p w:rsidR="00E75CAB" w:rsidRPr="00E75CAB" w:rsidRDefault="00E75CAB" w:rsidP="00E75CAB">
      <w:pPr>
        <w:pStyle w:val="EndNoteBibliography"/>
        <w:spacing w:after="0"/>
        <w:ind w:left="720" w:hanging="720"/>
      </w:pPr>
      <w:r w:rsidRPr="00E75CAB">
        <w:t xml:space="preserve">Edelaar, P., Serrano, D., Carrete, M., Blas, J., Potti, J., &amp; Luis Tella, J. (2012). Tonic immobility is a measure of boldness toward predators: an application of Bayesian structural equation modeling. </w:t>
      </w:r>
      <w:r w:rsidRPr="00E75CAB">
        <w:rPr>
          <w:i/>
        </w:rPr>
        <w:t>Behavioral Ecology, 23</w:t>
      </w:r>
      <w:r w:rsidRPr="00E75CAB">
        <w:t>(3), 619-626. doi: 10.1093/beheco/ars006</w:t>
      </w:r>
    </w:p>
    <w:p w:rsidR="00E75CAB" w:rsidRPr="00E75CAB" w:rsidRDefault="00E75CAB" w:rsidP="00E75CAB">
      <w:pPr>
        <w:pStyle w:val="EndNoteBibliography"/>
        <w:spacing w:after="0"/>
        <w:ind w:left="720" w:hanging="720"/>
      </w:pPr>
      <w:r w:rsidRPr="00E75CAB">
        <w:t xml:space="preserve">Nakayama, S., &amp; Miyatake, T. (2010). Genetic trade-off between abilities to avoid attack and to mate: a cost of tonic immobility. </w:t>
      </w:r>
      <w:r w:rsidRPr="00E75CAB">
        <w:rPr>
          <w:i/>
        </w:rPr>
        <w:t>Biology Letters, 6</w:t>
      </w:r>
      <w:r w:rsidRPr="00E75CAB">
        <w:t>(1), 18-20. doi: 10.1098/rsbl.2009.0494</w:t>
      </w:r>
    </w:p>
    <w:p w:rsidR="00E75CAB" w:rsidRPr="00E75CAB" w:rsidRDefault="00E75CAB" w:rsidP="00E75CAB">
      <w:pPr>
        <w:pStyle w:val="EndNoteBibliography"/>
        <w:ind w:left="720" w:hanging="720"/>
      </w:pPr>
      <w:r w:rsidRPr="00E75CAB">
        <w:t xml:space="preserve">Rogers, S. M., &amp; Simpson, S. J. (2014). Thanatosis. </w:t>
      </w:r>
      <w:r w:rsidRPr="00E75CAB">
        <w:rPr>
          <w:i/>
        </w:rPr>
        <w:t>Current Biology, 24</w:t>
      </w:r>
      <w:r w:rsidRPr="00E75CAB">
        <w:t>(21), R1031-R1033. doi: 10.1016/j.cub.2014.08.051</w:t>
      </w:r>
    </w:p>
    <w:p w:rsidR="006020CB" w:rsidRDefault="00E75CAB" w:rsidP="00660238">
      <w:pPr>
        <w:rPr>
          <w:lang w:val="en-GB"/>
        </w:rPr>
      </w:pPr>
      <w:r>
        <w:rPr>
          <w:lang w:val="en-GB"/>
        </w:rPr>
        <w:fldChar w:fldCharType="end"/>
      </w:r>
    </w:p>
    <w:sectPr w:rsidR="006020CB" w:rsidSect="0030461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5F" w:rsidRDefault="0066755F">
      <w:pPr>
        <w:spacing w:after="0" w:line="240" w:lineRule="auto"/>
      </w:pPr>
      <w:r>
        <w:separator/>
      </w:r>
    </w:p>
  </w:endnote>
  <w:endnote w:type="continuationSeparator" w:id="0">
    <w:p w:rsidR="0066755F" w:rsidRDefault="0066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236023"/>
      <w:docPartObj>
        <w:docPartGallery w:val="Page Numbers (Bottom of Page)"/>
        <w:docPartUnique/>
      </w:docPartObj>
    </w:sdtPr>
    <w:sdtEndPr/>
    <w:sdtContent>
      <w:p w:rsidR="00304617" w:rsidRDefault="003046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1E">
          <w:rPr>
            <w:noProof/>
          </w:rPr>
          <w:t>1</w:t>
        </w:r>
        <w:r>
          <w:fldChar w:fldCharType="end"/>
        </w:r>
      </w:p>
    </w:sdtContent>
  </w:sdt>
  <w:p w:rsidR="00304617" w:rsidRDefault="003046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5F" w:rsidRDefault="0066755F">
      <w:pPr>
        <w:spacing w:after="0" w:line="240" w:lineRule="auto"/>
      </w:pPr>
      <w:r>
        <w:separator/>
      </w:r>
    </w:p>
  </w:footnote>
  <w:footnote w:type="continuationSeparator" w:id="0">
    <w:p w:rsidR="0066755F" w:rsidRDefault="00667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 Behaviour - Kopie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da2tfvevpdabeerwsxerf10pa0seee0efa&quot;&gt;MS_Karabiden-Urbanisierung-Persönlichkeit_WS3&lt;record-ids&gt;&lt;item&gt;11&lt;/item&gt;&lt;item&gt;26&lt;/item&gt;&lt;item&gt;74&lt;/item&gt;&lt;item&gt;201&lt;/item&gt;&lt;/record-ids&gt;&lt;/item&gt;&lt;/Libraries&gt;"/>
  </w:docVars>
  <w:rsids>
    <w:rsidRoot w:val="00AA4ED0"/>
    <w:rsid w:val="00086CDE"/>
    <w:rsid w:val="000E7986"/>
    <w:rsid w:val="0012326C"/>
    <w:rsid w:val="001A30E4"/>
    <w:rsid w:val="001B209F"/>
    <w:rsid w:val="001B39CB"/>
    <w:rsid w:val="00296D0F"/>
    <w:rsid w:val="00304617"/>
    <w:rsid w:val="00320075"/>
    <w:rsid w:val="00372ECF"/>
    <w:rsid w:val="003E1353"/>
    <w:rsid w:val="003E5F06"/>
    <w:rsid w:val="00516C91"/>
    <w:rsid w:val="005B0D13"/>
    <w:rsid w:val="006020CB"/>
    <w:rsid w:val="006103E6"/>
    <w:rsid w:val="00644CB6"/>
    <w:rsid w:val="006517FA"/>
    <w:rsid w:val="00660238"/>
    <w:rsid w:val="0066755F"/>
    <w:rsid w:val="00931394"/>
    <w:rsid w:val="0099577D"/>
    <w:rsid w:val="009C797C"/>
    <w:rsid w:val="009F61EF"/>
    <w:rsid w:val="00A9180D"/>
    <w:rsid w:val="00AA4ED0"/>
    <w:rsid w:val="00B40AA5"/>
    <w:rsid w:val="00BF100D"/>
    <w:rsid w:val="00C437BC"/>
    <w:rsid w:val="00C46D4F"/>
    <w:rsid w:val="00C70B54"/>
    <w:rsid w:val="00C719D4"/>
    <w:rsid w:val="00CD3532"/>
    <w:rsid w:val="00E078D0"/>
    <w:rsid w:val="00E75CAB"/>
    <w:rsid w:val="00F003DF"/>
    <w:rsid w:val="00F42E1E"/>
    <w:rsid w:val="00F76BE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57FD-1210-417B-9D2E-15946CA8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394"/>
    <w:pPr>
      <w:spacing w:after="200" w:line="360" w:lineRule="auto"/>
      <w:jc w:val="both"/>
    </w:pPr>
    <w:rPr>
      <w:rFonts w:eastAsia="MS Mincho" w:cs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1394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7B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4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394"/>
    <w:rPr>
      <w:rFonts w:eastAsiaTheme="majorEastAsia" w:cstheme="minorHAnsi"/>
      <w:b/>
      <w:bCs/>
      <w:color w:val="000000" w:themeColor="text1"/>
      <w:sz w:val="24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931394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3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394"/>
    <w:rPr>
      <w:rFonts w:eastAsia="MS Mincho" w:cstheme="minorHAnsi"/>
      <w:sz w:val="24"/>
    </w:rPr>
  </w:style>
  <w:style w:type="paragraph" w:customStyle="1" w:styleId="Tabelle">
    <w:name w:val="Tabelle"/>
    <w:basedOn w:val="Standard"/>
    <w:link w:val="TabelleZchn"/>
    <w:qFormat/>
    <w:rsid w:val="00931394"/>
    <w:pPr>
      <w:spacing w:before="40" w:after="40" w:line="240" w:lineRule="auto"/>
      <w:jc w:val="left"/>
    </w:pPr>
    <w:rPr>
      <w:rFonts w:eastAsia="Times New Roman" w:cs="Times New Roman"/>
      <w:color w:val="000000"/>
      <w:sz w:val="22"/>
    </w:rPr>
  </w:style>
  <w:style w:type="character" w:customStyle="1" w:styleId="TabelleZchn">
    <w:name w:val="Tabelle Zchn"/>
    <w:basedOn w:val="Absatz-Standardschriftart"/>
    <w:link w:val="Tabelle"/>
    <w:rsid w:val="00931394"/>
    <w:rPr>
      <w:rFonts w:eastAsia="Times New Roman" w:cs="Times New Roman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7BC"/>
    <w:rPr>
      <w:rFonts w:eastAsiaTheme="majorEastAsia" w:cstheme="majorBidi"/>
      <w:b/>
      <w:color w:val="000000" w:themeColor="text1"/>
      <w:sz w:val="24"/>
      <w:szCs w:val="24"/>
      <w:lang w:val="en-GB"/>
    </w:rPr>
  </w:style>
  <w:style w:type="paragraph" w:customStyle="1" w:styleId="Formatvorlage1">
    <w:name w:val="Formatvorlage1"/>
    <w:basedOn w:val="Kommentartext"/>
    <w:link w:val="Formatvorlage1Zchn"/>
    <w:qFormat/>
    <w:rsid w:val="00C437BC"/>
  </w:style>
  <w:style w:type="character" w:customStyle="1" w:styleId="Formatvorlage1Zchn">
    <w:name w:val="Formatvorlage1 Zchn"/>
    <w:basedOn w:val="KommentartextZchn"/>
    <w:link w:val="Formatvorlage1"/>
    <w:rsid w:val="00C437BC"/>
    <w:rPr>
      <w:rFonts w:eastAsia="MS Mincho" w:cs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7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7BC"/>
    <w:rPr>
      <w:rFonts w:eastAsia="MS Mincho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3DF"/>
    <w:rPr>
      <w:rFonts w:ascii="Segoe UI" w:eastAsia="MS Mincho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617"/>
    <w:rPr>
      <w:rFonts w:eastAsia="MS Mincho" w:cstheme="minorHAnsi"/>
      <w:sz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E75CA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75CAB"/>
    <w:rPr>
      <w:rFonts w:ascii="Calibri" w:eastAsia="MS Mincho" w:hAnsi="Calibri" w:cstheme="minorHAnsi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75CA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75CAB"/>
    <w:rPr>
      <w:rFonts w:ascii="Calibri" w:eastAsia="MS Mincho" w:hAnsi="Calibri" w:cstheme="minorHAns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15</cp:revision>
  <cp:lastPrinted>2017-12-29T11:35:00Z</cp:lastPrinted>
  <dcterms:created xsi:type="dcterms:W3CDTF">2017-11-20T19:09:00Z</dcterms:created>
  <dcterms:modified xsi:type="dcterms:W3CDTF">2017-12-29T15:09:00Z</dcterms:modified>
</cp:coreProperties>
</file>