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0A" w:rsidRDefault="004F1C0A" w:rsidP="004F1C0A">
      <w:pPr>
        <w:pStyle w:val="Heading2"/>
        <w:widowControl w:val="0"/>
      </w:pPr>
      <w:r>
        <w:t>Appendix: Additional analyses</w:t>
      </w:r>
    </w:p>
    <w:p w:rsidR="004F1C0A" w:rsidRDefault="004F1C0A" w:rsidP="004F1C0A">
      <w:pPr>
        <w:pStyle w:val="Heading2"/>
      </w:pPr>
      <w:bookmarkStart w:id="0" w:name="_l69mf4joq5om" w:colFirst="0" w:colLast="0"/>
      <w:bookmarkEnd w:id="0"/>
      <w:r>
        <w:t>How does Open Access vary by repository?</w:t>
      </w:r>
    </w:p>
    <w:p w:rsidR="004F1C0A" w:rsidRDefault="004F1C0A" w:rsidP="004F1C0A">
      <w:pPr>
        <w:pStyle w:val="normal0"/>
      </w:pPr>
      <w:r>
        <w:t>Which repositories host the papers that are available only through repositories? We looked at all papers published between 1950 and 2015, and found that PMC is most common, hosting almost a third of all such content, as shown in Table A1.</w:t>
      </w:r>
    </w:p>
    <w:p w:rsidR="004F1C0A" w:rsidRDefault="004F1C0A" w:rsidP="004F1C0A">
      <w:pPr>
        <w:pStyle w:val="norm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F1C0A" w:rsidTr="00F90CBD">
        <w:tc>
          <w:tcPr>
            <w:tcW w:w="3120" w:type="dxa"/>
            <w:tcMar>
              <w:top w:w="100" w:type="dxa"/>
              <w:left w:w="100" w:type="dxa"/>
              <w:bottom w:w="100" w:type="dxa"/>
              <w:right w:w="100" w:type="dxa"/>
            </w:tcMar>
          </w:tcPr>
          <w:p w:rsidR="004F1C0A" w:rsidRDefault="004F1C0A" w:rsidP="00F90CBD">
            <w:pPr>
              <w:pStyle w:val="normal0"/>
              <w:widowControl w:val="0"/>
              <w:spacing w:line="240" w:lineRule="auto"/>
            </w:pPr>
            <w:r>
              <w:t>Repository</w:t>
            </w:r>
          </w:p>
        </w:tc>
        <w:tc>
          <w:tcPr>
            <w:tcW w:w="3120" w:type="dxa"/>
            <w:tcMar>
              <w:top w:w="100" w:type="dxa"/>
              <w:left w:w="100" w:type="dxa"/>
              <w:bottom w:w="100" w:type="dxa"/>
              <w:right w:w="100" w:type="dxa"/>
            </w:tcMar>
          </w:tcPr>
          <w:p w:rsidR="004F1C0A" w:rsidRDefault="004F1C0A" w:rsidP="00F90CBD">
            <w:pPr>
              <w:pStyle w:val="normal0"/>
              <w:widowControl w:val="0"/>
              <w:spacing w:line="240" w:lineRule="auto"/>
            </w:pPr>
            <w:r>
              <w:t>n</w:t>
            </w:r>
          </w:p>
        </w:tc>
        <w:tc>
          <w:tcPr>
            <w:tcW w:w="3120" w:type="dxa"/>
            <w:tcMar>
              <w:top w:w="100" w:type="dxa"/>
              <w:left w:w="100" w:type="dxa"/>
              <w:bottom w:w="100" w:type="dxa"/>
              <w:right w:w="100" w:type="dxa"/>
            </w:tcMar>
          </w:tcPr>
          <w:p w:rsidR="004F1C0A" w:rsidRDefault="004F1C0A" w:rsidP="00F90CBD">
            <w:pPr>
              <w:pStyle w:val="normal0"/>
              <w:widowControl w:val="0"/>
              <w:spacing w:line="240" w:lineRule="auto"/>
            </w:pPr>
            <w:r>
              <w:t>percent</w:t>
            </w:r>
          </w:p>
        </w:tc>
      </w:tr>
      <w:tr w:rsidR="004F1C0A" w:rsidTr="00F90CBD">
        <w:tc>
          <w:tcPr>
            <w:tcW w:w="3120" w:type="dxa"/>
            <w:tcMar>
              <w:top w:w="100" w:type="dxa"/>
              <w:left w:w="100" w:type="dxa"/>
              <w:bottom w:w="100" w:type="dxa"/>
              <w:right w:w="100" w:type="dxa"/>
            </w:tcMar>
          </w:tcPr>
          <w:p w:rsidR="004F1C0A" w:rsidRDefault="004F1C0A" w:rsidP="00F90CBD">
            <w:pPr>
              <w:pStyle w:val="normal0"/>
              <w:widowControl w:val="0"/>
              <w:spacing w:line="240" w:lineRule="auto"/>
            </w:pPr>
            <w:r>
              <w:t>PMC</w:t>
            </w:r>
          </w:p>
        </w:tc>
        <w:tc>
          <w:tcPr>
            <w:tcW w:w="3120" w:type="dxa"/>
            <w:tcMar>
              <w:top w:w="100" w:type="dxa"/>
              <w:left w:w="100" w:type="dxa"/>
              <w:bottom w:w="100" w:type="dxa"/>
              <w:right w:w="100" w:type="dxa"/>
            </w:tcMar>
          </w:tcPr>
          <w:p w:rsidR="004F1C0A" w:rsidRDefault="004F1C0A" w:rsidP="00F90CBD">
            <w:pPr>
              <w:pStyle w:val="normal0"/>
              <w:widowControl w:val="0"/>
              <w:spacing w:line="240" w:lineRule="auto"/>
            </w:pPr>
            <w:r>
              <w:t>1315</w:t>
            </w:r>
          </w:p>
        </w:tc>
        <w:tc>
          <w:tcPr>
            <w:tcW w:w="3120" w:type="dxa"/>
            <w:tcMar>
              <w:top w:w="100" w:type="dxa"/>
              <w:left w:w="100" w:type="dxa"/>
              <w:bottom w:w="100" w:type="dxa"/>
              <w:right w:w="100" w:type="dxa"/>
            </w:tcMar>
          </w:tcPr>
          <w:p w:rsidR="004F1C0A" w:rsidRDefault="004F1C0A" w:rsidP="00F90CBD">
            <w:pPr>
              <w:pStyle w:val="normal0"/>
              <w:widowControl w:val="0"/>
              <w:spacing w:line="240" w:lineRule="auto"/>
            </w:pPr>
            <w:r>
              <w:t>31.0</w:t>
            </w:r>
          </w:p>
        </w:tc>
      </w:tr>
      <w:tr w:rsidR="004F1C0A" w:rsidTr="00F90CBD">
        <w:tc>
          <w:tcPr>
            <w:tcW w:w="3120" w:type="dxa"/>
            <w:tcMar>
              <w:top w:w="100" w:type="dxa"/>
              <w:left w:w="100" w:type="dxa"/>
              <w:bottom w:w="100" w:type="dxa"/>
              <w:right w:w="100" w:type="dxa"/>
            </w:tcMar>
          </w:tcPr>
          <w:p w:rsidR="004F1C0A" w:rsidRDefault="004F1C0A" w:rsidP="00F90CBD">
            <w:pPr>
              <w:pStyle w:val="normal0"/>
              <w:widowControl w:val="0"/>
              <w:spacing w:line="240" w:lineRule="auto"/>
            </w:pPr>
            <w:r>
              <w:t>ArXiv</w:t>
            </w:r>
          </w:p>
        </w:tc>
        <w:tc>
          <w:tcPr>
            <w:tcW w:w="3120" w:type="dxa"/>
            <w:tcMar>
              <w:top w:w="100" w:type="dxa"/>
              <w:left w:w="100" w:type="dxa"/>
              <w:bottom w:w="100" w:type="dxa"/>
              <w:right w:w="100" w:type="dxa"/>
            </w:tcMar>
          </w:tcPr>
          <w:p w:rsidR="004F1C0A" w:rsidRDefault="004F1C0A" w:rsidP="00F90CBD">
            <w:pPr>
              <w:pStyle w:val="normal0"/>
              <w:widowControl w:val="0"/>
              <w:spacing w:line="240" w:lineRule="auto"/>
            </w:pPr>
            <w:r>
              <w:t>651</w:t>
            </w:r>
          </w:p>
        </w:tc>
        <w:tc>
          <w:tcPr>
            <w:tcW w:w="3120" w:type="dxa"/>
            <w:tcMar>
              <w:top w:w="100" w:type="dxa"/>
              <w:left w:w="100" w:type="dxa"/>
              <w:bottom w:w="100" w:type="dxa"/>
              <w:right w:w="100" w:type="dxa"/>
            </w:tcMar>
          </w:tcPr>
          <w:p w:rsidR="004F1C0A" w:rsidRDefault="004F1C0A" w:rsidP="00F90CBD">
            <w:pPr>
              <w:pStyle w:val="normal0"/>
              <w:widowControl w:val="0"/>
              <w:spacing w:line="240" w:lineRule="auto"/>
            </w:pPr>
            <w:r>
              <w:t>15.4</w:t>
            </w:r>
          </w:p>
        </w:tc>
      </w:tr>
      <w:tr w:rsidR="004F1C0A" w:rsidTr="00F90CBD">
        <w:tc>
          <w:tcPr>
            <w:tcW w:w="3120" w:type="dxa"/>
            <w:tcMar>
              <w:top w:w="100" w:type="dxa"/>
              <w:left w:w="100" w:type="dxa"/>
              <w:bottom w:w="100" w:type="dxa"/>
              <w:right w:w="100" w:type="dxa"/>
            </w:tcMar>
          </w:tcPr>
          <w:p w:rsidR="004F1C0A" w:rsidRDefault="004F1C0A" w:rsidP="00F90CBD">
            <w:pPr>
              <w:pStyle w:val="normal0"/>
              <w:widowControl w:val="0"/>
              <w:spacing w:line="240" w:lineRule="auto"/>
            </w:pPr>
            <w:r>
              <w:t>domain ending in .edu</w:t>
            </w:r>
          </w:p>
        </w:tc>
        <w:tc>
          <w:tcPr>
            <w:tcW w:w="3120" w:type="dxa"/>
            <w:tcMar>
              <w:top w:w="100" w:type="dxa"/>
              <w:left w:w="100" w:type="dxa"/>
              <w:bottom w:w="100" w:type="dxa"/>
              <w:right w:w="100" w:type="dxa"/>
            </w:tcMar>
          </w:tcPr>
          <w:p w:rsidR="004F1C0A" w:rsidRDefault="004F1C0A" w:rsidP="00F90CBD">
            <w:pPr>
              <w:pStyle w:val="normal0"/>
              <w:widowControl w:val="0"/>
              <w:spacing w:line="240" w:lineRule="auto"/>
            </w:pPr>
            <w:r>
              <w:t>1161</w:t>
            </w:r>
          </w:p>
        </w:tc>
        <w:tc>
          <w:tcPr>
            <w:tcW w:w="3120" w:type="dxa"/>
            <w:tcMar>
              <w:top w:w="100" w:type="dxa"/>
              <w:left w:w="100" w:type="dxa"/>
              <w:bottom w:w="100" w:type="dxa"/>
              <w:right w:w="100" w:type="dxa"/>
            </w:tcMar>
          </w:tcPr>
          <w:p w:rsidR="004F1C0A" w:rsidRDefault="004F1C0A" w:rsidP="00F90CBD">
            <w:pPr>
              <w:pStyle w:val="normal0"/>
              <w:widowControl w:val="0"/>
              <w:spacing w:line="240" w:lineRule="auto"/>
            </w:pPr>
            <w:r>
              <w:t>27.4</w:t>
            </w:r>
          </w:p>
        </w:tc>
      </w:tr>
      <w:tr w:rsidR="004F1C0A" w:rsidTr="00F90CBD">
        <w:tc>
          <w:tcPr>
            <w:tcW w:w="3120" w:type="dxa"/>
            <w:tcMar>
              <w:top w:w="100" w:type="dxa"/>
              <w:left w:w="100" w:type="dxa"/>
              <w:bottom w:w="100" w:type="dxa"/>
              <w:right w:w="100" w:type="dxa"/>
            </w:tcMar>
          </w:tcPr>
          <w:p w:rsidR="004F1C0A" w:rsidRDefault="004F1C0A" w:rsidP="00F90CBD">
            <w:pPr>
              <w:pStyle w:val="normal0"/>
              <w:widowControl w:val="0"/>
              <w:spacing w:line="240" w:lineRule="auto"/>
            </w:pPr>
            <w:r>
              <w:t>other</w:t>
            </w:r>
          </w:p>
        </w:tc>
        <w:tc>
          <w:tcPr>
            <w:tcW w:w="3120" w:type="dxa"/>
            <w:tcMar>
              <w:top w:w="100" w:type="dxa"/>
              <w:left w:w="100" w:type="dxa"/>
              <w:bottom w:w="100" w:type="dxa"/>
              <w:right w:w="100" w:type="dxa"/>
            </w:tcMar>
          </w:tcPr>
          <w:p w:rsidR="004F1C0A" w:rsidRDefault="004F1C0A" w:rsidP="00F90CBD">
            <w:pPr>
              <w:pStyle w:val="normal0"/>
              <w:widowControl w:val="0"/>
              <w:spacing w:line="240" w:lineRule="auto"/>
            </w:pPr>
            <w:r>
              <w:t>1110</w:t>
            </w:r>
          </w:p>
        </w:tc>
        <w:tc>
          <w:tcPr>
            <w:tcW w:w="3120" w:type="dxa"/>
            <w:tcMar>
              <w:top w:w="100" w:type="dxa"/>
              <w:left w:w="100" w:type="dxa"/>
              <w:bottom w:w="100" w:type="dxa"/>
              <w:right w:w="100" w:type="dxa"/>
            </w:tcMar>
          </w:tcPr>
          <w:p w:rsidR="004F1C0A" w:rsidRDefault="004F1C0A" w:rsidP="00F90CBD">
            <w:pPr>
              <w:pStyle w:val="normal0"/>
              <w:widowControl w:val="0"/>
              <w:spacing w:line="240" w:lineRule="auto"/>
            </w:pPr>
            <w:r>
              <w:t>26.2</w:t>
            </w:r>
          </w:p>
        </w:tc>
      </w:tr>
    </w:tbl>
    <w:p w:rsidR="004F1C0A" w:rsidRDefault="004F1C0A" w:rsidP="004F1C0A">
      <w:pPr>
        <w:pStyle w:val="normal0"/>
      </w:pPr>
      <w:r>
        <w:rPr>
          <w:b/>
        </w:rPr>
        <w:t>Table A1: Proportion of articles with OA copies found from a sample of articles published since 2009, by publisher.</w:t>
      </w:r>
    </w:p>
    <w:p w:rsidR="004F1C0A" w:rsidRDefault="004F1C0A" w:rsidP="004F1C0A">
      <w:pPr>
        <w:pStyle w:val="normal0"/>
      </w:pPr>
    </w:p>
    <w:p w:rsidR="004F1C0A" w:rsidRDefault="004F1C0A" w:rsidP="004F1C0A">
      <w:pPr>
        <w:pStyle w:val="normal0"/>
      </w:pPr>
      <w:r>
        <w:t xml:space="preserve">Furthermore, the role of PMC is even more dominant for more recently published papers, relative to other repositories, as seen in Figure A1. </w:t>
      </w:r>
    </w:p>
    <w:p w:rsidR="004F1C0A" w:rsidRDefault="004F1C0A" w:rsidP="004F1C0A">
      <w:pPr>
        <w:pStyle w:val="normal0"/>
      </w:pPr>
      <w:r>
        <w:rPr>
          <w:noProof/>
          <w:lang w:val="en-US"/>
        </w:rPr>
        <w:drawing>
          <wp:inline distT="114300" distB="114300" distL="114300" distR="114300" wp14:anchorId="3145989E" wp14:editId="55FCBE1D">
            <wp:extent cx="5256612" cy="3243263"/>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5256612" cy="3243263"/>
                    </a:xfrm>
                    <a:prstGeom prst="rect">
                      <a:avLst/>
                    </a:prstGeom>
                    <a:ln/>
                  </pic:spPr>
                </pic:pic>
              </a:graphicData>
            </a:graphic>
          </wp:inline>
        </w:drawing>
      </w:r>
    </w:p>
    <w:p w:rsidR="004F1C0A" w:rsidRDefault="004F1C0A" w:rsidP="004F1C0A">
      <w:pPr>
        <w:pStyle w:val="normal0"/>
        <w:rPr>
          <w:b/>
        </w:rPr>
      </w:pPr>
      <w:r>
        <w:rPr>
          <w:b/>
        </w:rPr>
        <w:t>Figure A1: Number of articles found only in repositories from a sample of 100,000 journal articles, by year of publication, as measured in 2017.</w:t>
      </w:r>
    </w:p>
    <w:p w:rsidR="004F1C0A" w:rsidRDefault="004F1C0A" w:rsidP="004F1C0A">
      <w:pPr>
        <w:pStyle w:val="normal0"/>
        <w:rPr>
          <w:b/>
        </w:rPr>
      </w:pPr>
    </w:p>
    <w:p w:rsidR="004F1C0A" w:rsidRDefault="004F1C0A" w:rsidP="004F1C0A">
      <w:pPr>
        <w:pStyle w:val="normal0"/>
      </w:pPr>
      <w:r>
        <w:lastRenderedPageBreak/>
        <w:t>Analyses performed in the main paper have considered papers in repositories only when they are not available for free on the publisher site. Figure A2 and A3 remove this restriction, counting all papers that have been deposited into repositories, regardless of Gold OA status. We can see that by this more permissive definition of Green, Green OA is more common for recently published papers in both absolute and proportional numbers.</w:t>
      </w:r>
    </w:p>
    <w:p w:rsidR="004F1C0A" w:rsidRDefault="004F1C0A" w:rsidP="004F1C0A">
      <w:pPr>
        <w:pStyle w:val="Heading3"/>
      </w:pPr>
      <w:bookmarkStart w:id="1" w:name="_63wlxsj6cu82" w:colFirst="0" w:colLast="0"/>
      <w:bookmarkEnd w:id="1"/>
      <w:r>
        <w:rPr>
          <w:noProof/>
          <w:lang w:val="en-US"/>
        </w:rPr>
        <w:drawing>
          <wp:inline distT="114300" distB="114300" distL="114300" distR="114300" wp14:anchorId="5C163AC5" wp14:editId="5BD98868">
            <wp:extent cx="5943600" cy="3670300"/>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
                    <a:srcRect/>
                    <a:stretch>
                      <a:fillRect/>
                    </a:stretch>
                  </pic:blipFill>
                  <pic:spPr>
                    <a:xfrm>
                      <a:off x="0" y="0"/>
                      <a:ext cx="5943600" cy="3670300"/>
                    </a:xfrm>
                    <a:prstGeom prst="rect">
                      <a:avLst/>
                    </a:prstGeom>
                    <a:ln/>
                  </pic:spPr>
                </pic:pic>
              </a:graphicData>
            </a:graphic>
          </wp:inline>
        </w:drawing>
      </w:r>
    </w:p>
    <w:p w:rsidR="004F1C0A" w:rsidRDefault="004F1C0A" w:rsidP="004F1C0A">
      <w:pPr>
        <w:pStyle w:val="normal0"/>
      </w:pPr>
      <w:r>
        <w:rPr>
          <w:b/>
        </w:rPr>
        <w:t>Figure A2: Number of articles found in repositories from a sample of 100,000 journal articles, by year of publication, as measured in 2017.</w:t>
      </w:r>
    </w:p>
    <w:p w:rsidR="004F1C0A" w:rsidRDefault="004F1C0A" w:rsidP="004F1C0A">
      <w:pPr>
        <w:pStyle w:val="normal0"/>
      </w:pPr>
    </w:p>
    <w:p w:rsidR="004F1C0A" w:rsidRDefault="004F1C0A" w:rsidP="004F1C0A">
      <w:pPr>
        <w:pStyle w:val="Heading3"/>
      </w:pPr>
      <w:bookmarkStart w:id="2" w:name="_77sh2bq7fi5p" w:colFirst="0" w:colLast="0"/>
      <w:bookmarkEnd w:id="2"/>
      <w:r>
        <w:rPr>
          <w:noProof/>
          <w:lang w:val="en-US"/>
        </w:rPr>
        <w:drawing>
          <wp:inline distT="114300" distB="114300" distL="114300" distR="114300" wp14:anchorId="4352ECC0" wp14:editId="5F515BF6">
            <wp:extent cx="5943600" cy="367030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5943600" cy="3670300"/>
                    </a:xfrm>
                    <a:prstGeom prst="rect">
                      <a:avLst/>
                    </a:prstGeom>
                    <a:ln/>
                  </pic:spPr>
                </pic:pic>
              </a:graphicData>
            </a:graphic>
          </wp:inline>
        </w:drawing>
      </w:r>
    </w:p>
    <w:p w:rsidR="004F1C0A" w:rsidRDefault="004F1C0A" w:rsidP="004F1C0A">
      <w:pPr>
        <w:pStyle w:val="normal0"/>
      </w:pPr>
      <w:r>
        <w:rPr>
          <w:b/>
        </w:rPr>
        <w:t>Figure A3: Proportion of articles found in repositories from a sample of 100,000 journal articles, by year of publication, as measured in 2017.</w:t>
      </w:r>
    </w:p>
    <w:p w:rsidR="004F1C0A" w:rsidRDefault="004F1C0A" w:rsidP="004F1C0A">
      <w:pPr>
        <w:pStyle w:val="normal0"/>
      </w:pPr>
    </w:p>
    <w:p w:rsidR="004F1C0A" w:rsidRDefault="004F1C0A" w:rsidP="004F1C0A">
      <w:pPr>
        <w:pStyle w:val="Heading3"/>
      </w:pPr>
      <w:bookmarkStart w:id="3" w:name="_twqt9grl1zl" w:colFirst="0" w:colLast="0"/>
      <w:bookmarkEnd w:id="3"/>
    </w:p>
    <w:p w:rsidR="004F1C0A" w:rsidRDefault="004F1C0A" w:rsidP="004F1C0A">
      <w:pPr>
        <w:pStyle w:val="Heading3"/>
      </w:pPr>
      <w:bookmarkStart w:id="4" w:name="_ebb0y0bah5lp" w:colFirst="0" w:colLast="0"/>
      <w:bookmarkEnd w:id="4"/>
      <w:r>
        <w:br w:type="page"/>
      </w:r>
    </w:p>
    <w:p w:rsidR="004F1C0A" w:rsidRDefault="004F1C0A" w:rsidP="004F1C0A">
      <w:pPr>
        <w:pStyle w:val="Heading3"/>
      </w:pPr>
      <w:bookmarkStart w:id="5" w:name="_rjr5ydeet6qx" w:colFirst="0" w:colLast="0"/>
      <w:bookmarkEnd w:id="5"/>
      <w:r>
        <w:t>What are the most common Open Access licenses?</w:t>
      </w:r>
    </w:p>
    <w:p w:rsidR="004F1C0A" w:rsidRDefault="004F1C0A" w:rsidP="004F1C0A">
      <w:pPr>
        <w:pStyle w:val="normal0"/>
      </w:pPr>
      <w:r>
        <w:t xml:space="preserve">We found a license for only 14.8% of open access articles. When a license was found, in more than half the cases it was CC-BY, a trend which increases slightly by year of publication, as shown in Figure A4. </w:t>
      </w:r>
    </w:p>
    <w:p w:rsidR="004F1C0A" w:rsidRDefault="004F1C0A" w:rsidP="004F1C0A">
      <w:pPr>
        <w:pStyle w:val="normal0"/>
      </w:pPr>
      <w:r>
        <w:rPr>
          <w:noProof/>
          <w:lang w:val="en-US"/>
        </w:rPr>
        <w:drawing>
          <wp:inline distT="114300" distB="114300" distL="114300" distR="114300" wp14:anchorId="4F41E0E1" wp14:editId="2D5D02E3">
            <wp:extent cx="5943600" cy="3670300"/>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5943600" cy="3670300"/>
                    </a:xfrm>
                    <a:prstGeom prst="rect">
                      <a:avLst/>
                    </a:prstGeom>
                    <a:ln/>
                  </pic:spPr>
                </pic:pic>
              </a:graphicData>
            </a:graphic>
          </wp:inline>
        </w:drawing>
      </w:r>
    </w:p>
    <w:p w:rsidR="004F1C0A" w:rsidRDefault="004F1C0A" w:rsidP="004F1C0A">
      <w:pPr>
        <w:pStyle w:val="normal0"/>
      </w:pPr>
    </w:p>
    <w:p w:rsidR="004F1C0A" w:rsidRDefault="004F1C0A" w:rsidP="004F1C0A">
      <w:pPr>
        <w:pStyle w:val="normal0"/>
        <w:rPr>
          <w:b/>
        </w:rPr>
      </w:pPr>
      <w:r>
        <w:rPr>
          <w:b/>
        </w:rPr>
        <w:t>Figure A4: Proportion of articles by license, for open access articles with a license found.</w:t>
      </w:r>
    </w:p>
    <w:p w:rsidR="004F1C0A" w:rsidRDefault="004F1C0A" w:rsidP="004F1C0A">
      <w:pPr>
        <w:pStyle w:val="normal0"/>
        <w:rPr>
          <w:b/>
        </w:rPr>
      </w:pPr>
    </w:p>
    <w:p w:rsidR="004F1C0A" w:rsidRDefault="004F1C0A" w:rsidP="004F1C0A">
      <w:pPr>
        <w:pStyle w:val="normal0"/>
        <w:rPr>
          <w:b/>
        </w:rPr>
      </w:pPr>
      <w:r>
        <w:br w:type="page"/>
      </w:r>
    </w:p>
    <w:p w:rsidR="004F1C0A" w:rsidRDefault="004F1C0A" w:rsidP="004F1C0A">
      <w:pPr>
        <w:pStyle w:val="normal0"/>
      </w:pPr>
      <w:r>
        <w:rPr>
          <w:b/>
        </w:rPr>
        <w:br/>
      </w:r>
      <w:r>
        <w:rPr>
          <w:noProof/>
          <w:lang w:val="en-US"/>
        </w:rPr>
        <w:drawing>
          <wp:inline distT="114300" distB="114300" distL="114300" distR="114300" wp14:anchorId="64448E90" wp14:editId="351E0AD2">
            <wp:extent cx="5632513" cy="7329488"/>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632513" cy="7329488"/>
                    </a:xfrm>
                    <a:prstGeom prst="rect">
                      <a:avLst/>
                    </a:prstGeom>
                    <a:ln/>
                  </pic:spPr>
                </pic:pic>
              </a:graphicData>
            </a:graphic>
          </wp:inline>
        </w:drawing>
      </w:r>
    </w:p>
    <w:p w:rsidR="00C41F3A" w:rsidRDefault="004F1C0A" w:rsidP="004F1C0A">
      <w:pPr>
        <w:pStyle w:val="normal0"/>
      </w:pPr>
      <w:r>
        <w:rPr>
          <w:b/>
        </w:rPr>
        <w:t>Figure A5. Percentage of different access types of a random sample of WoS articles and reviews with a DOI published between 2009 and 2015 per NSF specialty (excluding Arts and Humanities and specialties with less than 100 papers).</w:t>
      </w:r>
      <w:bookmarkStart w:id="6" w:name="_GoBack"/>
      <w:bookmarkEnd w:id="6"/>
    </w:p>
    <w:sectPr w:rsidR="00C41F3A" w:rsidSect="00094439">
      <w:pgSz w:w="12240" w:h="15840"/>
      <w:pgMar w:top="1440" w:right="1440" w:bottom="1440" w:left="1440" w:header="0" w:footer="720" w:gutter="0"/>
      <w:lnNumType w:countBy="1" w:restart="continuou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0A"/>
    <w:rsid w:val="004F1C0A"/>
    <w:rsid w:val="00C41F3A"/>
    <w:rsid w:val="00CE2E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5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0A"/>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ing2">
    <w:name w:val="heading 2"/>
    <w:basedOn w:val="normal0"/>
    <w:next w:val="normal0"/>
    <w:link w:val="Heading2Char"/>
    <w:rsid w:val="004F1C0A"/>
    <w:pPr>
      <w:keepNext/>
      <w:keepLines/>
      <w:spacing w:before="360" w:after="120"/>
      <w:outlineLvl w:val="1"/>
    </w:pPr>
    <w:rPr>
      <w:sz w:val="32"/>
      <w:szCs w:val="32"/>
    </w:rPr>
  </w:style>
  <w:style w:type="paragraph" w:styleId="Heading3">
    <w:name w:val="heading 3"/>
    <w:basedOn w:val="normal0"/>
    <w:next w:val="normal0"/>
    <w:link w:val="Heading3Char"/>
    <w:rsid w:val="004F1C0A"/>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1C0A"/>
    <w:rPr>
      <w:rFonts w:ascii="Arial" w:eastAsia="Arial" w:hAnsi="Arial" w:cs="Arial"/>
      <w:color w:val="000000"/>
      <w:sz w:val="32"/>
      <w:szCs w:val="32"/>
      <w:lang w:val="en"/>
    </w:rPr>
  </w:style>
  <w:style w:type="character" w:customStyle="1" w:styleId="Heading3Char">
    <w:name w:val="Heading 3 Char"/>
    <w:basedOn w:val="DefaultParagraphFont"/>
    <w:link w:val="Heading3"/>
    <w:rsid w:val="004F1C0A"/>
    <w:rPr>
      <w:rFonts w:ascii="Arial" w:eastAsia="Arial" w:hAnsi="Arial" w:cs="Arial"/>
      <w:color w:val="434343"/>
      <w:sz w:val="28"/>
      <w:szCs w:val="28"/>
      <w:lang w:val="en"/>
    </w:rPr>
  </w:style>
  <w:style w:type="paragraph" w:customStyle="1" w:styleId="normal0">
    <w:name w:val="normal"/>
    <w:rsid w:val="004F1C0A"/>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4F1C0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1C0A"/>
    <w:rPr>
      <w:rFonts w:ascii="Lucida Grande" w:eastAsia="Arial" w:hAnsi="Lucida Grande" w:cs="Arial"/>
      <w:color w:val="000000"/>
      <w:sz w:val="18"/>
      <w:szCs w:val="18"/>
      <w:lang w:val="en"/>
    </w:rPr>
  </w:style>
  <w:style w:type="character" w:styleId="LineNumber">
    <w:name w:val="line number"/>
    <w:basedOn w:val="DefaultParagraphFont"/>
    <w:uiPriority w:val="99"/>
    <w:semiHidden/>
    <w:unhideWhenUsed/>
    <w:rsid w:val="004F1C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0A"/>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ing2">
    <w:name w:val="heading 2"/>
    <w:basedOn w:val="normal0"/>
    <w:next w:val="normal0"/>
    <w:link w:val="Heading2Char"/>
    <w:rsid w:val="004F1C0A"/>
    <w:pPr>
      <w:keepNext/>
      <w:keepLines/>
      <w:spacing w:before="360" w:after="120"/>
      <w:outlineLvl w:val="1"/>
    </w:pPr>
    <w:rPr>
      <w:sz w:val="32"/>
      <w:szCs w:val="32"/>
    </w:rPr>
  </w:style>
  <w:style w:type="paragraph" w:styleId="Heading3">
    <w:name w:val="heading 3"/>
    <w:basedOn w:val="normal0"/>
    <w:next w:val="normal0"/>
    <w:link w:val="Heading3Char"/>
    <w:rsid w:val="004F1C0A"/>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1C0A"/>
    <w:rPr>
      <w:rFonts w:ascii="Arial" w:eastAsia="Arial" w:hAnsi="Arial" w:cs="Arial"/>
      <w:color w:val="000000"/>
      <w:sz w:val="32"/>
      <w:szCs w:val="32"/>
      <w:lang w:val="en"/>
    </w:rPr>
  </w:style>
  <w:style w:type="character" w:customStyle="1" w:styleId="Heading3Char">
    <w:name w:val="Heading 3 Char"/>
    <w:basedOn w:val="DefaultParagraphFont"/>
    <w:link w:val="Heading3"/>
    <w:rsid w:val="004F1C0A"/>
    <w:rPr>
      <w:rFonts w:ascii="Arial" w:eastAsia="Arial" w:hAnsi="Arial" w:cs="Arial"/>
      <w:color w:val="434343"/>
      <w:sz w:val="28"/>
      <w:szCs w:val="28"/>
      <w:lang w:val="en"/>
    </w:rPr>
  </w:style>
  <w:style w:type="paragraph" w:customStyle="1" w:styleId="normal0">
    <w:name w:val="normal"/>
    <w:rsid w:val="004F1C0A"/>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4F1C0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1C0A"/>
    <w:rPr>
      <w:rFonts w:ascii="Lucida Grande" w:eastAsia="Arial" w:hAnsi="Lucida Grande" w:cs="Arial"/>
      <w:color w:val="000000"/>
      <w:sz w:val="18"/>
      <w:szCs w:val="18"/>
      <w:lang w:val="en"/>
    </w:rPr>
  </w:style>
  <w:style w:type="character" w:styleId="LineNumber">
    <w:name w:val="line number"/>
    <w:basedOn w:val="DefaultParagraphFont"/>
    <w:uiPriority w:val="99"/>
    <w:semiHidden/>
    <w:unhideWhenUsed/>
    <w:rsid w:val="004F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318</Words>
  <Characters>1819</Characters>
  <Application>Microsoft Macintosh Word</Application>
  <DocSecurity>0</DocSecurity>
  <Lines>15</Lines>
  <Paragraphs>4</Paragraphs>
  <ScaleCrop>false</ScaleCrop>
  <Company>NESCent</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Piwowar</dc:creator>
  <cp:keywords/>
  <dc:description/>
  <cp:lastModifiedBy>Heather Piwowar</cp:lastModifiedBy>
  <cp:revision>1</cp:revision>
  <dcterms:created xsi:type="dcterms:W3CDTF">2017-08-06T23:32:00Z</dcterms:created>
  <dcterms:modified xsi:type="dcterms:W3CDTF">2017-08-06T23:33:00Z</dcterms:modified>
</cp:coreProperties>
</file>