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C5" w:rsidRPr="00155AC3" w:rsidRDefault="00C328C5" w:rsidP="00C328C5">
      <w:pPr>
        <w:pStyle w:val="RefText"/>
        <w:spacing w:line="480" w:lineRule="auto"/>
        <w:ind w:left="0" w:firstLine="0"/>
        <w:rPr>
          <w:sz w:val="20"/>
        </w:rPr>
      </w:pPr>
    </w:p>
    <w:p w:rsidR="00C328C5" w:rsidRPr="00EC3DE6" w:rsidRDefault="00C328C5" w:rsidP="00C328C5">
      <w:pPr>
        <w:spacing w:line="480" w:lineRule="auto"/>
        <w:rPr>
          <w:rFonts w:ascii="Times New Roman" w:hAnsi="Times New Roman"/>
          <w:szCs w:val="20"/>
        </w:rPr>
      </w:pPr>
      <w:r w:rsidRPr="00EC3DE6">
        <w:rPr>
          <w:rFonts w:ascii="Times New Roman" w:hAnsi="Times New Roman"/>
          <w:b/>
          <w:szCs w:val="20"/>
        </w:rPr>
        <w:t>Table S</w:t>
      </w:r>
      <w:r>
        <w:rPr>
          <w:rFonts w:ascii="Times New Roman" w:hAnsi="Times New Roman"/>
          <w:b/>
          <w:szCs w:val="20"/>
        </w:rPr>
        <w:t>1</w:t>
      </w:r>
      <w:r w:rsidRPr="00EC3DE6">
        <w:rPr>
          <w:rFonts w:ascii="Times New Roman" w:hAnsi="Times New Roman"/>
          <w:b/>
          <w:szCs w:val="20"/>
        </w:rPr>
        <w:t xml:space="preserve">: </w:t>
      </w:r>
      <w:r>
        <w:rPr>
          <w:rFonts w:ascii="Times New Roman" w:hAnsi="Times New Roman"/>
          <w:b/>
          <w:szCs w:val="20"/>
        </w:rPr>
        <w:t>Processing times for COREMIC.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018"/>
        <w:gridCol w:w="845"/>
        <w:gridCol w:w="844"/>
        <w:gridCol w:w="844"/>
        <w:gridCol w:w="844"/>
        <w:gridCol w:w="844"/>
        <w:gridCol w:w="844"/>
        <w:gridCol w:w="844"/>
        <w:gridCol w:w="811"/>
      </w:tblGrid>
      <w:tr w:rsidR="00C328C5" w:rsidRPr="00CE4F0C" w:rsidTr="004C5004">
        <w:trPr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Rows = 678*numb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Cols = 59*numb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Trial 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Mean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b/>
                <w:color w:val="000000"/>
                <w:sz w:val="20"/>
              </w:rPr>
              <w:t>Std. E</w:t>
            </w:r>
            <w:r w:rsidRPr="00CE4F0C">
              <w:rPr>
                <w:b/>
                <w:color w:val="000000"/>
                <w:sz w:val="20"/>
              </w:rPr>
              <w:t>r</w:t>
            </w:r>
            <w:r w:rsidRPr="00CE4F0C">
              <w:rPr>
                <w:b/>
                <w:color w:val="000000"/>
                <w:sz w:val="20"/>
              </w:rPr>
              <w:t>ror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13.102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12.017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12.015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12.314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11.924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11.603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rFonts w:ascii="Times" w:hAnsi="Times"/>
                <w:sz w:val="20"/>
                <w:szCs w:val="24"/>
              </w:rPr>
            </w:pPr>
            <w:r w:rsidRPr="00CE4F0C">
              <w:rPr>
                <w:sz w:val="20"/>
              </w:rPr>
              <w:t>12.163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0.210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2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28.426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26.511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27.832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28.623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25.742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30.245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27.896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0.655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37.913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84.115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41.965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70.986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43.540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46.456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54.163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7.671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2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12.924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sz w:val="20"/>
              </w:rPr>
            </w:pPr>
            <w:r w:rsidRPr="00CE4F0C">
              <w:rPr>
                <w:sz w:val="20"/>
              </w:rPr>
              <w:t>13.924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12.914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14.639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16.016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17.961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14.730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0.802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30.127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41.331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24.405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32.020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34.582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48.253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35.120</w:t>
            </w:r>
          </w:p>
        </w:tc>
        <w:tc>
          <w:tcPr>
            <w:tcW w:w="998" w:type="dxa"/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3.467</w:t>
            </w:r>
          </w:p>
        </w:tc>
      </w:tr>
      <w:tr w:rsidR="00C328C5" w:rsidRPr="00CE4F0C" w:rsidTr="004C5004">
        <w:trPr>
          <w:jc w:val="center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29.118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29.512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29.586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34.621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36.447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35.057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32.390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328C5" w:rsidRPr="00CE4F0C" w:rsidRDefault="00C328C5" w:rsidP="004C5004">
            <w:pPr>
              <w:pStyle w:val="RefTex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CE4F0C">
              <w:rPr>
                <w:sz w:val="20"/>
              </w:rPr>
              <w:t>1.359</w:t>
            </w:r>
          </w:p>
        </w:tc>
      </w:tr>
    </w:tbl>
    <w:p w:rsidR="00C328C5" w:rsidRPr="00092C8D" w:rsidRDefault="00C328C5" w:rsidP="00C328C5">
      <w:pPr>
        <w:pStyle w:val="RefText"/>
        <w:spacing w:line="480" w:lineRule="auto"/>
        <w:ind w:left="0" w:firstLine="0"/>
        <w:jc w:val="left"/>
        <w:rPr>
          <w:sz w:val="20"/>
        </w:rPr>
      </w:pPr>
      <w:r w:rsidRPr="00092C8D">
        <w:rPr>
          <w:sz w:val="20"/>
        </w:rPr>
        <w:t xml:space="preserve">The </w:t>
      </w:r>
      <w:r>
        <w:rPr>
          <w:sz w:val="20"/>
        </w:rPr>
        <w:t xml:space="preserve">run times (in seconds) for different sized inputs with a </w:t>
      </w:r>
      <w:r w:rsidRPr="00463A04">
        <w:rPr>
          <w:sz w:val="20"/>
        </w:rPr>
        <w:t xml:space="preserve">678 </w:t>
      </w:r>
      <w:r>
        <w:rPr>
          <w:sz w:val="20"/>
        </w:rPr>
        <w:t>OTUs (</w:t>
      </w:r>
      <w:r w:rsidRPr="00463A04">
        <w:rPr>
          <w:sz w:val="20"/>
        </w:rPr>
        <w:t>rows</w:t>
      </w:r>
      <w:r>
        <w:rPr>
          <w:sz w:val="20"/>
        </w:rPr>
        <w:t>)</w:t>
      </w:r>
      <w:r w:rsidRPr="00463A04">
        <w:rPr>
          <w:sz w:val="20"/>
        </w:rPr>
        <w:t xml:space="preserve"> and 59 </w:t>
      </w:r>
      <w:r>
        <w:rPr>
          <w:sz w:val="20"/>
        </w:rPr>
        <w:t>samples (</w:t>
      </w:r>
      <w:r w:rsidRPr="00463A04">
        <w:rPr>
          <w:sz w:val="20"/>
        </w:rPr>
        <w:t>columns</w:t>
      </w:r>
      <w:r>
        <w:rPr>
          <w:sz w:val="20"/>
        </w:rPr>
        <w:t>) dataset using default settings for COREMIC</w:t>
      </w:r>
      <w:r w:rsidRPr="00092C8D">
        <w:rPr>
          <w:sz w:val="20"/>
        </w:rPr>
        <w:t>.</w:t>
      </w:r>
    </w:p>
    <w:p w:rsidR="00C328C5" w:rsidRDefault="00C328C5" w:rsidP="00C328C5">
      <w:pPr>
        <w:pStyle w:val="RefText"/>
        <w:spacing w:line="480" w:lineRule="auto"/>
        <w:ind w:left="0" w:firstLine="0"/>
      </w:pPr>
    </w:p>
    <w:p w:rsidR="009B74FD" w:rsidRDefault="009B74FD">
      <w:bookmarkStart w:id="0" w:name="_GoBack"/>
      <w:bookmarkEnd w:id="0"/>
    </w:p>
    <w:sectPr w:rsidR="009B74FD" w:rsidSect="009B7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C5"/>
    <w:rsid w:val="009B74FD"/>
    <w:rsid w:val="00C328C5"/>
    <w:rsid w:val="00C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C1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C5"/>
    <w:pPr>
      <w:spacing w:line="240" w:lineRule="exact"/>
    </w:pPr>
    <w:rPr>
      <w:rFonts w:ascii="Times" w:eastAsia="Times New Roman" w:hAnsi="Times"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C7E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0C7E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F0C7E"/>
    <w:pPr>
      <w:spacing w:line="240" w:lineRule="auto"/>
    </w:pPr>
    <w:rPr>
      <w:rFonts w:ascii="Times New Roman" w:eastAsiaTheme="minorEastAsia" w:hAnsi="Times New Roman" w:cstheme="min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C7E"/>
    <w:rPr>
      <w:rFonts w:asciiTheme="majorHAnsi" w:eastAsiaTheme="majorEastAsia" w:hAnsiTheme="majorHAnsi" w:cstheme="majorBidi"/>
      <w:b/>
      <w:bCs/>
    </w:rPr>
  </w:style>
  <w:style w:type="paragraph" w:customStyle="1" w:styleId="RefText">
    <w:name w:val="Ref Text"/>
    <w:rsid w:val="00C328C5"/>
    <w:pPr>
      <w:spacing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</w:rPr>
  </w:style>
  <w:style w:type="table" w:styleId="TableGrid">
    <w:name w:val="Table Grid"/>
    <w:basedOn w:val="TableNormal"/>
    <w:uiPriority w:val="59"/>
    <w:rsid w:val="00C328C5"/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C5"/>
    <w:pPr>
      <w:spacing w:line="240" w:lineRule="exact"/>
    </w:pPr>
    <w:rPr>
      <w:rFonts w:ascii="Times" w:eastAsia="Times New Roman" w:hAnsi="Times"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C7E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0C7E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F0C7E"/>
    <w:pPr>
      <w:spacing w:line="240" w:lineRule="auto"/>
    </w:pPr>
    <w:rPr>
      <w:rFonts w:ascii="Times New Roman" w:eastAsiaTheme="minorEastAsia" w:hAnsi="Times New Roman" w:cstheme="min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C7E"/>
    <w:rPr>
      <w:rFonts w:asciiTheme="majorHAnsi" w:eastAsiaTheme="majorEastAsia" w:hAnsiTheme="majorHAnsi" w:cstheme="majorBidi"/>
      <w:b/>
      <w:bCs/>
    </w:rPr>
  </w:style>
  <w:style w:type="paragraph" w:customStyle="1" w:styleId="RefText">
    <w:name w:val="Ref Text"/>
    <w:rsid w:val="00C328C5"/>
    <w:pPr>
      <w:spacing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</w:rPr>
  </w:style>
  <w:style w:type="table" w:styleId="TableGrid">
    <w:name w:val="Table Grid"/>
    <w:basedOn w:val="TableNormal"/>
    <w:uiPriority w:val="59"/>
    <w:rsid w:val="00C328C5"/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1</cp:revision>
  <dcterms:created xsi:type="dcterms:W3CDTF">2017-09-20T01:57:00Z</dcterms:created>
  <dcterms:modified xsi:type="dcterms:W3CDTF">2017-09-20T01:58:00Z</dcterms:modified>
</cp:coreProperties>
</file>