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C0" w:rsidRPr="00820D74" w:rsidRDefault="00CB0DB1" w:rsidP="00820D74">
      <w:pPr>
        <w:spacing w:line="360" w:lineRule="auto"/>
        <w:rPr>
          <w:rFonts w:ascii="Times New Roman" w:hAnsi="Times New Roman" w:cs="Times New Roman"/>
          <w:b/>
          <w:sz w:val="24"/>
          <w:szCs w:val="24"/>
          <w:u w:val="single"/>
        </w:rPr>
      </w:pPr>
      <w:r w:rsidRPr="00820D74">
        <w:rPr>
          <w:rFonts w:ascii="Times New Roman" w:hAnsi="Times New Roman" w:cs="Times New Roman"/>
          <w:b/>
          <w:sz w:val="24"/>
          <w:szCs w:val="24"/>
          <w:u w:val="single"/>
        </w:rPr>
        <w:t>Supplementary Information</w:t>
      </w:r>
    </w:p>
    <w:p w:rsidR="00CB0DB1" w:rsidRPr="00820D74" w:rsidRDefault="00CB0DB1" w:rsidP="00820D74">
      <w:pPr>
        <w:spacing w:line="360" w:lineRule="auto"/>
        <w:jc w:val="both"/>
        <w:rPr>
          <w:rFonts w:ascii="Times New Roman" w:hAnsi="Times New Roman" w:cs="Times New Roman"/>
          <w:sz w:val="24"/>
          <w:szCs w:val="24"/>
        </w:rPr>
      </w:pPr>
      <w:r w:rsidRPr="00820D74">
        <w:rPr>
          <w:rFonts w:ascii="Times New Roman" w:hAnsi="Times New Roman" w:cs="Times New Roman"/>
          <w:sz w:val="24"/>
          <w:szCs w:val="24"/>
        </w:rPr>
        <w:t xml:space="preserve">A sensitivity analysis was performed upon the GRF data to interrogate the sensitivity of </w:t>
      </w:r>
      <w:proofErr w:type="spellStart"/>
      <w:r w:rsidRPr="00820D74">
        <w:rPr>
          <w:rFonts w:ascii="Times New Roman" w:hAnsi="Times New Roman" w:cs="Times New Roman"/>
          <w:sz w:val="24"/>
          <w:szCs w:val="24"/>
        </w:rPr>
        <w:t>VecMag</w:t>
      </w:r>
      <w:proofErr w:type="spellEnd"/>
      <w:r w:rsidRPr="00820D74">
        <w:rPr>
          <w:rFonts w:ascii="Times New Roman" w:hAnsi="Times New Roman" w:cs="Times New Roman"/>
          <w:sz w:val="24"/>
          <w:szCs w:val="24"/>
        </w:rPr>
        <w:t xml:space="preserve"> and </w:t>
      </w:r>
      <w:proofErr w:type="spellStart"/>
      <w:r w:rsidRPr="00820D74">
        <w:rPr>
          <w:rFonts w:ascii="Times New Roman" w:hAnsi="Times New Roman" w:cs="Times New Roman"/>
          <w:sz w:val="24"/>
          <w:szCs w:val="24"/>
        </w:rPr>
        <w:t>VecAng</w:t>
      </w:r>
      <w:proofErr w:type="spellEnd"/>
      <w:r w:rsidRPr="00820D74">
        <w:rPr>
          <w:rFonts w:ascii="Times New Roman" w:hAnsi="Times New Roman" w:cs="Times New Roman"/>
          <w:sz w:val="24"/>
          <w:szCs w:val="24"/>
        </w:rPr>
        <w:t xml:space="preserve"> variables to the threshold used for identifying the stance phase. Firstly, for the group data additional events were created 1 frame before and 1 frame after </w:t>
      </w:r>
      <w:proofErr w:type="spellStart"/>
      <w:r w:rsidRPr="00820D74">
        <w:rPr>
          <w:rFonts w:ascii="Times New Roman" w:hAnsi="Times New Roman" w:cs="Times New Roman"/>
          <w:sz w:val="24"/>
          <w:szCs w:val="24"/>
        </w:rPr>
        <w:t>footstrike</w:t>
      </w:r>
      <w:proofErr w:type="spellEnd"/>
      <w:r w:rsidRPr="00820D74">
        <w:rPr>
          <w:rFonts w:ascii="Times New Roman" w:hAnsi="Times New Roman" w:cs="Times New Roman"/>
          <w:sz w:val="24"/>
          <w:szCs w:val="24"/>
        </w:rPr>
        <w:t xml:space="preserve"> and lift off for all trials. The magnitude of GRF was recorded at these new events to determine whether the event would have occurred at the same time or a different time if a different threshold was used to identify the event (50, 100 and 150N in accordance with Starke and Clayton, 201</w:t>
      </w:r>
      <w:r w:rsidR="009874F8">
        <w:rPr>
          <w:rFonts w:ascii="Times New Roman" w:hAnsi="Times New Roman" w:cs="Times New Roman"/>
          <w:sz w:val="24"/>
          <w:szCs w:val="24"/>
        </w:rPr>
        <w:t>5</w:t>
      </w:r>
      <w:proofErr w:type="gramStart"/>
      <w:r w:rsidRPr="00820D74">
        <w:rPr>
          <w:rFonts w:ascii="Times New Roman" w:hAnsi="Times New Roman" w:cs="Times New Roman"/>
          <w:sz w:val="24"/>
          <w:szCs w:val="24"/>
        </w:rPr>
        <w:t>) .</w:t>
      </w:r>
      <w:proofErr w:type="gramEnd"/>
      <w:r w:rsidRPr="00820D74">
        <w:rPr>
          <w:rFonts w:ascii="Times New Roman" w:hAnsi="Times New Roman" w:cs="Times New Roman"/>
          <w:sz w:val="24"/>
          <w:szCs w:val="24"/>
        </w:rPr>
        <w:t xml:space="preserve"> </w:t>
      </w:r>
    </w:p>
    <w:p w:rsidR="00CB0DB1" w:rsidRPr="00820D74" w:rsidRDefault="00CB0DB1" w:rsidP="009B0124">
      <w:pPr>
        <w:spacing w:line="360" w:lineRule="auto"/>
        <w:jc w:val="both"/>
        <w:rPr>
          <w:rFonts w:ascii="Times New Roman" w:hAnsi="Times New Roman" w:cs="Times New Roman"/>
          <w:sz w:val="24"/>
          <w:szCs w:val="24"/>
        </w:rPr>
      </w:pPr>
      <w:r w:rsidRPr="00820D74">
        <w:rPr>
          <w:rFonts w:ascii="Times New Roman" w:hAnsi="Times New Roman" w:cs="Times New Roman"/>
          <w:sz w:val="24"/>
          <w:szCs w:val="24"/>
        </w:rPr>
        <w:t xml:space="preserve">For all four limbs </w:t>
      </w:r>
      <w:proofErr w:type="spellStart"/>
      <w:r w:rsidRPr="00820D74">
        <w:rPr>
          <w:rFonts w:ascii="Times New Roman" w:hAnsi="Times New Roman" w:cs="Times New Roman"/>
          <w:sz w:val="24"/>
          <w:szCs w:val="24"/>
        </w:rPr>
        <w:t>footstrike</w:t>
      </w:r>
      <w:proofErr w:type="spellEnd"/>
      <w:r w:rsidRPr="00820D74">
        <w:rPr>
          <w:rFonts w:ascii="Times New Roman" w:hAnsi="Times New Roman" w:cs="Times New Roman"/>
          <w:sz w:val="24"/>
          <w:szCs w:val="24"/>
        </w:rPr>
        <w:t xml:space="preserve"> would have occurred at the same time for all thresholds, so </w:t>
      </w:r>
      <w:proofErr w:type="spellStart"/>
      <w:r w:rsidRPr="00820D74">
        <w:rPr>
          <w:rFonts w:ascii="Times New Roman" w:hAnsi="Times New Roman" w:cs="Times New Roman"/>
          <w:sz w:val="24"/>
          <w:szCs w:val="24"/>
        </w:rPr>
        <w:t>footstrike</w:t>
      </w:r>
      <w:proofErr w:type="spellEnd"/>
      <w:r w:rsidRPr="00820D74">
        <w:rPr>
          <w:rFonts w:ascii="Times New Roman" w:hAnsi="Times New Roman" w:cs="Times New Roman"/>
          <w:sz w:val="24"/>
          <w:szCs w:val="24"/>
        </w:rPr>
        <w:t xml:space="preserve"> was not influenced by the threshold as the vertical force rose rapidly on contact</w:t>
      </w:r>
      <w:r w:rsidR="006C6A54" w:rsidRPr="00820D74">
        <w:rPr>
          <w:rFonts w:ascii="Times New Roman" w:hAnsi="Times New Roman" w:cs="Times New Roman"/>
          <w:sz w:val="24"/>
          <w:szCs w:val="24"/>
        </w:rPr>
        <w:t xml:space="preserve">. Lift off was influenced by the threshold and this was more evident in the </w:t>
      </w:r>
      <w:proofErr w:type="spellStart"/>
      <w:r w:rsidR="006C6A54" w:rsidRPr="00820D74">
        <w:rPr>
          <w:rFonts w:ascii="Times New Roman" w:hAnsi="Times New Roman" w:cs="Times New Roman"/>
          <w:sz w:val="24"/>
          <w:szCs w:val="24"/>
        </w:rPr>
        <w:t>hindlimb</w:t>
      </w:r>
      <w:proofErr w:type="spellEnd"/>
      <w:r w:rsidR="006C6A54" w:rsidRPr="00820D74">
        <w:rPr>
          <w:rFonts w:ascii="Times New Roman" w:hAnsi="Times New Roman" w:cs="Times New Roman"/>
          <w:sz w:val="24"/>
          <w:szCs w:val="24"/>
        </w:rPr>
        <w:t xml:space="preserve"> compared to the forelimb (see Table S1</w:t>
      </w:r>
      <w:r w:rsidR="00820D74" w:rsidRPr="00820D74">
        <w:rPr>
          <w:rFonts w:ascii="Times New Roman" w:hAnsi="Times New Roman" w:cs="Times New Roman"/>
          <w:sz w:val="24"/>
          <w:szCs w:val="24"/>
        </w:rPr>
        <w:t>, Sensitivity analysis.xls</w:t>
      </w:r>
      <w:r w:rsidR="006C6A54" w:rsidRPr="00820D74">
        <w:rPr>
          <w:rFonts w:ascii="Times New Roman" w:hAnsi="Times New Roman" w:cs="Times New Roman"/>
          <w:sz w:val="24"/>
          <w:szCs w:val="24"/>
        </w:rPr>
        <w:t>)</w:t>
      </w:r>
      <w:r w:rsidR="00820D74" w:rsidRPr="00820D74">
        <w:rPr>
          <w:rFonts w:ascii="Times New Roman" w:hAnsi="Times New Roman" w:cs="Times New Roman"/>
          <w:sz w:val="24"/>
          <w:szCs w:val="24"/>
        </w:rPr>
        <w:t>, which is in agre</w:t>
      </w:r>
      <w:r w:rsidR="009874F8">
        <w:rPr>
          <w:rFonts w:ascii="Times New Roman" w:hAnsi="Times New Roman" w:cs="Times New Roman"/>
          <w:sz w:val="24"/>
          <w:szCs w:val="24"/>
        </w:rPr>
        <w:t>ement with Starke and Clayton (2015</w:t>
      </w:r>
      <w:r w:rsidR="00820D74" w:rsidRPr="00820D74">
        <w:rPr>
          <w:rFonts w:ascii="Times New Roman" w:hAnsi="Times New Roman" w:cs="Times New Roman"/>
          <w:sz w:val="24"/>
          <w:szCs w:val="24"/>
        </w:rPr>
        <w:t>)</w:t>
      </w:r>
      <w:r w:rsidR="006C6A54" w:rsidRPr="00820D74">
        <w:rPr>
          <w:rFonts w:ascii="Times New Roman" w:hAnsi="Times New Roman" w:cs="Times New Roman"/>
          <w:sz w:val="24"/>
          <w:szCs w:val="24"/>
        </w:rPr>
        <w:t>.</w:t>
      </w:r>
    </w:p>
    <w:p w:rsidR="00CB0DB1" w:rsidRPr="00820D74" w:rsidRDefault="00CB0DB1" w:rsidP="009B0124">
      <w:pPr>
        <w:spacing w:line="360" w:lineRule="auto"/>
        <w:jc w:val="both"/>
        <w:rPr>
          <w:rFonts w:ascii="Times New Roman" w:hAnsi="Times New Roman" w:cs="Times New Roman"/>
          <w:b/>
          <w:sz w:val="24"/>
          <w:szCs w:val="24"/>
        </w:rPr>
      </w:pPr>
      <w:r w:rsidRPr="00820D74">
        <w:rPr>
          <w:rFonts w:ascii="Times New Roman" w:hAnsi="Times New Roman" w:cs="Times New Roman"/>
          <w:b/>
          <w:sz w:val="24"/>
          <w:szCs w:val="24"/>
        </w:rPr>
        <w:t>Table S1</w:t>
      </w:r>
      <w:r w:rsidR="006C6A54" w:rsidRPr="00820D74">
        <w:rPr>
          <w:rFonts w:ascii="Times New Roman" w:hAnsi="Times New Roman" w:cs="Times New Roman"/>
          <w:b/>
          <w:sz w:val="24"/>
          <w:szCs w:val="24"/>
        </w:rPr>
        <w:t xml:space="preserve">: The sensitivity of using a different threshold to determine lift off for the group of horses. The reference threshold is 50 N (used in the study for identification of both events). The effect of using  100N and 150N thresholds are then quantified by the number of trials using an earlier lift off event and the mean ± </w:t>
      </w:r>
      <w:proofErr w:type="spellStart"/>
      <w:r w:rsidR="006C6A54" w:rsidRPr="00820D74">
        <w:rPr>
          <w:rFonts w:ascii="Times New Roman" w:hAnsi="Times New Roman" w:cs="Times New Roman"/>
          <w:b/>
          <w:sz w:val="24"/>
          <w:szCs w:val="24"/>
        </w:rPr>
        <w:t>s.d</w:t>
      </w:r>
      <w:proofErr w:type="spellEnd"/>
      <w:r w:rsidR="006C6A54" w:rsidRPr="00820D74">
        <w:rPr>
          <w:rFonts w:ascii="Times New Roman" w:hAnsi="Times New Roman" w:cs="Times New Roman"/>
          <w:b/>
          <w:sz w:val="24"/>
          <w:szCs w:val="24"/>
        </w:rPr>
        <w:t>. time difference between 50N and 100N and 50N and 150N events.</w:t>
      </w:r>
    </w:p>
    <w:tbl>
      <w:tblPr>
        <w:tblStyle w:val="TableGrid"/>
        <w:tblW w:w="0" w:type="auto"/>
        <w:jc w:val="center"/>
        <w:tblLook w:val="04A0"/>
      </w:tblPr>
      <w:tblGrid>
        <w:gridCol w:w="1241"/>
        <w:gridCol w:w="1435"/>
        <w:gridCol w:w="1260"/>
        <w:gridCol w:w="1417"/>
        <w:gridCol w:w="1985"/>
      </w:tblGrid>
      <w:tr w:rsidR="00820D74" w:rsidRPr="00820D74" w:rsidTr="00820D74">
        <w:trPr>
          <w:jc w:val="center"/>
        </w:trPr>
        <w:tc>
          <w:tcPr>
            <w:tcW w:w="1241" w:type="dxa"/>
            <w:vMerge w:val="restart"/>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Limb</w:t>
            </w:r>
          </w:p>
        </w:tc>
        <w:tc>
          <w:tcPr>
            <w:tcW w:w="1435" w:type="dxa"/>
            <w:vMerge w:val="restart"/>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Threshold (N)</w:t>
            </w:r>
          </w:p>
        </w:tc>
        <w:tc>
          <w:tcPr>
            <w:tcW w:w="2677" w:type="dxa"/>
            <w:gridSpan w:val="2"/>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 trials using earlier event</w:t>
            </w:r>
          </w:p>
        </w:tc>
        <w:tc>
          <w:tcPr>
            <w:tcW w:w="1985" w:type="dxa"/>
            <w:vMerge w:val="restart"/>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Time difference (ms)</w:t>
            </w:r>
          </w:p>
        </w:tc>
      </w:tr>
      <w:tr w:rsidR="00820D74" w:rsidRPr="00820D74" w:rsidTr="00820D74">
        <w:trPr>
          <w:jc w:val="center"/>
        </w:trPr>
        <w:tc>
          <w:tcPr>
            <w:tcW w:w="1241" w:type="dxa"/>
            <w:vMerge/>
          </w:tcPr>
          <w:p w:rsidR="00820D74" w:rsidRPr="00820D74" w:rsidRDefault="00820D74" w:rsidP="009B0124">
            <w:pPr>
              <w:spacing w:line="360" w:lineRule="auto"/>
              <w:jc w:val="both"/>
              <w:rPr>
                <w:rFonts w:ascii="Times New Roman" w:hAnsi="Times New Roman" w:cs="Times New Roman"/>
              </w:rPr>
            </w:pPr>
          </w:p>
        </w:tc>
        <w:tc>
          <w:tcPr>
            <w:tcW w:w="1435" w:type="dxa"/>
            <w:vMerge/>
          </w:tcPr>
          <w:p w:rsidR="00820D74" w:rsidRPr="00820D74" w:rsidRDefault="00820D74" w:rsidP="009B0124">
            <w:pPr>
              <w:spacing w:line="360" w:lineRule="auto"/>
              <w:jc w:val="both"/>
              <w:rPr>
                <w:rFonts w:ascii="Times New Roman" w:hAnsi="Times New Roman" w:cs="Times New Roman"/>
              </w:rPr>
            </w:pPr>
          </w:p>
        </w:tc>
        <w:tc>
          <w:tcPr>
            <w:tcW w:w="1260" w:type="dxa"/>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1 frame</w:t>
            </w:r>
          </w:p>
        </w:tc>
        <w:tc>
          <w:tcPr>
            <w:tcW w:w="1417" w:type="dxa"/>
          </w:tcPr>
          <w:p w:rsidR="00820D74" w:rsidRPr="00820D74" w:rsidRDefault="00820D74" w:rsidP="009B0124">
            <w:pPr>
              <w:spacing w:line="360" w:lineRule="auto"/>
              <w:jc w:val="both"/>
              <w:rPr>
                <w:rFonts w:ascii="Times New Roman" w:hAnsi="Times New Roman" w:cs="Times New Roman"/>
                <w:b/>
              </w:rPr>
            </w:pPr>
            <w:r w:rsidRPr="00820D74">
              <w:rPr>
                <w:rFonts w:ascii="Times New Roman" w:hAnsi="Times New Roman" w:cs="Times New Roman"/>
                <w:b/>
              </w:rPr>
              <w:t>2 frames</w:t>
            </w:r>
          </w:p>
        </w:tc>
        <w:tc>
          <w:tcPr>
            <w:tcW w:w="1985" w:type="dxa"/>
            <w:vMerge/>
          </w:tcPr>
          <w:p w:rsidR="00820D74" w:rsidRPr="00820D74" w:rsidRDefault="00820D74" w:rsidP="009B0124">
            <w:pPr>
              <w:spacing w:line="360" w:lineRule="auto"/>
              <w:jc w:val="both"/>
              <w:rPr>
                <w:rFonts w:ascii="Times New Roman" w:hAnsi="Times New Roman" w:cs="Times New Roman"/>
              </w:rPr>
            </w:pP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Left fore</w:t>
            </w: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100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7</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1.9 (3.6)</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150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14</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3.9 (4.2)</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Right fore</w:t>
            </w: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100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10</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2.7 (4.0)</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150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17</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4.7 (4.2)</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Left hind</w:t>
            </w: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100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18</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5.0 (4.1)</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150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18</w:t>
            </w:r>
          </w:p>
        </w:tc>
        <w:tc>
          <w:tcPr>
            <w:tcW w:w="1417"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8</w:t>
            </w: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9.4 (5.2)</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Right hind</w:t>
            </w: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100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12</w:t>
            </w:r>
          </w:p>
        </w:tc>
        <w:tc>
          <w:tcPr>
            <w:tcW w:w="1417" w:type="dxa"/>
          </w:tcPr>
          <w:p w:rsidR="00820D74" w:rsidRPr="00820D74" w:rsidRDefault="00820D74" w:rsidP="009B0124">
            <w:pPr>
              <w:spacing w:line="360" w:lineRule="auto"/>
              <w:jc w:val="both"/>
              <w:rPr>
                <w:rFonts w:ascii="Times New Roman" w:hAnsi="Times New Roman" w:cs="Times New Roman"/>
              </w:rPr>
            </w:pP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3.3 (4.2)</w:t>
            </w:r>
          </w:p>
        </w:tc>
      </w:tr>
      <w:tr w:rsidR="00820D74" w:rsidRPr="00820D74" w:rsidTr="00820D74">
        <w:trPr>
          <w:jc w:val="center"/>
        </w:trPr>
        <w:tc>
          <w:tcPr>
            <w:tcW w:w="1241" w:type="dxa"/>
          </w:tcPr>
          <w:p w:rsidR="00820D74" w:rsidRPr="00820D74" w:rsidRDefault="00820D74" w:rsidP="009B0124">
            <w:pPr>
              <w:spacing w:line="360" w:lineRule="auto"/>
              <w:jc w:val="both"/>
              <w:rPr>
                <w:rFonts w:ascii="Times New Roman" w:hAnsi="Times New Roman" w:cs="Times New Roman"/>
              </w:rPr>
            </w:pPr>
          </w:p>
        </w:tc>
        <w:tc>
          <w:tcPr>
            <w:tcW w:w="143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150</w:t>
            </w:r>
          </w:p>
        </w:tc>
        <w:tc>
          <w:tcPr>
            <w:tcW w:w="1260"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21</w:t>
            </w:r>
          </w:p>
        </w:tc>
        <w:tc>
          <w:tcPr>
            <w:tcW w:w="1417"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4</w:t>
            </w:r>
          </w:p>
        </w:tc>
        <w:tc>
          <w:tcPr>
            <w:tcW w:w="1985" w:type="dxa"/>
          </w:tcPr>
          <w:p w:rsidR="00820D74" w:rsidRPr="00820D74" w:rsidRDefault="00820D74" w:rsidP="009B0124">
            <w:pPr>
              <w:spacing w:line="360" w:lineRule="auto"/>
              <w:jc w:val="both"/>
              <w:rPr>
                <w:rFonts w:ascii="Times New Roman" w:hAnsi="Times New Roman" w:cs="Times New Roman"/>
              </w:rPr>
            </w:pPr>
            <w:r w:rsidRPr="00820D74">
              <w:rPr>
                <w:rFonts w:ascii="Times New Roman" w:hAnsi="Times New Roman" w:cs="Times New Roman"/>
              </w:rPr>
              <w:t>8.1 (4.6)</w:t>
            </w:r>
          </w:p>
        </w:tc>
      </w:tr>
    </w:tbl>
    <w:p w:rsidR="00CB0DB1" w:rsidRPr="00820D74" w:rsidRDefault="00CB0DB1" w:rsidP="009B0124">
      <w:pPr>
        <w:spacing w:line="360" w:lineRule="auto"/>
        <w:jc w:val="both"/>
        <w:rPr>
          <w:rFonts w:ascii="Times New Roman" w:hAnsi="Times New Roman" w:cs="Times New Roman"/>
          <w:sz w:val="24"/>
          <w:szCs w:val="24"/>
        </w:rPr>
      </w:pPr>
    </w:p>
    <w:p w:rsidR="000F17BD" w:rsidRDefault="00820D74" w:rsidP="009B01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these findings, events were created 1 and 2 frames before right </w:t>
      </w:r>
      <w:proofErr w:type="spellStart"/>
      <w:r>
        <w:rPr>
          <w:rFonts w:ascii="Times New Roman" w:hAnsi="Times New Roman" w:cs="Times New Roman"/>
          <w:sz w:val="24"/>
          <w:szCs w:val="24"/>
        </w:rPr>
        <w:t>hindlimb</w:t>
      </w:r>
      <w:proofErr w:type="spellEnd"/>
      <w:r>
        <w:rPr>
          <w:rFonts w:ascii="Times New Roman" w:hAnsi="Times New Roman" w:cs="Times New Roman"/>
          <w:sz w:val="24"/>
          <w:szCs w:val="24"/>
        </w:rPr>
        <w:t xml:space="preserve"> lift off for each of the 8 trials of the individual horse. </w:t>
      </w:r>
      <w:proofErr w:type="spellStart"/>
      <w:r>
        <w:rPr>
          <w:rFonts w:ascii="Times New Roman" w:hAnsi="Times New Roman" w:cs="Times New Roman"/>
          <w:sz w:val="24"/>
          <w:szCs w:val="24"/>
        </w:rPr>
        <w:t>VecMag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VecAng</w:t>
      </w:r>
      <w:proofErr w:type="spellEnd"/>
      <w:r>
        <w:rPr>
          <w:rFonts w:ascii="Times New Roman" w:hAnsi="Times New Roman" w:cs="Times New Roman"/>
          <w:sz w:val="24"/>
          <w:szCs w:val="24"/>
        </w:rPr>
        <w:t xml:space="preserve"> were re-calculated using the two new events</w:t>
      </w:r>
      <w:r w:rsidR="000F17BD">
        <w:rPr>
          <w:rFonts w:ascii="Times New Roman" w:hAnsi="Times New Roman" w:cs="Times New Roman"/>
          <w:sz w:val="24"/>
          <w:szCs w:val="24"/>
        </w:rPr>
        <w:t xml:space="preserve"> (Table S2)</w:t>
      </w:r>
      <w:r>
        <w:rPr>
          <w:rFonts w:ascii="Times New Roman" w:hAnsi="Times New Roman" w:cs="Times New Roman"/>
          <w:sz w:val="24"/>
          <w:szCs w:val="24"/>
        </w:rPr>
        <w:t xml:space="preserve">. Vertical and longitudinal plots of the GRF profiles for each of the </w:t>
      </w:r>
      <w:r>
        <w:rPr>
          <w:rFonts w:ascii="Times New Roman" w:hAnsi="Times New Roman" w:cs="Times New Roman"/>
          <w:sz w:val="24"/>
          <w:szCs w:val="24"/>
        </w:rPr>
        <w:lastRenderedPageBreak/>
        <w:t>thresholds were created in Visua</w:t>
      </w:r>
      <w:r w:rsidR="000F17BD">
        <w:rPr>
          <w:rFonts w:ascii="Times New Roman" w:hAnsi="Times New Roman" w:cs="Times New Roman"/>
          <w:sz w:val="24"/>
          <w:szCs w:val="24"/>
        </w:rPr>
        <w:t>l 3D for illustrative purposes (see Figure S1).</w:t>
      </w:r>
      <w:r w:rsidR="00ED4B0F">
        <w:rPr>
          <w:rFonts w:ascii="Times New Roman" w:hAnsi="Times New Roman" w:cs="Times New Roman"/>
          <w:sz w:val="24"/>
          <w:szCs w:val="24"/>
        </w:rPr>
        <w:t xml:space="preserve"> Paired samples t-tests were performed in SPSS to establish whether the difference in threshold was significant within trials (p&lt;.05). </w:t>
      </w:r>
    </w:p>
    <w:p w:rsidR="00590FB2" w:rsidRPr="009B0124" w:rsidRDefault="00590FB2" w:rsidP="009B0124">
      <w:pPr>
        <w:spacing w:line="360" w:lineRule="auto"/>
        <w:jc w:val="both"/>
        <w:rPr>
          <w:rFonts w:ascii="Times New Roman" w:hAnsi="Times New Roman" w:cs="Times New Roman"/>
          <w:b/>
          <w:sz w:val="24"/>
          <w:szCs w:val="24"/>
        </w:rPr>
      </w:pPr>
      <w:r w:rsidRPr="009B0124">
        <w:rPr>
          <w:rFonts w:ascii="Times New Roman" w:hAnsi="Times New Roman" w:cs="Times New Roman"/>
          <w:b/>
          <w:sz w:val="24"/>
          <w:szCs w:val="24"/>
        </w:rPr>
        <w:t xml:space="preserve">Table S2: </w:t>
      </w:r>
      <w:r w:rsidR="009B0124" w:rsidRPr="009B0124">
        <w:rPr>
          <w:rFonts w:ascii="Times New Roman" w:hAnsi="Times New Roman" w:cs="Times New Roman"/>
          <w:b/>
          <w:sz w:val="24"/>
          <w:szCs w:val="24"/>
        </w:rPr>
        <w:t>Calculated mean (</w:t>
      </w:r>
      <w:proofErr w:type="spellStart"/>
      <w:r w:rsidR="009B0124" w:rsidRPr="009B0124">
        <w:rPr>
          <w:rFonts w:ascii="Times New Roman" w:hAnsi="Times New Roman" w:cs="Times New Roman"/>
          <w:b/>
          <w:sz w:val="24"/>
          <w:szCs w:val="24"/>
        </w:rPr>
        <w:t>s.d</w:t>
      </w:r>
      <w:proofErr w:type="spellEnd"/>
      <w:r w:rsidR="009B0124" w:rsidRPr="009B0124">
        <w:rPr>
          <w:rFonts w:ascii="Times New Roman" w:hAnsi="Times New Roman" w:cs="Times New Roman"/>
          <w:b/>
          <w:sz w:val="24"/>
          <w:szCs w:val="24"/>
        </w:rPr>
        <w:t xml:space="preserve">.) for </w:t>
      </w:r>
      <w:proofErr w:type="spellStart"/>
      <w:r w:rsidR="009B0124" w:rsidRPr="009B0124">
        <w:rPr>
          <w:rFonts w:ascii="Times New Roman" w:hAnsi="Times New Roman" w:cs="Times New Roman"/>
          <w:b/>
          <w:sz w:val="24"/>
          <w:szCs w:val="24"/>
        </w:rPr>
        <w:t>VecMag</w:t>
      </w:r>
      <w:proofErr w:type="spellEnd"/>
      <w:r w:rsidR="009B0124" w:rsidRPr="009B0124">
        <w:rPr>
          <w:rFonts w:ascii="Times New Roman" w:hAnsi="Times New Roman" w:cs="Times New Roman"/>
          <w:b/>
          <w:sz w:val="24"/>
          <w:szCs w:val="24"/>
        </w:rPr>
        <w:t xml:space="preserve"> (N/kg) and </w:t>
      </w:r>
      <w:proofErr w:type="spellStart"/>
      <w:r w:rsidR="009B0124" w:rsidRPr="009B0124">
        <w:rPr>
          <w:rFonts w:ascii="Times New Roman" w:hAnsi="Times New Roman" w:cs="Times New Roman"/>
          <w:b/>
          <w:sz w:val="24"/>
          <w:szCs w:val="24"/>
        </w:rPr>
        <w:t>Vec</w:t>
      </w:r>
      <w:proofErr w:type="spellEnd"/>
      <w:r w:rsidR="009B0124" w:rsidRPr="009B0124">
        <w:rPr>
          <w:rFonts w:ascii="Times New Roman" w:hAnsi="Times New Roman" w:cs="Times New Roman"/>
          <w:b/>
          <w:sz w:val="24"/>
          <w:szCs w:val="24"/>
        </w:rPr>
        <w:t xml:space="preserve"> </w:t>
      </w:r>
      <w:proofErr w:type="spellStart"/>
      <w:r w:rsidR="009B0124" w:rsidRPr="009B0124">
        <w:rPr>
          <w:rFonts w:ascii="Times New Roman" w:hAnsi="Times New Roman" w:cs="Times New Roman"/>
          <w:b/>
          <w:sz w:val="24"/>
          <w:szCs w:val="24"/>
        </w:rPr>
        <w:t>Ang</w:t>
      </w:r>
      <w:proofErr w:type="spellEnd"/>
      <w:r w:rsidR="009B0124" w:rsidRPr="009B0124">
        <w:rPr>
          <w:rFonts w:ascii="Times New Roman" w:hAnsi="Times New Roman" w:cs="Times New Roman"/>
          <w:b/>
          <w:sz w:val="24"/>
          <w:szCs w:val="24"/>
        </w:rPr>
        <w:t xml:space="preserve"> (deg) for the right </w:t>
      </w:r>
      <w:proofErr w:type="spellStart"/>
      <w:r w:rsidR="009B0124" w:rsidRPr="009B0124">
        <w:rPr>
          <w:rFonts w:ascii="Times New Roman" w:hAnsi="Times New Roman" w:cs="Times New Roman"/>
          <w:b/>
          <w:sz w:val="24"/>
          <w:szCs w:val="24"/>
        </w:rPr>
        <w:t>hindlimb</w:t>
      </w:r>
      <w:proofErr w:type="spellEnd"/>
      <w:r w:rsidR="009B0124" w:rsidRPr="009B0124">
        <w:rPr>
          <w:rFonts w:ascii="Times New Roman" w:hAnsi="Times New Roman" w:cs="Times New Roman"/>
          <w:b/>
          <w:sz w:val="24"/>
          <w:szCs w:val="24"/>
        </w:rPr>
        <w:t xml:space="preserve"> based on events created 1 and 2 frames earlier than lift off and their corresponding vertical force magnitudes (N).</w:t>
      </w:r>
      <w:r w:rsidR="00ED4B0F">
        <w:rPr>
          <w:rFonts w:ascii="Times New Roman" w:hAnsi="Times New Roman" w:cs="Times New Roman"/>
          <w:b/>
          <w:sz w:val="24"/>
          <w:szCs w:val="24"/>
        </w:rPr>
        <w:t xml:space="preserve"> Significant differences (p&lt;.05) are denoted with an asterisk*.</w:t>
      </w:r>
    </w:p>
    <w:tbl>
      <w:tblPr>
        <w:tblStyle w:val="TableGrid"/>
        <w:tblW w:w="0" w:type="auto"/>
        <w:jc w:val="center"/>
        <w:tblLook w:val="04A0"/>
      </w:tblPr>
      <w:tblGrid>
        <w:gridCol w:w="2310"/>
        <w:gridCol w:w="1909"/>
        <w:gridCol w:w="1701"/>
        <w:gridCol w:w="2020"/>
      </w:tblGrid>
      <w:tr w:rsidR="000F17BD" w:rsidTr="009B0124">
        <w:trPr>
          <w:jc w:val="center"/>
        </w:trPr>
        <w:tc>
          <w:tcPr>
            <w:tcW w:w="2310" w:type="dxa"/>
          </w:tcPr>
          <w:p w:rsidR="000F17BD" w:rsidRPr="009B0124" w:rsidRDefault="000F17BD" w:rsidP="009B0124">
            <w:pPr>
              <w:spacing w:line="360" w:lineRule="auto"/>
              <w:jc w:val="center"/>
              <w:rPr>
                <w:rFonts w:ascii="Times New Roman" w:hAnsi="Times New Roman" w:cs="Times New Roman"/>
                <w:b/>
                <w:sz w:val="24"/>
                <w:szCs w:val="24"/>
              </w:rPr>
            </w:pPr>
          </w:p>
        </w:tc>
        <w:tc>
          <w:tcPr>
            <w:tcW w:w="1909" w:type="dxa"/>
          </w:tcPr>
          <w:p w:rsidR="000F17BD" w:rsidRPr="009B0124" w:rsidRDefault="000F17BD" w:rsidP="009B0124">
            <w:pPr>
              <w:spacing w:line="360" w:lineRule="auto"/>
              <w:jc w:val="center"/>
              <w:rPr>
                <w:rFonts w:ascii="Times New Roman" w:hAnsi="Times New Roman" w:cs="Times New Roman"/>
                <w:b/>
                <w:sz w:val="24"/>
                <w:szCs w:val="24"/>
              </w:rPr>
            </w:pPr>
            <w:proofErr w:type="spellStart"/>
            <w:r w:rsidRPr="009B0124">
              <w:rPr>
                <w:rFonts w:ascii="Times New Roman" w:hAnsi="Times New Roman" w:cs="Times New Roman"/>
                <w:b/>
                <w:sz w:val="24"/>
                <w:szCs w:val="24"/>
              </w:rPr>
              <w:t>Vec</w:t>
            </w:r>
            <w:proofErr w:type="spellEnd"/>
            <w:r w:rsidRPr="009B0124">
              <w:rPr>
                <w:rFonts w:ascii="Times New Roman" w:hAnsi="Times New Roman" w:cs="Times New Roman"/>
                <w:b/>
                <w:sz w:val="24"/>
                <w:szCs w:val="24"/>
              </w:rPr>
              <w:t xml:space="preserve"> </w:t>
            </w:r>
            <w:proofErr w:type="spellStart"/>
            <w:r w:rsidRPr="009B0124">
              <w:rPr>
                <w:rFonts w:ascii="Times New Roman" w:hAnsi="Times New Roman" w:cs="Times New Roman"/>
                <w:b/>
                <w:sz w:val="24"/>
                <w:szCs w:val="24"/>
              </w:rPr>
              <w:t>Mag</w:t>
            </w:r>
            <w:proofErr w:type="spellEnd"/>
            <w:r w:rsidRPr="009B0124">
              <w:rPr>
                <w:rFonts w:ascii="Times New Roman" w:hAnsi="Times New Roman" w:cs="Times New Roman"/>
                <w:b/>
                <w:sz w:val="24"/>
                <w:szCs w:val="24"/>
              </w:rPr>
              <w:t xml:space="preserve"> (N/kg)</w:t>
            </w:r>
          </w:p>
        </w:tc>
        <w:tc>
          <w:tcPr>
            <w:tcW w:w="1701" w:type="dxa"/>
          </w:tcPr>
          <w:p w:rsidR="000F17BD" w:rsidRPr="009B0124" w:rsidRDefault="000F17BD" w:rsidP="009B0124">
            <w:pPr>
              <w:spacing w:line="360" w:lineRule="auto"/>
              <w:jc w:val="center"/>
              <w:rPr>
                <w:rFonts w:ascii="Times New Roman" w:hAnsi="Times New Roman" w:cs="Times New Roman"/>
                <w:b/>
                <w:sz w:val="24"/>
                <w:szCs w:val="24"/>
              </w:rPr>
            </w:pPr>
            <w:proofErr w:type="spellStart"/>
            <w:r w:rsidRPr="009B0124">
              <w:rPr>
                <w:rFonts w:ascii="Times New Roman" w:hAnsi="Times New Roman" w:cs="Times New Roman"/>
                <w:b/>
                <w:sz w:val="24"/>
                <w:szCs w:val="24"/>
              </w:rPr>
              <w:t>Vec</w:t>
            </w:r>
            <w:proofErr w:type="spellEnd"/>
            <w:r w:rsidRPr="009B0124">
              <w:rPr>
                <w:rFonts w:ascii="Times New Roman" w:hAnsi="Times New Roman" w:cs="Times New Roman"/>
                <w:b/>
                <w:sz w:val="24"/>
                <w:szCs w:val="24"/>
              </w:rPr>
              <w:t xml:space="preserve"> </w:t>
            </w:r>
            <w:proofErr w:type="spellStart"/>
            <w:r w:rsidRPr="009B0124">
              <w:rPr>
                <w:rFonts w:ascii="Times New Roman" w:hAnsi="Times New Roman" w:cs="Times New Roman"/>
                <w:b/>
                <w:sz w:val="24"/>
                <w:szCs w:val="24"/>
              </w:rPr>
              <w:t>Ang</w:t>
            </w:r>
            <w:proofErr w:type="spellEnd"/>
            <w:r w:rsidRPr="009B0124">
              <w:rPr>
                <w:rFonts w:ascii="Times New Roman" w:hAnsi="Times New Roman" w:cs="Times New Roman"/>
                <w:b/>
                <w:sz w:val="24"/>
                <w:szCs w:val="24"/>
              </w:rPr>
              <w:t xml:space="preserve"> (deg)</w:t>
            </w:r>
          </w:p>
        </w:tc>
        <w:tc>
          <w:tcPr>
            <w:tcW w:w="2020" w:type="dxa"/>
          </w:tcPr>
          <w:p w:rsidR="000F17BD" w:rsidRPr="009B0124" w:rsidRDefault="00590FB2" w:rsidP="009B0124">
            <w:pPr>
              <w:spacing w:line="360" w:lineRule="auto"/>
              <w:jc w:val="center"/>
              <w:rPr>
                <w:rFonts w:ascii="Times New Roman" w:hAnsi="Times New Roman" w:cs="Times New Roman"/>
                <w:b/>
                <w:sz w:val="24"/>
                <w:szCs w:val="24"/>
              </w:rPr>
            </w:pPr>
            <w:r w:rsidRPr="009B0124">
              <w:rPr>
                <w:rFonts w:ascii="Times New Roman" w:hAnsi="Times New Roman" w:cs="Times New Roman"/>
                <w:b/>
                <w:sz w:val="24"/>
                <w:szCs w:val="24"/>
              </w:rPr>
              <w:t>Vertical GRF</w:t>
            </w:r>
            <w:r w:rsidR="000F17BD" w:rsidRPr="009B0124">
              <w:rPr>
                <w:rFonts w:ascii="Times New Roman" w:hAnsi="Times New Roman" w:cs="Times New Roman"/>
                <w:b/>
                <w:sz w:val="24"/>
                <w:szCs w:val="24"/>
              </w:rPr>
              <w:t xml:space="preserve"> (N)</w:t>
            </w:r>
          </w:p>
        </w:tc>
      </w:tr>
      <w:tr w:rsidR="000F17BD" w:rsidTr="009B0124">
        <w:trPr>
          <w:jc w:val="center"/>
        </w:trPr>
        <w:tc>
          <w:tcPr>
            <w:tcW w:w="2310"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50 N threshold (reference)</w:t>
            </w:r>
          </w:p>
        </w:tc>
        <w:tc>
          <w:tcPr>
            <w:tcW w:w="1909"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5.15 (0.27)</w:t>
            </w:r>
            <w:r w:rsidR="00ED4B0F">
              <w:rPr>
                <w:rFonts w:ascii="Times New Roman" w:hAnsi="Times New Roman" w:cs="Times New Roman"/>
                <w:sz w:val="24"/>
                <w:szCs w:val="24"/>
              </w:rPr>
              <w:t>*</w:t>
            </w:r>
          </w:p>
        </w:tc>
        <w:tc>
          <w:tcPr>
            <w:tcW w:w="1701"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1.51 (0.74)</w:t>
            </w:r>
          </w:p>
        </w:tc>
        <w:tc>
          <w:tcPr>
            <w:tcW w:w="2020" w:type="dxa"/>
          </w:tcPr>
          <w:p w:rsidR="000F17BD" w:rsidRDefault="000F17BD" w:rsidP="009B0124">
            <w:pPr>
              <w:spacing w:line="360" w:lineRule="auto"/>
              <w:jc w:val="center"/>
              <w:rPr>
                <w:rFonts w:ascii="Times New Roman" w:hAnsi="Times New Roman" w:cs="Times New Roman"/>
                <w:sz w:val="24"/>
                <w:szCs w:val="24"/>
              </w:rPr>
            </w:pPr>
          </w:p>
        </w:tc>
      </w:tr>
      <w:tr w:rsidR="000F17BD" w:rsidTr="009B0124">
        <w:trPr>
          <w:jc w:val="center"/>
        </w:trPr>
        <w:tc>
          <w:tcPr>
            <w:tcW w:w="2310"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1 frame earlier</w:t>
            </w:r>
          </w:p>
        </w:tc>
        <w:tc>
          <w:tcPr>
            <w:tcW w:w="1909" w:type="dxa"/>
          </w:tcPr>
          <w:p w:rsidR="000F17BD" w:rsidRDefault="00590FB2"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r w:rsidR="000F17BD">
              <w:rPr>
                <w:rFonts w:ascii="Times New Roman" w:hAnsi="Times New Roman" w:cs="Times New Roman"/>
                <w:sz w:val="24"/>
                <w:szCs w:val="24"/>
              </w:rPr>
              <w:t>5 (0.32)</w:t>
            </w:r>
            <w:r w:rsidR="00ED4B0F">
              <w:rPr>
                <w:rFonts w:ascii="Times New Roman" w:hAnsi="Times New Roman" w:cs="Times New Roman"/>
                <w:sz w:val="24"/>
                <w:szCs w:val="24"/>
              </w:rPr>
              <w:t>*</w:t>
            </w:r>
          </w:p>
        </w:tc>
        <w:tc>
          <w:tcPr>
            <w:tcW w:w="1701"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1.51 (0.75)</w:t>
            </w:r>
          </w:p>
        </w:tc>
        <w:tc>
          <w:tcPr>
            <w:tcW w:w="2020"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92.8 (23.3)</w:t>
            </w:r>
          </w:p>
        </w:tc>
      </w:tr>
      <w:tr w:rsidR="000F17BD" w:rsidTr="009B0124">
        <w:trPr>
          <w:jc w:val="center"/>
        </w:trPr>
        <w:tc>
          <w:tcPr>
            <w:tcW w:w="2310"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2 frames earlier</w:t>
            </w:r>
          </w:p>
        </w:tc>
        <w:tc>
          <w:tcPr>
            <w:tcW w:w="1909" w:type="dxa"/>
          </w:tcPr>
          <w:p w:rsidR="000F17BD" w:rsidRDefault="00590FB2"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5.56 (0.29</w:t>
            </w:r>
            <w:r w:rsidR="000F17BD">
              <w:rPr>
                <w:rFonts w:ascii="Times New Roman" w:hAnsi="Times New Roman" w:cs="Times New Roman"/>
                <w:sz w:val="24"/>
                <w:szCs w:val="24"/>
              </w:rPr>
              <w:t>)</w:t>
            </w:r>
            <w:r w:rsidR="00ED4B0F">
              <w:rPr>
                <w:rFonts w:ascii="Times New Roman" w:hAnsi="Times New Roman" w:cs="Times New Roman"/>
                <w:sz w:val="24"/>
                <w:szCs w:val="24"/>
              </w:rPr>
              <w:t>*</w:t>
            </w:r>
          </w:p>
        </w:tc>
        <w:tc>
          <w:tcPr>
            <w:tcW w:w="1701"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1.51 (0.75)</w:t>
            </w:r>
          </w:p>
        </w:tc>
        <w:tc>
          <w:tcPr>
            <w:tcW w:w="2020" w:type="dxa"/>
          </w:tcPr>
          <w:p w:rsidR="000F17BD" w:rsidRDefault="000F17BD" w:rsidP="009B0124">
            <w:pPr>
              <w:spacing w:line="360" w:lineRule="auto"/>
              <w:jc w:val="center"/>
              <w:rPr>
                <w:rFonts w:ascii="Times New Roman" w:hAnsi="Times New Roman" w:cs="Times New Roman"/>
                <w:sz w:val="24"/>
                <w:szCs w:val="24"/>
              </w:rPr>
            </w:pPr>
            <w:r>
              <w:rPr>
                <w:rFonts w:ascii="Times New Roman" w:hAnsi="Times New Roman" w:cs="Times New Roman"/>
                <w:sz w:val="24"/>
                <w:szCs w:val="24"/>
              </w:rPr>
              <w:t>168.5 (52.9)</w:t>
            </w:r>
          </w:p>
        </w:tc>
      </w:tr>
    </w:tbl>
    <w:p w:rsidR="00ED4B0F" w:rsidRDefault="00ED4B0F" w:rsidP="009B0124">
      <w:pPr>
        <w:spacing w:line="360" w:lineRule="auto"/>
        <w:jc w:val="both"/>
        <w:rPr>
          <w:rFonts w:ascii="Times New Roman" w:hAnsi="Times New Roman" w:cs="Times New Roman"/>
          <w:sz w:val="24"/>
          <w:szCs w:val="24"/>
        </w:rPr>
      </w:pPr>
    </w:p>
    <w:p w:rsidR="00ED4B0F" w:rsidRDefault="00ED4B0F" w:rsidP="009B01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Significant differences were found for </w:t>
      </w:r>
      <w:proofErr w:type="spellStart"/>
      <w:r>
        <w:rPr>
          <w:rFonts w:ascii="Times New Roman" w:hAnsi="Times New Roman" w:cs="Times New Roman"/>
          <w:sz w:val="24"/>
          <w:szCs w:val="24"/>
        </w:rPr>
        <w:t>VecMag</w:t>
      </w:r>
      <w:proofErr w:type="spellEnd"/>
      <w:r>
        <w:rPr>
          <w:rFonts w:ascii="Times New Roman" w:hAnsi="Times New Roman" w:cs="Times New Roman"/>
          <w:sz w:val="24"/>
          <w:szCs w:val="24"/>
        </w:rPr>
        <w:t xml:space="preserve"> between all paired combinations, all significant at p&lt;.01. No significant differences were found for </w:t>
      </w:r>
      <w:proofErr w:type="spellStart"/>
      <w:r>
        <w:rPr>
          <w:rFonts w:ascii="Times New Roman" w:hAnsi="Times New Roman" w:cs="Times New Roman"/>
          <w:sz w:val="24"/>
          <w:szCs w:val="24"/>
        </w:rPr>
        <w:t>VecAng</w:t>
      </w:r>
      <w:proofErr w:type="spellEnd"/>
      <w:r>
        <w:rPr>
          <w:rFonts w:ascii="Times New Roman" w:hAnsi="Times New Roman" w:cs="Times New Roman"/>
          <w:sz w:val="24"/>
          <w:szCs w:val="24"/>
        </w:rPr>
        <w:t xml:space="preserve"> paired combinations. </w:t>
      </w:r>
    </w:p>
    <w:p w:rsidR="00E6440D" w:rsidRDefault="00ED4B0F" w:rsidP="009B01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indicate that care must be taken in defining the threshold for stance phase identification, particularly in the </w:t>
      </w:r>
      <w:proofErr w:type="spellStart"/>
      <w:r>
        <w:rPr>
          <w:rFonts w:ascii="Times New Roman" w:hAnsi="Times New Roman" w:cs="Times New Roman"/>
          <w:sz w:val="24"/>
          <w:szCs w:val="24"/>
        </w:rPr>
        <w:t>hindlimbs</w:t>
      </w:r>
      <w:proofErr w:type="spellEnd"/>
      <w:r>
        <w:rPr>
          <w:rFonts w:ascii="Times New Roman" w:hAnsi="Times New Roman" w:cs="Times New Roman"/>
          <w:sz w:val="24"/>
          <w:szCs w:val="24"/>
        </w:rPr>
        <w:t xml:space="preserve"> when considering </w:t>
      </w:r>
      <w:proofErr w:type="spellStart"/>
      <w:r>
        <w:rPr>
          <w:rFonts w:ascii="Times New Roman" w:hAnsi="Times New Roman" w:cs="Times New Roman"/>
          <w:sz w:val="24"/>
          <w:szCs w:val="24"/>
        </w:rPr>
        <w:t>VecMag</w:t>
      </w:r>
      <w:proofErr w:type="spellEnd"/>
      <w:r>
        <w:rPr>
          <w:rFonts w:ascii="Times New Roman" w:hAnsi="Times New Roman" w:cs="Times New Roman"/>
          <w:sz w:val="24"/>
          <w:szCs w:val="24"/>
        </w:rPr>
        <w:t xml:space="preserve"> and other time-based variables. For this manuscript a 50N threshold was used, which has been used in previously, although other authors have used greater thresholds (see Starke and Clayton (201</w:t>
      </w:r>
      <w:r w:rsidR="009874F8">
        <w:rPr>
          <w:rFonts w:ascii="Times New Roman" w:hAnsi="Times New Roman" w:cs="Times New Roman"/>
          <w:sz w:val="24"/>
          <w:szCs w:val="24"/>
        </w:rPr>
        <w:t>5</w:t>
      </w:r>
      <w:r>
        <w:rPr>
          <w:rFonts w:ascii="Times New Roman" w:hAnsi="Times New Roman" w:cs="Times New Roman"/>
          <w:sz w:val="24"/>
          <w:szCs w:val="24"/>
        </w:rPr>
        <w:t xml:space="preserve">) for a fuller examination of </w:t>
      </w:r>
      <w:r w:rsidR="00E6440D">
        <w:rPr>
          <w:rFonts w:ascii="Times New Roman" w:hAnsi="Times New Roman" w:cs="Times New Roman"/>
          <w:sz w:val="24"/>
          <w:szCs w:val="24"/>
        </w:rPr>
        <w:t xml:space="preserve">event detection methods. As </w:t>
      </w:r>
      <w:proofErr w:type="spellStart"/>
      <w:r w:rsidR="00E6440D">
        <w:rPr>
          <w:rFonts w:ascii="Times New Roman" w:hAnsi="Times New Roman" w:cs="Times New Roman"/>
          <w:sz w:val="24"/>
          <w:szCs w:val="24"/>
        </w:rPr>
        <w:t>VecMag</w:t>
      </w:r>
      <w:proofErr w:type="spellEnd"/>
      <w:r w:rsidR="00E6440D">
        <w:rPr>
          <w:rFonts w:ascii="Times New Roman" w:hAnsi="Times New Roman" w:cs="Times New Roman"/>
          <w:sz w:val="24"/>
          <w:szCs w:val="24"/>
        </w:rPr>
        <w:t xml:space="preserve"> was designed to encapsulate the entire force profile we opted to use a lower threshold that included the extent of the forces produced. Further work with a greater population of horses and different surfaces may examine the efficacy of this decision. In contrast, </w:t>
      </w:r>
      <w:proofErr w:type="spellStart"/>
      <w:r w:rsidR="00E6440D">
        <w:rPr>
          <w:rFonts w:ascii="Times New Roman" w:hAnsi="Times New Roman" w:cs="Times New Roman"/>
          <w:sz w:val="24"/>
          <w:szCs w:val="24"/>
        </w:rPr>
        <w:t>VecAng</w:t>
      </w:r>
      <w:proofErr w:type="spellEnd"/>
      <w:r w:rsidR="00E6440D">
        <w:rPr>
          <w:rFonts w:ascii="Times New Roman" w:hAnsi="Times New Roman" w:cs="Times New Roman"/>
          <w:sz w:val="24"/>
          <w:szCs w:val="24"/>
        </w:rPr>
        <w:t xml:space="preserve"> is largely independent of the event threshold, which highlights the potential use of this variable </w:t>
      </w:r>
      <w:r w:rsidR="00E37246">
        <w:rPr>
          <w:rFonts w:ascii="Times New Roman" w:hAnsi="Times New Roman" w:cs="Times New Roman"/>
          <w:sz w:val="24"/>
          <w:szCs w:val="24"/>
        </w:rPr>
        <w:t xml:space="preserve">as an overall description of the </w:t>
      </w:r>
      <w:r w:rsidR="00E6440D">
        <w:rPr>
          <w:rFonts w:ascii="Times New Roman" w:hAnsi="Times New Roman" w:cs="Times New Roman"/>
          <w:sz w:val="24"/>
          <w:szCs w:val="24"/>
        </w:rPr>
        <w:t>longitudinal GRF</w:t>
      </w:r>
      <w:r w:rsidR="00E37246">
        <w:rPr>
          <w:rFonts w:ascii="Times New Roman" w:hAnsi="Times New Roman" w:cs="Times New Roman"/>
          <w:sz w:val="24"/>
          <w:szCs w:val="24"/>
        </w:rPr>
        <w:t xml:space="preserve"> effect</w:t>
      </w:r>
      <w:r w:rsidR="00E6440D">
        <w:rPr>
          <w:rFonts w:ascii="Times New Roman" w:hAnsi="Times New Roman" w:cs="Times New Roman"/>
          <w:sz w:val="24"/>
          <w:szCs w:val="24"/>
        </w:rPr>
        <w:t xml:space="preserve">. </w:t>
      </w:r>
    </w:p>
    <w:p w:rsidR="009874F8" w:rsidRPr="009874F8" w:rsidRDefault="009874F8" w:rsidP="009B0124">
      <w:pPr>
        <w:spacing w:line="360" w:lineRule="auto"/>
        <w:jc w:val="both"/>
        <w:rPr>
          <w:rFonts w:ascii="Times New Roman" w:hAnsi="Times New Roman" w:cs="Times New Roman"/>
          <w:b/>
          <w:sz w:val="28"/>
          <w:szCs w:val="28"/>
        </w:rPr>
      </w:pPr>
      <w:r w:rsidRPr="009874F8">
        <w:rPr>
          <w:rFonts w:ascii="Times New Roman" w:hAnsi="Times New Roman" w:cs="Times New Roman"/>
          <w:b/>
          <w:sz w:val="28"/>
          <w:szCs w:val="28"/>
        </w:rPr>
        <w:t>References</w:t>
      </w:r>
    </w:p>
    <w:p w:rsidR="009874F8" w:rsidRDefault="009874F8" w:rsidP="009B012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Starke, S and Clayton HM.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universal approach to determine footfall timings from kinematics of a single foot marker in hoofed animals.</w:t>
      </w:r>
      <w:proofErr w:type="gramEnd"/>
      <w:r>
        <w:rPr>
          <w:rFonts w:ascii="Times New Roman" w:hAnsi="Times New Roman" w:cs="Times New Roman"/>
          <w:sz w:val="24"/>
          <w:szCs w:val="24"/>
        </w:rPr>
        <w:t xml:space="preserve"> </w:t>
      </w:r>
      <w:proofErr w:type="spellStart"/>
      <w:r w:rsidRPr="009874F8">
        <w:rPr>
          <w:rFonts w:ascii="Times New Roman" w:hAnsi="Times New Roman" w:cs="Times New Roman"/>
          <w:i/>
          <w:sz w:val="24"/>
          <w:szCs w:val="24"/>
        </w:rPr>
        <w:t>PeerJ</w:t>
      </w:r>
      <w:proofErr w:type="spellEnd"/>
      <w:r>
        <w:rPr>
          <w:rFonts w:ascii="Times New Roman" w:hAnsi="Times New Roman" w:cs="Times New Roman"/>
          <w:sz w:val="24"/>
          <w:szCs w:val="24"/>
        </w:rPr>
        <w:t xml:space="preserve"> 3:e783; DOI 10.7717/peerj.783</w:t>
      </w:r>
    </w:p>
    <w:p w:rsidR="009874F8" w:rsidRPr="00E37246" w:rsidRDefault="009874F8" w:rsidP="009874F8">
      <w:pPr>
        <w:spacing w:line="360" w:lineRule="auto"/>
        <w:jc w:val="both"/>
        <w:rPr>
          <w:rFonts w:ascii="Times New Roman" w:hAnsi="Times New Roman" w:cs="Times New Roman"/>
          <w:b/>
          <w:sz w:val="28"/>
          <w:szCs w:val="28"/>
        </w:rPr>
      </w:pPr>
      <w:r w:rsidRPr="00E37246">
        <w:rPr>
          <w:rFonts w:ascii="Times New Roman" w:hAnsi="Times New Roman" w:cs="Times New Roman"/>
          <w:b/>
          <w:sz w:val="28"/>
          <w:szCs w:val="28"/>
        </w:rPr>
        <w:t>Figure Legends</w:t>
      </w:r>
    </w:p>
    <w:p w:rsidR="009874F8" w:rsidRPr="00EE0786" w:rsidRDefault="009874F8" w:rsidP="009874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Figure S1: The effect of using a different threshold on ground reaction force traces</w:t>
      </w:r>
      <w:r w:rsidRPr="009874F8">
        <w:rPr>
          <w:rFonts w:ascii="Times New Roman" w:hAnsi="Times New Roman" w:cs="Times New Roman"/>
          <w:sz w:val="24"/>
          <w:szCs w:val="24"/>
        </w:rPr>
        <w:t xml:space="preserve"> </w:t>
      </w:r>
      <w:r>
        <w:rPr>
          <w:rFonts w:ascii="Times New Roman" w:hAnsi="Times New Roman" w:cs="Times New Roman"/>
          <w:sz w:val="24"/>
          <w:szCs w:val="24"/>
        </w:rPr>
        <w:t>normalized to 101 points. A) Mean vertical and B</w:t>
      </w:r>
      <w:r w:rsidRPr="00EE0786">
        <w:rPr>
          <w:rFonts w:ascii="Times New Roman" w:hAnsi="Times New Roman" w:cs="Times New Roman"/>
          <w:sz w:val="24"/>
          <w:szCs w:val="24"/>
        </w:rPr>
        <w:t>) mean longitudinal ground reaction forces for horse 10 (N/kg). B</w:t>
      </w:r>
      <w:r w:rsidR="00E37246">
        <w:rPr>
          <w:rFonts w:ascii="Times New Roman" w:hAnsi="Times New Roman" w:cs="Times New Roman"/>
          <w:sz w:val="24"/>
          <w:szCs w:val="24"/>
        </w:rPr>
        <w:t>lack: 50 N threshold; b</w:t>
      </w:r>
      <w:r w:rsidRPr="00EE0786">
        <w:rPr>
          <w:rFonts w:ascii="Times New Roman" w:hAnsi="Times New Roman" w:cs="Times New Roman"/>
          <w:sz w:val="24"/>
          <w:szCs w:val="24"/>
        </w:rPr>
        <w:t xml:space="preserve">lue: </w:t>
      </w:r>
      <w:r w:rsidR="00E37246">
        <w:rPr>
          <w:rFonts w:ascii="Times New Roman" w:hAnsi="Times New Roman" w:cs="Times New Roman"/>
          <w:sz w:val="24"/>
          <w:szCs w:val="24"/>
        </w:rPr>
        <w:t xml:space="preserve">100 N threshold; red: 150 N </w:t>
      </w:r>
      <w:proofErr w:type="gramStart"/>
      <w:r w:rsidR="00E37246">
        <w:rPr>
          <w:rFonts w:ascii="Times New Roman" w:hAnsi="Times New Roman" w:cs="Times New Roman"/>
          <w:sz w:val="24"/>
          <w:szCs w:val="24"/>
        </w:rPr>
        <w:t>threshold</w:t>
      </w:r>
      <w:proofErr w:type="gramEnd"/>
      <w:r w:rsidR="00E37246">
        <w:rPr>
          <w:rFonts w:ascii="Times New Roman" w:hAnsi="Times New Roman" w:cs="Times New Roman"/>
          <w:sz w:val="24"/>
          <w:szCs w:val="24"/>
        </w:rPr>
        <w:t xml:space="preserve">. </w:t>
      </w:r>
    </w:p>
    <w:p w:rsidR="009874F8" w:rsidRPr="00820D74" w:rsidRDefault="009874F8" w:rsidP="009874F8">
      <w:pPr>
        <w:spacing w:line="360" w:lineRule="auto"/>
        <w:jc w:val="both"/>
        <w:rPr>
          <w:rFonts w:ascii="Times New Roman" w:hAnsi="Times New Roman" w:cs="Times New Roman"/>
          <w:sz w:val="24"/>
          <w:szCs w:val="24"/>
        </w:rPr>
      </w:pPr>
    </w:p>
    <w:sectPr w:rsidR="009874F8" w:rsidRPr="00820D74" w:rsidSect="00E800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DB1"/>
    <w:rsid w:val="000728F1"/>
    <w:rsid w:val="000F17BD"/>
    <w:rsid w:val="002C2619"/>
    <w:rsid w:val="002F3746"/>
    <w:rsid w:val="00590FB2"/>
    <w:rsid w:val="006C6A54"/>
    <w:rsid w:val="00820D74"/>
    <w:rsid w:val="009874F8"/>
    <w:rsid w:val="009B0124"/>
    <w:rsid w:val="00CB0DB1"/>
    <w:rsid w:val="00E37246"/>
    <w:rsid w:val="00E6440D"/>
    <w:rsid w:val="00E80048"/>
    <w:rsid w:val="00ED4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2017-12-16T13:38:00Z</dcterms:created>
  <dcterms:modified xsi:type="dcterms:W3CDTF">2017-12-17T11:33:00Z</dcterms:modified>
</cp:coreProperties>
</file>