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F044E" w14:textId="36CAD2BD" w:rsidR="00802B13" w:rsidRDefault="00802B13" w:rsidP="004B722F">
      <w:pPr>
        <w:spacing w:line="480" w:lineRule="auto"/>
        <w:jc w:val="center"/>
        <w:rPr>
          <w:rFonts w:ascii="Times New Roman" w:hAnsi="Times New Roman" w:cs="Times New Roman"/>
          <w:color w:val="000000"/>
        </w:rPr>
      </w:pPr>
      <w:bookmarkStart w:id="0" w:name="_GoBack"/>
      <w:bookmarkEnd w:id="0"/>
      <w:r w:rsidRPr="00C32B7B">
        <w:rPr>
          <w:rFonts w:ascii="Times New Roman" w:hAnsi="Times New Roman" w:cs="Times New Roman"/>
          <w:color w:val="000000"/>
        </w:rPr>
        <w:t>Web Appendices for “</w:t>
      </w:r>
      <w:r w:rsidR="00DC2F7E">
        <w:rPr>
          <w:rFonts w:eastAsia="Times New Roman" w:cs="Times New Roman"/>
        </w:rPr>
        <w:t>Linking influenza epidemic onsets to covariates at different scales using survival analysis models</w:t>
      </w:r>
      <w:r w:rsidRPr="00C32B7B">
        <w:rPr>
          <w:rFonts w:ascii="Times New Roman" w:hAnsi="Times New Roman" w:cs="Times New Roman"/>
          <w:color w:val="000000"/>
        </w:rPr>
        <w:t>” by Roussel et al.</w:t>
      </w:r>
    </w:p>
    <w:p w14:paraId="7405C0D1" w14:textId="77777777" w:rsidR="00C9799A" w:rsidRPr="00C32B7B" w:rsidRDefault="00C9799A" w:rsidP="00A5683D">
      <w:pPr>
        <w:spacing w:line="480" w:lineRule="auto"/>
        <w:rPr>
          <w:rFonts w:ascii="Times New Roman" w:hAnsi="Times New Roman" w:cs="Times New Roman"/>
          <w:color w:val="000000"/>
        </w:rPr>
      </w:pPr>
    </w:p>
    <w:p w14:paraId="22447D7A" w14:textId="060429A4" w:rsidR="00A5683D" w:rsidRPr="00C32B7B" w:rsidRDefault="00802B13" w:rsidP="00A5683D">
      <w:pPr>
        <w:spacing w:line="480" w:lineRule="auto"/>
        <w:rPr>
          <w:rFonts w:ascii="Times New Roman" w:hAnsi="Times New Roman" w:cs="Times New Roman"/>
          <w:color w:val="000000"/>
        </w:rPr>
      </w:pPr>
      <w:r w:rsidRPr="00C32B7B">
        <w:rPr>
          <w:rFonts w:ascii="Times New Roman" w:hAnsi="Times New Roman" w:cs="Times New Roman"/>
          <w:color w:val="000000"/>
        </w:rPr>
        <w:t xml:space="preserve">WEB </w:t>
      </w:r>
      <w:r w:rsidR="004646B4" w:rsidRPr="00C32B7B">
        <w:rPr>
          <w:rFonts w:ascii="Times New Roman" w:hAnsi="Times New Roman" w:cs="Times New Roman"/>
          <w:color w:val="000000"/>
        </w:rPr>
        <w:t>MATERIAL</w:t>
      </w:r>
      <w:r w:rsidRPr="00C32B7B">
        <w:rPr>
          <w:rFonts w:ascii="Times New Roman" w:hAnsi="Times New Roman" w:cs="Times New Roman"/>
          <w:color w:val="000000"/>
        </w:rPr>
        <w:t xml:space="preserve"> 1: </w:t>
      </w:r>
      <w:r w:rsidR="00A5683D" w:rsidRPr="00C32B7B">
        <w:rPr>
          <w:rFonts w:ascii="Times New Roman" w:hAnsi="Times New Roman" w:cs="Times New Roman"/>
          <w:color w:val="000000"/>
        </w:rPr>
        <w:t>Variability of methods and data</w:t>
      </w:r>
    </w:p>
    <w:p w14:paraId="388E82B1" w14:textId="33EC30B6" w:rsidR="00A5683D" w:rsidRDefault="00A5683D" w:rsidP="00A5683D">
      <w:pPr>
        <w:spacing w:line="480" w:lineRule="auto"/>
        <w:rPr>
          <w:rFonts w:ascii="Times New Roman" w:hAnsi="Times New Roman" w:cs="Times New Roman"/>
          <w:color w:val="000000"/>
        </w:rPr>
      </w:pPr>
      <w:r w:rsidRPr="00DF2B3D">
        <w:rPr>
          <w:rFonts w:ascii="Times New Roman" w:hAnsi="Times New Roman" w:cs="Times New Roman"/>
          <w:color w:val="000000"/>
        </w:rPr>
        <w:t>The primary source of variability between studies concerns the data used to follow the spread of influenza and the metric used to estimate epidemic onsets (or proxy) from the data. Regarding data, many studies were based either on influenza-related mortality</w:t>
      </w:r>
      <w:r>
        <w:rPr>
          <w:rFonts w:ascii="Times New Roman" w:hAnsi="Times New Roman" w:cs="Times New Roman"/>
          <w:color w:val="000000"/>
        </w:rPr>
        <w:t xml:space="preserve"> </w:t>
      </w:r>
      <w:r>
        <w:rPr>
          <w:rFonts w:ascii="Times New Roman" w:hAnsi="Times New Roman" w:cs="Times New Roman"/>
          <w:color w:val="000000"/>
        </w:rPr>
        <w:fldChar w:fldCharType="begin">
          <w:fldData xml:space="preserve">PEVuZE5vdGU+PENpdGU+PEF1dGhvcj5WaWJvdWQ8L0F1dGhvcj48WWVhcj4yMDA2PC9ZZWFyPjxS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</w:fldData>
        </w:fldChar>
      </w:r>
      <w:r w:rsidR="006B2037">
        <w:rPr>
          <w:rFonts w:ascii="Times New Roman" w:hAnsi="Times New Roman" w:cs="Times New Roman"/>
          <w:color w:val="000000"/>
        </w:rPr>
        <w:instrText xml:space="preserve"> ADDIN EN.CITE </w:instrText>
      </w:r>
      <w:r w:rsidR="006B2037">
        <w:rPr>
          <w:rFonts w:ascii="Times New Roman" w:hAnsi="Times New Roman" w:cs="Times New Roman"/>
          <w:color w:val="000000"/>
        </w:rPr>
        <w:fldChar w:fldCharType="begin">
          <w:fldData xml:space="preserve">PEVuZE5vdGU+PENpdGU+PEF1dGhvcj5WaWJvdWQ8L0F1dGhvcj48WWVhcj4yMDA2PC9ZZWFyPjxS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</w:fldData>
        </w:fldChar>
      </w:r>
      <w:r w:rsidR="006B2037">
        <w:rPr>
          <w:rFonts w:ascii="Times New Roman" w:hAnsi="Times New Roman" w:cs="Times New Roman"/>
          <w:color w:val="000000"/>
        </w:rPr>
        <w:instrText xml:space="preserve"> ADDIN EN.CITE.DATA </w:instrText>
      </w:r>
      <w:r w:rsidR="006B2037">
        <w:rPr>
          <w:rFonts w:ascii="Times New Roman" w:hAnsi="Times New Roman" w:cs="Times New Roman"/>
          <w:color w:val="000000"/>
        </w:rPr>
      </w:r>
      <w:r w:rsidR="006B2037">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6B2037">
        <w:rPr>
          <w:rFonts w:ascii="Times New Roman" w:hAnsi="Times New Roman" w:cs="Times New Roman"/>
          <w:noProof/>
          <w:color w:val="000000"/>
        </w:rPr>
        <w:t>(1-3)</w:t>
      </w:r>
      <w:r>
        <w:rPr>
          <w:rFonts w:ascii="Times New Roman" w:hAnsi="Times New Roman" w:cs="Times New Roman"/>
          <w:color w:val="000000"/>
        </w:rPr>
        <w:fldChar w:fldCharType="end"/>
      </w:r>
      <w:r>
        <w:rPr>
          <w:rFonts w:ascii="Times New Roman" w:hAnsi="Times New Roman" w:cs="Times New Roman"/>
          <w:color w:val="000000"/>
        </w:rPr>
        <w:t xml:space="preserve"> </w:t>
      </w:r>
      <w:r w:rsidRPr="00DF2B3D">
        <w:rPr>
          <w:rFonts w:ascii="Times New Roman" w:hAnsi="Times New Roman" w:cs="Times New Roman"/>
          <w:color w:val="000000"/>
        </w:rPr>
        <w:t xml:space="preserve">or on </w:t>
      </w:r>
      <w:r w:rsidRPr="00130B74">
        <w:rPr>
          <w:rFonts w:ascii="Times New Roman" w:hAnsi="Times New Roman" w:cs="Times New Roman"/>
          <w:color w:val="000000"/>
        </w:rPr>
        <w:t>influenza syndromic cases</w:t>
      </w:r>
      <w:r w:rsidRPr="00DF2B3D">
        <w:rPr>
          <w:rFonts w:ascii="Times New Roman" w:hAnsi="Times New Roman" w:cs="Times New Roman"/>
          <w:color w:val="000000"/>
        </w:rPr>
        <w:t xml:space="preserve"> derived from general practitioner networks </w:t>
      </w:r>
      <w:r>
        <w:rPr>
          <w:rFonts w:ascii="Times New Roman" w:hAnsi="Times New Roman" w:cs="Times New Roman"/>
          <w:color w:val="000000"/>
        </w:rPr>
        <w:fldChar w:fldCharType="begin">
          <w:fldData xml:space="preserve">PEVuZE5vdGU+PENpdGU+PEF1dGhvcj5DaGFyYXVkZWF1PC9BdXRob3I+PFllYXI+MjAxNDwvWWVh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</w:fldData>
        </w:fldChar>
      </w:r>
      <w:r w:rsidR="006B2037">
        <w:rPr>
          <w:rFonts w:ascii="Times New Roman" w:hAnsi="Times New Roman" w:cs="Times New Roman"/>
          <w:color w:val="000000"/>
        </w:rPr>
        <w:instrText xml:space="preserve"> ADDIN EN.CITE </w:instrText>
      </w:r>
      <w:r w:rsidR="006B2037">
        <w:rPr>
          <w:rFonts w:ascii="Times New Roman" w:hAnsi="Times New Roman" w:cs="Times New Roman"/>
          <w:color w:val="000000"/>
        </w:rPr>
        <w:fldChar w:fldCharType="begin">
          <w:fldData xml:space="preserve">PEVuZE5vdGU+PENpdGU+PEF1dGhvcj5DaGFyYXVkZWF1PC9BdXRob3I+PFllYXI+MjAxNDwvWWVh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</w:fldData>
        </w:fldChar>
      </w:r>
      <w:r w:rsidR="006B2037">
        <w:rPr>
          <w:rFonts w:ascii="Times New Roman" w:hAnsi="Times New Roman" w:cs="Times New Roman"/>
          <w:color w:val="000000"/>
        </w:rPr>
        <w:instrText xml:space="preserve"> ADDIN EN.CITE.DATA </w:instrText>
      </w:r>
      <w:r w:rsidR="006B2037">
        <w:rPr>
          <w:rFonts w:ascii="Times New Roman" w:hAnsi="Times New Roman" w:cs="Times New Roman"/>
          <w:color w:val="000000"/>
        </w:rPr>
      </w:r>
      <w:r w:rsidR="006B2037">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6B2037">
        <w:rPr>
          <w:rFonts w:ascii="Times New Roman" w:hAnsi="Times New Roman" w:cs="Times New Roman"/>
          <w:noProof/>
          <w:color w:val="000000"/>
        </w:rPr>
        <w:t>(4-6)</w:t>
      </w:r>
      <w:r>
        <w:rPr>
          <w:rFonts w:ascii="Times New Roman" w:hAnsi="Times New Roman" w:cs="Times New Roman"/>
          <w:color w:val="000000"/>
        </w:rPr>
        <w:fldChar w:fldCharType="end"/>
      </w:r>
      <w:r w:rsidR="00B20B29">
        <w:rPr>
          <w:rFonts w:ascii="Times New Roman" w:hAnsi="Times New Roman" w:cs="Times New Roman"/>
          <w:color w:val="000000"/>
        </w:rPr>
        <w:t>, which</w:t>
      </w:r>
      <w:r w:rsidRPr="00DF2B3D">
        <w:rPr>
          <w:rFonts w:ascii="Times New Roman" w:hAnsi="Times New Roman" w:cs="Times New Roman"/>
          <w:color w:val="000000"/>
        </w:rPr>
        <w:t xml:space="preserve"> are easier to collect than laboratory confirmed influenza cases</w:t>
      </w:r>
      <w:r>
        <w:rPr>
          <w:rFonts w:ascii="Times New Roman" w:hAnsi="Times New Roman" w:cs="Times New Roman"/>
          <w:color w:val="000000"/>
        </w:rPr>
        <w:t xml:space="preserve"> </w:t>
      </w:r>
      <w:r>
        <w:rPr>
          <w:rFonts w:ascii="Times New Roman" w:hAnsi="Times New Roman" w:cs="Times New Roman"/>
          <w:color w:val="000000"/>
        </w:rPr>
        <w:fldChar w:fldCharType="begin">
          <w:fldData xml:space="preserve">PEVuZE5vdGU+PENpdGU+PEF1dGhvcj5TdGFyazwvQXV0aG9yPjxZZWFyPjIwMTI8L1llYXI+PFJl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</w:fldData>
        </w:fldChar>
      </w:r>
      <w:r w:rsidR="00407AF2">
        <w:rPr>
          <w:rFonts w:ascii="Times New Roman" w:hAnsi="Times New Roman" w:cs="Times New Roman"/>
          <w:color w:val="000000"/>
        </w:rPr>
        <w:instrText xml:space="preserve"> ADDIN EN.CITE </w:instrText>
      </w:r>
      <w:r w:rsidR="00407AF2">
        <w:rPr>
          <w:rFonts w:ascii="Times New Roman" w:hAnsi="Times New Roman" w:cs="Times New Roman"/>
          <w:color w:val="000000"/>
        </w:rPr>
        <w:fldChar w:fldCharType="begin">
          <w:fldData xml:space="preserve">PEVuZE5vdGU+PENpdGU+PEF1dGhvcj5TdGFyazwvQXV0aG9yPjxZZWFyPjIwMTI8L1llYXI+PFJl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</w:fldData>
        </w:fldChar>
      </w:r>
      <w:r w:rsidR="00407AF2">
        <w:rPr>
          <w:rFonts w:ascii="Times New Roman" w:hAnsi="Times New Roman" w:cs="Times New Roman"/>
          <w:color w:val="000000"/>
        </w:rPr>
        <w:instrText xml:space="preserve"> ADDIN EN.CITE.DATA </w:instrText>
      </w:r>
      <w:r w:rsidR="00407AF2">
        <w:rPr>
          <w:rFonts w:ascii="Times New Roman" w:hAnsi="Times New Roman" w:cs="Times New Roman"/>
          <w:color w:val="000000"/>
        </w:rPr>
      </w:r>
      <w:r w:rsidR="00407AF2">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6B2037">
        <w:rPr>
          <w:rFonts w:ascii="Times New Roman" w:hAnsi="Times New Roman" w:cs="Times New Roman"/>
          <w:noProof/>
          <w:color w:val="000000"/>
        </w:rPr>
        <w:t>(7, 8)</w:t>
      </w:r>
      <w:r>
        <w:rPr>
          <w:rFonts w:ascii="Times New Roman" w:hAnsi="Times New Roman" w:cs="Times New Roman"/>
          <w:color w:val="000000"/>
        </w:rPr>
        <w:fldChar w:fldCharType="end"/>
      </w:r>
      <w:r w:rsidRPr="00DF2B3D">
        <w:rPr>
          <w:rFonts w:ascii="Times New Roman" w:hAnsi="Times New Roman" w:cs="Times New Roman"/>
          <w:color w:val="000000"/>
        </w:rPr>
        <w:t>.</w:t>
      </w:r>
    </w:p>
    <w:p w14:paraId="4E38A42E" w14:textId="165BF4EB" w:rsidR="00A5683D" w:rsidRDefault="00A5683D" w:rsidP="00960223">
      <w:pPr>
        <w:spacing w:line="480" w:lineRule="auto"/>
        <w:ind w:firstLine="567"/>
        <w:rPr>
          <w:rFonts w:ascii="Times New Roman" w:hAnsi="Times New Roman" w:cs="Times New Roman"/>
          <w:color w:val="000000"/>
        </w:rPr>
      </w:pPr>
      <w:r w:rsidRPr="00DF2B3D">
        <w:rPr>
          <w:rFonts w:ascii="Times New Roman" w:hAnsi="Times New Roman" w:cs="Times New Roman"/>
          <w:color w:val="000000"/>
        </w:rPr>
        <w:t xml:space="preserve">About metrics, two are generally used: the onset and the peak </w:t>
      </w:r>
      <w:r>
        <w:rPr>
          <w:rFonts w:ascii="Times New Roman" w:hAnsi="Times New Roman" w:cs="Times New Roman"/>
          <w:color w:val="000000"/>
        </w:rPr>
        <w:fldChar w:fldCharType="begin">
          <w:fldData xml:space="preserve">PEVuZE5vdGU+PENpdGU+PEF1dGhvcj5Hb2c8L0F1dGhvcj48WWVhcj4yMDE0PC9ZZWFyPjxSZWNO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</w:fldData>
        </w:fldChar>
      </w:r>
      <w:r w:rsidR="006B2037">
        <w:rPr>
          <w:rFonts w:ascii="Times New Roman" w:hAnsi="Times New Roman" w:cs="Times New Roman"/>
          <w:color w:val="000000"/>
        </w:rPr>
        <w:instrText xml:space="preserve"> ADDIN EN.CITE </w:instrText>
      </w:r>
      <w:r w:rsidR="006B2037">
        <w:rPr>
          <w:rFonts w:ascii="Times New Roman" w:hAnsi="Times New Roman" w:cs="Times New Roman"/>
          <w:color w:val="000000"/>
        </w:rPr>
        <w:fldChar w:fldCharType="begin">
          <w:fldData xml:space="preserve">PEVuZE5vdGU+PENpdGU+PEF1dGhvcj5Hb2c8L0F1dGhvcj48WWVhcj4yMDE0PC9ZZWFyPjxSZWNO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</w:fldData>
        </w:fldChar>
      </w:r>
      <w:r w:rsidR="006B2037">
        <w:rPr>
          <w:rFonts w:ascii="Times New Roman" w:hAnsi="Times New Roman" w:cs="Times New Roman"/>
          <w:color w:val="000000"/>
        </w:rPr>
        <w:instrText xml:space="preserve"> ADDIN EN.CITE.DATA </w:instrText>
      </w:r>
      <w:r w:rsidR="006B2037">
        <w:rPr>
          <w:rFonts w:ascii="Times New Roman" w:hAnsi="Times New Roman" w:cs="Times New Roman"/>
          <w:color w:val="000000"/>
        </w:rPr>
      </w:r>
      <w:r w:rsidR="006B2037">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6B2037">
        <w:rPr>
          <w:rFonts w:ascii="Times New Roman" w:hAnsi="Times New Roman" w:cs="Times New Roman"/>
          <w:noProof/>
          <w:color w:val="000000"/>
        </w:rPr>
        <w:t>(1, 8, 9)</w:t>
      </w:r>
      <w:r>
        <w:rPr>
          <w:rFonts w:ascii="Times New Roman" w:hAnsi="Times New Roman" w:cs="Times New Roman"/>
          <w:color w:val="000000"/>
        </w:rPr>
        <w:fldChar w:fldCharType="end"/>
      </w:r>
      <w:r w:rsidRPr="00DF2B3D">
        <w:rPr>
          <w:rFonts w:ascii="Times New Roman" w:hAnsi="Times New Roman" w:cs="Times New Roman"/>
          <w:color w:val="000000"/>
        </w:rPr>
        <w:t>. The epidemic onset is obviously the best option but it is complex to measure, and no consensual definition exists to estimate it</w:t>
      </w:r>
      <w:r>
        <w:rPr>
          <w:rFonts w:ascii="Times New Roman" w:hAnsi="Times New Roman" w:cs="Times New Roman"/>
          <w:color w:val="000000"/>
        </w:rPr>
        <w:t xml:space="preserve"> (e.g., definition of a threshold - </w:t>
      </w:r>
      <w:r>
        <w:rPr>
          <w:rFonts w:ascii="Times New Roman" w:hAnsi="Times New Roman" w:cs="Times New Roman"/>
          <w:color w:val="000000"/>
        </w:rPr>
        <w:fldChar w:fldCharType="begin">
          <w:fldData xml:space="preserve">PEVuZE5vdGU+PENpdGU+PEF1dGhvcj5TaGFtYW48L0F1dGhvcj48WWVhcj4yMDEwPC9ZZWFyPjxS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==
</w:fldData>
        </w:fldChar>
      </w:r>
      <w:r w:rsidR="00C9799A">
        <w:rPr>
          <w:rFonts w:ascii="Times New Roman" w:hAnsi="Times New Roman" w:cs="Times New Roman"/>
          <w:color w:val="000000"/>
        </w:rPr>
        <w:instrText xml:space="preserve"> ADDIN EN.CITE </w:instrText>
      </w:r>
      <w:r w:rsidR="00C9799A">
        <w:rPr>
          <w:rFonts w:ascii="Times New Roman" w:hAnsi="Times New Roman" w:cs="Times New Roman"/>
          <w:color w:val="000000"/>
        </w:rPr>
        <w:fldChar w:fldCharType="begin">
          <w:fldData xml:space="preserve">PEVuZE5vdGU+PENpdGU+PEF1dGhvcj5TaGFtYW48L0F1dGhvcj48WWVhcj4yMDEwPC9ZZWFyPjxS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==
</w:fldData>
        </w:fldChar>
      </w:r>
      <w:r w:rsidR="00C9799A">
        <w:rPr>
          <w:rFonts w:ascii="Times New Roman" w:hAnsi="Times New Roman" w:cs="Times New Roman"/>
          <w:color w:val="000000"/>
        </w:rPr>
        <w:instrText xml:space="preserve"> ADDIN EN.CITE.DATA </w:instrText>
      </w:r>
      <w:r w:rsidR="00C9799A">
        <w:rPr>
          <w:rFonts w:ascii="Times New Roman" w:hAnsi="Times New Roman" w:cs="Times New Roman"/>
          <w:color w:val="000000"/>
        </w:rPr>
      </w:r>
      <w:r w:rsidR="00C9799A">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799A">
        <w:rPr>
          <w:rFonts w:ascii="Times New Roman" w:hAnsi="Times New Roman" w:cs="Times New Roman"/>
          <w:noProof/>
          <w:color w:val="000000"/>
        </w:rPr>
        <w:t>(2, 9)</w:t>
      </w:r>
      <w:r>
        <w:rPr>
          <w:rFonts w:ascii="Times New Roman" w:hAnsi="Times New Roman" w:cs="Times New Roman"/>
          <w:color w:val="000000"/>
        </w:rPr>
        <w:fldChar w:fldCharType="end"/>
      </w:r>
      <w:r>
        <w:rPr>
          <w:rFonts w:ascii="Times New Roman" w:hAnsi="Times New Roman" w:cs="Times New Roman"/>
          <w:color w:val="000000"/>
        </w:rPr>
        <w:t xml:space="preserve">; date on which the number of cumulative cases reached 25% of the total cases reported - </w:t>
      </w:r>
      <w:r>
        <w:rPr>
          <w:rFonts w:ascii="Times New Roman" w:hAnsi="Times New Roman" w:cs="Times New Roman"/>
          <w:color w:val="000000"/>
        </w:rPr>
        <w:fldChar w:fldCharType="begin"/>
      </w:r>
      <w:r w:rsidR="00C9799A">
        <w:rPr>
          <w:rFonts w:ascii="Times New Roman" w:hAnsi="Times New Roman" w:cs="Times New Roman"/>
          <w:color w:val="000000"/>
        </w:rPr>
        <w:instrText xml:space="preserve"> ADDIN EN.CITE &lt;EndNote&gt;&lt;Cite&gt;&lt;Author&gt;He&lt;/Author&gt;&lt;Year&gt;2013&lt;/Year&gt;&lt;RecNum&gt;603&lt;/RecNum&gt;&lt;DisplayText&gt;(10)&lt;/DisplayText&gt;&lt;record&gt;&lt;rec-number&gt;603&lt;/rec-number&gt;&lt;foreign-keys&gt;&lt;key app="EN" db-id="dta992vvgxfffxettwmvv5fkfzxwedrzvedd" timestamp="1444044788"&gt;603&lt;/key&gt;&lt;/foreign-keys&gt;&lt;ref-type name="Journal Article"&gt;17&lt;/ref-type&gt;&lt;contributors&gt;&lt;authors&gt;&lt;author&gt;He, Daihai&lt;/author&gt;&lt;author&gt;Dushoff, Jonathan&lt;/author&gt;&lt;author&gt;Eftimie, Raluca&lt;/author&gt;&lt;author&gt;Earn, David J. D.&lt;/author&gt;&lt;/authors&gt;&lt;/contributors&gt;&lt;titles&gt;&lt;title&gt;Patterns of spread of influenza A in Canada&lt;/title&gt;&lt;secondary-title&gt;Proceedings of the Royal Society of London B: Biological Sciences&lt;/secondary-title&gt;&lt;/titles&gt;&lt;periodical&gt;&lt;full-title&gt;Proceedings of the Royal Society of London B: Biological Sciences&lt;/full-title&gt;&lt;/periodical&gt;&lt;volume&gt;280&lt;/volume&gt;&lt;number&gt;1770&lt;/number&gt;&lt;dates&gt;&lt;year&gt;2013&lt;/year&gt;&lt;/dates&gt;&lt;work-type&gt;http://dx.doi.org/10.1098/rspb.2013.1174&lt;/work-type&gt;&lt;urls&gt;&lt;/urls&gt;&lt;/record&gt;&lt;/Cite&gt;&lt;/EndNote&gt;</w:instrText>
      </w:r>
      <w:r>
        <w:rPr>
          <w:rFonts w:ascii="Times New Roman" w:hAnsi="Times New Roman" w:cs="Times New Roman"/>
          <w:color w:val="000000"/>
        </w:rPr>
        <w:fldChar w:fldCharType="separate"/>
      </w:r>
      <w:r w:rsidR="00C9799A">
        <w:rPr>
          <w:rFonts w:ascii="Times New Roman" w:hAnsi="Times New Roman" w:cs="Times New Roman"/>
          <w:noProof/>
          <w:color w:val="000000"/>
        </w:rPr>
        <w:t>(10)</w:t>
      </w:r>
      <w:r>
        <w:rPr>
          <w:rFonts w:ascii="Times New Roman" w:hAnsi="Times New Roman" w:cs="Times New Roman"/>
          <w:color w:val="000000"/>
        </w:rPr>
        <w:fldChar w:fldCharType="end"/>
      </w:r>
      <w:r>
        <w:rPr>
          <w:rFonts w:ascii="Times New Roman" w:hAnsi="Times New Roman" w:cs="Times New Roman"/>
          <w:color w:val="000000"/>
        </w:rPr>
        <w:t>)</w:t>
      </w:r>
      <w:r w:rsidRPr="00DF2B3D">
        <w:rPr>
          <w:rFonts w:ascii="Times New Roman" w:hAnsi="Times New Roman" w:cs="Times New Roman"/>
          <w:color w:val="000000"/>
        </w:rPr>
        <w:t>. Conversely the peak is easier to observe but it is less accurate because the timing difference between the onset and the peak can vary according to areas and years.</w:t>
      </w:r>
      <w:r>
        <w:rPr>
          <w:rFonts w:ascii="Times New Roman" w:hAnsi="Times New Roman" w:cs="Times New Roman"/>
          <w:color w:val="000000"/>
        </w:rPr>
        <w:t xml:space="preserve"> </w:t>
      </w:r>
      <w:r w:rsidRPr="00DF2B3D">
        <w:rPr>
          <w:rFonts w:ascii="Times New Roman" w:hAnsi="Times New Roman" w:cs="Times New Roman"/>
          <w:color w:val="000000"/>
        </w:rPr>
        <w:t xml:space="preserve">In addition, </w:t>
      </w:r>
      <w:r w:rsidR="00931167">
        <w:rPr>
          <w:rFonts w:ascii="Times New Roman" w:hAnsi="Times New Roman" w:cs="Times New Roman"/>
          <w:color w:val="000000"/>
        </w:rPr>
        <w:t>covariate</w:t>
      </w:r>
      <w:r w:rsidRPr="00DF2B3D">
        <w:rPr>
          <w:rFonts w:ascii="Times New Roman" w:hAnsi="Times New Roman" w:cs="Times New Roman"/>
          <w:color w:val="000000"/>
        </w:rPr>
        <w:t>s such as the mobility of infected people</w:t>
      </w:r>
      <w:r>
        <w:rPr>
          <w:rFonts w:ascii="Times New Roman" w:hAnsi="Times New Roman" w:cs="Times New Roman"/>
          <w:color w:val="000000"/>
        </w:rPr>
        <w:t>,</w:t>
      </w:r>
      <w:r w:rsidRPr="00DF2B3D">
        <w:rPr>
          <w:rFonts w:ascii="Times New Roman" w:hAnsi="Times New Roman" w:cs="Times New Roman"/>
          <w:color w:val="000000"/>
        </w:rPr>
        <w:t xml:space="preserve"> which </w:t>
      </w:r>
      <w:r>
        <w:rPr>
          <w:rFonts w:ascii="Times New Roman" w:hAnsi="Times New Roman" w:cs="Times New Roman"/>
          <w:color w:val="000000"/>
        </w:rPr>
        <w:t xml:space="preserve">may </w:t>
      </w:r>
      <w:r w:rsidRPr="00DF2B3D">
        <w:rPr>
          <w:rFonts w:ascii="Times New Roman" w:hAnsi="Times New Roman" w:cs="Times New Roman"/>
          <w:color w:val="000000"/>
        </w:rPr>
        <w:t>vary between the onset and the peak, may have different impact o</w:t>
      </w:r>
      <w:r w:rsidRPr="00253EF9">
        <w:rPr>
          <w:rFonts w:ascii="Times New Roman" w:hAnsi="Times New Roman" w:cs="Times New Roman"/>
          <w:color w:val="000000"/>
        </w:rPr>
        <w:t>n the peak and on the onset.</w:t>
      </w:r>
    </w:p>
    <w:p w14:paraId="274A4D00" w14:textId="77777777" w:rsidR="00B1685E" w:rsidRDefault="00B1685E">
      <w:pPr>
        <w:rPr>
          <w:rFonts w:ascii="Times New Roman" w:hAnsi="Times New Roman" w:cs="Times New Roman"/>
          <w:color w:val="000000"/>
        </w:rPr>
      </w:pPr>
      <w:r>
        <w:rPr>
          <w:rFonts w:ascii="Times New Roman" w:hAnsi="Times New Roman" w:cs="Times New Roman"/>
          <w:color w:val="000000"/>
        </w:rPr>
        <w:br w:type="page"/>
      </w:r>
    </w:p>
    <w:p w14:paraId="77C9947C" w14:textId="6FD70792" w:rsidR="00A5683D" w:rsidRPr="00C32B7B" w:rsidRDefault="0065396E" w:rsidP="00A5683D">
      <w:pPr>
        <w:spacing w:line="480" w:lineRule="auto"/>
        <w:rPr>
          <w:rFonts w:ascii="Times New Roman" w:hAnsi="Times New Roman" w:cs="Times New Roman"/>
          <w:color w:val="000000"/>
        </w:rPr>
      </w:pPr>
      <w:r w:rsidRPr="00C32B7B">
        <w:rPr>
          <w:rFonts w:ascii="Times New Roman" w:hAnsi="Times New Roman" w:cs="Times New Roman"/>
          <w:color w:val="000000"/>
        </w:rPr>
        <w:lastRenderedPageBreak/>
        <w:t xml:space="preserve">WEB </w:t>
      </w:r>
      <w:r w:rsidR="00657ED6" w:rsidRPr="00C32B7B">
        <w:rPr>
          <w:rFonts w:ascii="Times New Roman" w:hAnsi="Times New Roman" w:cs="Times New Roman"/>
          <w:color w:val="000000"/>
        </w:rPr>
        <w:t>MATERIAL</w:t>
      </w:r>
      <w:r w:rsidRPr="00C32B7B">
        <w:rPr>
          <w:rFonts w:ascii="Times New Roman" w:hAnsi="Times New Roman" w:cs="Times New Roman"/>
          <w:color w:val="000000"/>
        </w:rPr>
        <w:t xml:space="preserve"> 2</w:t>
      </w:r>
      <w:r w:rsidR="00A5683D" w:rsidRPr="00C32B7B">
        <w:rPr>
          <w:rFonts w:ascii="Times New Roman" w:hAnsi="Times New Roman" w:cs="Times New Roman"/>
          <w:color w:val="000000"/>
        </w:rPr>
        <w:t>: Data</w:t>
      </w:r>
    </w:p>
    <w:p w14:paraId="0B52598D" w14:textId="058502CE" w:rsidR="00A5683D" w:rsidRPr="00C32B7B" w:rsidRDefault="00041378" w:rsidP="00A5683D">
      <w:pPr>
        <w:spacing w:line="480" w:lineRule="auto"/>
        <w:rPr>
          <w:rFonts w:ascii="Times New Roman" w:hAnsi="Times New Roman" w:cs="Times New Roman"/>
          <w:color w:val="000000"/>
        </w:rPr>
      </w:pPr>
      <w:r>
        <w:rPr>
          <w:rFonts w:ascii="Times New Roman" w:hAnsi="Times New Roman" w:cs="Times New Roman"/>
          <w:color w:val="000000"/>
        </w:rPr>
        <w:t xml:space="preserve">1. </w:t>
      </w:r>
      <w:r w:rsidR="00A5683D" w:rsidRPr="00C32B7B">
        <w:rPr>
          <w:rFonts w:ascii="Times New Roman" w:hAnsi="Times New Roman" w:cs="Times New Roman"/>
          <w:color w:val="000000"/>
        </w:rPr>
        <w:t xml:space="preserve">Description of epidemiological data </w:t>
      </w:r>
    </w:p>
    <w:p w14:paraId="153D678F" w14:textId="0A9B4766" w:rsidR="00A5683D" w:rsidRDefault="00A5683D" w:rsidP="00A5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color w:val="000000"/>
        </w:rPr>
      </w:pPr>
      <w:r w:rsidRPr="00D1382E">
        <w:rPr>
          <w:rFonts w:ascii="Times New Roman" w:hAnsi="Times New Roman" w:cs="Times New Roman"/>
          <w:color w:val="000000"/>
        </w:rPr>
        <w:t>Epidemiological data come from the Réseau des GROG s</w:t>
      </w:r>
      <w:r w:rsidR="00F10280">
        <w:rPr>
          <w:rFonts w:ascii="Times New Roman" w:hAnsi="Times New Roman" w:cs="Times New Roman"/>
          <w:color w:val="000000"/>
        </w:rPr>
        <w:t>urveillance</w:t>
      </w:r>
      <w:r w:rsidRPr="00D1382E">
        <w:rPr>
          <w:rFonts w:ascii="Times New Roman" w:hAnsi="Times New Roman" w:cs="Times New Roman"/>
          <w:color w:val="000000"/>
        </w:rPr>
        <w:t xml:space="preserve"> network, which is a French surveillance network made up of general practitioners </w:t>
      </w:r>
      <w:r w:rsidR="002D69FA">
        <w:rPr>
          <w:rFonts w:ascii="Times New Roman" w:hAnsi="Times New Roman" w:cs="Times New Roman"/>
          <w:color w:val="000000"/>
        </w:rPr>
        <w:t xml:space="preserve">(GP) </w:t>
      </w:r>
      <w:r w:rsidRPr="00D1382E">
        <w:rPr>
          <w:rFonts w:ascii="Times New Roman" w:hAnsi="Times New Roman" w:cs="Times New Roman"/>
          <w:color w:val="000000"/>
        </w:rPr>
        <w:t>and pediatricians. These physician sentinels identify cases of respiratory pathogens including influenza. Each reg</w:t>
      </w:r>
      <w:r w:rsidR="003E0730">
        <w:rPr>
          <w:rFonts w:ascii="Times New Roman" w:hAnsi="Times New Roman" w:cs="Times New Roman"/>
          <w:color w:val="000000"/>
        </w:rPr>
        <w:t xml:space="preserve">ion has on average 25 </w:t>
      </w:r>
      <w:r w:rsidR="004E63C5">
        <w:rPr>
          <w:rFonts w:ascii="Times New Roman" w:hAnsi="Times New Roman" w:cs="Times New Roman"/>
          <w:color w:val="000000"/>
        </w:rPr>
        <w:t xml:space="preserve">physician </w:t>
      </w:r>
      <w:r w:rsidR="003E0730">
        <w:rPr>
          <w:rFonts w:ascii="Times New Roman" w:hAnsi="Times New Roman" w:cs="Times New Roman"/>
          <w:color w:val="000000"/>
        </w:rPr>
        <w:t>sentinel</w:t>
      </w:r>
      <w:r w:rsidR="004E63C5">
        <w:rPr>
          <w:rFonts w:ascii="Times New Roman" w:hAnsi="Times New Roman" w:cs="Times New Roman"/>
          <w:color w:val="000000"/>
        </w:rPr>
        <w:t>s</w:t>
      </w:r>
      <w:r w:rsidR="003E0730">
        <w:rPr>
          <w:rFonts w:ascii="Times New Roman" w:hAnsi="Times New Roman" w:cs="Times New Roman"/>
          <w:color w:val="000000"/>
        </w:rPr>
        <w:t xml:space="preserve"> </w:t>
      </w:r>
      <w:r w:rsidRPr="00D1382E">
        <w:rPr>
          <w:rFonts w:ascii="Times New Roman" w:hAnsi="Times New Roman" w:cs="Times New Roman"/>
          <w:color w:val="000000"/>
        </w:rPr>
        <w:t xml:space="preserve">(from 10 to 75 depending on regions and epidemic years) involved in the </w:t>
      </w:r>
      <w:r w:rsidR="003D1B15">
        <w:rPr>
          <w:rFonts w:ascii="Times New Roman" w:hAnsi="Times New Roman" w:cs="Times New Roman"/>
          <w:color w:val="000000"/>
        </w:rPr>
        <w:t>GROG</w:t>
      </w:r>
      <w:r w:rsidRPr="00D1382E">
        <w:rPr>
          <w:rFonts w:ascii="Times New Roman" w:hAnsi="Times New Roman" w:cs="Times New Roman"/>
          <w:color w:val="000000"/>
        </w:rPr>
        <w:t xml:space="preserve"> network. Every week from October to April they report the intensity of their activity by informing the number of days they worked, the number of medical acts performed and the number of acute respiratory infection (ARI) defined as the sudden onset of at least one respiratory sign (cough, rhinitis, </w:t>
      </w:r>
      <w:r w:rsidR="00BF61BA">
        <w:rPr>
          <w:rFonts w:ascii="Times New Roman" w:hAnsi="Times New Roman" w:cs="Times New Roman"/>
        </w:rPr>
        <w:t>coryza, etc.</w:t>
      </w:r>
      <w:r w:rsidRPr="004F2D74">
        <w:rPr>
          <w:rFonts w:ascii="Times New Roman" w:hAnsi="Times New Roman" w:cs="Times New Roman"/>
        </w:rPr>
        <w:t>) and at least one systemic sign</w:t>
      </w:r>
      <w:r w:rsidR="00F10280" w:rsidRPr="004F2D74">
        <w:rPr>
          <w:rFonts w:ascii="Times New Roman" w:hAnsi="Times New Roman" w:cs="Times New Roman"/>
        </w:rPr>
        <w:t xml:space="preserve"> </w:t>
      </w:r>
      <w:r w:rsidRPr="004F2D74">
        <w:rPr>
          <w:rFonts w:ascii="Times New Roman" w:hAnsi="Times New Roman" w:cs="Times New Roman"/>
        </w:rPr>
        <w:t xml:space="preserve">suggesting an acute infectious context (fever, fatigue, headache, myalgia, malaise, etc.). In addition, sentinels randomly realize nasal/pharyngeal swab samples on patients with a less than 48 hours ARI, allowing virological confirmation </w:t>
      </w:r>
      <w:r w:rsidR="00D34E27" w:rsidRPr="004F2D74">
        <w:rPr>
          <w:rFonts w:ascii="Times New Roman" w:hAnsi="Times New Roman" w:cs="Times New Roman"/>
        </w:rPr>
        <w:t xml:space="preserve">(or rejection) </w:t>
      </w:r>
      <w:r w:rsidRPr="004F2D74">
        <w:rPr>
          <w:rFonts w:ascii="Times New Roman" w:hAnsi="Times New Roman" w:cs="Times New Roman"/>
        </w:rPr>
        <w:t>of influenza infections. Using</w:t>
      </w:r>
      <w:r w:rsidRPr="00D1382E">
        <w:rPr>
          <w:rFonts w:ascii="Times New Roman" w:hAnsi="Times New Roman" w:cs="Times New Roman"/>
          <w:color w:val="000000"/>
        </w:rPr>
        <w:t xml:space="preserve"> the weekly information reported by each physician sentinel (clinical reports and virological samples analysis), the GROG network is able to provide an estimation of the number of influenza-infected individuals called the influenza incidence. </w:t>
      </w:r>
    </w:p>
    <w:p w14:paraId="2FC6D155" w14:textId="77777777" w:rsidR="005C7CD5" w:rsidRDefault="005C7CD5" w:rsidP="00A5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color w:val="000000"/>
        </w:rPr>
      </w:pPr>
    </w:p>
    <w:p w14:paraId="664D595E" w14:textId="5AC95CCB" w:rsidR="00A5683D" w:rsidRPr="00C32B7B" w:rsidRDefault="00041378" w:rsidP="00A5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rPr>
      </w:pPr>
      <w:r>
        <w:rPr>
          <w:rFonts w:ascii="Times New Roman" w:hAnsi="Times New Roman" w:cs="Times New Roman"/>
          <w:color w:val="000000"/>
        </w:rPr>
        <w:t xml:space="preserve">2. </w:t>
      </w:r>
      <w:r w:rsidR="00A5683D" w:rsidRPr="00C32B7B">
        <w:rPr>
          <w:rFonts w:ascii="Times New Roman" w:hAnsi="Times New Roman" w:cs="Times New Roman"/>
          <w:color w:val="000000"/>
        </w:rPr>
        <w:t>Calculation of the incidence</w:t>
      </w:r>
    </w:p>
    <w:p w14:paraId="406A4C2E" w14:textId="3334A685" w:rsidR="00A5683D" w:rsidRPr="003D4812" w:rsidRDefault="00A5683D" w:rsidP="00C32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i/>
          <w:color w:val="000000"/>
          <w:vertAlign w:val="subscript"/>
        </w:rPr>
      </w:pPr>
      <w:r>
        <w:rPr>
          <w:rFonts w:ascii="Times New Roman" w:hAnsi="Times New Roman" w:cs="Times New Roman"/>
          <w:color w:val="000000"/>
        </w:rPr>
        <w:t>First the</w:t>
      </w:r>
      <w:r w:rsidRPr="00D1382E">
        <w:rPr>
          <w:rFonts w:ascii="Times New Roman" w:hAnsi="Times New Roman" w:cs="Times New Roman"/>
          <w:color w:val="000000"/>
        </w:rPr>
        <w:t xml:space="preserve"> ARI incidence (</w:t>
      </w:r>
      <w:r w:rsidR="003D4812" w:rsidRPr="00080B62">
        <w:rPr>
          <w:rFonts w:ascii="Times New Roman" w:hAnsi="Times New Roman" w:cs="Times New Roman"/>
          <w:i/>
          <w:color w:val="000000"/>
        </w:rPr>
        <w:t>I</w:t>
      </w:r>
      <w:r w:rsidR="003D4812" w:rsidRPr="00080B62">
        <w:rPr>
          <w:rFonts w:ascii="Times New Roman" w:hAnsi="Times New Roman" w:cs="Times New Roman"/>
          <w:i/>
          <w:color w:val="000000"/>
          <w:vertAlign w:val="subscript"/>
        </w:rPr>
        <w:t>ARI</w:t>
      </w:r>
      <w:r w:rsidR="003D4812">
        <w:rPr>
          <w:rFonts w:ascii="Times New Roman" w:hAnsi="Times New Roman" w:cs="Times New Roman"/>
          <w:color w:val="000000"/>
        </w:rPr>
        <w:t xml:space="preserve">) </w:t>
      </w:r>
      <w:r w:rsidRPr="00D1382E">
        <w:rPr>
          <w:rFonts w:ascii="Times New Roman" w:hAnsi="Times New Roman" w:cs="Times New Roman"/>
          <w:color w:val="000000"/>
        </w:rPr>
        <w:t xml:space="preserve">for a region and a week </w:t>
      </w:r>
      <w:r w:rsidR="003D4812" w:rsidRPr="003D4812">
        <w:rPr>
          <w:rFonts w:ascii="Times New Roman" w:hAnsi="Times New Roman" w:cs="Times New Roman"/>
          <w:i/>
          <w:color w:val="000000"/>
        </w:rPr>
        <w:t>t</w:t>
      </w:r>
      <w:r w:rsidRPr="00D1382E">
        <w:rPr>
          <w:rFonts w:ascii="Times New Roman" w:hAnsi="Times New Roman" w:cs="Times New Roman"/>
          <w:color w:val="000000"/>
        </w:rPr>
        <w:t xml:space="preserve"> </w:t>
      </w:r>
      <w:r>
        <w:rPr>
          <w:rFonts w:ascii="Times New Roman" w:hAnsi="Times New Roman" w:cs="Times New Roman"/>
          <w:color w:val="000000"/>
        </w:rPr>
        <w:t xml:space="preserve">is defined </w:t>
      </w:r>
      <w:r w:rsidRPr="00D1382E">
        <w:rPr>
          <w:rFonts w:ascii="Times New Roman" w:hAnsi="Times New Roman" w:cs="Times New Roman"/>
          <w:color w:val="000000"/>
        </w:rPr>
        <w:t>as:</w:t>
      </w:r>
    </w:p>
    <w:p w14:paraId="48F9632B" w14:textId="0912F576" w:rsidR="00A5683D" w:rsidRPr="00094B55" w:rsidRDefault="0079438B" w:rsidP="00A5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I</m:t>
            </m:r>
          </m:e>
          <m:sub>
            <m:r>
              <w:rPr>
                <w:rFonts w:ascii="Cambria Math" w:hAnsi="Cambria Math" w:cs="Times New Roman"/>
                <w:color w:val="000000"/>
              </w:rPr>
              <m:t>ARI</m:t>
            </m:r>
          </m:sub>
        </m:sSub>
        <m:d>
          <m:dPr>
            <m:ctrlPr>
              <w:rPr>
                <w:rFonts w:ascii="Cambria Math" w:hAnsi="Cambria Math" w:cs="Times New Roman"/>
                <w:i/>
                <w:color w:val="000000"/>
              </w:rPr>
            </m:ctrlPr>
          </m:dPr>
          <m:e>
            <m:r>
              <w:rPr>
                <w:rFonts w:ascii="Cambria Math" w:hAnsi="Cambria Math" w:cs="Times New Roman"/>
                <w:color w:val="000000"/>
              </w:rPr>
              <m:t>t</m:t>
            </m:r>
          </m:e>
        </m:d>
        <m:r>
          <w:rPr>
            <w:rFonts w:ascii="Cambria Math" w:hAnsi="Cambria Math" w:cs="Times New Roman"/>
            <w:color w:val="000000"/>
          </w:rPr>
          <m:t>=</m:t>
        </m:r>
        <m:d>
          <m:dPr>
            <m:ctrlPr>
              <w:rPr>
                <w:rFonts w:ascii="Cambria Math" w:hAnsi="Cambria Math" w:cs="Times New Roman"/>
                <w:i/>
                <w:color w:val="000000"/>
              </w:rPr>
            </m:ctrlPr>
          </m:dPr>
          <m:e>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Ped</m:t>
                    </m:r>
                  </m:e>
                  <m:sub>
                    <m:r>
                      <w:rPr>
                        <w:rFonts w:ascii="Cambria Math" w:hAnsi="Cambria Math" w:cs="Times New Roman"/>
                        <w:color w:val="000000"/>
                      </w:rPr>
                      <m:t>R</m:t>
                    </m:r>
                  </m:sub>
                </m:sSub>
              </m:num>
              <m:den>
                <m:sSub>
                  <m:sSubPr>
                    <m:ctrlPr>
                      <w:rPr>
                        <w:rFonts w:ascii="Cambria Math" w:hAnsi="Cambria Math" w:cs="Times New Roman"/>
                        <w:i/>
                        <w:color w:val="000000"/>
                      </w:rPr>
                    </m:ctrlPr>
                  </m:sSubPr>
                  <m:e>
                    <m:r>
                      <w:rPr>
                        <w:rFonts w:ascii="Cambria Math" w:hAnsi="Cambria Math" w:cs="Times New Roman"/>
                        <w:color w:val="000000"/>
                      </w:rPr>
                      <m:t>Ped</m:t>
                    </m:r>
                  </m:e>
                  <m:sub>
                    <m:r>
                      <w:rPr>
                        <w:rFonts w:ascii="Cambria Math" w:hAnsi="Cambria Math" w:cs="Times New Roman"/>
                        <w:color w:val="000000"/>
                      </w:rPr>
                      <m:t>GROG pa</m:t>
                    </m:r>
                    <m:r>
                      <w:rPr>
                        <w:rFonts w:ascii="Cambria Math" w:hAnsi="Cambria Math" w:cs="Cambria Math"/>
                        <w:color w:val="000000"/>
                      </w:rPr>
                      <m:t>r</m:t>
                    </m:r>
                    <m:r>
                      <w:rPr>
                        <w:rFonts w:ascii="Cambria Math" w:hAnsi="Cambria Math" w:cs="Times New Roman"/>
                        <w:color w:val="000000"/>
                      </w:rPr>
                      <m:t>ticipants</m:t>
                    </m:r>
                  </m:sub>
                </m:sSub>
                <m:r>
                  <w:rPr>
                    <w:rFonts w:ascii="Cambria Math" w:hAnsi="Cambria Math" w:cs="Times New Roman"/>
                    <w:color w:val="000000"/>
                  </w:rPr>
                  <m:t>(t)</m:t>
                </m:r>
              </m:den>
            </m:f>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ARI</m:t>
                </m:r>
              </m:e>
              <m:sub>
                <m:r>
                  <w:rPr>
                    <w:rFonts w:ascii="Cambria Math" w:hAnsi="Cambria Math" w:cs="Times New Roman"/>
                    <w:color w:val="000000"/>
                  </w:rPr>
                  <m:t>Ped</m:t>
                </m:r>
              </m:sub>
            </m:sSub>
            <m:d>
              <m:dPr>
                <m:ctrlPr>
                  <w:rPr>
                    <w:rFonts w:ascii="Cambria Math" w:hAnsi="Cambria Math" w:cs="Times New Roman"/>
                    <w:i/>
                    <w:color w:val="000000"/>
                  </w:rPr>
                </m:ctrlPr>
              </m:dPr>
              <m:e>
                <m:r>
                  <w:rPr>
                    <w:rFonts w:ascii="Cambria Math" w:hAnsi="Cambria Math" w:cs="Times New Roman"/>
                    <w:color w:val="000000"/>
                  </w:rPr>
                  <m:t>t</m:t>
                </m:r>
              </m:e>
            </m:d>
          </m:e>
        </m:d>
        <m:r>
          <w:rPr>
            <w:rFonts w:ascii="Cambria Math" w:hAnsi="Cambria Math" w:cs="Times New Roman"/>
            <w:color w:val="000000"/>
          </w:rPr>
          <m:t xml:space="preserve">+ </m:t>
        </m:r>
        <m:d>
          <m:dPr>
            <m:ctrlPr>
              <w:rPr>
                <w:rFonts w:ascii="Cambria Math" w:hAnsi="Cambria Math" w:cs="Times New Roman"/>
                <w:i/>
                <w:color w:val="000000"/>
              </w:rPr>
            </m:ctrlPr>
          </m:dPr>
          <m:e>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GP</m:t>
                    </m:r>
                  </m:e>
                  <m:sub>
                    <m:r>
                      <w:rPr>
                        <w:rFonts w:ascii="Cambria Math" w:hAnsi="Cambria Math" w:cs="Times New Roman"/>
                        <w:color w:val="000000"/>
                      </w:rPr>
                      <m:t>R</m:t>
                    </m:r>
                  </m:sub>
                </m:sSub>
              </m:num>
              <m:den>
                <m:sSub>
                  <m:sSubPr>
                    <m:ctrlPr>
                      <w:rPr>
                        <w:rFonts w:ascii="Cambria Math" w:hAnsi="Cambria Math" w:cs="Times New Roman"/>
                        <w:i/>
                        <w:color w:val="000000"/>
                      </w:rPr>
                    </m:ctrlPr>
                  </m:sSubPr>
                  <m:e>
                    <m:r>
                      <w:rPr>
                        <w:rFonts w:ascii="Cambria Math" w:hAnsi="Cambria Math" w:cs="Times New Roman"/>
                        <w:color w:val="000000"/>
                      </w:rPr>
                      <m:t>GP</m:t>
                    </m:r>
                  </m:e>
                  <m:sub>
                    <m:r>
                      <w:rPr>
                        <w:rFonts w:ascii="Cambria Math" w:hAnsi="Cambria Math" w:cs="Times New Roman"/>
                        <w:color w:val="000000"/>
                      </w:rPr>
                      <m:t>GROG participants</m:t>
                    </m:r>
                  </m:sub>
                </m:sSub>
                <m:r>
                  <w:rPr>
                    <w:rFonts w:ascii="Cambria Math" w:hAnsi="Cambria Math" w:cs="Times New Roman"/>
                    <w:color w:val="000000"/>
                  </w:rPr>
                  <m:t>(t)</m:t>
                </m:r>
              </m:den>
            </m:f>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ARI</m:t>
                </m:r>
              </m:e>
              <m:sub>
                <m:r>
                  <w:rPr>
                    <w:rFonts w:ascii="Cambria Math" w:hAnsi="Cambria Math" w:cs="Times New Roman"/>
                    <w:color w:val="000000"/>
                  </w:rPr>
                  <m:t>GP</m:t>
                </m:r>
              </m:sub>
            </m:sSub>
            <m:r>
              <w:rPr>
                <w:rFonts w:ascii="Cambria Math" w:hAnsi="Cambria Math" w:cs="Times New Roman"/>
                <w:color w:val="000000"/>
              </w:rPr>
              <m:t>(t)</m:t>
            </m:r>
          </m:e>
        </m:d>
      </m:oMath>
      <w:r w:rsidR="00A5683D">
        <w:rPr>
          <w:rFonts w:ascii="Times New Roman" w:hAnsi="Times New Roman" w:cs="Times New Roman"/>
          <w:color w:val="000000"/>
        </w:rPr>
        <w:t xml:space="preserve"> </w:t>
      </w:r>
    </w:p>
    <w:p w14:paraId="225E3606" w14:textId="7B8EAC15" w:rsidR="00A5683D" w:rsidRPr="00094B55" w:rsidRDefault="00A5683D" w:rsidP="00A5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color w:val="000000"/>
        </w:rPr>
      </w:pPr>
      <w:r w:rsidRPr="00094B55">
        <w:rPr>
          <w:rFonts w:ascii="Times New Roman" w:hAnsi="Times New Roman" w:cs="Times New Roman"/>
          <w:color w:val="000000"/>
        </w:rPr>
        <w:t>where</w:t>
      </w:r>
      <w:r w:rsidR="008D066E">
        <w:rPr>
          <w:rFonts w:ascii="Times New Roman" w:hAnsi="Times New Roman" w:cs="Times New Roman"/>
          <w:color w:val="000000"/>
        </w:rPr>
        <w:t xml:space="preserve"> </w:t>
      </w:r>
      <w:r w:rsidR="008D066E" w:rsidRPr="008D066E">
        <w:rPr>
          <w:rFonts w:ascii="Times New Roman" w:hAnsi="Times New Roman" w:cs="Times New Roman"/>
          <w:i/>
          <w:color w:val="000000"/>
        </w:rPr>
        <w:t>ARI</w:t>
      </w:r>
      <w:r w:rsidR="008D066E" w:rsidRPr="008D066E">
        <w:rPr>
          <w:rFonts w:ascii="Times New Roman" w:hAnsi="Times New Roman" w:cs="Times New Roman"/>
          <w:i/>
          <w:color w:val="000000"/>
          <w:vertAlign w:val="subscript"/>
        </w:rPr>
        <w:t>GP</w:t>
      </w:r>
      <w:r w:rsidR="008D066E" w:rsidRPr="008D066E">
        <w:rPr>
          <w:rFonts w:ascii="Times New Roman" w:hAnsi="Times New Roman" w:cs="Times New Roman"/>
          <w:i/>
          <w:color w:val="000000"/>
        </w:rPr>
        <w:t>(t)</w:t>
      </w:r>
      <w:r w:rsidRPr="00094B55">
        <w:rPr>
          <w:rFonts w:ascii="Times New Roman" w:hAnsi="Times New Roman" w:cs="Times New Roman"/>
          <w:color w:val="000000"/>
        </w:rPr>
        <w:t xml:space="preserve"> and </w:t>
      </w:r>
      <w:r w:rsidR="008D066E" w:rsidRPr="008D066E">
        <w:rPr>
          <w:rFonts w:ascii="Times New Roman" w:hAnsi="Times New Roman" w:cs="Times New Roman"/>
          <w:i/>
          <w:color w:val="000000"/>
        </w:rPr>
        <w:t>ARI</w:t>
      </w:r>
      <w:r w:rsidR="008D066E">
        <w:rPr>
          <w:rFonts w:ascii="Times New Roman" w:hAnsi="Times New Roman" w:cs="Times New Roman"/>
          <w:i/>
          <w:color w:val="000000"/>
          <w:vertAlign w:val="subscript"/>
        </w:rPr>
        <w:t>PED</w:t>
      </w:r>
      <w:r w:rsidR="008D066E" w:rsidRPr="008D066E">
        <w:rPr>
          <w:rFonts w:ascii="Times New Roman" w:hAnsi="Times New Roman" w:cs="Times New Roman"/>
          <w:i/>
          <w:color w:val="000000"/>
        </w:rPr>
        <w:t>(t</w:t>
      </w:r>
      <w:r w:rsidR="008D066E">
        <w:rPr>
          <w:rFonts w:ascii="Times New Roman" w:hAnsi="Times New Roman" w:cs="Times New Roman"/>
          <w:i/>
          <w:color w:val="000000"/>
        </w:rPr>
        <w:t xml:space="preserve">) </w:t>
      </w:r>
      <w:r w:rsidRPr="00094B55">
        <w:rPr>
          <w:rFonts w:ascii="Times New Roman" w:hAnsi="Times New Roman" w:cs="Times New Roman"/>
          <w:color w:val="000000"/>
        </w:rPr>
        <w:t xml:space="preserve">stand for the number of ARI cases, for week </w:t>
      </w:r>
      <w:r w:rsidR="008D066E" w:rsidRPr="003D4812">
        <w:rPr>
          <w:rFonts w:ascii="Times New Roman" w:hAnsi="Times New Roman" w:cs="Times New Roman"/>
          <w:i/>
          <w:color w:val="000000"/>
        </w:rPr>
        <w:t>t</w:t>
      </w:r>
      <w:r>
        <w:rPr>
          <w:rFonts w:ascii="Times New Roman" w:hAnsi="Times New Roman" w:cs="Times New Roman"/>
          <w:color w:val="000000"/>
        </w:rPr>
        <w:t xml:space="preserve">, </w:t>
      </w:r>
      <w:r w:rsidRPr="00094B55">
        <w:rPr>
          <w:rFonts w:ascii="Times New Roman" w:hAnsi="Times New Roman" w:cs="Times New Roman"/>
          <w:color w:val="000000"/>
        </w:rPr>
        <w:t>respectively</w:t>
      </w:r>
      <w:r>
        <w:rPr>
          <w:rFonts w:ascii="Times New Roman" w:hAnsi="Times New Roman" w:cs="Times New Roman"/>
          <w:color w:val="000000"/>
        </w:rPr>
        <w:t>,</w:t>
      </w:r>
      <w:r w:rsidRPr="00094B55">
        <w:rPr>
          <w:rFonts w:ascii="Times New Roman" w:hAnsi="Times New Roman" w:cs="Times New Roman"/>
          <w:color w:val="000000"/>
        </w:rPr>
        <w:t xml:space="preserve"> reported by </w:t>
      </w:r>
      <w:r w:rsidR="00BF61BA">
        <w:rPr>
          <w:rFonts w:ascii="Times New Roman" w:hAnsi="Times New Roman" w:cs="Times New Roman"/>
          <w:color w:val="000000"/>
        </w:rPr>
        <w:t xml:space="preserve">GP </w:t>
      </w:r>
      <w:r w:rsidRPr="00094B55">
        <w:rPr>
          <w:rFonts w:ascii="Times New Roman" w:hAnsi="Times New Roman" w:cs="Times New Roman"/>
          <w:color w:val="000000"/>
        </w:rPr>
        <w:t>and pediatricians from the</w:t>
      </w:r>
      <w:r w:rsidR="003D1B15">
        <w:rPr>
          <w:rFonts w:ascii="Times New Roman" w:hAnsi="Times New Roman" w:cs="Times New Roman"/>
          <w:color w:val="000000"/>
        </w:rPr>
        <w:t xml:space="preserve"> GROG </w:t>
      </w:r>
      <w:r w:rsidRPr="00094B55">
        <w:rPr>
          <w:rFonts w:ascii="Times New Roman" w:hAnsi="Times New Roman" w:cs="Times New Roman"/>
          <w:color w:val="000000"/>
        </w:rPr>
        <w:t>network.</w:t>
      </w:r>
      <w:r w:rsidR="008D066E">
        <w:rPr>
          <w:rFonts w:ascii="Times New Roman" w:hAnsi="Times New Roman" w:cs="Times New Roman"/>
          <w:color w:val="000000"/>
        </w:rPr>
        <w:t xml:space="preserve"> </w:t>
      </w:r>
      <w:r w:rsidR="008D066E" w:rsidRPr="008D066E">
        <w:rPr>
          <w:rFonts w:ascii="Times New Roman" w:hAnsi="Times New Roman" w:cs="Times New Roman"/>
          <w:i/>
          <w:color w:val="000000"/>
        </w:rPr>
        <w:t>GP</w:t>
      </w:r>
      <w:r w:rsidR="008D066E" w:rsidRPr="008D066E">
        <w:rPr>
          <w:rFonts w:ascii="Times New Roman" w:hAnsi="Times New Roman" w:cs="Times New Roman"/>
          <w:i/>
          <w:color w:val="000000"/>
          <w:vertAlign w:val="subscript"/>
        </w:rPr>
        <w:t>R</w:t>
      </w:r>
      <w:r w:rsidRPr="00094B55">
        <w:rPr>
          <w:rFonts w:ascii="Times New Roman" w:hAnsi="Times New Roman" w:cs="Times New Roman"/>
          <w:color w:val="000000"/>
        </w:rPr>
        <w:t xml:space="preserve"> and </w:t>
      </w:r>
      <w:r w:rsidR="008D066E" w:rsidRPr="008D066E">
        <w:rPr>
          <w:rFonts w:ascii="Times New Roman" w:hAnsi="Times New Roman" w:cs="Times New Roman"/>
          <w:i/>
          <w:color w:val="000000"/>
        </w:rPr>
        <w:t>Ped</w:t>
      </w:r>
      <w:r w:rsidR="008D066E" w:rsidRPr="008D066E">
        <w:rPr>
          <w:rFonts w:ascii="Times New Roman" w:hAnsi="Times New Roman" w:cs="Times New Roman"/>
          <w:i/>
          <w:color w:val="000000"/>
          <w:vertAlign w:val="subscript"/>
        </w:rPr>
        <w:t>R</w:t>
      </w:r>
      <w:r w:rsidRPr="00094B55">
        <w:rPr>
          <w:rFonts w:ascii="Times New Roman" w:hAnsi="Times New Roman" w:cs="Times New Roman"/>
          <w:color w:val="000000"/>
        </w:rPr>
        <w:t xml:space="preserve"> are</w:t>
      </w:r>
      <w:r>
        <w:rPr>
          <w:rFonts w:ascii="Times New Roman" w:hAnsi="Times New Roman" w:cs="Times New Roman"/>
          <w:color w:val="000000"/>
        </w:rPr>
        <w:t>,</w:t>
      </w:r>
      <w:r w:rsidRPr="00094B55">
        <w:rPr>
          <w:rFonts w:ascii="Times New Roman" w:hAnsi="Times New Roman" w:cs="Times New Roman"/>
          <w:color w:val="000000"/>
        </w:rPr>
        <w:t xml:space="preserve"> respectively</w:t>
      </w:r>
      <w:r>
        <w:rPr>
          <w:rFonts w:ascii="Times New Roman" w:hAnsi="Times New Roman" w:cs="Times New Roman"/>
          <w:color w:val="000000"/>
        </w:rPr>
        <w:t>,</w:t>
      </w:r>
      <w:r w:rsidRPr="00094B55">
        <w:rPr>
          <w:rFonts w:ascii="Times New Roman" w:hAnsi="Times New Roman" w:cs="Times New Roman"/>
          <w:color w:val="000000"/>
        </w:rPr>
        <w:t xml:space="preserve"> the number of GP and pediatricians of a region.</w:t>
      </w:r>
      <w:r w:rsidR="007A6FF2">
        <w:rPr>
          <w:rFonts w:ascii="Times New Roman" w:hAnsi="Times New Roman" w:cs="Times New Roman"/>
          <w:color w:val="000000"/>
        </w:rPr>
        <w:t xml:space="preserve"> </w:t>
      </w:r>
      <w:r w:rsidR="007A6FF2" w:rsidRPr="007A6FF2">
        <w:rPr>
          <w:rFonts w:ascii="Times New Roman" w:hAnsi="Times New Roman" w:cs="Times New Roman"/>
          <w:i/>
          <w:color w:val="000000"/>
        </w:rPr>
        <w:t>GP</w:t>
      </w:r>
      <w:r w:rsidR="007A6FF2" w:rsidRPr="007A6FF2">
        <w:rPr>
          <w:rFonts w:ascii="Times New Roman" w:hAnsi="Times New Roman" w:cs="Times New Roman"/>
          <w:i/>
          <w:color w:val="000000"/>
          <w:vertAlign w:val="subscript"/>
        </w:rPr>
        <w:t xml:space="preserve">GROG </w:t>
      </w:r>
      <w:r w:rsidR="007A6FF2" w:rsidRPr="007A6FF2">
        <w:rPr>
          <w:rFonts w:ascii="Times New Roman" w:hAnsi="Times New Roman" w:cs="Times New Roman"/>
          <w:i/>
          <w:color w:val="000000"/>
          <w:vertAlign w:val="subscript"/>
        </w:rPr>
        <w:lastRenderedPageBreak/>
        <w:t>participants</w:t>
      </w:r>
      <w:r w:rsidR="007A6FF2" w:rsidRPr="007A6FF2">
        <w:rPr>
          <w:rFonts w:ascii="Times New Roman" w:hAnsi="Times New Roman" w:cs="Times New Roman"/>
          <w:i/>
          <w:color w:val="000000"/>
        </w:rPr>
        <w:t>(t)</w:t>
      </w:r>
      <w:r w:rsidRPr="00094B55">
        <w:rPr>
          <w:rFonts w:ascii="Times New Roman" w:hAnsi="Times New Roman" w:cs="Times New Roman"/>
          <w:color w:val="000000"/>
        </w:rPr>
        <w:t xml:space="preserve"> and </w:t>
      </w:r>
      <w:r w:rsidR="007A6FF2">
        <w:rPr>
          <w:rFonts w:ascii="Times New Roman" w:hAnsi="Times New Roman" w:cs="Times New Roman"/>
          <w:i/>
          <w:color w:val="000000"/>
        </w:rPr>
        <w:t>Ped</w:t>
      </w:r>
      <w:r w:rsidR="007A6FF2" w:rsidRPr="007A6FF2">
        <w:rPr>
          <w:rFonts w:ascii="Times New Roman" w:hAnsi="Times New Roman" w:cs="Times New Roman"/>
          <w:i/>
          <w:color w:val="000000"/>
          <w:vertAlign w:val="subscript"/>
        </w:rPr>
        <w:t>GROG participants</w:t>
      </w:r>
      <w:r w:rsidR="007A6FF2" w:rsidRPr="007A6FF2">
        <w:rPr>
          <w:rFonts w:ascii="Times New Roman" w:hAnsi="Times New Roman" w:cs="Times New Roman"/>
          <w:i/>
          <w:color w:val="000000"/>
        </w:rPr>
        <w:t>(t)</w:t>
      </w:r>
      <w:r w:rsidR="007A6FF2">
        <w:rPr>
          <w:rFonts w:ascii="Times New Roman" w:hAnsi="Times New Roman" w:cs="Times New Roman"/>
          <w:color w:val="000000"/>
        </w:rPr>
        <w:t xml:space="preserve">, </w:t>
      </w:r>
      <w:r w:rsidRPr="00094B55">
        <w:rPr>
          <w:rFonts w:ascii="Times New Roman" w:hAnsi="Times New Roman" w:cs="Times New Roman"/>
          <w:color w:val="000000"/>
        </w:rPr>
        <w:t>respectively</w:t>
      </w:r>
      <w:r>
        <w:rPr>
          <w:rFonts w:ascii="Times New Roman" w:hAnsi="Times New Roman" w:cs="Times New Roman"/>
          <w:color w:val="000000"/>
        </w:rPr>
        <w:t>,</w:t>
      </w:r>
      <w:r w:rsidRPr="00094B55">
        <w:rPr>
          <w:rFonts w:ascii="Times New Roman" w:hAnsi="Times New Roman" w:cs="Times New Roman"/>
          <w:color w:val="000000"/>
        </w:rPr>
        <w:t xml:space="preserve"> represent the number of GP and pediatricians who participated in surveillance the week </w:t>
      </w:r>
      <w:r w:rsidR="00CD004E" w:rsidRPr="007A6FF2">
        <w:rPr>
          <w:rFonts w:ascii="Times New Roman" w:hAnsi="Times New Roman" w:cs="Times New Roman"/>
          <w:i/>
          <w:color w:val="000000"/>
        </w:rPr>
        <w:t>t</w:t>
      </w:r>
      <w:r w:rsidRPr="00094B55">
        <w:rPr>
          <w:rFonts w:ascii="Times New Roman" w:hAnsi="Times New Roman" w:cs="Times New Roman"/>
          <w:color w:val="000000"/>
        </w:rPr>
        <w:t xml:space="preserve">. Age of infected individuals was not taken into account assuming that climatic </w:t>
      </w:r>
      <w:r w:rsidR="00931167">
        <w:rPr>
          <w:rFonts w:ascii="Times New Roman" w:hAnsi="Times New Roman" w:cs="Times New Roman"/>
          <w:color w:val="000000"/>
        </w:rPr>
        <w:t>covariate</w:t>
      </w:r>
      <w:r w:rsidRPr="00094B55">
        <w:rPr>
          <w:rFonts w:ascii="Times New Roman" w:hAnsi="Times New Roman" w:cs="Times New Roman"/>
          <w:color w:val="000000"/>
        </w:rPr>
        <w:t>s have a uniform impact on influenza spread within the population.</w:t>
      </w:r>
    </w:p>
    <w:p w14:paraId="134B5003" w14:textId="100895FC" w:rsidR="00A5683D" w:rsidRPr="00094B55" w:rsidRDefault="00A5683D" w:rsidP="00DC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567"/>
        <w:rPr>
          <w:rFonts w:ascii="Times New Roman" w:hAnsi="Times New Roman" w:cs="Times New Roman"/>
          <w:color w:val="000000"/>
        </w:rPr>
      </w:pPr>
      <w:r w:rsidRPr="00094B55">
        <w:rPr>
          <w:rFonts w:ascii="Times New Roman" w:hAnsi="Times New Roman" w:cs="Times New Roman"/>
          <w:color w:val="000000"/>
        </w:rPr>
        <w:t xml:space="preserve">Second, the GROG network estimates influenza incidence relying on both the ARI incidence and virological data. For each week of each region, an influenza positivity rate (for all circulating strains) is defined as the ratio of the number of positive samples on the total number of samples collected over a week. It is calculated using a moving average of order 3 taking into account the positive rate of the week concerned and the ones before and after in order to remove excessive fluctuations. We assumed that the positive rate corresponds to the actual proportion of influenza cases among ARI cases reported by </w:t>
      </w:r>
      <w:r w:rsidR="00250783">
        <w:rPr>
          <w:rFonts w:ascii="Times New Roman" w:hAnsi="Times New Roman" w:cs="Times New Roman"/>
          <w:color w:val="000000"/>
        </w:rPr>
        <w:t>the</w:t>
      </w:r>
      <w:r w:rsidR="00713B58">
        <w:rPr>
          <w:rFonts w:ascii="Times New Roman" w:hAnsi="Times New Roman" w:cs="Times New Roman"/>
          <w:color w:val="000000"/>
        </w:rPr>
        <w:t xml:space="preserve"> GROG</w:t>
      </w:r>
      <w:r w:rsidRPr="00094B55">
        <w:rPr>
          <w:rFonts w:ascii="Times New Roman" w:hAnsi="Times New Roman" w:cs="Times New Roman"/>
          <w:color w:val="000000"/>
        </w:rPr>
        <w:t xml:space="preserve"> network. The influenza incidence (</w:t>
      </w:r>
      <w:r w:rsidR="00CD004E" w:rsidRPr="00F5129E">
        <w:rPr>
          <w:rFonts w:ascii="Times New Roman" w:hAnsi="Times New Roman" w:cs="Times New Roman"/>
          <w:i/>
          <w:color w:val="000000"/>
        </w:rPr>
        <w:t>I</w:t>
      </w:r>
      <w:r w:rsidR="00CD004E" w:rsidRPr="00F5129E">
        <w:rPr>
          <w:rFonts w:ascii="Times New Roman" w:hAnsi="Times New Roman" w:cs="Times New Roman"/>
          <w:i/>
          <w:color w:val="000000"/>
          <w:vertAlign w:val="subscript"/>
        </w:rPr>
        <w:t>influenza</w:t>
      </w:r>
      <w:r w:rsidRPr="00094B55">
        <w:rPr>
          <w:rFonts w:ascii="Times New Roman" w:hAnsi="Times New Roman" w:cs="Times New Roman"/>
          <w:color w:val="000000"/>
        </w:rPr>
        <w:t>) is de</w:t>
      </w:r>
      <w:r>
        <w:rPr>
          <w:rFonts w:ascii="Times New Roman" w:hAnsi="Times New Roman" w:cs="Times New Roman"/>
          <w:color w:val="000000"/>
        </w:rPr>
        <w:t>fined</w:t>
      </w:r>
      <w:r w:rsidRPr="00094B55">
        <w:rPr>
          <w:rFonts w:ascii="Times New Roman" w:hAnsi="Times New Roman" w:cs="Times New Roman"/>
          <w:color w:val="000000"/>
        </w:rPr>
        <w:t xml:space="preserve"> as the ARI incidence weighted by the positivity rate (</w:t>
      </w:r>
      <w:r w:rsidR="00CD004E" w:rsidRPr="00080B62">
        <w:rPr>
          <w:rFonts w:ascii="Times New Roman" w:hAnsi="Times New Roman" w:cs="Times New Roman"/>
          <w:i/>
          <w:color w:val="000000"/>
        </w:rPr>
        <w:t>T</w:t>
      </w:r>
      <w:r w:rsidR="00CD004E" w:rsidRPr="00080B62">
        <w:rPr>
          <w:rFonts w:ascii="Times New Roman" w:hAnsi="Times New Roman" w:cs="Times New Roman"/>
          <w:i/>
          <w:color w:val="000000"/>
          <w:vertAlign w:val="subscript"/>
        </w:rPr>
        <w:t>+</w:t>
      </w:r>
      <w:r w:rsidRPr="00094B55">
        <w:rPr>
          <w:rFonts w:ascii="Times New Roman" w:hAnsi="Times New Roman" w:cs="Times New Roman"/>
          <w:color w:val="000000"/>
        </w:rPr>
        <w:t>):</w:t>
      </w:r>
    </w:p>
    <w:p w14:paraId="4B492FAC" w14:textId="77777777" w:rsidR="00A5683D" w:rsidRPr="00EA6F4E" w:rsidRDefault="0079438B" w:rsidP="00DC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567"/>
        <w:rPr>
          <w:rFonts w:ascii="Times New Roman" w:hAnsi="Times New Roman" w:cs="Times New Roman"/>
          <w:color w:val="000000"/>
        </w:rPr>
      </w:pPr>
      <m:oMathPara>
        <m:oMath>
          <m:sSub>
            <m:sSubPr>
              <m:ctrlPr>
                <w:rPr>
                  <w:rFonts w:ascii="Cambria Math" w:hAnsi="Cambria Math" w:cs="Times New Roman"/>
                  <w:i/>
                  <w:color w:val="000000"/>
                </w:rPr>
              </m:ctrlPr>
            </m:sSubPr>
            <m:e>
              <m:r>
                <w:rPr>
                  <w:rFonts w:ascii="Cambria Math" w:hAnsi="Cambria Math" w:cs="Times New Roman"/>
                  <w:color w:val="000000"/>
                </w:rPr>
                <m:t>I</m:t>
              </m:r>
            </m:e>
            <m:sub>
              <m:r>
                <w:rPr>
                  <w:rFonts w:ascii="Cambria Math" w:hAnsi="Cambria Math" w:cs="Times New Roman"/>
                  <w:color w:val="000000"/>
                </w:rPr>
                <m:t>influenza</m:t>
              </m:r>
            </m:sub>
          </m:sSub>
          <m:d>
            <m:dPr>
              <m:ctrlPr>
                <w:rPr>
                  <w:rFonts w:ascii="Cambria Math" w:hAnsi="Cambria Math" w:cs="Times New Roman"/>
                  <w:i/>
                  <w:color w:val="000000"/>
                </w:rPr>
              </m:ctrlPr>
            </m:dPr>
            <m:e>
              <m:r>
                <w:rPr>
                  <w:rFonts w:ascii="Cambria Math" w:hAnsi="Cambria Math" w:cs="Times New Roman"/>
                  <w:color w:val="000000"/>
                </w:rPr>
                <m:t>t</m:t>
              </m:r>
            </m:e>
          </m:d>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I</m:t>
              </m:r>
            </m:e>
            <m:sub>
              <m:r>
                <w:rPr>
                  <w:rFonts w:ascii="Cambria Math" w:hAnsi="Cambria Math" w:cs="Times New Roman"/>
                  <w:color w:val="000000"/>
                </w:rPr>
                <m:t>ARI</m:t>
              </m:r>
            </m:sub>
          </m:sSub>
          <m:d>
            <m:dPr>
              <m:ctrlPr>
                <w:rPr>
                  <w:rFonts w:ascii="Cambria Math" w:hAnsi="Cambria Math" w:cs="Times New Roman"/>
                  <w:i/>
                  <w:color w:val="000000"/>
                </w:rPr>
              </m:ctrlPr>
            </m:dPr>
            <m:e>
              <m:r>
                <w:rPr>
                  <w:rFonts w:ascii="Cambria Math" w:hAnsi="Cambria Math" w:cs="Times New Roman"/>
                  <w:color w:val="000000"/>
                </w:rPr>
                <m:t>t</m:t>
              </m:r>
            </m:e>
          </m:d>
          <m:r>
            <w:rPr>
              <w:rFonts w:ascii="Cambria Math" w:hAnsi="Cambria Math" w:cs="Times New Roman"/>
              <w:color w:val="000000"/>
            </w:rPr>
            <m:t xml:space="preserve"> ∙</m:t>
          </m:r>
          <m:sSub>
            <m:sSubPr>
              <m:ctrlPr>
                <w:rPr>
                  <w:rFonts w:ascii="Cambria Math" w:hAnsi="Cambria Math" w:cs="Times New Roman"/>
                  <w:i/>
                  <w:color w:val="000000"/>
                </w:rPr>
              </m:ctrlPr>
            </m:sSubPr>
            <m:e>
              <m:r>
                <w:rPr>
                  <w:rFonts w:ascii="Cambria Math" w:hAnsi="Cambria Math" w:cs="Times New Roman"/>
                  <w:color w:val="000000"/>
                </w:rPr>
                <m:t xml:space="preserve"> T</m:t>
              </m:r>
            </m:e>
            <m:sub>
              <m:r>
                <w:rPr>
                  <w:rFonts w:ascii="Cambria Math" w:hAnsi="Cambria Math" w:cs="Times New Roman"/>
                  <w:color w:val="000000"/>
                </w:rPr>
                <m:t>+</m:t>
              </m:r>
            </m:sub>
          </m:sSub>
          <m:r>
            <w:rPr>
              <w:rFonts w:ascii="Cambria Math" w:hAnsi="Cambria Math" w:cs="Times New Roman"/>
              <w:color w:val="000000"/>
            </w:rPr>
            <m:t>(t)</m:t>
          </m:r>
        </m:oMath>
      </m:oMathPara>
    </w:p>
    <w:p w14:paraId="78C292E3" w14:textId="3917115F" w:rsidR="00B1685E" w:rsidRPr="00DC72E0" w:rsidRDefault="00B1685E" w:rsidP="00DC72E0">
      <w:pPr>
        <w:ind w:firstLine="567"/>
        <w:rPr>
          <w:rFonts w:ascii="Times New Roman" w:hAnsi="Times New Roman" w:cs="Times New Roman"/>
        </w:rPr>
      </w:pPr>
    </w:p>
    <w:p w14:paraId="03049A50" w14:textId="77777777" w:rsidR="00DC72E0" w:rsidRDefault="00DC72E0" w:rsidP="00DC72E0">
      <w:pPr>
        <w:pStyle w:val="Standard"/>
        <w:spacing w:line="480" w:lineRule="auto"/>
        <w:rPr>
          <w:bCs/>
          <w:lang w:val="en-US"/>
        </w:rPr>
      </w:pPr>
    </w:p>
    <w:p w14:paraId="0071C14E" w14:textId="15E811EE" w:rsidR="00DC72E0" w:rsidRPr="00DC72E0" w:rsidRDefault="00DC72E0" w:rsidP="00DC72E0">
      <w:pPr>
        <w:pStyle w:val="Standard"/>
        <w:spacing w:line="480" w:lineRule="auto"/>
        <w:rPr>
          <w:bCs/>
          <w:lang w:val="en-US"/>
        </w:rPr>
      </w:pPr>
      <w:r w:rsidRPr="00DC72E0">
        <w:rPr>
          <w:bCs/>
          <w:lang w:val="en-US"/>
        </w:rPr>
        <w:t xml:space="preserve">WEB MATERIAL </w:t>
      </w:r>
      <w:r w:rsidR="006521CA">
        <w:rPr>
          <w:bCs/>
          <w:lang w:val="en-US"/>
        </w:rPr>
        <w:t>3</w:t>
      </w:r>
      <w:r w:rsidRPr="00DC72E0">
        <w:rPr>
          <w:bCs/>
          <w:lang w:val="en-US"/>
        </w:rPr>
        <w:t>: Including or excluding non-epidemic data points?</w:t>
      </w:r>
    </w:p>
    <w:p w14:paraId="27118828" w14:textId="40C5B867" w:rsidR="00DC72E0" w:rsidRDefault="00DC72E0" w:rsidP="00DC72E0">
      <w:pPr>
        <w:pStyle w:val="Standard"/>
        <w:spacing w:line="480" w:lineRule="auto"/>
        <w:rPr>
          <w:lang w:val="en-US"/>
        </w:rPr>
      </w:pPr>
      <w:r>
        <w:rPr>
          <w:lang w:val="en-US"/>
        </w:rPr>
        <w:t>A non-epidemic data point corresponds to an observation (in a given epidemic year of given region) for which no epidemic occur</w:t>
      </w:r>
      <w:r w:rsidR="00113833">
        <w:rPr>
          <w:lang w:val="en-US"/>
        </w:rPr>
        <w:t>r</w:t>
      </w:r>
      <w:r>
        <w:rPr>
          <w:lang w:val="en-US"/>
        </w:rPr>
        <w:t>ed over the entire study period.</w:t>
      </w:r>
    </w:p>
    <w:p w14:paraId="66A1308F" w14:textId="1A98233B" w:rsidR="00DC72E0" w:rsidRDefault="00DC72E0" w:rsidP="00DC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567"/>
      </w:pPr>
      <w:r>
        <w:t xml:space="preserve">On </w:t>
      </w:r>
      <w:r w:rsidR="00F36910">
        <w:t>a technical point of view, the M</w:t>
      </w:r>
      <w:r>
        <w:t xml:space="preserve">atlab program can deal with these points (the associated likelihood is simply given by </w:t>
      </w:r>
      <m:oMath>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i=0</m:t>
                </m:r>
              </m:sub>
              <m:sup>
                <m:r>
                  <w:rPr>
                    <w:rFonts w:ascii="Cambria Math" w:hAnsi="Cambria Math"/>
                    <w:color w:val="000000"/>
                  </w:rPr>
                  <m:t>Tmax-1</m:t>
                </m:r>
              </m:sup>
              <m:e>
                <m:r>
                  <w:rPr>
                    <w:rFonts w:ascii="Cambria Math" w:hAnsi="Cambria Math"/>
                    <w:color w:val="000000"/>
                  </w:rPr>
                  <m:t>λ</m:t>
                </m:r>
                <m:d>
                  <m:dPr>
                    <m:ctrlPr>
                      <w:rPr>
                        <w:rFonts w:ascii="Cambria Math" w:hAnsi="Cambria Math"/>
                        <w:i/>
                        <w:color w:val="000000"/>
                      </w:rPr>
                    </m:ctrlPr>
                  </m:dPr>
                  <m:e>
                    <m:r>
                      <w:rPr>
                        <w:rFonts w:ascii="Cambria Math" w:hAnsi="Cambria Math"/>
                        <w:color w:val="000000"/>
                      </w:rPr>
                      <m:t>R,Y,i</m:t>
                    </m:r>
                  </m:e>
                </m:d>
              </m:e>
            </m:nary>
          </m:sup>
        </m:sSup>
      </m:oMath>
      <w:r>
        <w:rPr>
          <w:color w:val="000000"/>
        </w:rPr>
        <w:t xml:space="preserve">, </w:t>
      </w:r>
      <w:r w:rsidRPr="00DC72E0">
        <w:rPr>
          <w:i/>
          <w:color w:val="000000"/>
        </w:rPr>
        <w:t xml:space="preserve">Tmax </w:t>
      </w:r>
      <w:r>
        <w:rPr>
          <w:color w:val="000000"/>
        </w:rPr>
        <w:t>being the last week of the survey</w:t>
      </w:r>
      <w:r>
        <w:t>). So choosing to include or exclude them from the analysis should only be motivated by the way they affect the analysis.</w:t>
      </w:r>
    </w:p>
    <w:p w14:paraId="50D0D4F9" w14:textId="77777777" w:rsidR="00DC72E0" w:rsidRDefault="00DC72E0" w:rsidP="00DC72E0">
      <w:pPr>
        <w:pStyle w:val="Standard"/>
        <w:spacing w:line="480" w:lineRule="auto"/>
        <w:ind w:firstLine="567"/>
        <w:rPr>
          <w:lang w:val="en-US"/>
        </w:rPr>
      </w:pPr>
    </w:p>
    <w:p w14:paraId="76872FB7" w14:textId="77777777" w:rsidR="00DC72E0" w:rsidRDefault="00DC72E0" w:rsidP="00DC72E0">
      <w:pPr>
        <w:pStyle w:val="Standard"/>
        <w:spacing w:line="480" w:lineRule="auto"/>
        <w:rPr>
          <w:i/>
          <w:iCs/>
          <w:lang w:val="en-US"/>
        </w:rPr>
      </w:pPr>
      <w:r>
        <w:rPr>
          <w:i/>
          <w:iCs/>
          <w:lang w:val="en-US"/>
        </w:rPr>
        <w:t>What causes them?</w:t>
      </w:r>
    </w:p>
    <w:p w14:paraId="3B3E88D3" w14:textId="59AA4888" w:rsidR="00DC72E0" w:rsidRDefault="00DC72E0" w:rsidP="00DC72E0">
      <w:pPr>
        <w:pStyle w:val="Standard"/>
        <w:spacing w:line="480" w:lineRule="auto"/>
        <w:rPr>
          <w:lang w:val="en-US"/>
        </w:rPr>
      </w:pPr>
      <w:r>
        <w:rPr>
          <w:lang w:val="en-US"/>
        </w:rPr>
        <w:t xml:space="preserve">As it is built, the model is probabilistic. It quantifies, for each year, each region and </w:t>
      </w:r>
      <w:r>
        <w:rPr>
          <w:lang w:val="en-US"/>
        </w:rPr>
        <w:lastRenderedPageBreak/>
        <w:t>each week, the probability that an epidemic occurs. Epidemics may occur or not every week for every year in every region. So it is possible that no epidemic occurs at all in a region during a given epidemic year just because of chance.</w:t>
      </w:r>
    </w:p>
    <w:p w14:paraId="6913DE8B" w14:textId="460BEA73" w:rsidR="00DC72E0" w:rsidRDefault="00DC72E0" w:rsidP="00DC72E0">
      <w:pPr>
        <w:pStyle w:val="Standard"/>
        <w:spacing w:line="480" w:lineRule="auto"/>
        <w:ind w:firstLine="567"/>
        <w:rPr>
          <w:lang w:val="en-US"/>
        </w:rPr>
      </w:pPr>
      <w:r>
        <w:rPr>
          <w:lang w:val="en-US"/>
        </w:rPr>
        <w:t>However, what the model does not take into account is the fact that some regions might be “resistant” (or at least much more resistant than the others) to influenza epidemics. This could be the case, for example, if a sufficient proportion of individuals is immune to the virus (e.g., have been exposed during past epidemic years to a variant that is close to the one circulating this year).</w:t>
      </w:r>
    </w:p>
    <w:p w14:paraId="3A4D56CF" w14:textId="1488F5CE" w:rsidR="00DC72E0" w:rsidRDefault="00DC72E0" w:rsidP="00DC72E0">
      <w:pPr>
        <w:pStyle w:val="Standard"/>
        <w:spacing w:line="480" w:lineRule="auto"/>
        <w:ind w:firstLine="567"/>
        <w:rPr>
          <w:lang w:val="en-US"/>
        </w:rPr>
      </w:pPr>
      <w:r>
        <w:rPr>
          <w:lang w:val="en-US"/>
        </w:rPr>
        <w:t>It is important to make a distinction between these two scenarios. The first one (stochastic effects) is handled naturally by the model. It assumes that non-epidemic data points work in the same way as epidemic ones, but had a qualitatively different outcome because of chance.  In the second one (regions resistant to influenza epidemics), the non-epidemic data points obey a different logic than the epidemic ones and they should be excluded from the analysis (or at least treated separately).</w:t>
      </w:r>
    </w:p>
    <w:p w14:paraId="440814A5" w14:textId="77777777" w:rsidR="00DC72E0" w:rsidRDefault="00DC72E0" w:rsidP="00DC72E0">
      <w:pPr>
        <w:pStyle w:val="Standard"/>
        <w:spacing w:line="480" w:lineRule="auto"/>
        <w:ind w:firstLine="567"/>
        <w:rPr>
          <w:lang w:val="en-US"/>
        </w:rPr>
      </w:pPr>
    </w:p>
    <w:p w14:paraId="050CE8CB" w14:textId="77777777" w:rsidR="00DC72E0" w:rsidRDefault="00DC72E0" w:rsidP="00DC72E0">
      <w:pPr>
        <w:pStyle w:val="Standard"/>
        <w:spacing w:line="480" w:lineRule="auto"/>
        <w:rPr>
          <w:i/>
          <w:iCs/>
          <w:lang w:val="en-US"/>
        </w:rPr>
      </w:pPr>
      <w:r>
        <w:rPr>
          <w:i/>
          <w:iCs/>
          <w:lang w:val="en-US"/>
        </w:rPr>
        <w:t>How can we make the distinction?</w:t>
      </w:r>
    </w:p>
    <w:p w14:paraId="5B4B67F8" w14:textId="1A010904" w:rsidR="00DC72E0" w:rsidRDefault="00DC72E0" w:rsidP="00DC72E0">
      <w:pPr>
        <w:pStyle w:val="Standard"/>
        <w:spacing w:line="480" w:lineRule="auto"/>
        <w:rPr>
          <w:lang w:val="en-US"/>
        </w:rPr>
      </w:pPr>
      <w:r>
        <w:rPr>
          <w:lang w:val="en-US"/>
        </w:rPr>
        <w:t>The second situation presented earlier might be a bit extreme, but an important question still holds: can non-epidemic data points be considered as obeying the same mathematical logic as epidemic ones? Can we add them in the analysis because they are in the direct continuity of epidemic data points? Contrarily, do they contain a different type of information?</w:t>
      </w:r>
    </w:p>
    <w:p w14:paraId="76E08615" w14:textId="5B4F2121" w:rsidR="00DC72E0" w:rsidRDefault="00DC72E0" w:rsidP="00DC72E0">
      <w:pPr>
        <w:pStyle w:val="Standard"/>
        <w:spacing w:line="480" w:lineRule="auto"/>
        <w:ind w:firstLine="567"/>
        <w:rPr>
          <w:lang w:val="en-US"/>
        </w:rPr>
      </w:pPr>
      <w:r>
        <w:rPr>
          <w:lang w:val="en-US"/>
        </w:rPr>
        <w:t>One way to investigate this question is to evaluate, for each of these five data points, if the model inferred from the analysis that excludes them is able to predict their non-epidemic observed outcome. Concretely, we followed the following steps:</w:t>
      </w:r>
    </w:p>
    <w:p w14:paraId="1E84D089" w14:textId="4723C94D" w:rsidR="00DC72E0" w:rsidRDefault="00DC72E0" w:rsidP="00DC72E0">
      <w:pPr>
        <w:pStyle w:val="Standard"/>
        <w:spacing w:line="480" w:lineRule="auto"/>
        <w:ind w:firstLine="567"/>
        <w:rPr>
          <w:lang w:val="en-US"/>
        </w:rPr>
      </w:pPr>
      <w:r>
        <w:rPr>
          <w:lang w:val="en-US"/>
        </w:rPr>
        <w:t xml:space="preserve">Step 1: </w:t>
      </w:r>
      <w:r w:rsidR="00CE1D9E">
        <w:rPr>
          <w:lang w:val="en-US"/>
        </w:rPr>
        <w:t xml:space="preserve">let us consider a sub-model linking influenza epidemic onset dates to a </w:t>
      </w:r>
      <w:r w:rsidR="00CE1D9E">
        <w:rPr>
          <w:lang w:val="en-US"/>
        </w:rPr>
        <w:lastRenderedPageBreak/>
        <w:t>set of covariates</w:t>
      </w:r>
      <w:r>
        <w:rPr>
          <w:lang w:val="en-US"/>
        </w:rPr>
        <w:t xml:space="preserve">. </w:t>
      </w:r>
      <w:r w:rsidR="00CE1D9E">
        <w:rPr>
          <w:lang w:val="en-US"/>
        </w:rPr>
        <w:t>Let us</w:t>
      </w:r>
      <w:r>
        <w:rPr>
          <w:lang w:val="en-US"/>
        </w:rPr>
        <w:t xml:space="preserve"> consider the corresponding parameters inferred from the analysis of the data set excluding non-epidemic data points (</w:t>
      </w:r>
      <w:r w:rsidR="00CE1D9E">
        <w:rPr>
          <w:lang w:val="en-US"/>
        </w:rPr>
        <w:t>typically those presented in</w:t>
      </w:r>
      <w:r>
        <w:rPr>
          <w:lang w:val="en-US"/>
        </w:rPr>
        <w:t xml:space="preserve"> WEB TABLE 1). For each of the five non-epidemic data points, we use the equation linking </w:t>
      </w:r>
      <w:r w:rsidRPr="00AC3A46">
        <w:rPr>
          <w:i/>
          <w:lang w:val="en-US"/>
        </w:rPr>
        <w:sym w:font="Symbol" w:char="F06C"/>
      </w:r>
      <w:r>
        <w:rPr>
          <w:lang w:val="en-US"/>
        </w:rPr>
        <w:t xml:space="preserve"> to model parameters and covariates to estimate the associated epidemic onset rate for every week of the study period.</w:t>
      </w:r>
    </w:p>
    <w:p w14:paraId="6840E9D0" w14:textId="295BD414" w:rsidR="00DC72E0" w:rsidRDefault="00DC72E0" w:rsidP="00DC72E0">
      <w:pPr>
        <w:pStyle w:val="Standard"/>
        <w:spacing w:line="480" w:lineRule="auto"/>
        <w:ind w:firstLine="567"/>
        <w:rPr>
          <w:lang w:val="en-US"/>
        </w:rPr>
      </w:pPr>
      <w:r>
        <w:rPr>
          <w:lang w:val="en-US"/>
        </w:rPr>
        <w:t xml:space="preserve">Step 2: we calculate the probability of observing no epidemic for each of the five data points </w:t>
      </w:r>
      <w:r w:rsidR="00872098">
        <w:rPr>
          <w:lang w:val="en-US"/>
        </w:rPr>
        <w:t>(</w:t>
      </w:r>
      <m:oMath>
        <m:r>
          <w:rPr>
            <w:rFonts w:ascii="Cambria Math" w:hAnsi="Cambria Math"/>
            <w:lang w:val="en-US"/>
          </w:rPr>
          <m:t>P</m:t>
        </m:r>
        <m:d>
          <m:dPr>
            <m:ctrlPr>
              <w:rPr>
                <w:rFonts w:ascii="Cambria Math" w:hAnsi="Cambria Math"/>
                <w:i/>
                <w:lang w:val="en-US"/>
              </w:rPr>
            </m:ctrlPr>
          </m:dPr>
          <m:e>
            <m:r>
              <w:rPr>
                <w:rFonts w:ascii="Cambria Math" w:hAnsi="Cambria Math"/>
                <w:lang w:val="en-US"/>
              </w:rPr>
              <m:t>no epidemic</m:t>
            </m:r>
          </m:e>
        </m:d>
        <m:r>
          <w:rPr>
            <w:rFonts w:ascii="Cambria Math" w:hAnsi="Cambria Math"/>
            <w:lang w:val="en-US"/>
          </w:rPr>
          <m:t>=</m:t>
        </m:r>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lang w:val="en-US"/>
              </w:rPr>
              <m:t>-</m:t>
            </m:r>
            <m:nary>
              <m:naryPr>
                <m:chr m:val="∑"/>
                <m:limLoc m:val="subSup"/>
                <m:ctrlPr>
                  <w:rPr>
                    <w:rFonts w:ascii="Cambria Math" w:hAnsi="Cambria Math"/>
                    <w:i/>
                    <w:color w:val="000000"/>
                  </w:rPr>
                </m:ctrlPr>
              </m:naryPr>
              <m:sub>
                <m:r>
                  <w:rPr>
                    <w:rFonts w:ascii="Cambria Math" w:hAnsi="Cambria Math"/>
                    <w:color w:val="000000"/>
                  </w:rPr>
                  <m:t>i</m:t>
                </m:r>
                <m:r>
                  <w:rPr>
                    <w:rFonts w:ascii="Cambria Math" w:hAnsi="Cambria Math"/>
                    <w:color w:val="000000"/>
                    <w:lang w:val="en-US"/>
                  </w:rPr>
                  <m:t>=0</m:t>
                </m:r>
              </m:sub>
              <m:sup>
                <m:r>
                  <w:rPr>
                    <w:rFonts w:ascii="Cambria Math" w:hAnsi="Cambria Math"/>
                    <w:color w:val="000000"/>
                  </w:rPr>
                  <m:t>Tmax</m:t>
                </m:r>
                <m:r>
                  <w:rPr>
                    <w:rFonts w:ascii="Cambria Math" w:hAnsi="Cambria Math"/>
                    <w:color w:val="000000"/>
                    <w:lang w:val="en-US"/>
                  </w:rPr>
                  <m:t>-1</m:t>
                </m:r>
              </m:sup>
              <m:e>
                <m:r>
                  <w:rPr>
                    <w:rFonts w:ascii="Cambria Math" w:hAnsi="Cambria Math"/>
                    <w:color w:val="000000"/>
                  </w:rPr>
                  <m:t>λ</m:t>
                </m:r>
                <m:d>
                  <m:dPr>
                    <m:ctrlPr>
                      <w:rPr>
                        <w:rFonts w:ascii="Cambria Math" w:hAnsi="Cambria Math"/>
                        <w:i/>
                        <w:color w:val="000000"/>
                      </w:rPr>
                    </m:ctrlPr>
                  </m:dPr>
                  <m:e>
                    <m:r>
                      <w:rPr>
                        <w:rFonts w:ascii="Cambria Math" w:hAnsi="Cambria Math"/>
                        <w:color w:val="000000"/>
                      </w:rPr>
                      <m:t>R</m:t>
                    </m:r>
                    <m:r>
                      <w:rPr>
                        <w:rFonts w:ascii="Cambria Math" w:hAnsi="Cambria Math"/>
                        <w:color w:val="000000"/>
                        <w:lang w:val="en-US"/>
                      </w:rPr>
                      <m:t>,</m:t>
                    </m:r>
                    <m:r>
                      <w:rPr>
                        <w:rFonts w:ascii="Cambria Math" w:hAnsi="Cambria Math"/>
                        <w:color w:val="000000"/>
                      </w:rPr>
                      <m:t>Y</m:t>
                    </m:r>
                    <m:r>
                      <w:rPr>
                        <w:rFonts w:ascii="Cambria Math" w:hAnsi="Cambria Math"/>
                        <w:color w:val="000000"/>
                        <w:lang w:val="en-US"/>
                      </w:rPr>
                      <m:t>,</m:t>
                    </m:r>
                    <m:r>
                      <w:rPr>
                        <w:rFonts w:ascii="Cambria Math" w:hAnsi="Cambria Math"/>
                        <w:color w:val="000000"/>
                      </w:rPr>
                      <m:t>i</m:t>
                    </m:r>
                  </m:e>
                </m:d>
              </m:e>
            </m:nary>
          </m:sup>
        </m:sSup>
      </m:oMath>
      <w:r w:rsidR="00872098">
        <w:rPr>
          <w:color w:val="000000"/>
          <w:lang w:val="en-US"/>
        </w:rPr>
        <w:t>)</w:t>
      </w:r>
      <w:r>
        <w:rPr>
          <w:lang w:val="en-US"/>
        </w:rPr>
        <w:t>.</w:t>
      </w:r>
    </w:p>
    <w:p w14:paraId="1D56CCCC" w14:textId="4D187DAD" w:rsidR="00DC72E0" w:rsidRDefault="00CE1D9E" w:rsidP="00DC72E0">
      <w:pPr>
        <w:pStyle w:val="Standard"/>
        <w:spacing w:line="480" w:lineRule="auto"/>
        <w:ind w:firstLine="567"/>
        <w:rPr>
          <w:lang w:val="en-US"/>
        </w:rPr>
      </w:pPr>
      <w:r>
        <w:rPr>
          <w:lang w:val="en-US"/>
        </w:rPr>
        <w:t>To understand what happens, let us consider the example of the four sub-models linking epidemic onset dates to temperature. In WEB TABLE 2</w:t>
      </w:r>
      <w:r w:rsidR="00DC72E0">
        <w:rPr>
          <w:lang w:val="en-US"/>
        </w:rPr>
        <w:t xml:space="preserve"> we reported the decimal logarithm </w:t>
      </w:r>
      <w:r>
        <w:rPr>
          <w:lang w:val="en-US"/>
        </w:rPr>
        <w:t>of the probability of observing no epidemic for the five non-epidemic data points</w:t>
      </w:r>
      <w:r w:rsidR="00DC72E0">
        <w:rPr>
          <w:lang w:val="en-US"/>
        </w:rPr>
        <w:t>.</w:t>
      </w:r>
    </w:p>
    <w:p w14:paraId="25FB67BB" w14:textId="77777777" w:rsidR="00DC72E0" w:rsidRDefault="00DC72E0" w:rsidP="00DC72E0">
      <w:pPr>
        <w:pStyle w:val="Standard"/>
        <w:spacing w:line="480" w:lineRule="auto"/>
        <w:ind w:firstLine="567"/>
        <w:rPr>
          <w:lang w:val="en-US"/>
        </w:rPr>
      </w:pPr>
      <w:r>
        <w:rPr>
          <w:lang w:val="en-US"/>
        </w:rPr>
        <w:t>A priori, there is no reason why these probabilities should be close to one, but at least they should not be too small. A couple of percent should be enough because non-epidemic observations occur in only around 5% of the observed data points.</w:t>
      </w:r>
    </w:p>
    <w:p w14:paraId="38C73E8F" w14:textId="45BB6BEC" w:rsidR="00DC72E0" w:rsidRDefault="00DC72E0" w:rsidP="00DC72E0">
      <w:pPr>
        <w:pStyle w:val="Standard"/>
        <w:spacing w:line="480" w:lineRule="auto"/>
        <w:ind w:firstLine="567"/>
        <w:rPr>
          <w:lang w:val="en-US"/>
        </w:rPr>
      </w:pPr>
      <w:r>
        <w:rPr>
          <w:lang w:val="en-US"/>
        </w:rPr>
        <w:t xml:space="preserve">What we found was far from that. </w:t>
      </w:r>
      <w:r w:rsidR="00CE1D9E">
        <w:rPr>
          <w:lang w:val="en-US"/>
        </w:rPr>
        <w:t>In this example, p</w:t>
      </w:r>
      <w:r>
        <w:rPr>
          <w:lang w:val="en-US"/>
        </w:rPr>
        <w:t xml:space="preserve">robabilities </w:t>
      </w:r>
      <w:r w:rsidR="00CE1D9E">
        <w:rPr>
          <w:lang w:val="en-US"/>
        </w:rPr>
        <w:t>were all very low (&lt;10</w:t>
      </w:r>
      <w:r w:rsidR="00CE1D9E" w:rsidRPr="00CE1D9E">
        <w:rPr>
          <w:vertAlign w:val="superscript"/>
          <w:lang w:val="en-US"/>
        </w:rPr>
        <w:t>-3</w:t>
      </w:r>
      <w:r w:rsidR="00CE1D9E">
        <w:rPr>
          <w:lang w:val="en-US"/>
        </w:rPr>
        <w:t>, very often &lt;10</w:t>
      </w:r>
      <w:r w:rsidR="00CE1D9E" w:rsidRPr="00CE1D9E">
        <w:rPr>
          <w:vertAlign w:val="superscript"/>
          <w:lang w:val="en-US"/>
        </w:rPr>
        <w:t>-5</w:t>
      </w:r>
      <w:r w:rsidR="00CE1D9E">
        <w:rPr>
          <w:lang w:val="en-US"/>
        </w:rPr>
        <w:t xml:space="preserve"> and quite often &lt;10</w:t>
      </w:r>
      <w:r w:rsidR="00CE1D9E" w:rsidRPr="00CE1D9E">
        <w:rPr>
          <w:vertAlign w:val="superscript"/>
          <w:lang w:val="en-US"/>
        </w:rPr>
        <w:t>-10</w:t>
      </w:r>
      <w:r w:rsidR="00CE1D9E">
        <w:rPr>
          <w:lang w:val="en-US"/>
        </w:rPr>
        <w:t>, see WEB TABLE 2). This means that</w:t>
      </w:r>
      <w:r>
        <w:rPr>
          <w:lang w:val="en-US"/>
        </w:rPr>
        <w:t xml:space="preserve"> with the model parameters </w:t>
      </w:r>
      <w:r w:rsidR="00CE1D9E">
        <w:rPr>
          <w:lang w:val="en-US"/>
        </w:rPr>
        <w:t>inferred</w:t>
      </w:r>
      <w:r>
        <w:rPr>
          <w:lang w:val="en-US"/>
        </w:rPr>
        <w:t xml:space="preserve"> from the data set excluding non-epidemic data points, it was virtuall</w:t>
      </w:r>
      <w:r w:rsidR="00CE1D9E">
        <w:rPr>
          <w:lang w:val="en-US"/>
        </w:rPr>
        <w:t>y impossible to ex</w:t>
      </w:r>
      <w:r>
        <w:rPr>
          <w:lang w:val="en-US"/>
        </w:rPr>
        <w:t>plain why no epidemic occurred in the five regions-years.</w:t>
      </w:r>
    </w:p>
    <w:p w14:paraId="4EB7D4AE" w14:textId="3F9A3ADA" w:rsidR="00DC72E0" w:rsidRDefault="00CE1D9E" w:rsidP="00DC72E0">
      <w:pPr>
        <w:pStyle w:val="Standard"/>
        <w:spacing w:line="480" w:lineRule="auto"/>
        <w:ind w:firstLine="567"/>
        <w:rPr>
          <w:lang w:val="en-US"/>
        </w:rPr>
      </w:pPr>
      <w:r>
        <w:rPr>
          <w:lang w:val="en-US"/>
        </w:rPr>
        <w:t>Th</w:t>
      </w:r>
      <w:r w:rsidR="00DC72E0">
        <w:rPr>
          <w:lang w:val="en-US"/>
        </w:rPr>
        <w:t xml:space="preserve">is rapid analysis does not provide a rigorous proof that non-epidemic data points contain </w:t>
      </w:r>
      <w:r w:rsidR="006E2746">
        <w:rPr>
          <w:lang w:val="en-US"/>
        </w:rPr>
        <w:t>different</w:t>
      </w:r>
      <w:r w:rsidR="00DC72E0">
        <w:rPr>
          <w:lang w:val="en-US"/>
        </w:rPr>
        <w:t xml:space="preserve"> information</w:t>
      </w:r>
      <w:r>
        <w:rPr>
          <w:lang w:val="en-US"/>
        </w:rPr>
        <w:t xml:space="preserve"> but helps to understand what we will show below. However, from these rapid calculations, </w:t>
      </w:r>
      <w:r w:rsidR="00DC72E0">
        <w:rPr>
          <w:lang w:val="en-US"/>
        </w:rPr>
        <w:t xml:space="preserve">we think that </w:t>
      </w:r>
      <w:r>
        <w:rPr>
          <w:lang w:val="en-US"/>
        </w:rPr>
        <w:t>one</w:t>
      </w:r>
      <w:r w:rsidR="00DC72E0">
        <w:rPr>
          <w:lang w:val="en-US"/>
        </w:rPr>
        <w:t xml:space="preserve"> </w:t>
      </w:r>
      <w:r>
        <w:rPr>
          <w:lang w:val="en-US"/>
        </w:rPr>
        <w:t>should</w:t>
      </w:r>
      <w:r w:rsidR="00DC72E0">
        <w:rPr>
          <w:lang w:val="en-US"/>
        </w:rPr>
        <w:t xml:space="preserve"> </w:t>
      </w:r>
      <w:r>
        <w:rPr>
          <w:lang w:val="en-US"/>
        </w:rPr>
        <w:t>be suspicious</w:t>
      </w:r>
      <w:r w:rsidR="00DC72E0">
        <w:rPr>
          <w:lang w:val="en-US"/>
        </w:rPr>
        <w:t xml:space="preserve"> about </w:t>
      </w:r>
      <w:r>
        <w:rPr>
          <w:lang w:val="en-US"/>
        </w:rPr>
        <w:t>the relevance of including non-epidemic data points in the analysis</w:t>
      </w:r>
      <w:r w:rsidR="00DC72E0">
        <w:rPr>
          <w:lang w:val="en-US"/>
        </w:rPr>
        <w:t xml:space="preserve">. Is </w:t>
      </w:r>
      <w:r>
        <w:rPr>
          <w:lang w:val="en-US"/>
        </w:rPr>
        <w:t>it really worth it</w:t>
      </w:r>
      <w:r w:rsidR="00DC72E0">
        <w:rPr>
          <w:lang w:val="en-US"/>
        </w:rPr>
        <w:t>? What does that change in the analysis?</w:t>
      </w:r>
    </w:p>
    <w:p w14:paraId="7D670427" w14:textId="77777777" w:rsidR="00DC72E0" w:rsidRDefault="00DC72E0" w:rsidP="00DC72E0">
      <w:pPr>
        <w:pStyle w:val="Standard"/>
        <w:spacing w:line="480" w:lineRule="auto"/>
        <w:ind w:firstLine="567"/>
        <w:rPr>
          <w:lang w:val="en-US"/>
        </w:rPr>
      </w:pPr>
    </w:p>
    <w:p w14:paraId="7417506A" w14:textId="77777777" w:rsidR="00DC72E0" w:rsidRDefault="00DC72E0" w:rsidP="00CE1D9E">
      <w:pPr>
        <w:pStyle w:val="Standard"/>
        <w:spacing w:line="480" w:lineRule="auto"/>
        <w:rPr>
          <w:i/>
          <w:iCs/>
          <w:lang w:val="en-US"/>
        </w:rPr>
      </w:pPr>
      <w:r>
        <w:rPr>
          <w:i/>
          <w:iCs/>
          <w:lang w:val="en-US"/>
        </w:rPr>
        <w:lastRenderedPageBreak/>
        <w:t>Implications for the analysis</w:t>
      </w:r>
    </w:p>
    <w:p w14:paraId="3D74E346" w14:textId="7821F2C6" w:rsidR="00DC72E0" w:rsidRDefault="00F36910" w:rsidP="00CE1D9E">
      <w:pPr>
        <w:pStyle w:val="Standard"/>
        <w:spacing w:line="480" w:lineRule="auto"/>
        <w:rPr>
          <w:lang w:val="en-US"/>
        </w:rPr>
      </w:pPr>
      <w:r>
        <w:rPr>
          <w:lang w:val="en-US"/>
        </w:rPr>
        <w:t>If the M</w:t>
      </w:r>
      <w:r w:rsidR="00DC72E0">
        <w:rPr>
          <w:lang w:val="en-US"/>
        </w:rPr>
        <w:t xml:space="preserve">atlab program was as a person, what he would want would be to minimize the model deviance. And non-epidemic data points provide an interesting target to gain easy deviance points. Let's imagine that </w:t>
      </w:r>
      <w:r w:rsidR="00584AEA">
        <w:rPr>
          <w:lang w:val="en-US"/>
        </w:rPr>
        <w:t>the program</w:t>
      </w:r>
      <w:r w:rsidR="00DC72E0">
        <w:rPr>
          <w:lang w:val="en-US"/>
        </w:rPr>
        <w:t xml:space="preserve"> manages to increase the probability of observing no epidemic (for any of the five non-ep</w:t>
      </w:r>
      <w:r w:rsidR="00584AEA">
        <w:rPr>
          <w:lang w:val="en-US"/>
        </w:rPr>
        <w:t>idemic data points) from 10</w:t>
      </w:r>
      <w:r w:rsidR="009B7410" w:rsidRPr="00584AEA">
        <w:rPr>
          <w:vertAlign w:val="superscript"/>
          <w:lang w:val="en-US"/>
        </w:rPr>
        <w:t>-10</w:t>
      </w:r>
      <w:r w:rsidR="00584AEA">
        <w:rPr>
          <w:lang w:val="en-US"/>
        </w:rPr>
        <w:t xml:space="preserve"> to 10</w:t>
      </w:r>
      <w:r w:rsidR="00DC72E0" w:rsidRPr="00584AEA">
        <w:rPr>
          <w:vertAlign w:val="superscript"/>
          <w:lang w:val="en-US"/>
        </w:rPr>
        <w:t>-3</w:t>
      </w:r>
      <w:r w:rsidR="00DC72E0">
        <w:rPr>
          <w:lang w:val="en-US"/>
        </w:rPr>
        <w:t xml:space="preserve">. That represents a gain of </w:t>
      </w:r>
      <w:r w:rsidR="009B7410">
        <w:rPr>
          <w:lang w:val="en-US"/>
        </w:rPr>
        <w:t>more than 32</w:t>
      </w:r>
      <w:r w:rsidR="00DC72E0">
        <w:rPr>
          <w:lang w:val="en-US"/>
        </w:rPr>
        <w:t xml:space="preserve"> points in deviance!</w:t>
      </w:r>
    </w:p>
    <w:p w14:paraId="483FDC81" w14:textId="3DF75697" w:rsidR="00DC72E0" w:rsidRDefault="00DC72E0" w:rsidP="00DC72E0">
      <w:pPr>
        <w:pStyle w:val="Standard"/>
        <w:spacing w:line="480" w:lineRule="auto"/>
        <w:ind w:firstLine="567"/>
        <w:rPr>
          <w:lang w:val="en-US"/>
        </w:rPr>
      </w:pPr>
      <w:r>
        <w:rPr>
          <w:lang w:val="en-US"/>
        </w:rPr>
        <w:t xml:space="preserve">As a consequence, regarding the inference of the model parameters, what the program will do is to find a combination of model parameters that explains non-epidemic data points with a reasonable probability. We can see that clearly in </w:t>
      </w:r>
      <w:r w:rsidR="009B7410">
        <w:rPr>
          <w:lang w:val="en-US"/>
        </w:rPr>
        <w:t>WEB TABLE 3</w:t>
      </w:r>
      <w:r>
        <w:rPr>
          <w:lang w:val="en-US"/>
        </w:rPr>
        <w:t xml:space="preserve">, where we show the (decimal logarithm of the) same probabilities we calculated earlier but evaluated with the model parameters </w:t>
      </w:r>
      <w:r w:rsidR="00BF4595">
        <w:rPr>
          <w:lang w:val="en-US"/>
        </w:rPr>
        <w:t>inferred</w:t>
      </w:r>
      <w:r>
        <w:rPr>
          <w:lang w:val="en-US"/>
        </w:rPr>
        <w:t xml:space="preserve"> from the analysis including the five non-</w:t>
      </w:r>
      <w:r w:rsidR="00584AEA">
        <w:rPr>
          <w:lang w:val="en-US"/>
        </w:rPr>
        <w:t>epidemic data points</w:t>
      </w:r>
      <w:r>
        <w:rPr>
          <w:lang w:val="en-US"/>
        </w:rPr>
        <w:t xml:space="preserve">. We now obtain </w:t>
      </w:r>
      <w:r w:rsidR="00584AEA">
        <w:rPr>
          <w:lang w:val="en-US"/>
        </w:rPr>
        <w:t>probabilities that are above 10</w:t>
      </w:r>
      <w:r w:rsidRPr="00584AEA">
        <w:rPr>
          <w:vertAlign w:val="superscript"/>
          <w:lang w:val="en-US"/>
        </w:rPr>
        <w:t>-3</w:t>
      </w:r>
      <w:r>
        <w:rPr>
          <w:lang w:val="en-US"/>
        </w:rPr>
        <w:t xml:space="preserve"> for all the sub</w:t>
      </w:r>
      <w:r w:rsidR="00584AEA">
        <w:rPr>
          <w:lang w:val="en-US"/>
        </w:rPr>
        <w:t>-</w:t>
      </w:r>
      <w:r>
        <w:rPr>
          <w:lang w:val="en-US"/>
        </w:rPr>
        <w:t>models</w:t>
      </w:r>
      <w:r w:rsidR="00584AEA">
        <w:rPr>
          <w:lang w:val="en-US"/>
        </w:rPr>
        <w:t xml:space="preserve"> considered</w:t>
      </w:r>
      <w:r>
        <w:rPr>
          <w:lang w:val="en-US"/>
        </w:rPr>
        <w:t xml:space="preserve"> in all the five non-epidemic regions-years. Of course this imposes a strong constrain</w:t>
      </w:r>
      <w:r w:rsidR="00113833">
        <w:rPr>
          <w:lang w:val="en-US"/>
        </w:rPr>
        <w:t>t</w:t>
      </w:r>
      <w:r>
        <w:rPr>
          <w:lang w:val="en-US"/>
        </w:rPr>
        <w:t xml:space="preserve"> on the model parameters</w:t>
      </w:r>
      <w:r w:rsidR="00584AEA">
        <w:rPr>
          <w:lang w:val="en-US"/>
        </w:rPr>
        <w:t>’</w:t>
      </w:r>
      <w:r>
        <w:rPr>
          <w:lang w:val="en-US"/>
        </w:rPr>
        <w:t xml:space="preserve"> estimate</w:t>
      </w:r>
      <w:r w:rsidR="00584AEA">
        <w:rPr>
          <w:lang w:val="en-US"/>
        </w:rPr>
        <w:t>s</w:t>
      </w:r>
      <w:r>
        <w:rPr>
          <w:lang w:val="en-US"/>
        </w:rPr>
        <w:t>.</w:t>
      </w:r>
    </w:p>
    <w:p w14:paraId="3FAA7C12" w14:textId="051C0A89" w:rsidR="00584AEA" w:rsidRDefault="00DC72E0" w:rsidP="00DC72E0">
      <w:pPr>
        <w:pStyle w:val="Standard"/>
        <w:spacing w:line="480" w:lineRule="auto"/>
        <w:ind w:firstLine="567"/>
        <w:rPr>
          <w:lang w:val="en-US"/>
        </w:rPr>
      </w:pPr>
      <w:r>
        <w:rPr>
          <w:lang w:val="en-US"/>
        </w:rPr>
        <w:t xml:space="preserve">Another interesting thing to </w:t>
      </w:r>
      <w:r w:rsidR="00584AEA">
        <w:rPr>
          <w:lang w:val="en-US"/>
        </w:rPr>
        <w:t xml:space="preserve">look </w:t>
      </w:r>
      <w:r>
        <w:rPr>
          <w:lang w:val="en-US"/>
        </w:rPr>
        <w:t xml:space="preserve">at is the consequence of </w:t>
      </w:r>
      <w:r w:rsidR="00584AEA">
        <w:rPr>
          <w:lang w:val="en-US"/>
        </w:rPr>
        <w:t>adding</w:t>
      </w:r>
      <w:r>
        <w:rPr>
          <w:lang w:val="en-US"/>
        </w:rPr>
        <w:t xml:space="preserve"> non-epidemic data point in the analysis on the test of the link between epidemic onset dates and covariates (</w:t>
      </w:r>
      <w:r w:rsidR="00584AEA">
        <w:rPr>
          <w:lang w:val="en-US"/>
        </w:rPr>
        <w:t>WEB TABLE 4). First we can see on that table that parameter estimates are now quite different, illustrating what we said earlier. Sometimes including non-epidemic years will lead to higher absolute estimated values, sometimes to lower ones</w:t>
      </w:r>
      <w:r w:rsidR="00113833">
        <w:rPr>
          <w:lang w:val="en-US"/>
        </w:rPr>
        <w:t>,</w:t>
      </w:r>
      <w:r w:rsidR="00584AEA">
        <w:rPr>
          <w:lang w:val="en-US"/>
        </w:rPr>
        <w:t xml:space="preserve"> and sometimes estimates that go in the opposite direction (T:</w:t>
      </w:r>
      <w:r w:rsidR="00D048B4">
        <w:rPr>
          <w:lang w:val="en-US"/>
        </w:rPr>
        <w:t xml:space="preserve"> </w:t>
      </w:r>
      <w:r w:rsidR="00584AEA">
        <w:rPr>
          <w:lang w:val="en-US"/>
        </w:rPr>
        <w:t xml:space="preserve">annual and H: spatiotemporal). </w:t>
      </w:r>
    </w:p>
    <w:p w14:paraId="4A14B179" w14:textId="5003C94C" w:rsidR="00DC72E0" w:rsidRDefault="00584AEA" w:rsidP="00DC72E0">
      <w:pPr>
        <w:pStyle w:val="Standard"/>
        <w:spacing w:line="480" w:lineRule="auto"/>
        <w:ind w:firstLine="567"/>
        <w:rPr>
          <w:lang w:val="en-US"/>
        </w:rPr>
      </w:pPr>
      <w:r>
        <w:rPr>
          <w:lang w:val="en-US"/>
        </w:rPr>
        <w:t>We can also see that P</w:t>
      </w:r>
      <w:r w:rsidR="00DC72E0">
        <w:rPr>
          <w:lang w:val="en-US"/>
        </w:rPr>
        <w:t xml:space="preserve"> values are </w:t>
      </w:r>
      <w:r>
        <w:rPr>
          <w:lang w:val="en-US"/>
        </w:rPr>
        <w:t xml:space="preserve">globally </w:t>
      </w:r>
      <w:r w:rsidR="00DC72E0">
        <w:rPr>
          <w:lang w:val="en-US"/>
        </w:rPr>
        <w:t>higher</w:t>
      </w:r>
      <w:r>
        <w:rPr>
          <w:lang w:val="en-US"/>
        </w:rPr>
        <w:t xml:space="preserve"> so that</w:t>
      </w:r>
      <w:r w:rsidR="00DC72E0">
        <w:rPr>
          <w:lang w:val="en-US"/>
        </w:rPr>
        <w:t xml:space="preserve"> now no association is found to be significant. Contrarily to what one could imagine, this is not be</w:t>
      </w:r>
      <w:r>
        <w:rPr>
          <w:lang w:val="en-US"/>
        </w:rPr>
        <w:t>cause the absolute value of the</w:t>
      </w:r>
      <w:r w:rsidR="00DC72E0">
        <w:rPr>
          <w:lang w:val="en-US"/>
        </w:rPr>
        <w:t xml:space="preserve"> estimated parameters nor the </w:t>
      </w:r>
      <w:r>
        <w:rPr>
          <w:lang w:val="en-US"/>
        </w:rPr>
        <w:t xml:space="preserve">observed </w:t>
      </w:r>
      <w:r w:rsidR="00DC72E0">
        <w:rPr>
          <w:lang w:val="en-US"/>
        </w:rPr>
        <w:t xml:space="preserve">LRT statistics are smaller, but </w:t>
      </w:r>
      <w:r>
        <w:rPr>
          <w:lang w:val="en-US"/>
        </w:rPr>
        <w:t xml:space="preserve">mainly </w:t>
      </w:r>
      <w:r w:rsidR="00DC72E0">
        <w:rPr>
          <w:lang w:val="en-US"/>
        </w:rPr>
        <w:t xml:space="preserve">because rejection thresholds are higher. One possible explanation for that </w:t>
      </w:r>
      <w:r w:rsidR="00DC72E0">
        <w:rPr>
          <w:lang w:val="en-US"/>
        </w:rPr>
        <w:lastRenderedPageBreak/>
        <w:t>would be that, by trying to fit both epidemic and non-epidemic data points, the model ends up explaining both poorly, leaving important opportunities for additional random variables to improve the quality of the model fit to data.</w:t>
      </w:r>
    </w:p>
    <w:p w14:paraId="16E95024" w14:textId="77777777" w:rsidR="00DC72E0" w:rsidRDefault="00DC72E0" w:rsidP="00DC72E0">
      <w:pPr>
        <w:pStyle w:val="Standard"/>
        <w:spacing w:line="480" w:lineRule="auto"/>
        <w:ind w:firstLine="567"/>
        <w:rPr>
          <w:lang w:val="en-US"/>
        </w:rPr>
      </w:pPr>
    </w:p>
    <w:p w14:paraId="0FB43F1C" w14:textId="4E648FC5" w:rsidR="00DC72E0" w:rsidRDefault="00DC72E0" w:rsidP="00DC72E0">
      <w:pPr>
        <w:pStyle w:val="Standard"/>
        <w:spacing w:line="480" w:lineRule="auto"/>
        <w:ind w:firstLine="567"/>
        <w:rPr>
          <w:lang w:val="en-US"/>
        </w:rPr>
      </w:pPr>
      <w:r>
        <w:rPr>
          <w:lang w:val="en-US"/>
        </w:rPr>
        <w:t xml:space="preserve">To summarize, we think that including </w:t>
      </w:r>
      <w:r w:rsidR="00BB7CB8">
        <w:rPr>
          <w:lang w:val="en-US"/>
        </w:rPr>
        <w:t>non-epidemic</w:t>
      </w:r>
      <w:r>
        <w:rPr>
          <w:lang w:val="en-US"/>
        </w:rPr>
        <w:t xml:space="preserve"> data points </w:t>
      </w:r>
      <w:r w:rsidR="00BB7CB8">
        <w:rPr>
          <w:lang w:val="en-US"/>
        </w:rPr>
        <w:t>is a risky move when the absence of an observed epidemic does not appear to be in the continuity of what could be expected from simple stochastic phenomena. It</w:t>
      </w:r>
      <w:r>
        <w:rPr>
          <w:lang w:val="en-US"/>
        </w:rPr>
        <w:t xml:space="preserve"> can have diverse undesirable effects includin</w:t>
      </w:r>
      <w:r w:rsidR="00BB7CB8">
        <w:rPr>
          <w:lang w:val="en-US"/>
        </w:rPr>
        <w:t>g: i) affecting the estimation</w:t>
      </w:r>
      <w:r>
        <w:rPr>
          <w:lang w:val="en-US"/>
        </w:rPr>
        <w:t xml:space="preserve"> of the model parameters in a way that goes beyond the simple add up of new consistent points in the data set and ii) increas</w:t>
      </w:r>
      <w:r w:rsidR="00342425">
        <w:rPr>
          <w:lang w:val="en-US"/>
        </w:rPr>
        <w:t>ing</w:t>
      </w:r>
      <w:r>
        <w:rPr>
          <w:lang w:val="en-US"/>
        </w:rPr>
        <w:t xml:space="preserve"> the rejection threshold, leading </w:t>
      </w:r>
      <w:r w:rsidR="00113833">
        <w:rPr>
          <w:lang w:val="en-US"/>
        </w:rPr>
        <w:t xml:space="preserve">to </w:t>
      </w:r>
      <w:r>
        <w:rPr>
          <w:lang w:val="en-US"/>
        </w:rPr>
        <w:t>a loss of statistical power when testing for the links between the response variable and covariates.</w:t>
      </w:r>
    </w:p>
    <w:p w14:paraId="10E5DA55" w14:textId="02EC5841" w:rsidR="00DC72E0" w:rsidRDefault="00DC72E0" w:rsidP="00DC72E0">
      <w:pPr>
        <w:pStyle w:val="Standard"/>
        <w:spacing w:line="480" w:lineRule="auto"/>
        <w:ind w:firstLine="567"/>
        <w:rPr>
          <w:lang w:val="en-US"/>
        </w:rPr>
      </w:pPr>
      <w:r>
        <w:rPr>
          <w:lang w:val="en-US"/>
        </w:rPr>
        <w:t xml:space="preserve">As a result, non-epidemic data points should be included with caution. In the case where there is an important suspicion that they are not in the direct continuity of epidemic data points, we </w:t>
      </w:r>
      <w:r w:rsidR="00BB7CB8">
        <w:rPr>
          <w:lang w:val="en-US"/>
        </w:rPr>
        <w:t>recommend</w:t>
      </w:r>
      <w:r>
        <w:rPr>
          <w:lang w:val="en-US"/>
        </w:rPr>
        <w:t xml:space="preserve"> to exclude them from the analysis. In such a situation, keeping them could also be an option, but we strongly </w:t>
      </w:r>
      <w:r w:rsidR="00BB7CB8">
        <w:rPr>
          <w:lang w:val="en-US"/>
        </w:rPr>
        <w:t>recommend to adopt an</w:t>
      </w:r>
      <w:r>
        <w:rPr>
          <w:lang w:val="en-US"/>
        </w:rPr>
        <w:t xml:space="preserve"> approach </w:t>
      </w:r>
      <w:r w:rsidR="00BB7CB8">
        <w:rPr>
          <w:lang w:val="en-US"/>
        </w:rPr>
        <w:t>inspired from</w:t>
      </w:r>
      <w:r>
        <w:rPr>
          <w:lang w:val="en-US"/>
        </w:rPr>
        <w:t xml:space="preserve"> zero inflated </w:t>
      </w:r>
      <w:r w:rsidR="00BB7CB8">
        <w:rPr>
          <w:lang w:val="en-US"/>
        </w:rPr>
        <w:t>models</w:t>
      </w:r>
      <w:r>
        <w:rPr>
          <w:lang w:val="en-US"/>
        </w:rPr>
        <w:t xml:space="preserve"> where an outcome </w:t>
      </w:r>
      <w:r w:rsidR="00BB7CB8">
        <w:rPr>
          <w:lang w:val="en-US"/>
        </w:rPr>
        <w:t xml:space="preserve">(here the absence of an epidemic) </w:t>
      </w:r>
      <w:r>
        <w:rPr>
          <w:lang w:val="en-US"/>
        </w:rPr>
        <w:t xml:space="preserve">of the base model </w:t>
      </w:r>
      <w:r w:rsidR="00BB7CB8">
        <w:rPr>
          <w:lang w:val="en-US"/>
        </w:rPr>
        <w:t>(here the dynamical model) would be</w:t>
      </w:r>
      <w:r>
        <w:rPr>
          <w:lang w:val="en-US"/>
        </w:rPr>
        <w:t xml:space="preserve"> considered to be potentially more likely to occur than what is expected from the base model.</w:t>
      </w:r>
    </w:p>
    <w:p w14:paraId="4502332B" w14:textId="77777777" w:rsidR="00DC72E0" w:rsidRDefault="00DC72E0" w:rsidP="00DC72E0">
      <w:pPr>
        <w:spacing w:line="480" w:lineRule="auto"/>
        <w:rPr>
          <w:rFonts w:ascii="Times New Roman" w:hAnsi="Times New Roman" w:cs="Times New Roman"/>
        </w:rPr>
      </w:pPr>
    </w:p>
    <w:p w14:paraId="244AD1EA" w14:textId="77777777" w:rsidR="00DC72E0" w:rsidRDefault="00DC72E0">
      <w:pPr>
        <w:rPr>
          <w:rFonts w:ascii="Times New Roman" w:hAnsi="Times New Roman" w:cs="Times New Roman"/>
        </w:rPr>
      </w:pPr>
    </w:p>
    <w:p w14:paraId="37CF3C58" w14:textId="77777777" w:rsidR="00DC72E0" w:rsidRDefault="00DC72E0">
      <w:pPr>
        <w:rPr>
          <w:rFonts w:ascii="Times New Roman" w:hAnsi="Times New Roman" w:cs="Times New Roman"/>
        </w:rPr>
      </w:pPr>
    </w:p>
    <w:p w14:paraId="5A254368" w14:textId="77777777" w:rsidR="00DC72E0" w:rsidRDefault="00DC72E0">
      <w:pPr>
        <w:rPr>
          <w:rFonts w:ascii="Times New Roman" w:hAnsi="Times New Roman" w:cs="Times New Roman"/>
        </w:rPr>
      </w:pPr>
      <w:r>
        <w:rPr>
          <w:rFonts w:ascii="Times New Roman" w:hAnsi="Times New Roman" w:cs="Times New Roman"/>
        </w:rPr>
        <w:br w:type="page"/>
      </w:r>
    </w:p>
    <w:p w14:paraId="3AD47456" w14:textId="5CF5BB74" w:rsidR="00D33E1B" w:rsidRPr="00407AF2" w:rsidRDefault="001A4C11" w:rsidP="00407AF2">
      <w:pPr>
        <w:rPr>
          <w:rFonts w:ascii="Times New Roman" w:hAnsi="Times New Roman" w:cs="Times New Roman"/>
          <w:color w:val="000000"/>
        </w:rPr>
      </w:pPr>
      <w:r w:rsidRPr="00C32B7B">
        <w:rPr>
          <w:rFonts w:ascii="Times New Roman" w:hAnsi="Times New Roman" w:cs="Times New Roman"/>
        </w:rPr>
        <w:lastRenderedPageBreak/>
        <w:t>WEB FIGURE</w:t>
      </w:r>
      <w:r w:rsidR="00BE5883" w:rsidRPr="00C32B7B">
        <w:rPr>
          <w:rFonts w:ascii="Times New Roman" w:hAnsi="Times New Roman" w:cs="Times New Roman"/>
        </w:rPr>
        <w:t>S</w:t>
      </w:r>
    </w:p>
    <w:p w14:paraId="307F1F0B" w14:textId="77777777" w:rsidR="00407AF2" w:rsidRDefault="00407AF2" w:rsidP="002748D3">
      <w:pPr>
        <w:spacing w:line="480" w:lineRule="auto"/>
        <w:rPr>
          <w:rFonts w:ascii="Times New Roman" w:hAnsi="Times New Roman" w:cs="Times New Roman"/>
        </w:rPr>
      </w:pPr>
    </w:p>
    <w:p w14:paraId="0AA6C726" w14:textId="4C2CF9B8" w:rsidR="005C67A4" w:rsidRDefault="00796D77" w:rsidP="002748D3">
      <w:pPr>
        <w:spacing w:line="480" w:lineRule="auto"/>
        <w:rPr>
          <w:rFonts w:ascii="Times New Roman" w:hAnsi="Times New Roman" w:cs="Times New Roman"/>
        </w:rPr>
      </w:pPr>
      <w:r>
        <w:rPr>
          <w:rFonts w:ascii="Times New Roman" w:hAnsi="Times New Roman" w:cs="Times New Roman"/>
        </w:rPr>
        <w:t xml:space="preserve">Web </w:t>
      </w:r>
      <w:r w:rsidR="005C67A4">
        <w:rPr>
          <w:rFonts w:ascii="Times New Roman" w:hAnsi="Times New Roman" w:cs="Times New Roman"/>
        </w:rPr>
        <w:t>Figure 1 – Incidence per 100000 individuals per region according to studied seasons from week 41 of a year to week 14 of the year after.</w:t>
      </w:r>
    </w:p>
    <w:p w14:paraId="060A65B9" w14:textId="77777777" w:rsidR="005C67A4" w:rsidRDefault="005C67A4" w:rsidP="002748D3">
      <w:pPr>
        <w:spacing w:line="480" w:lineRule="auto"/>
        <w:rPr>
          <w:rFonts w:ascii="Times New Roman" w:hAnsi="Times New Roman" w:cs="Times New Roman"/>
        </w:rPr>
      </w:pPr>
    </w:p>
    <w:p w14:paraId="50206689" w14:textId="12DA0519" w:rsidR="005C67A4" w:rsidRDefault="005C67A4" w:rsidP="002748D3">
      <w:pPr>
        <w:spacing w:line="480" w:lineRule="auto"/>
        <w:rPr>
          <w:rFonts w:ascii="Times New Roman" w:hAnsi="Times New Roman" w:cs="Times New Roman"/>
        </w:rPr>
      </w:pPr>
      <w:r>
        <w:rPr>
          <w:rFonts w:ascii="Times New Roman" w:hAnsi="Times New Roman" w:cs="Times New Roman"/>
          <w:noProof/>
        </w:rPr>
        <w:drawing>
          <wp:inline distT="0" distB="0" distL="0" distR="0" wp14:anchorId="3D81C0CB" wp14:editId="22AEA193">
            <wp:extent cx="4811896" cy="7222777"/>
            <wp:effectExtent l="0" t="0" r="0" b="0"/>
            <wp:docPr id="3" name="Picture 1" descr="Untitled:Users:marion:Documents:grippe:Rapports et présentations:3_mobilité:rapport_22:incidence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rion:Documents:grippe:Rapports et présentations:3_mobilité:rapport_22:incidence_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2375" cy="7223495"/>
                    </a:xfrm>
                    <a:prstGeom prst="rect">
                      <a:avLst/>
                    </a:prstGeom>
                    <a:noFill/>
                    <a:ln>
                      <a:noFill/>
                    </a:ln>
                  </pic:spPr>
                </pic:pic>
              </a:graphicData>
            </a:graphic>
          </wp:inline>
        </w:drawing>
      </w:r>
    </w:p>
    <w:p w14:paraId="20794BF6" w14:textId="75015BF3" w:rsidR="005C67A4" w:rsidRDefault="005C67A4" w:rsidP="002748D3">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AD8643B" wp14:editId="4EE652BF">
            <wp:extent cx="5264785" cy="7902575"/>
            <wp:effectExtent l="0" t="0" r="0" b="0"/>
            <wp:docPr id="4" name="Picture 2" descr="Untitled:Users:marion:Documents:grippe:Rapports et présentations:3_mobilité:rapport_22:incidenc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arion:Documents:grippe:Rapports et présentations:3_mobilité:rapport_22:incidence_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785" cy="7902575"/>
                    </a:xfrm>
                    <a:prstGeom prst="rect">
                      <a:avLst/>
                    </a:prstGeom>
                    <a:noFill/>
                    <a:ln>
                      <a:noFill/>
                    </a:ln>
                  </pic:spPr>
                </pic:pic>
              </a:graphicData>
            </a:graphic>
          </wp:inline>
        </w:drawing>
      </w:r>
    </w:p>
    <w:p w14:paraId="207CF90B" w14:textId="695C5C98" w:rsidR="005C67A4" w:rsidRDefault="005C67A4" w:rsidP="002748D3">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90C05AE" wp14:editId="76BC12F3">
            <wp:extent cx="5264785" cy="7902575"/>
            <wp:effectExtent l="0" t="0" r="0" b="0"/>
            <wp:docPr id="10" name="Picture 4" descr="Untitled:Users:marion:Documents:grippe:Rapports et présentations:3_mobilité:rapport_22:incidence_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arion:Documents:grippe:Rapports et présentations:3_mobilité:rapport_22:incidence_4.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785" cy="7902575"/>
                    </a:xfrm>
                    <a:prstGeom prst="rect">
                      <a:avLst/>
                    </a:prstGeom>
                    <a:noFill/>
                    <a:ln>
                      <a:noFill/>
                    </a:ln>
                  </pic:spPr>
                </pic:pic>
              </a:graphicData>
            </a:graphic>
          </wp:inline>
        </w:drawing>
      </w:r>
      <w:r w:rsidRPr="005C67A4">
        <w:rPr>
          <w:rFonts w:ascii="Times New Roman" w:hAnsi="Times New Roman" w:cs="Times New Roman"/>
          <w:noProof/>
        </w:rPr>
        <w:lastRenderedPageBreak/>
        <w:drawing>
          <wp:inline distT="0" distB="0" distL="0" distR="0" wp14:anchorId="1759227D" wp14:editId="518CE522">
            <wp:extent cx="5264785" cy="7902575"/>
            <wp:effectExtent l="0" t="0" r="0" b="0"/>
            <wp:docPr id="11" name="Picture 5" descr="Untitled:Users:marion:Documents:grippe:Travail:Mobilite:30_modele:Modele_Mobilite_Pop_Jeunes:1_modele:incidence_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arion:Documents:grippe:Travail:Mobilite:30_modele:Modele_Mobilite_Pop_Jeunes:1_modele:incidence_5.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785" cy="7902575"/>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137EA756" wp14:editId="64C58576">
            <wp:extent cx="5264785" cy="7902575"/>
            <wp:effectExtent l="0" t="0" r="0" b="0"/>
            <wp:docPr id="9" name="Picture 3" descr="Untitled:Users:marion:Documents:grippe:Rapports et présentations:3_mobilité:rapport_22:incidence_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arion:Documents:grippe:Rapports et présentations:3_mobilité:rapport_22:incidence_3.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785" cy="7902575"/>
                    </a:xfrm>
                    <a:prstGeom prst="rect">
                      <a:avLst/>
                    </a:prstGeom>
                    <a:noFill/>
                    <a:ln>
                      <a:noFill/>
                    </a:ln>
                  </pic:spPr>
                </pic:pic>
              </a:graphicData>
            </a:graphic>
          </wp:inline>
        </w:drawing>
      </w:r>
    </w:p>
    <w:p w14:paraId="21D83795" w14:textId="77777777" w:rsidR="005C67A4" w:rsidRDefault="005C67A4" w:rsidP="002748D3">
      <w:pPr>
        <w:spacing w:line="480" w:lineRule="auto"/>
        <w:rPr>
          <w:rFonts w:ascii="Times New Roman" w:hAnsi="Times New Roman" w:cs="Times New Roman"/>
        </w:rPr>
      </w:pPr>
    </w:p>
    <w:p w14:paraId="7ED912A3" w14:textId="77777777" w:rsidR="005C67A4" w:rsidRDefault="005C67A4" w:rsidP="002748D3">
      <w:pPr>
        <w:spacing w:line="480" w:lineRule="auto"/>
        <w:rPr>
          <w:rFonts w:ascii="Times New Roman" w:hAnsi="Times New Roman" w:cs="Times New Roman"/>
        </w:rPr>
      </w:pPr>
    </w:p>
    <w:p w14:paraId="68ACEA4D" w14:textId="4020A2F3" w:rsidR="005C67A4" w:rsidRDefault="005C67A4" w:rsidP="002748D3">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3BCCEE3" wp14:editId="241476DC">
            <wp:extent cx="5264785" cy="7902575"/>
            <wp:effectExtent l="0" t="0" r="0" b="0"/>
            <wp:docPr id="12" name="Picture 6" descr="Untitled:Users:marion:Documents:grippe:Travail:Mobilite:30_modele:Modele_Mobilite_Pop_Jeunes:1_modele:incidence_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Users:marion:Documents:grippe:Travail:Mobilite:30_modele:Modele_Mobilite_Pop_Jeunes:1_modele:incidence_6.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785" cy="7902575"/>
                    </a:xfrm>
                    <a:prstGeom prst="rect">
                      <a:avLst/>
                    </a:prstGeom>
                    <a:noFill/>
                    <a:ln>
                      <a:noFill/>
                    </a:ln>
                  </pic:spPr>
                </pic:pic>
              </a:graphicData>
            </a:graphic>
          </wp:inline>
        </w:drawing>
      </w:r>
    </w:p>
    <w:p w14:paraId="3F1813A0" w14:textId="30A370A9" w:rsidR="005C67A4" w:rsidRDefault="005C67A4" w:rsidP="002748D3">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DE06FBC" wp14:editId="3D423977">
            <wp:extent cx="5264785" cy="7902575"/>
            <wp:effectExtent l="0" t="0" r="0" b="0"/>
            <wp:docPr id="13" name="Picture 7" descr="Untitled:Users:marion:Documents:grippe:Travail:Mobilite:30_modele:Modele_Mobilite_Pop_Jeunes:1_modele:incidence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arion:Documents:grippe:Travail:Mobilite:30_modele:Modele_Mobilite_Pop_Jeunes:1_modele:incidence_7.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785" cy="7902575"/>
                    </a:xfrm>
                    <a:prstGeom prst="rect">
                      <a:avLst/>
                    </a:prstGeom>
                    <a:noFill/>
                    <a:ln>
                      <a:noFill/>
                    </a:ln>
                  </pic:spPr>
                </pic:pic>
              </a:graphicData>
            </a:graphic>
          </wp:inline>
        </w:drawing>
      </w:r>
    </w:p>
    <w:p w14:paraId="7365361B" w14:textId="77777777" w:rsidR="00B1685E" w:rsidRDefault="00B1685E">
      <w:pPr>
        <w:rPr>
          <w:rFonts w:ascii="Times New Roman" w:hAnsi="Times New Roman" w:cs="Times New Roman"/>
          <w:color w:val="000000"/>
        </w:rPr>
      </w:pPr>
      <w:r>
        <w:rPr>
          <w:rFonts w:ascii="Times New Roman" w:hAnsi="Times New Roman" w:cs="Times New Roman"/>
          <w:color w:val="000000"/>
        </w:rPr>
        <w:br w:type="page"/>
      </w:r>
    </w:p>
    <w:p w14:paraId="037FE2EC" w14:textId="7E934905" w:rsidR="00D33E1B" w:rsidRDefault="00796D77" w:rsidP="00D3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color w:val="000000"/>
        </w:rPr>
      </w:pPr>
      <w:r>
        <w:rPr>
          <w:rFonts w:ascii="Times New Roman" w:hAnsi="Times New Roman" w:cs="Times New Roman"/>
          <w:color w:val="000000"/>
        </w:rPr>
        <w:lastRenderedPageBreak/>
        <w:t xml:space="preserve">Web </w:t>
      </w:r>
      <w:r w:rsidR="00C97B73">
        <w:rPr>
          <w:rFonts w:ascii="Times New Roman" w:hAnsi="Times New Roman" w:cs="Times New Roman"/>
          <w:color w:val="000000"/>
        </w:rPr>
        <w:t xml:space="preserve">Figure </w:t>
      </w:r>
      <w:r w:rsidR="005A1078">
        <w:rPr>
          <w:rFonts w:ascii="Times New Roman" w:hAnsi="Times New Roman" w:cs="Times New Roman"/>
          <w:color w:val="000000"/>
        </w:rPr>
        <w:t>2</w:t>
      </w:r>
      <w:r w:rsidR="00D33E1B" w:rsidRPr="009630DB">
        <w:rPr>
          <w:rFonts w:ascii="Times New Roman" w:hAnsi="Times New Roman" w:cs="Times New Roman"/>
          <w:color w:val="000000"/>
        </w:rPr>
        <w:t xml:space="preserve"> - Map of France showing the ge</w:t>
      </w:r>
      <w:r w:rsidR="00D33E1B">
        <w:rPr>
          <w:rFonts w:ascii="Times New Roman" w:hAnsi="Times New Roman" w:cs="Times New Roman"/>
          <w:color w:val="000000"/>
        </w:rPr>
        <w:t xml:space="preserve">ographical locations of the 125 </w:t>
      </w:r>
      <w:r w:rsidR="00D33E1B" w:rsidRPr="009630DB">
        <w:rPr>
          <w:rFonts w:ascii="Times New Roman" w:hAnsi="Times New Roman" w:cs="Times New Roman"/>
          <w:color w:val="000000"/>
        </w:rPr>
        <w:t>meteorological stations (in black) of the 19 studied French regions.</w:t>
      </w:r>
    </w:p>
    <w:p w14:paraId="4EC0C598" w14:textId="77777777" w:rsidR="002748D3" w:rsidRPr="009630DB" w:rsidRDefault="002748D3" w:rsidP="00D3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color w:val="000000"/>
        </w:rPr>
      </w:pPr>
    </w:p>
    <w:p w14:paraId="0764A32C" w14:textId="708B02FD" w:rsidR="00D33E1B" w:rsidRPr="00D33E1B" w:rsidRDefault="00D33E1B" w:rsidP="009F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567"/>
        <w:rPr>
          <w:rFonts w:ascii="Times New Roman" w:hAnsi="Times New Roman" w:cs="Times New Roman"/>
          <w:b/>
          <w:color w:val="000000"/>
        </w:rPr>
      </w:pPr>
      <w:r>
        <w:rPr>
          <w:rFonts w:ascii="Courier" w:hAnsi="Courier" w:cs="Courier"/>
          <w:noProof/>
          <w:sz w:val="20"/>
          <w:szCs w:val="20"/>
        </w:rPr>
        <w:drawing>
          <wp:inline distT="0" distB="0" distL="0" distR="0" wp14:anchorId="1FFEA012" wp14:editId="064F8545">
            <wp:extent cx="4699000" cy="48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climat_dec_2.png"/>
                    <pic:cNvPicPr/>
                  </pic:nvPicPr>
                  <pic:blipFill>
                    <a:blip r:embed="rId14">
                      <a:extLst>
                        <a:ext uri="{28A0092B-C50C-407E-A947-70E740481C1C}">
                          <a14:useLocalDpi xmlns:a14="http://schemas.microsoft.com/office/drawing/2010/main" val="0"/>
                        </a:ext>
                      </a:extLst>
                    </a:blip>
                    <a:stretch>
                      <a:fillRect/>
                    </a:stretch>
                  </pic:blipFill>
                  <pic:spPr>
                    <a:xfrm>
                      <a:off x="0" y="0"/>
                      <a:ext cx="4699000" cy="4862050"/>
                    </a:xfrm>
                    <a:prstGeom prst="rect">
                      <a:avLst/>
                    </a:prstGeom>
                  </pic:spPr>
                </pic:pic>
              </a:graphicData>
            </a:graphic>
          </wp:inline>
        </w:drawing>
      </w:r>
    </w:p>
    <w:p w14:paraId="2B74C2A9" w14:textId="77777777" w:rsidR="003900CF" w:rsidRDefault="003900CF" w:rsidP="00D33E1B">
      <w:pPr>
        <w:spacing w:line="480" w:lineRule="auto"/>
        <w:rPr>
          <w:rFonts w:ascii="Times New Roman" w:hAnsi="Times New Roman" w:cs="Times New Roman"/>
        </w:rPr>
      </w:pPr>
    </w:p>
    <w:p w14:paraId="663446F6" w14:textId="77777777" w:rsidR="00B1685E" w:rsidRDefault="00B1685E">
      <w:pPr>
        <w:rPr>
          <w:rFonts w:ascii="Times New Roman" w:hAnsi="Times New Roman" w:cs="Times New Roman"/>
        </w:rPr>
      </w:pPr>
      <w:r>
        <w:rPr>
          <w:rFonts w:ascii="Times New Roman" w:hAnsi="Times New Roman" w:cs="Times New Roman"/>
        </w:rPr>
        <w:br w:type="page"/>
      </w:r>
    </w:p>
    <w:p w14:paraId="71D0908D" w14:textId="016F6766" w:rsidR="00D33E1B" w:rsidRPr="00B1685E" w:rsidRDefault="00796D77" w:rsidP="00D33E1B">
      <w:pPr>
        <w:spacing w:line="480" w:lineRule="auto"/>
      </w:pPr>
      <w:r>
        <w:rPr>
          <w:rFonts w:ascii="Times New Roman" w:hAnsi="Times New Roman" w:cs="Times New Roman"/>
        </w:rPr>
        <w:lastRenderedPageBreak/>
        <w:t xml:space="preserve">Web </w:t>
      </w:r>
      <w:r w:rsidR="00C97B73">
        <w:rPr>
          <w:rFonts w:ascii="Times New Roman" w:hAnsi="Times New Roman" w:cs="Times New Roman"/>
        </w:rPr>
        <w:t xml:space="preserve">Figure </w:t>
      </w:r>
      <w:r w:rsidR="005A1078">
        <w:rPr>
          <w:rFonts w:ascii="Times New Roman" w:hAnsi="Times New Roman" w:cs="Times New Roman"/>
        </w:rPr>
        <w:t>3</w:t>
      </w:r>
      <w:r w:rsidR="00D33E1B" w:rsidRPr="009630DB">
        <w:rPr>
          <w:rFonts w:ascii="Times New Roman" w:hAnsi="Times New Roman" w:cs="Times New Roman"/>
        </w:rPr>
        <w:t xml:space="preserve"> - </w:t>
      </w:r>
      <w:r w:rsidR="00D33E1B" w:rsidRPr="009630DB">
        <w:rPr>
          <w:rFonts w:ascii="Times New Roman" w:hAnsi="Times New Roman" w:cs="Times New Roman"/>
          <w:color w:val="000000"/>
        </w:rPr>
        <w:t>Theoretical distributions unde</w:t>
      </w:r>
      <w:r w:rsidR="0042150D">
        <w:rPr>
          <w:rFonts w:ascii="Times New Roman" w:hAnsi="Times New Roman" w:cs="Times New Roman"/>
          <w:color w:val="000000"/>
        </w:rPr>
        <w:t>r the null hypothesis with the</w:t>
      </w:r>
      <w:r w:rsidR="00D33E1B" w:rsidRPr="009630DB">
        <w:rPr>
          <w:rFonts w:ascii="Times New Roman" w:hAnsi="Times New Roman" w:cs="Times New Roman"/>
          <w:color w:val="000000"/>
        </w:rPr>
        <w:t xml:space="preserve"> threshold (the </w:t>
      </w:r>
      <w:r w:rsidR="00FB6E70">
        <w:rPr>
          <w:rFonts w:ascii="Times New Roman" w:hAnsi="Times New Roman" w:cs="Times New Roman"/>
          <w:color w:val="000000"/>
        </w:rPr>
        <w:t>95</w:t>
      </w:r>
      <w:r w:rsidR="00FB6E70" w:rsidRPr="00FB6E70">
        <w:rPr>
          <w:rFonts w:ascii="Times New Roman" w:hAnsi="Times New Roman" w:cs="Times New Roman"/>
          <w:color w:val="000000"/>
          <w:vertAlign w:val="superscript"/>
        </w:rPr>
        <w:t>th</w:t>
      </w:r>
      <w:r w:rsidR="00D33E1B" w:rsidRPr="009630DB">
        <w:rPr>
          <w:rFonts w:ascii="Times New Roman" w:hAnsi="Times New Roman" w:cs="Times New Roman"/>
          <w:color w:val="008000"/>
        </w:rPr>
        <w:t xml:space="preserve"> </w:t>
      </w:r>
      <w:r w:rsidR="00D33E1B" w:rsidRPr="009630DB">
        <w:rPr>
          <w:rFonts w:ascii="Times New Roman" w:hAnsi="Times New Roman" w:cs="Times New Roman"/>
          <w:color w:val="000000"/>
        </w:rPr>
        <w:t xml:space="preserve">quantile) in </w:t>
      </w:r>
      <w:r w:rsidR="00B1685E">
        <w:rPr>
          <w:rFonts w:ascii="Times New Roman" w:hAnsi="Times New Roman" w:cs="Times New Roman"/>
          <w:color w:val="000000"/>
        </w:rPr>
        <w:t>black</w:t>
      </w:r>
      <w:r w:rsidR="00D33E1B" w:rsidRPr="009630DB">
        <w:rPr>
          <w:rFonts w:ascii="Times New Roman" w:hAnsi="Times New Roman" w:cs="Times New Roman"/>
          <w:color w:val="000000"/>
        </w:rPr>
        <w:t xml:space="preserve"> and the </w:t>
      </w:r>
      <w:r w:rsidR="0042150D">
        <w:rPr>
          <w:rFonts w:ascii="Times New Roman" w:hAnsi="Times New Roman" w:cs="Times New Roman"/>
          <w:color w:val="000000"/>
        </w:rPr>
        <w:t xml:space="preserve">observed </w:t>
      </w:r>
      <w:r w:rsidR="00D33E1B" w:rsidRPr="009630DB">
        <w:rPr>
          <w:rFonts w:ascii="Times New Roman" w:hAnsi="Times New Roman" w:cs="Times New Roman"/>
          <w:color w:val="000000"/>
        </w:rPr>
        <w:t>LRT</w:t>
      </w:r>
      <w:r w:rsidR="0042150D">
        <w:rPr>
          <w:rFonts w:ascii="Times New Roman" w:hAnsi="Times New Roman" w:cs="Times New Roman"/>
          <w:color w:val="000000"/>
        </w:rPr>
        <w:t xml:space="preserve"> (in red) for</w:t>
      </w:r>
      <w:r w:rsidR="00D33E1B" w:rsidRPr="009630DB">
        <w:rPr>
          <w:rFonts w:ascii="Times New Roman" w:hAnsi="Times New Roman" w:cs="Times New Roman"/>
          <w:color w:val="000000"/>
        </w:rPr>
        <w:t xml:space="preserve"> each </w:t>
      </w:r>
      <w:r w:rsidR="00017DC8">
        <w:rPr>
          <w:rFonts w:ascii="Times New Roman" w:hAnsi="Times New Roman" w:cs="Times New Roman"/>
          <w:color w:val="000000"/>
        </w:rPr>
        <w:t>sub-</w:t>
      </w:r>
      <w:r w:rsidR="00F57FA7">
        <w:rPr>
          <w:rFonts w:ascii="Times New Roman" w:hAnsi="Times New Roman" w:cs="Times New Roman"/>
          <w:color w:val="000000"/>
        </w:rPr>
        <w:t>covariate</w:t>
      </w:r>
      <w:r w:rsidR="0042150D">
        <w:rPr>
          <w:rFonts w:ascii="Times New Roman" w:hAnsi="Times New Roman" w:cs="Times New Roman"/>
          <w:color w:val="000000"/>
        </w:rPr>
        <w:t xml:space="preserve"> of the temperature</w:t>
      </w:r>
      <w:r w:rsidR="00D33E1B" w:rsidRPr="009630DB">
        <w:rPr>
          <w:rFonts w:ascii="Times New Roman" w:hAnsi="Times New Roman" w:cs="Times New Roman"/>
          <w:color w:val="000000"/>
        </w:rPr>
        <w:t xml:space="preserve"> </w:t>
      </w:r>
      <w:r w:rsidR="00F57FA7">
        <w:rPr>
          <w:rFonts w:ascii="Times New Roman" w:hAnsi="Times New Roman" w:cs="Times New Roman"/>
          <w:color w:val="000000"/>
        </w:rPr>
        <w:t>covariate</w:t>
      </w:r>
      <w:r w:rsidR="00D33E1B" w:rsidRPr="009630DB">
        <w:rPr>
          <w:rFonts w:ascii="Times New Roman" w:hAnsi="Times New Roman" w:cs="Times New Roman"/>
          <w:color w:val="000000"/>
        </w:rPr>
        <w:t xml:space="preserve"> estimated from </w:t>
      </w:r>
      <w:r w:rsidR="00B1685E">
        <w:rPr>
          <w:rFonts w:ascii="Times New Roman" w:hAnsi="Times New Roman" w:cs="Times New Roman"/>
          <w:color w:val="000000"/>
        </w:rPr>
        <w:t>eighteen</w:t>
      </w:r>
      <w:r w:rsidR="00D33E1B" w:rsidRPr="009630DB">
        <w:rPr>
          <w:rFonts w:ascii="Times New Roman" w:hAnsi="Times New Roman" w:cs="Times New Roman"/>
          <w:color w:val="000000"/>
        </w:rPr>
        <w:t xml:space="preserve"> </w:t>
      </w:r>
      <w:r w:rsidR="008444ED">
        <w:rPr>
          <w:rFonts w:ascii="Times New Roman" w:hAnsi="Times New Roman" w:cs="Times New Roman"/>
          <w:color w:val="000000"/>
        </w:rPr>
        <w:t xml:space="preserve">French </w:t>
      </w:r>
      <w:r w:rsidR="00D33E1B" w:rsidRPr="009630DB">
        <w:rPr>
          <w:rFonts w:ascii="Times New Roman" w:hAnsi="Times New Roman" w:cs="Times New Roman"/>
          <w:color w:val="000000"/>
        </w:rPr>
        <w:t>regions and six epidemic years.</w:t>
      </w:r>
      <w:r w:rsidR="00B1685E" w:rsidRPr="009630DB">
        <w:rPr>
          <w:rFonts w:ascii="Times New Roman" w:hAnsi="Times New Roman" w:cs="Times New Roman"/>
          <w:color w:val="000000"/>
        </w:rPr>
        <w:t xml:space="preserve"> a) </w:t>
      </w:r>
      <w:r w:rsidR="00B1685E">
        <w:rPr>
          <w:rFonts w:ascii="Times New Roman" w:hAnsi="Times New Roman" w:cs="Times New Roman"/>
          <w:color w:val="000000"/>
        </w:rPr>
        <w:t xml:space="preserve">sub-covariate </w:t>
      </w:r>
      <w:r w:rsidR="00952A9C">
        <w:rPr>
          <w:rFonts w:ascii="Times New Roman" w:hAnsi="Times New Roman" w:cs="Times New Roman"/>
          <w:color w:val="000000"/>
        </w:rPr>
        <w:t>T</w:t>
      </w:r>
      <w:r w:rsidR="00B1685E">
        <w:rPr>
          <w:rFonts w:ascii="Times New Roman" w:hAnsi="Times New Roman" w:cs="Times New Roman"/>
          <w:color w:val="000000"/>
        </w:rPr>
        <w:t xml:space="preserve">W; b) </w:t>
      </w:r>
      <w:r w:rsidR="00952A9C">
        <w:rPr>
          <w:rFonts w:ascii="Times New Roman" w:hAnsi="Times New Roman" w:cs="Times New Roman"/>
          <w:color w:val="000000"/>
        </w:rPr>
        <w:t>T</w:t>
      </w:r>
      <w:r w:rsidR="00B1685E">
        <w:rPr>
          <w:rFonts w:ascii="Times New Roman" w:hAnsi="Times New Roman" w:cs="Times New Roman"/>
          <w:color w:val="000000"/>
        </w:rPr>
        <w:t xml:space="preserve">R; c) </w:t>
      </w:r>
      <w:r w:rsidR="00952A9C">
        <w:rPr>
          <w:rFonts w:ascii="Times New Roman" w:hAnsi="Times New Roman" w:cs="Times New Roman"/>
          <w:color w:val="000000"/>
        </w:rPr>
        <w:t>T</w:t>
      </w:r>
      <w:r w:rsidR="00B1685E">
        <w:rPr>
          <w:rFonts w:ascii="Times New Roman" w:hAnsi="Times New Roman" w:cs="Times New Roman"/>
          <w:color w:val="000000"/>
        </w:rPr>
        <w:t xml:space="preserve">Y and d) </w:t>
      </w:r>
      <w:r w:rsidR="00952A9C">
        <w:rPr>
          <w:rFonts w:ascii="Times New Roman" w:hAnsi="Times New Roman" w:cs="Times New Roman"/>
          <w:color w:val="000000"/>
        </w:rPr>
        <w:t>T</w:t>
      </w:r>
      <w:r w:rsidR="00B1685E">
        <w:rPr>
          <w:rFonts w:ascii="Times New Roman" w:hAnsi="Times New Roman" w:cs="Times New Roman"/>
          <w:color w:val="000000"/>
        </w:rPr>
        <w:t>res</w:t>
      </w:r>
      <w:r w:rsidR="00D33E1B" w:rsidRPr="009630DB">
        <w:rPr>
          <w:rFonts w:ascii="Times New Roman" w:hAnsi="Times New Roman" w:cs="Times New Roman"/>
          <w:color w:val="000000"/>
        </w:rPr>
        <w:t>.</w:t>
      </w:r>
      <w:r w:rsidR="00B1685E" w:rsidRPr="00B1685E">
        <w:rPr>
          <w:rFonts w:ascii="Times New Roman" w:hAnsi="Times New Roman" w:cs="Times New Roman"/>
          <w:color w:val="000000"/>
        </w:rPr>
        <w:t xml:space="preserve"> </w:t>
      </w:r>
      <w:r w:rsidR="00B1685E">
        <w:rPr>
          <w:rFonts w:ascii="Times New Roman" w:hAnsi="Times New Roman" w:cs="Times New Roman"/>
          <w:color w:val="000000"/>
        </w:rPr>
        <w:t>For comparison, we presented the 95% rejection threshold that would be used with the chi-square approximation (dashed lines)</w:t>
      </w:r>
    </w:p>
    <w:p w14:paraId="75255CAD" w14:textId="18ED3A83" w:rsidR="00D33E1B" w:rsidRDefault="00B1685E" w:rsidP="00D3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rPr>
      </w:pPr>
      <w:r>
        <w:rPr>
          <w:rFonts w:ascii="Times New Roman" w:hAnsi="Times New Roman" w:cs="Times New Roman"/>
          <w:noProof/>
        </w:rPr>
        <w:drawing>
          <wp:inline distT="0" distB="0" distL="0" distR="0" wp14:anchorId="5FEA6B2F" wp14:editId="2D588FDF">
            <wp:extent cx="5270500" cy="3954145"/>
            <wp:effectExtent l="0" t="0" r="635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F3.tiff"/>
                    <pic:cNvPicPr/>
                  </pic:nvPicPr>
                  <pic:blipFill>
                    <a:blip r:embed="rId15">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4B3005C1" w14:textId="77777777" w:rsidR="00B1685E" w:rsidRDefault="00B1685E">
      <w:pPr>
        <w:rPr>
          <w:rFonts w:ascii="Times New Roman" w:hAnsi="Times New Roman" w:cs="Times New Roman"/>
        </w:rPr>
      </w:pPr>
      <w:r>
        <w:rPr>
          <w:rFonts w:ascii="Times New Roman" w:hAnsi="Times New Roman" w:cs="Times New Roman"/>
        </w:rPr>
        <w:br w:type="page"/>
      </w:r>
    </w:p>
    <w:p w14:paraId="275ABD65" w14:textId="636B6410" w:rsidR="00D33E1B" w:rsidRDefault="00796D77" w:rsidP="00D33E1B">
      <w:pPr>
        <w:spacing w:line="480" w:lineRule="auto"/>
        <w:rPr>
          <w:rFonts w:ascii="Times New Roman" w:hAnsi="Times New Roman" w:cs="Times New Roman"/>
          <w:color w:val="000000"/>
        </w:rPr>
      </w:pPr>
      <w:r>
        <w:rPr>
          <w:rFonts w:ascii="Times New Roman" w:hAnsi="Times New Roman" w:cs="Times New Roman"/>
        </w:rPr>
        <w:lastRenderedPageBreak/>
        <w:t xml:space="preserve">Web </w:t>
      </w:r>
      <w:r w:rsidR="00C97B73">
        <w:rPr>
          <w:rFonts w:ascii="Times New Roman" w:hAnsi="Times New Roman" w:cs="Times New Roman"/>
        </w:rPr>
        <w:t xml:space="preserve">Figure </w:t>
      </w:r>
      <w:r w:rsidR="005A1078">
        <w:rPr>
          <w:rFonts w:ascii="Times New Roman" w:hAnsi="Times New Roman" w:cs="Times New Roman"/>
        </w:rPr>
        <w:t>4</w:t>
      </w:r>
      <w:r w:rsidR="00D33E1B" w:rsidRPr="009630DB">
        <w:rPr>
          <w:rFonts w:ascii="Times New Roman" w:hAnsi="Times New Roman" w:cs="Times New Roman"/>
        </w:rPr>
        <w:t xml:space="preserve"> - </w:t>
      </w:r>
      <w:r w:rsidR="00D33E1B" w:rsidRPr="009630DB">
        <w:rPr>
          <w:rFonts w:ascii="Times New Roman" w:hAnsi="Times New Roman" w:cs="Times New Roman"/>
          <w:color w:val="000000"/>
        </w:rPr>
        <w:t>Theoretical distributions unde</w:t>
      </w:r>
      <w:r w:rsidR="00FC47DF">
        <w:rPr>
          <w:rFonts w:ascii="Times New Roman" w:hAnsi="Times New Roman" w:cs="Times New Roman"/>
          <w:color w:val="000000"/>
        </w:rPr>
        <w:t>r the null hypothesis with the</w:t>
      </w:r>
      <w:r w:rsidR="00D33E1B" w:rsidRPr="009630DB">
        <w:rPr>
          <w:rFonts w:ascii="Times New Roman" w:hAnsi="Times New Roman" w:cs="Times New Roman"/>
          <w:color w:val="000000"/>
        </w:rPr>
        <w:t xml:space="preserve"> threshold (the </w:t>
      </w:r>
      <w:r w:rsidR="00B35B1C">
        <w:rPr>
          <w:rFonts w:ascii="Times New Roman" w:hAnsi="Times New Roman" w:cs="Times New Roman"/>
          <w:color w:val="000000"/>
        </w:rPr>
        <w:t>95</w:t>
      </w:r>
      <w:r w:rsidR="00B35B1C" w:rsidRPr="00FB6E70">
        <w:rPr>
          <w:rFonts w:ascii="Times New Roman" w:hAnsi="Times New Roman" w:cs="Times New Roman"/>
          <w:color w:val="000000"/>
          <w:vertAlign w:val="superscript"/>
        </w:rPr>
        <w:t>th</w:t>
      </w:r>
      <w:r w:rsidR="00D33E1B" w:rsidRPr="009630DB">
        <w:rPr>
          <w:rFonts w:ascii="Times New Roman" w:hAnsi="Times New Roman" w:cs="Times New Roman"/>
          <w:color w:val="000000"/>
        </w:rPr>
        <w:t xml:space="preserve"> quantile) in </w:t>
      </w:r>
      <w:r w:rsidR="00B1685E">
        <w:rPr>
          <w:rFonts w:ascii="Times New Roman" w:hAnsi="Times New Roman" w:cs="Times New Roman"/>
          <w:color w:val="000000"/>
        </w:rPr>
        <w:t>black</w:t>
      </w:r>
      <w:r w:rsidR="00D33E1B" w:rsidRPr="009630DB">
        <w:rPr>
          <w:rFonts w:ascii="Times New Roman" w:hAnsi="Times New Roman" w:cs="Times New Roman"/>
          <w:color w:val="000000"/>
        </w:rPr>
        <w:t xml:space="preserve"> and the </w:t>
      </w:r>
      <w:r w:rsidR="00FC47DF">
        <w:rPr>
          <w:rFonts w:ascii="Times New Roman" w:hAnsi="Times New Roman" w:cs="Times New Roman"/>
          <w:color w:val="000000"/>
        </w:rPr>
        <w:t xml:space="preserve">observed </w:t>
      </w:r>
      <w:r w:rsidR="00D33E1B" w:rsidRPr="009630DB">
        <w:rPr>
          <w:rFonts w:ascii="Times New Roman" w:hAnsi="Times New Roman" w:cs="Times New Roman"/>
          <w:color w:val="000000"/>
        </w:rPr>
        <w:t>LRT</w:t>
      </w:r>
      <w:r w:rsidR="00FC47DF">
        <w:rPr>
          <w:rFonts w:ascii="Times New Roman" w:hAnsi="Times New Roman" w:cs="Times New Roman"/>
          <w:color w:val="000000"/>
        </w:rPr>
        <w:t xml:space="preserve"> (in red) </w:t>
      </w:r>
      <w:r w:rsidR="00D33E1B" w:rsidRPr="009630DB">
        <w:rPr>
          <w:rFonts w:ascii="Times New Roman" w:hAnsi="Times New Roman" w:cs="Times New Roman"/>
          <w:color w:val="000000"/>
        </w:rPr>
        <w:t>f</w:t>
      </w:r>
      <w:r w:rsidR="00FC47DF">
        <w:rPr>
          <w:rFonts w:ascii="Times New Roman" w:hAnsi="Times New Roman" w:cs="Times New Roman"/>
          <w:color w:val="000000"/>
        </w:rPr>
        <w:t>or</w:t>
      </w:r>
      <w:r w:rsidR="00D33E1B" w:rsidRPr="009630DB">
        <w:rPr>
          <w:rFonts w:ascii="Times New Roman" w:hAnsi="Times New Roman" w:cs="Times New Roman"/>
          <w:color w:val="000000"/>
        </w:rPr>
        <w:t xml:space="preserve"> each </w:t>
      </w:r>
      <w:r w:rsidR="000C6DFD">
        <w:rPr>
          <w:rFonts w:ascii="Times New Roman" w:hAnsi="Times New Roman" w:cs="Times New Roman"/>
          <w:color w:val="000000"/>
        </w:rPr>
        <w:t>sub-</w:t>
      </w:r>
      <w:r w:rsidR="00F57FA7">
        <w:rPr>
          <w:rFonts w:ascii="Times New Roman" w:hAnsi="Times New Roman" w:cs="Times New Roman"/>
          <w:color w:val="000000"/>
        </w:rPr>
        <w:t>covariate</w:t>
      </w:r>
      <w:r w:rsidR="00FC47DF">
        <w:rPr>
          <w:rFonts w:ascii="Times New Roman" w:hAnsi="Times New Roman" w:cs="Times New Roman"/>
          <w:color w:val="000000"/>
        </w:rPr>
        <w:t xml:space="preserve"> of the absolute humidity</w:t>
      </w:r>
      <w:r w:rsidR="00D33E1B" w:rsidRPr="009630DB">
        <w:rPr>
          <w:rFonts w:ascii="Times New Roman" w:hAnsi="Times New Roman" w:cs="Times New Roman"/>
          <w:color w:val="000000"/>
        </w:rPr>
        <w:t xml:space="preserve"> </w:t>
      </w:r>
      <w:r w:rsidR="00F57FA7">
        <w:rPr>
          <w:rFonts w:ascii="Times New Roman" w:hAnsi="Times New Roman" w:cs="Times New Roman"/>
          <w:color w:val="000000"/>
        </w:rPr>
        <w:t>covariate</w:t>
      </w:r>
      <w:r w:rsidR="00D33E1B" w:rsidRPr="009630DB">
        <w:rPr>
          <w:rFonts w:ascii="Times New Roman" w:hAnsi="Times New Roman" w:cs="Times New Roman"/>
          <w:color w:val="000000"/>
        </w:rPr>
        <w:t xml:space="preserve"> estimated from </w:t>
      </w:r>
      <w:r w:rsidR="00B1685E">
        <w:rPr>
          <w:rFonts w:ascii="Times New Roman" w:hAnsi="Times New Roman" w:cs="Times New Roman"/>
          <w:color w:val="000000"/>
        </w:rPr>
        <w:t>eighteen</w:t>
      </w:r>
      <w:r w:rsidR="00D33E1B" w:rsidRPr="009630DB">
        <w:rPr>
          <w:rFonts w:ascii="Times New Roman" w:hAnsi="Times New Roman" w:cs="Times New Roman"/>
          <w:color w:val="000000"/>
        </w:rPr>
        <w:t xml:space="preserve"> </w:t>
      </w:r>
      <w:r w:rsidR="008444ED">
        <w:rPr>
          <w:rFonts w:ascii="Times New Roman" w:hAnsi="Times New Roman" w:cs="Times New Roman"/>
          <w:color w:val="000000"/>
        </w:rPr>
        <w:t xml:space="preserve">French </w:t>
      </w:r>
      <w:r w:rsidR="00D33E1B" w:rsidRPr="009630DB">
        <w:rPr>
          <w:rFonts w:ascii="Times New Roman" w:hAnsi="Times New Roman" w:cs="Times New Roman"/>
          <w:color w:val="000000"/>
        </w:rPr>
        <w:t xml:space="preserve">regions and six epidemic years. a) </w:t>
      </w:r>
      <w:r w:rsidR="001A166A">
        <w:rPr>
          <w:rFonts w:ascii="Times New Roman" w:hAnsi="Times New Roman" w:cs="Times New Roman"/>
          <w:color w:val="000000"/>
        </w:rPr>
        <w:t>sub-</w:t>
      </w:r>
      <w:r w:rsidR="00B1685E">
        <w:rPr>
          <w:rFonts w:ascii="Times New Roman" w:hAnsi="Times New Roman" w:cs="Times New Roman"/>
          <w:color w:val="000000"/>
        </w:rPr>
        <w:t>covariate HW; b) HR; c) HY and d) Hres</w:t>
      </w:r>
      <w:r w:rsidR="00D33E1B" w:rsidRPr="009630DB">
        <w:rPr>
          <w:rFonts w:ascii="Times New Roman" w:hAnsi="Times New Roman" w:cs="Times New Roman"/>
          <w:color w:val="000000"/>
        </w:rPr>
        <w:t>.</w:t>
      </w:r>
      <w:r w:rsidR="00B1685E">
        <w:rPr>
          <w:rFonts w:ascii="Times New Roman" w:hAnsi="Times New Roman" w:cs="Times New Roman"/>
          <w:color w:val="000000"/>
        </w:rPr>
        <w:t xml:space="preserve"> For comparison, we presented the 95% rejection threshold that would be used with the chi-square approximation (dashed lines)</w:t>
      </w:r>
    </w:p>
    <w:p w14:paraId="7F02EC09" w14:textId="4E6CDE8E" w:rsidR="00D33E1B" w:rsidRPr="009630DB" w:rsidRDefault="00B1685E" w:rsidP="00D33E1B">
      <w:pPr>
        <w:spacing w:line="48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41A2DBBB" wp14:editId="14D9F6B0">
            <wp:extent cx="5270500" cy="3954145"/>
            <wp:effectExtent l="0" t="0" r="635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F2.tiff"/>
                    <pic:cNvPicPr/>
                  </pic:nvPicPr>
                  <pic:blipFill>
                    <a:blip r:embed="rId16">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191AC161" w14:textId="77777777" w:rsidR="00B35B1C" w:rsidRDefault="00B35B1C" w:rsidP="00D33E1B">
      <w:pPr>
        <w:tabs>
          <w:tab w:val="left" w:pos="1000"/>
        </w:tabs>
        <w:rPr>
          <w:rFonts w:ascii="Times New Roman" w:hAnsi="Times New Roman" w:cs="Times New Roman"/>
        </w:rPr>
      </w:pPr>
    </w:p>
    <w:p w14:paraId="6A048375" w14:textId="77777777" w:rsidR="00B1685E" w:rsidRDefault="00B1685E">
      <w:pPr>
        <w:rPr>
          <w:rFonts w:ascii="Times New Roman" w:hAnsi="Times New Roman" w:cs="Times New Roman"/>
        </w:rPr>
      </w:pPr>
      <w:r>
        <w:rPr>
          <w:rFonts w:ascii="Times New Roman" w:hAnsi="Times New Roman" w:cs="Times New Roman"/>
        </w:rPr>
        <w:br w:type="page"/>
      </w:r>
    </w:p>
    <w:p w14:paraId="61C671BC" w14:textId="29DE71CC" w:rsidR="00D33E1B" w:rsidRDefault="00796D77" w:rsidP="00B35B1C">
      <w:pPr>
        <w:tabs>
          <w:tab w:val="left" w:pos="1000"/>
        </w:tabs>
        <w:spacing w:line="480" w:lineRule="auto"/>
        <w:rPr>
          <w:rFonts w:ascii="Times New Roman" w:hAnsi="Times New Roman" w:cs="Times New Roman"/>
          <w:color w:val="000000"/>
        </w:rPr>
      </w:pPr>
      <w:r>
        <w:rPr>
          <w:rFonts w:ascii="Times New Roman" w:hAnsi="Times New Roman" w:cs="Times New Roman"/>
        </w:rPr>
        <w:lastRenderedPageBreak/>
        <w:t xml:space="preserve">Web </w:t>
      </w:r>
      <w:r w:rsidR="00C97B73">
        <w:rPr>
          <w:rFonts w:ascii="Times New Roman" w:hAnsi="Times New Roman" w:cs="Times New Roman"/>
        </w:rPr>
        <w:t xml:space="preserve">Figure </w:t>
      </w:r>
      <w:r w:rsidR="005A1078">
        <w:rPr>
          <w:rFonts w:ascii="Times New Roman" w:hAnsi="Times New Roman" w:cs="Times New Roman"/>
        </w:rPr>
        <w:t>5</w:t>
      </w:r>
      <w:r w:rsidR="00D33E1B" w:rsidRPr="009630DB">
        <w:rPr>
          <w:rFonts w:ascii="Times New Roman" w:hAnsi="Times New Roman" w:cs="Times New Roman"/>
        </w:rPr>
        <w:t xml:space="preserve"> - </w:t>
      </w:r>
      <w:r w:rsidR="00D33E1B" w:rsidRPr="009630DB">
        <w:rPr>
          <w:rFonts w:ascii="Times New Roman" w:hAnsi="Times New Roman" w:cs="Times New Roman"/>
          <w:color w:val="000000"/>
        </w:rPr>
        <w:t>Theoretical distribution</w:t>
      </w:r>
      <w:r w:rsidR="00952A9C">
        <w:rPr>
          <w:rFonts w:ascii="Times New Roman" w:hAnsi="Times New Roman" w:cs="Times New Roman"/>
          <w:color w:val="000000"/>
        </w:rPr>
        <w:t>s</w:t>
      </w:r>
      <w:r w:rsidR="00D33E1B" w:rsidRPr="009630DB">
        <w:rPr>
          <w:rFonts w:ascii="Times New Roman" w:hAnsi="Times New Roman" w:cs="Times New Roman"/>
          <w:color w:val="000000"/>
        </w:rPr>
        <w:t xml:space="preserve"> under the null hypothesis with </w:t>
      </w:r>
      <w:r w:rsidR="009E2B58">
        <w:rPr>
          <w:rFonts w:ascii="Times New Roman" w:hAnsi="Times New Roman" w:cs="Times New Roman"/>
          <w:color w:val="000000"/>
        </w:rPr>
        <w:t>the</w:t>
      </w:r>
      <w:r w:rsidR="00D33E1B" w:rsidRPr="009630DB">
        <w:rPr>
          <w:rFonts w:ascii="Times New Roman" w:hAnsi="Times New Roman" w:cs="Times New Roman"/>
          <w:color w:val="000000"/>
        </w:rPr>
        <w:t xml:space="preserve"> threshold (the </w:t>
      </w:r>
      <w:r w:rsidR="00243462">
        <w:rPr>
          <w:rFonts w:ascii="Times New Roman" w:hAnsi="Times New Roman" w:cs="Times New Roman"/>
          <w:color w:val="000000"/>
        </w:rPr>
        <w:t>95</w:t>
      </w:r>
      <w:r w:rsidR="00243462" w:rsidRPr="00FB6E70">
        <w:rPr>
          <w:rFonts w:ascii="Times New Roman" w:hAnsi="Times New Roman" w:cs="Times New Roman"/>
          <w:color w:val="000000"/>
          <w:vertAlign w:val="superscript"/>
        </w:rPr>
        <w:t>th</w:t>
      </w:r>
      <w:r w:rsidR="00F02FFB">
        <w:rPr>
          <w:rFonts w:ascii="Times New Roman" w:hAnsi="Times New Roman" w:cs="Times New Roman"/>
          <w:color w:val="000000"/>
          <w:vertAlign w:val="superscript"/>
        </w:rPr>
        <w:t xml:space="preserve"> </w:t>
      </w:r>
      <w:r w:rsidR="00D33E1B" w:rsidRPr="009630DB">
        <w:rPr>
          <w:rFonts w:ascii="Times New Roman" w:hAnsi="Times New Roman" w:cs="Times New Roman"/>
          <w:color w:val="000000"/>
        </w:rPr>
        <w:t>quantile) in b</w:t>
      </w:r>
      <w:r w:rsidR="00B1685E">
        <w:rPr>
          <w:rFonts w:ascii="Times New Roman" w:hAnsi="Times New Roman" w:cs="Times New Roman"/>
          <w:color w:val="000000"/>
        </w:rPr>
        <w:t>lack</w:t>
      </w:r>
      <w:r w:rsidR="00D33E1B" w:rsidRPr="009630DB">
        <w:rPr>
          <w:rFonts w:ascii="Times New Roman" w:hAnsi="Times New Roman" w:cs="Times New Roman"/>
          <w:color w:val="000000"/>
        </w:rPr>
        <w:t xml:space="preserve"> and the</w:t>
      </w:r>
      <w:r w:rsidR="009E2B58">
        <w:rPr>
          <w:rFonts w:ascii="Times New Roman" w:hAnsi="Times New Roman" w:cs="Times New Roman"/>
          <w:color w:val="000000"/>
        </w:rPr>
        <w:t xml:space="preserve"> observed</w:t>
      </w:r>
      <w:r w:rsidR="00D33E1B" w:rsidRPr="009630DB">
        <w:rPr>
          <w:rFonts w:ascii="Times New Roman" w:hAnsi="Times New Roman" w:cs="Times New Roman"/>
          <w:color w:val="000000"/>
        </w:rPr>
        <w:t xml:space="preserve"> </w:t>
      </w:r>
      <w:r w:rsidR="00B1685E">
        <w:rPr>
          <w:rFonts w:ascii="Times New Roman" w:hAnsi="Times New Roman" w:cs="Times New Roman"/>
          <w:color w:val="000000"/>
        </w:rPr>
        <w:t>deviance</w:t>
      </w:r>
      <w:r w:rsidR="009E2B58">
        <w:rPr>
          <w:rFonts w:ascii="Times New Roman" w:hAnsi="Times New Roman" w:cs="Times New Roman"/>
          <w:color w:val="000000"/>
        </w:rPr>
        <w:t xml:space="preserve"> (in red)</w:t>
      </w:r>
      <w:r w:rsidR="00D33E1B" w:rsidRPr="009630DB">
        <w:rPr>
          <w:rFonts w:ascii="Times New Roman" w:hAnsi="Times New Roman" w:cs="Times New Roman"/>
          <w:color w:val="000000"/>
        </w:rPr>
        <w:t xml:space="preserve"> of the </w:t>
      </w:r>
      <w:r w:rsidR="00F57FA7">
        <w:rPr>
          <w:rFonts w:ascii="Times New Roman" w:hAnsi="Times New Roman" w:cs="Times New Roman"/>
          <w:color w:val="000000"/>
        </w:rPr>
        <w:t xml:space="preserve">covariate related </w:t>
      </w:r>
      <w:r w:rsidR="00D33E1B" w:rsidRPr="009630DB">
        <w:rPr>
          <w:rFonts w:ascii="Times New Roman" w:hAnsi="Times New Roman" w:cs="Times New Roman"/>
          <w:color w:val="000000"/>
        </w:rPr>
        <w:t xml:space="preserve">mobility flows estimated from </w:t>
      </w:r>
      <w:r w:rsidR="00B1685E">
        <w:rPr>
          <w:rFonts w:ascii="Times New Roman" w:hAnsi="Times New Roman" w:cs="Times New Roman"/>
          <w:color w:val="000000"/>
        </w:rPr>
        <w:t>eighteen</w:t>
      </w:r>
      <w:r w:rsidR="00D33E1B" w:rsidRPr="009630DB">
        <w:rPr>
          <w:rFonts w:ascii="Times New Roman" w:hAnsi="Times New Roman" w:cs="Times New Roman"/>
          <w:color w:val="000000"/>
        </w:rPr>
        <w:t xml:space="preserve"> </w:t>
      </w:r>
      <w:r w:rsidR="008444ED">
        <w:rPr>
          <w:rFonts w:ascii="Times New Roman" w:hAnsi="Times New Roman" w:cs="Times New Roman"/>
          <w:color w:val="000000"/>
        </w:rPr>
        <w:t xml:space="preserve">French </w:t>
      </w:r>
      <w:r w:rsidR="00D33E1B" w:rsidRPr="009630DB">
        <w:rPr>
          <w:rFonts w:ascii="Times New Roman" w:hAnsi="Times New Roman" w:cs="Times New Roman"/>
          <w:color w:val="000000"/>
        </w:rPr>
        <w:t>regions and six epidemic years.</w:t>
      </w:r>
      <w:r w:rsidR="00B1685E">
        <w:rPr>
          <w:rFonts w:ascii="Times New Roman" w:hAnsi="Times New Roman" w:cs="Times New Roman"/>
          <w:color w:val="000000"/>
        </w:rPr>
        <w:t xml:space="preserve"> (a) Corrected model and (b) uncorrected model.</w:t>
      </w:r>
    </w:p>
    <w:p w14:paraId="77B6322A" w14:textId="16451232" w:rsidR="00D33E1B" w:rsidRDefault="00B1685E" w:rsidP="00B35B1C">
      <w:pPr>
        <w:tabs>
          <w:tab w:val="left" w:pos="1000"/>
        </w:tabs>
        <w:spacing w:line="480" w:lineRule="auto"/>
        <w:rPr>
          <w:rFonts w:ascii="Times New Roman" w:hAnsi="Times New Roman" w:cs="Times New Roman"/>
        </w:rPr>
      </w:pPr>
      <w:r>
        <w:rPr>
          <w:rFonts w:ascii="Times New Roman" w:hAnsi="Times New Roman" w:cs="Times New Roman"/>
          <w:noProof/>
        </w:rPr>
        <w:drawing>
          <wp:inline distT="0" distB="0" distL="0" distR="0" wp14:anchorId="72D7C621" wp14:editId="51F61707">
            <wp:extent cx="5270500" cy="3954145"/>
            <wp:effectExtent l="0" t="0" r="635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F4.tiff"/>
                    <pic:cNvPicPr/>
                  </pic:nvPicPr>
                  <pic:blipFill>
                    <a:blip r:embed="rId17">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67646F98" w14:textId="77777777" w:rsidR="00B1685E" w:rsidRDefault="00B1685E">
      <w:pPr>
        <w:rPr>
          <w:rFonts w:ascii="Times New Roman" w:hAnsi="Times New Roman" w:cs="Times New Roman"/>
        </w:rPr>
      </w:pPr>
      <w:r>
        <w:rPr>
          <w:rFonts w:ascii="Times New Roman" w:hAnsi="Times New Roman" w:cs="Times New Roman"/>
        </w:rPr>
        <w:br w:type="page"/>
      </w:r>
    </w:p>
    <w:p w14:paraId="2CB716D7" w14:textId="0C971AEC" w:rsidR="00D33E1B" w:rsidRPr="009630DB" w:rsidRDefault="00796D77" w:rsidP="00D33E1B">
      <w:pPr>
        <w:spacing w:line="480" w:lineRule="auto"/>
        <w:rPr>
          <w:rFonts w:ascii="Times New Roman" w:hAnsi="Times New Roman" w:cs="Times New Roman"/>
          <w:color w:val="000000"/>
        </w:rPr>
      </w:pPr>
      <w:r>
        <w:rPr>
          <w:rFonts w:ascii="Times New Roman" w:hAnsi="Times New Roman" w:cs="Times New Roman"/>
        </w:rPr>
        <w:lastRenderedPageBreak/>
        <w:t xml:space="preserve">Web </w:t>
      </w:r>
      <w:r w:rsidR="00C97B73">
        <w:rPr>
          <w:rFonts w:ascii="Times New Roman" w:hAnsi="Times New Roman" w:cs="Times New Roman"/>
        </w:rPr>
        <w:t xml:space="preserve">Figure </w:t>
      </w:r>
      <w:r w:rsidR="005A1078">
        <w:rPr>
          <w:rFonts w:ascii="Times New Roman" w:hAnsi="Times New Roman" w:cs="Times New Roman"/>
        </w:rPr>
        <w:t xml:space="preserve">6 </w:t>
      </w:r>
      <w:r w:rsidR="00D33E1B" w:rsidRPr="009630DB">
        <w:rPr>
          <w:rFonts w:ascii="Times New Roman" w:hAnsi="Times New Roman" w:cs="Times New Roman"/>
        </w:rPr>
        <w:t xml:space="preserve">- </w:t>
      </w:r>
      <w:r w:rsidR="00D33E1B" w:rsidRPr="009630DB">
        <w:rPr>
          <w:rFonts w:ascii="Times New Roman" w:hAnsi="Times New Roman" w:cs="Times New Roman"/>
          <w:color w:val="000000"/>
        </w:rPr>
        <w:t xml:space="preserve">Theoretical distributions under the null hypothesis with </w:t>
      </w:r>
      <w:r w:rsidR="00214BFC">
        <w:rPr>
          <w:rFonts w:ascii="Times New Roman" w:hAnsi="Times New Roman" w:cs="Times New Roman"/>
          <w:color w:val="000000"/>
        </w:rPr>
        <w:t>the</w:t>
      </w:r>
      <w:r w:rsidR="00D33E1B" w:rsidRPr="009630DB">
        <w:rPr>
          <w:rFonts w:ascii="Times New Roman" w:hAnsi="Times New Roman" w:cs="Times New Roman"/>
          <w:color w:val="000000"/>
        </w:rPr>
        <w:t xml:space="preserve"> threshold (the </w:t>
      </w:r>
      <w:r w:rsidR="00615CA6">
        <w:rPr>
          <w:rFonts w:ascii="Times New Roman" w:hAnsi="Times New Roman" w:cs="Times New Roman"/>
          <w:color w:val="000000"/>
        </w:rPr>
        <w:t>95</w:t>
      </w:r>
      <w:r w:rsidR="00615CA6" w:rsidRPr="00FB6E70">
        <w:rPr>
          <w:rFonts w:ascii="Times New Roman" w:hAnsi="Times New Roman" w:cs="Times New Roman"/>
          <w:color w:val="000000"/>
          <w:vertAlign w:val="superscript"/>
        </w:rPr>
        <w:t>th</w:t>
      </w:r>
      <w:r w:rsidR="00615CA6">
        <w:rPr>
          <w:rFonts w:ascii="Times New Roman" w:hAnsi="Times New Roman" w:cs="Times New Roman"/>
          <w:color w:val="000000"/>
          <w:vertAlign w:val="superscript"/>
        </w:rPr>
        <w:t xml:space="preserve"> </w:t>
      </w:r>
      <w:r w:rsidR="00D33E1B" w:rsidRPr="009630DB">
        <w:rPr>
          <w:rFonts w:ascii="Times New Roman" w:hAnsi="Times New Roman" w:cs="Times New Roman"/>
          <w:color w:val="000000"/>
        </w:rPr>
        <w:t xml:space="preserve">quantile) in </w:t>
      </w:r>
      <w:r w:rsidR="00B1685E">
        <w:rPr>
          <w:rFonts w:ascii="Times New Roman" w:hAnsi="Times New Roman" w:cs="Times New Roman"/>
          <w:color w:val="000000"/>
        </w:rPr>
        <w:t>black</w:t>
      </w:r>
      <w:r w:rsidR="00D33E1B" w:rsidRPr="009630DB">
        <w:rPr>
          <w:rFonts w:ascii="Times New Roman" w:hAnsi="Times New Roman" w:cs="Times New Roman"/>
          <w:color w:val="000000"/>
        </w:rPr>
        <w:t xml:space="preserve"> and the </w:t>
      </w:r>
      <w:r w:rsidR="00C2600B">
        <w:rPr>
          <w:rFonts w:ascii="Times New Roman" w:hAnsi="Times New Roman" w:cs="Times New Roman"/>
          <w:color w:val="000000"/>
        </w:rPr>
        <w:t xml:space="preserve">observed </w:t>
      </w:r>
      <w:r w:rsidR="00D33E1B" w:rsidRPr="009630DB">
        <w:rPr>
          <w:rFonts w:ascii="Times New Roman" w:hAnsi="Times New Roman" w:cs="Times New Roman"/>
          <w:color w:val="000000"/>
        </w:rPr>
        <w:t>LRT</w:t>
      </w:r>
      <w:r w:rsidR="00C2600B">
        <w:rPr>
          <w:rFonts w:ascii="Times New Roman" w:hAnsi="Times New Roman" w:cs="Times New Roman"/>
          <w:color w:val="000000"/>
        </w:rPr>
        <w:t xml:space="preserve"> (in red)</w:t>
      </w:r>
      <w:r w:rsidR="00D33E1B" w:rsidRPr="009630DB">
        <w:rPr>
          <w:rFonts w:ascii="Times New Roman" w:hAnsi="Times New Roman" w:cs="Times New Roman"/>
          <w:color w:val="000000"/>
        </w:rPr>
        <w:t xml:space="preserve"> of the </w:t>
      </w:r>
      <w:r w:rsidR="00F57FA7">
        <w:rPr>
          <w:rFonts w:ascii="Times New Roman" w:hAnsi="Times New Roman" w:cs="Times New Roman"/>
          <w:color w:val="000000"/>
        </w:rPr>
        <w:t>covariate</w:t>
      </w:r>
      <w:r w:rsidR="00D33E1B" w:rsidRPr="009630DB">
        <w:rPr>
          <w:rFonts w:ascii="Times New Roman" w:hAnsi="Times New Roman" w:cs="Times New Roman"/>
          <w:color w:val="000000"/>
        </w:rPr>
        <w:t xml:space="preserve">s </w:t>
      </w:r>
      <w:r w:rsidR="00C2600B">
        <w:rPr>
          <w:rFonts w:ascii="Times New Roman" w:hAnsi="Times New Roman" w:cs="Times New Roman"/>
          <w:color w:val="000000"/>
        </w:rPr>
        <w:t xml:space="preserve">associated to </w:t>
      </w:r>
      <w:r w:rsidR="00D33E1B" w:rsidRPr="009630DB">
        <w:rPr>
          <w:rFonts w:ascii="Times New Roman" w:hAnsi="Times New Roman" w:cs="Times New Roman"/>
          <w:color w:val="000000"/>
        </w:rPr>
        <w:t xml:space="preserve">demographic </w:t>
      </w:r>
      <w:r w:rsidR="00C2600B">
        <w:rPr>
          <w:rFonts w:ascii="Times New Roman" w:hAnsi="Times New Roman" w:cs="Times New Roman"/>
          <w:color w:val="000000"/>
        </w:rPr>
        <w:t>factors</w:t>
      </w:r>
      <w:r w:rsidR="00D33E1B" w:rsidRPr="009630DB">
        <w:rPr>
          <w:rFonts w:ascii="Times New Roman" w:hAnsi="Times New Roman" w:cs="Times New Roman"/>
          <w:color w:val="000000"/>
        </w:rPr>
        <w:t xml:space="preserve"> estimated from </w:t>
      </w:r>
      <w:r w:rsidR="00B1685E">
        <w:rPr>
          <w:rFonts w:ascii="Times New Roman" w:hAnsi="Times New Roman" w:cs="Times New Roman"/>
          <w:color w:val="000000"/>
        </w:rPr>
        <w:t>eighteen</w:t>
      </w:r>
      <w:r w:rsidR="00D33E1B" w:rsidRPr="009630DB">
        <w:rPr>
          <w:rFonts w:ascii="Times New Roman" w:hAnsi="Times New Roman" w:cs="Times New Roman"/>
          <w:color w:val="000000"/>
        </w:rPr>
        <w:t xml:space="preserve"> </w:t>
      </w:r>
      <w:r w:rsidR="008444ED">
        <w:rPr>
          <w:rFonts w:ascii="Times New Roman" w:hAnsi="Times New Roman" w:cs="Times New Roman"/>
          <w:color w:val="000000"/>
        </w:rPr>
        <w:t xml:space="preserve">French </w:t>
      </w:r>
      <w:r w:rsidR="00D33E1B" w:rsidRPr="009630DB">
        <w:rPr>
          <w:rFonts w:ascii="Times New Roman" w:hAnsi="Times New Roman" w:cs="Times New Roman"/>
          <w:color w:val="000000"/>
        </w:rPr>
        <w:t xml:space="preserve">regions and six epidemic years. a) </w:t>
      </w:r>
      <w:r w:rsidR="00B1685E">
        <w:rPr>
          <w:rFonts w:ascii="Times New Roman" w:hAnsi="Times New Roman" w:cs="Times New Roman"/>
          <w:color w:val="000000"/>
        </w:rPr>
        <w:t>P</w:t>
      </w:r>
      <w:r w:rsidR="00480254">
        <w:rPr>
          <w:rFonts w:ascii="Times New Roman" w:hAnsi="Times New Roman" w:cs="Times New Roman"/>
          <w:color w:val="000000"/>
        </w:rPr>
        <w:t xml:space="preserve">opulation size and b) </w:t>
      </w:r>
      <w:r w:rsidR="00D33E1B" w:rsidRPr="009630DB">
        <w:rPr>
          <w:rFonts w:ascii="Times New Roman" w:hAnsi="Times New Roman" w:cs="Times New Roman"/>
          <w:color w:val="000000"/>
        </w:rPr>
        <w:t>proportion of children.</w:t>
      </w:r>
      <w:r w:rsidR="00B1685E">
        <w:rPr>
          <w:rFonts w:ascii="Times New Roman" w:hAnsi="Times New Roman" w:cs="Times New Roman"/>
          <w:color w:val="000000"/>
        </w:rPr>
        <w:t xml:space="preserve"> For comparison, we presented the 95% rejection threshold that would be used with the chi-square approximation (dashed lines)</w:t>
      </w:r>
    </w:p>
    <w:p w14:paraId="254E33A6" w14:textId="14572F84" w:rsidR="00D33E1B" w:rsidRDefault="00B1685E" w:rsidP="00D33E1B">
      <w:pPr>
        <w:tabs>
          <w:tab w:val="left" w:pos="1000"/>
        </w:tabs>
        <w:rPr>
          <w:rFonts w:ascii="Times New Roman" w:hAnsi="Times New Roman" w:cs="Times New Roman"/>
        </w:rPr>
      </w:pPr>
      <w:r>
        <w:rPr>
          <w:rFonts w:ascii="Times New Roman" w:hAnsi="Times New Roman" w:cs="Times New Roman"/>
          <w:noProof/>
        </w:rPr>
        <w:drawing>
          <wp:inline distT="0" distB="0" distL="0" distR="0" wp14:anchorId="6FC6A069" wp14:editId="2CD394FF">
            <wp:extent cx="5270500" cy="3954145"/>
            <wp:effectExtent l="0" t="0" r="635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1.tiff"/>
                    <pic:cNvPicPr/>
                  </pic:nvPicPr>
                  <pic:blipFill>
                    <a:blip r:embed="rId18">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63399735" w14:textId="77777777" w:rsidR="00D33E1B" w:rsidRDefault="00D33E1B" w:rsidP="00D33E1B">
      <w:pPr>
        <w:tabs>
          <w:tab w:val="left" w:pos="1000"/>
        </w:tabs>
        <w:rPr>
          <w:rFonts w:ascii="Times New Roman" w:hAnsi="Times New Roman" w:cs="Times New Roman"/>
        </w:rPr>
      </w:pPr>
    </w:p>
    <w:p w14:paraId="06BF3168" w14:textId="77777777" w:rsidR="00B1685E" w:rsidRDefault="00B1685E">
      <w:pPr>
        <w:rPr>
          <w:rFonts w:ascii="Times New Roman" w:hAnsi="Times New Roman" w:cs="Times New Roman"/>
        </w:rPr>
      </w:pPr>
      <w:r>
        <w:rPr>
          <w:rFonts w:ascii="Times New Roman" w:hAnsi="Times New Roman" w:cs="Times New Roman"/>
        </w:rPr>
        <w:br w:type="page"/>
      </w:r>
    </w:p>
    <w:p w14:paraId="336AB694" w14:textId="39943B99" w:rsidR="00D33E1B" w:rsidRPr="00C32B7B" w:rsidRDefault="0042062D" w:rsidP="00D33E1B">
      <w:pPr>
        <w:tabs>
          <w:tab w:val="left" w:pos="1000"/>
        </w:tabs>
        <w:rPr>
          <w:rFonts w:ascii="Times New Roman" w:hAnsi="Times New Roman" w:cs="Times New Roman"/>
        </w:rPr>
      </w:pPr>
      <w:r w:rsidRPr="00C32B7B">
        <w:rPr>
          <w:rFonts w:ascii="Times New Roman" w:hAnsi="Times New Roman" w:cs="Times New Roman"/>
        </w:rPr>
        <w:lastRenderedPageBreak/>
        <w:t>WEB TABLES</w:t>
      </w:r>
    </w:p>
    <w:p w14:paraId="13D38417" w14:textId="77777777" w:rsidR="00D33E1B" w:rsidRDefault="00D33E1B" w:rsidP="00D33E1B">
      <w:pPr>
        <w:tabs>
          <w:tab w:val="left" w:pos="1000"/>
        </w:tabs>
        <w:rPr>
          <w:rFonts w:ascii="Times New Roman" w:hAnsi="Times New Roman" w:cs="Times New Roman"/>
        </w:rPr>
      </w:pPr>
    </w:p>
    <w:p w14:paraId="62E8E213" w14:textId="54BE2FDB" w:rsidR="00D33E1B" w:rsidRDefault="00796D77" w:rsidP="00D33E1B">
      <w:pPr>
        <w:spacing w:line="480" w:lineRule="auto"/>
        <w:rPr>
          <w:rFonts w:ascii="Times New Roman" w:hAnsi="Times New Roman" w:cs="Times New Roman"/>
        </w:rPr>
      </w:pPr>
      <w:r>
        <w:rPr>
          <w:rFonts w:ascii="Times New Roman" w:hAnsi="Times New Roman" w:cs="Times New Roman"/>
        </w:rPr>
        <w:t xml:space="preserve">Web </w:t>
      </w:r>
      <w:r w:rsidR="004E2ADD">
        <w:rPr>
          <w:rFonts w:ascii="Times New Roman" w:hAnsi="Times New Roman" w:cs="Times New Roman"/>
        </w:rPr>
        <w:t>Table 1</w:t>
      </w:r>
      <w:r w:rsidR="00D33E1B" w:rsidRPr="00421CA8">
        <w:rPr>
          <w:rFonts w:ascii="Times New Roman" w:hAnsi="Times New Roman" w:cs="Times New Roman"/>
        </w:rPr>
        <w:t xml:space="preserve"> - Estimates</w:t>
      </w:r>
      <w:r w:rsidR="00A31DF1">
        <w:rPr>
          <w:rFonts w:ascii="Times New Roman" w:hAnsi="Times New Roman" w:cs="Times New Roman"/>
        </w:rPr>
        <w:t xml:space="preserve"> of parameters for climatic</w:t>
      </w:r>
      <w:r w:rsidR="00D33E1B" w:rsidRPr="00421CA8">
        <w:rPr>
          <w:rFonts w:ascii="Times New Roman" w:hAnsi="Times New Roman" w:cs="Times New Roman"/>
        </w:rPr>
        <w:t xml:space="preserve"> </w:t>
      </w:r>
      <w:r w:rsidR="00F57FA7">
        <w:rPr>
          <w:rFonts w:ascii="Times New Roman" w:hAnsi="Times New Roman" w:cs="Times New Roman"/>
          <w:color w:val="000000"/>
        </w:rPr>
        <w:t>covariate</w:t>
      </w:r>
      <w:r w:rsidR="00D33E1B" w:rsidRPr="00421CA8">
        <w:rPr>
          <w:rFonts w:ascii="Times New Roman" w:hAnsi="Times New Roman" w:cs="Times New Roman"/>
        </w:rPr>
        <w:t>s</w:t>
      </w:r>
      <w:r w:rsidR="007068B9">
        <w:rPr>
          <w:rFonts w:ascii="Times New Roman" w:hAnsi="Times New Roman" w:cs="Times New Roman"/>
        </w:rPr>
        <w:t>.</w:t>
      </w:r>
      <w:r w:rsidR="00023E02">
        <w:rPr>
          <w:rFonts w:ascii="Times New Roman" w:hAnsi="Times New Roman" w:cs="Times New Roman"/>
        </w:rPr>
        <w:t xml:space="preserve"> </w:t>
      </w:r>
    </w:p>
    <w:tbl>
      <w:tblPr>
        <w:tblStyle w:val="TableGrid"/>
        <w:tblW w:w="11341"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7"/>
        <w:gridCol w:w="850"/>
        <w:gridCol w:w="851"/>
        <w:gridCol w:w="992"/>
        <w:gridCol w:w="992"/>
        <w:gridCol w:w="851"/>
        <w:gridCol w:w="850"/>
        <w:gridCol w:w="851"/>
        <w:gridCol w:w="850"/>
        <w:gridCol w:w="709"/>
        <w:gridCol w:w="709"/>
        <w:gridCol w:w="709"/>
        <w:gridCol w:w="850"/>
      </w:tblGrid>
      <w:tr w:rsidR="006A7D50" w:rsidRPr="005E2131" w14:paraId="2D41F711" w14:textId="77777777" w:rsidTr="006A7D50">
        <w:trPr>
          <w:trHeight w:val="446"/>
          <w:jc w:val="center"/>
        </w:trPr>
        <w:tc>
          <w:tcPr>
            <w:tcW w:w="1277" w:type="dxa"/>
            <w:vMerge w:val="restart"/>
          </w:tcPr>
          <w:p w14:paraId="1E268B59" w14:textId="15986566" w:rsidR="006A7D50" w:rsidRPr="006A7D50" w:rsidRDefault="00952A9C" w:rsidP="006A7D50">
            <w:pPr>
              <w:spacing w:line="480" w:lineRule="auto"/>
              <w:jc w:val="center"/>
              <w:rPr>
                <w:rFonts w:ascii="Calibri" w:hAnsi="Calibri"/>
                <w:color w:val="000000"/>
              </w:rPr>
            </w:pPr>
            <w:r>
              <w:rPr>
                <w:rFonts w:ascii="Calibri" w:hAnsi="Calibri"/>
                <w:color w:val="000000"/>
              </w:rPr>
              <w:t>P</w:t>
            </w:r>
            <w:r w:rsidR="006A7D50" w:rsidRPr="006A7D50">
              <w:rPr>
                <w:rFonts w:ascii="Calibri" w:hAnsi="Calibri"/>
                <w:color w:val="000000"/>
              </w:rPr>
              <w:t>arameter</w:t>
            </w:r>
          </w:p>
        </w:tc>
        <w:tc>
          <w:tcPr>
            <w:tcW w:w="10064" w:type="dxa"/>
            <w:gridSpan w:val="12"/>
            <w:vAlign w:val="bottom"/>
          </w:tcPr>
          <w:p w14:paraId="4BFFBEA7" w14:textId="06523876" w:rsidR="006A7D50" w:rsidRPr="006A7D50" w:rsidRDefault="006A7D50" w:rsidP="006A7D50">
            <w:pPr>
              <w:spacing w:line="480" w:lineRule="auto"/>
              <w:jc w:val="center"/>
              <w:rPr>
                <w:rFonts w:ascii="Calibri" w:hAnsi="Calibri"/>
                <w:color w:val="000000"/>
              </w:rPr>
            </w:pPr>
            <w:r w:rsidRPr="006A7D50">
              <w:rPr>
                <w:rFonts w:ascii="Calibri" w:hAnsi="Calibri"/>
                <w:color w:val="000000"/>
              </w:rPr>
              <w:t>Covariate tested</w:t>
            </w:r>
          </w:p>
        </w:tc>
      </w:tr>
      <w:tr w:rsidR="006A7D50" w:rsidRPr="005E2131" w14:paraId="0FBBE73B" w14:textId="77777777" w:rsidTr="00952A9C">
        <w:trPr>
          <w:trHeight w:val="446"/>
          <w:jc w:val="center"/>
        </w:trPr>
        <w:tc>
          <w:tcPr>
            <w:tcW w:w="1277" w:type="dxa"/>
            <w:vMerge/>
          </w:tcPr>
          <w:p w14:paraId="56B01E51" w14:textId="77777777" w:rsidR="006A7D50" w:rsidRPr="005E2131" w:rsidRDefault="006A7D50" w:rsidP="006A7D50">
            <w:pPr>
              <w:spacing w:line="480" w:lineRule="auto"/>
              <w:jc w:val="center"/>
              <w:rPr>
                <w:rFonts w:ascii="Calibri" w:hAnsi="Calibri"/>
                <w:i/>
                <w:color w:val="000000"/>
                <w:sz w:val="20"/>
                <w:szCs w:val="20"/>
              </w:rPr>
            </w:pPr>
          </w:p>
        </w:tc>
        <w:tc>
          <w:tcPr>
            <w:tcW w:w="1701" w:type="dxa"/>
            <w:gridSpan w:val="2"/>
            <w:tcBorders>
              <w:bottom w:val="single" w:sz="4" w:space="0" w:color="auto"/>
            </w:tcBorders>
            <w:vAlign w:val="bottom"/>
          </w:tcPr>
          <w:p w14:paraId="229388F4" w14:textId="509D5E02" w:rsidR="006A7D50" w:rsidRPr="006A7D50" w:rsidRDefault="006A7D50" w:rsidP="006A7D50">
            <w:pPr>
              <w:spacing w:line="480" w:lineRule="auto"/>
              <w:jc w:val="center"/>
              <w:rPr>
                <w:rFonts w:ascii="Calibri" w:hAnsi="Calibri"/>
                <w:color w:val="000000"/>
                <w:sz w:val="22"/>
                <w:szCs w:val="22"/>
              </w:rPr>
            </w:pPr>
            <w:r w:rsidRPr="006A7D50">
              <w:rPr>
                <w:rFonts w:ascii="Calibri" w:hAnsi="Calibri"/>
                <w:color w:val="000000"/>
                <w:sz w:val="22"/>
                <w:szCs w:val="22"/>
              </w:rPr>
              <w:t>Mobility flow</w:t>
            </w:r>
          </w:p>
        </w:tc>
        <w:tc>
          <w:tcPr>
            <w:tcW w:w="1984" w:type="dxa"/>
            <w:gridSpan w:val="2"/>
            <w:tcBorders>
              <w:bottom w:val="single" w:sz="4" w:space="0" w:color="auto"/>
            </w:tcBorders>
            <w:vAlign w:val="bottom"/>
          </w:tcPr>
          <w:p w14:paraId="574995AE" w14:textId="3FB4C69F" w:rsidR="006A7D50" w:rsidRPr="006A7D50" w:rsidRDefault="006A7D50" w:rsidP="006A7D50">
            <w:pPr>
              <w:spacing w:line="480" w:lineRule="auto"/>
              <w:jc w:val="center"/>
              <w:rPr>
                <w:rFonts w:ascii="Calibri" w:hAnsi="Calibri"/>
                <w:color w:val="000000"/>
                <w:sz w:val="22"/>
                <w:szCs w:val="22"/>
              </w:rPr>
            </w:pPr>
            <w:r w:rsidRPr="006A7D50">
              <w:rPr>
                <w:rFonts w:ascii="Calibri" w:hAnsi="Calibri"/>
                <w:color w:val="000000"/>
                <w:sz w:val="22"/>
                <w:szCs w:val="22"/>
              </w:rPr>
              <w:t>Demographic</w:t>
            </w:r>
          </w:p>
        </w:tc>
        <w:tc>
          <w:tcPr>
            <w:tcW w:w="3402" w:type="dxa"/>
            <w:gridSpan w:val="4"/>
            <w:tcBorders>
              <w:bottom w:val="single" w:sz="4" w:space="0" w:color="auto"/>
            </w:tcBorders>
            <w:vAlign w:val="bottom"/>
          </w:tcPr>
          <w:p w14:paraId="17FE9739" w14:textId="5B2AB9DF" w:rsidR="006A7D50" w:rsidRPr="006A7D50" w:rsidRDefault="006A7D50" w:rsidP="006A7D50">
            <w:pPr>
              <w:spacing w:line="480" w:lineRule="auto"/>
              <w:jc w:val="center"/>
              <w:rPr>
                <w:rFonts w:ascii="Calibri" w:hAnsi="Calibri"/>
                <w:color w:val="000000"/>
                <w:sz w:val="22"/>
                <w:szCs w:val="22"/>
              </w:rPr>
            </w:pPr>
            <w:r w:rsidRPr="006A7D50">
              <w:rPr>
                <w:rFonts w:ascii="Calibri" w:hAnsi="Calibri"/>
                <w:color w:val="000000"/>
                <w:sz w:val="22"/>
                <w:szCs w:val="22"/>
              </w:rPr>
              <w:t>Humidity</w:t>
            </w:r>
          </w:p>
        </w:tc>
        <w:tc>
          <w:tcPr>
            <w:tcW w:w="2977" w:type="dxa"/>
            <w:gridSpan w:val="4"/>
            <w:tcBorders>
              <w:bottom w:val="single" w:sz="4" w:space="0" w:color="auto"/>
            </w:tcBorders>
            <w:vAlign w:val="bottom"/>
          </w:tcPr>
          <w:p w14:paraId="2AFB8F79" w14:textId="5A7FF9FD" w:rsidR="006A7D50" w:rsidRPr="006A7D50" w:rsidRDefault="006A7D50" w:rsidP="006A7D50">
            <w:pPr>
              <w:spacing w:line="480" w:lineRule="auto"/>
              <w:jc w:val="center"/>
              <w:rPr>
                <w:rFonts w:ascii="Calibri" w:hAnsi="Calibri"/>
                <w:color w:val="000000"/>
                <w:sz w:val="22"/>
                <w:szCs w:val="22"/>
              </w:rPr>
            </w:pPr>
            <w:r w:rsidRPr="006A7D50">
              <w:rPr>
                <w:rFonts w:ascii="Calibri" w:hAnsi="Calibri"/>
                <w:color w:val="000000"/>
                <w:sz w:val="22"/>
                <w:szCs w:val="22"/>
              </w:rPr>
              <w:t>Temperature</w:t>
            </w:r>
          </w:p>
        </w:tc>
      </w:tr>
      <w:tr w:rsidR="006A7D50" w:rsidRPr="005E2131" w14:paraId="7E0514D6" w14:textId="77777777" w:rsidTr="00952A9C">
        <w:trPr>
          <w:trHeight w:val="446"/>
          <w:jc w:val="center"/>
        </w:trPr>
        <w:tc>
          <w:tcPr>
            <w:tcW w:w="1277" w:type="dxa"/>
            <w:vMerge/>
            <w:tcBorders>
              <w:bottom w:val="double" w:sz="4" w:space="0" w:color="auto"/>
            </w:tcBorders>
          </w:tcPr>
          <w:p w14:paraId="41ED8950" w14:textId="77777777" w:rsidR="006A7D50" w:rsidRPr="005E2131" w:rsidRDefault="006A7D50" w:rsidP="006A7D50">
            <w:pPr>
              <w:spacing w:line="480" w:lineRule="auto"/>
              <w:jc w:val="center"/>
              <w:rPr>
                <w:rFonts w:ascii="Calibri" w:hAnsi="Calibri"/>
                <w:i/>
                <w:color w:val="000000"/>
                <w:sz w:val="20"/>
                <w:szCs w:val="20"/>
              </w:rPr>
            </w:pPr>
          </w:p>
        </w:tc>
        <w:tc>
          <w:tcPr>
            <w:tcW w:w="850" w:type="dxa"/>
            <w:tcBorders>
              <w:top w:val="single" w:sz="4" w:space="0" w:color="auto"/>
              <w:bottom w:val="double" w:sz="4" w:space="0" w:color="auto"/>
            </w:tcBorders>
            <w:vAlign w:val="bottom"/>
          </w:tcPr>
          <w:p w14:paraId="50B98978" w14:textId="402C6644"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corrected</w:t>
            </w:r>
          </w:p>
        </w:tc>
        <w:tc>
          <w:tcPr>
            <w:tcW w:w="851" w:type="dxa"/>
            <w:tcBorders>
              <w:top w:val="single" w:sz="4" w:space="0" w:color="auto"/>
              <w:bottom w:val="double" w:sz="4" w:space="0" w:color="auto"/>
            </w:tcBorders>
            <w:vAlign w:val="bottom"/>
          </w:tcPr>
          <w:p w14:paraId="78DB9E67" w14:textId="53D6C258"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Un</w:t>
            </w:r>
            <w:r>
              <w:rPr>
                <w:rFonts w:ascii="Calibri" w:hAnsi="Calibri"/>
                <w:color w:val="000000"/>
                <w:sz w:val="16"/>
                <w:szCs w:val="16"/>
              </w:rPr>
              <w:t>-</w:t>
            </w:r>
            <w:r w:rsidRPr="006A7D50">
              <w:rPr>
                <w:rFonts w:ascii="Calibri" w:hAnsi="Calibri"/>
                <w:color w:val="000000"/>
                <w:sz w:val="16"/>
                <w:szCs w:val="16"/>
              </w:rPr>
              <w:t>corrected</w:t>
            </w:r>
          </w:p>
        </w:tc>
        <w:tc>
          <w:tcPr>
            <w:tcW w:w="992" w:type="dxa"/>
            <w:tcBorders>
              <w:top w:val="single" w:sz="4" w:space="0" w:color="auto"/>
              <w:bottom w:val="double" w:sz="4" w:space="0" w:color="auto"/>
            </w:tcBorders>
            <w:vAlign w:val="bottom"/>
          </w:tcPr>
          <w:p w14:paraId="1C58BF25" w14:textId="2558A56D"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Population size</w:t>
            </w:r>
          </w:p>
        </w:tc>
        <w:tc>
          <w:tcPr>
            <w:tcW w:w="992" w:type="dxa"/>
            <w:tcBorders>
              <w:top w:val="single" w:sz="4" w:space="0" w:color="auto"/>
              <w:bottom w:val="double" w:sz="4" w:space="0" w:color="auto"/>
            </w:tcBorders>
            <w:vAlign w:val="bottom"/>
          </w:tcPr>
          <w:p w14:paraId="13A9AD4F" w14:textId="50985678"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Proportion of children</w:t>
            </w:r>
          </w:p>
        </w:tc>
        <w:tc>
          <w:tcPr>
            <w:tcW w:w="851" w:type="dxa"/>
            <w:tcBorders>
              <w:top w:val="single" w:sz="4" w:space="0" w:color="auto"/>
              <w:bottom w:val="double" w:sz="4" w:space="0" w:color="auto"/>
            </w:tcBorders>
            <w:vAlign w:val="bottom"/>
          </w:tcPr>
          <w:p w14:paraId="6F6A7262" w14:textId="11298ACA"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Global</w:t>
            </w:r>
          </w:p>
        </w:tc>
        <w:tc>
          <w:tcPr>
            <w:tcW w:w="850" w:type="dxa"/>
            <w:tcBorders>
              <w:top w:val="single" w:sz="4" w:space="0" w:color="auto"/>
              <w:bottom w:val="double" w:sz="4" w:space="0" w:color="auto"/>
            </w:tcBorders>
            <w:vAlign w:val="bottom"/>
          </w:tcPr>
          <w:p w14:paraId="61B30CC4" w14:textId="01BE14A5"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spatial</w:t>
            </w:r>
          </w:p>
        </w:tc>
        <w:tc>
          <w:tcPr>
            <w:tcW w:w="851" w:type="dxa"/>
            <w:tcBorders>
              <w:top w:val="single" w:sz="4" w:space="0" w:color="auto"/>
              <w:bottom w:val="double" w:sz="4" w:space="0" w:color="auto"/>
            </w:tcBorders>
            <w:vAlign w:val="bottom"/>
          </w:tcPr>
          <w:p w14:paraId="2CFD9C16" w14:textId="502644D9"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Inter-annual</w:t>
            </w:r>
          </w:p>
        </w:tc>
        <w:tc>
          <w:tcPr>
            <w:tcW w:w="850" w:type="dxa"/>
            <w:tcBorders>
              <w:top w:val="single" w:sz="4" w:space="0" w:color="auto"/>
              <w:bottom w:val="double" w:sz="4" w:space="0" w:color="auto"/>
            </w:tcBorders>
            <w:vAlign w:val="bottom"/>
          </w:tcPr>
          <w:p w14:paraId="2198995D" w14:textId="250BF637"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Spatio</w:t>
            </w:r>
          </w:p>
          <w:p w14:paraId="1859CC84" w14:textId="7640527C"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temporal</w:t>
            </w:r>
          </w:p>
        </w:tc>
        <w:tc>
          <w:tcPr>
            <w:tcW w:w="709" w:type="dxa"/>
            <w:tcBorders>
              <w:top w:val="single" w:sz="4" w:space="0" w:color="auto"/>
              <w:bottom w:val="double" w:sz="4" w:space="0" w:color="auto"/>
            </w:tcBorders>
            <w:vAlign w:val="bottom"/>
          </w:tcPr>
          <w:p w14:paraId="4807933C" w14:textId="2D6F5B62"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Global</w:t>
            </w:r>
          </w:p>
        </w:tc>
        <w:tc>
          <w:tcPr>
            <w:tcW w:w="709" w:type="dxa"/>
            <w:tcBorders>
              <w:top w:val="single" w:sz="4" w:space="0" w:color="auto"/>
              <w:bottom w:val="double" w:sz="4" w:space="0" w:color="auto"/>
            </w:tcBorders>
            <w:vAlign w:val="bottom"/>
          </w:tcPr>
          <w:p w14:paraId="65A82FE0" w14:textId="241190BA"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spatial</w:t>
            </w:r>
          </w:p>
        </w:tc>
        <w:tc>
          <w:tcPr>
            <w:tcW w:w="709" w:type="dxa"/>
            <w:tcBorders>
              <w:top w:val="single" w:sz="4" w:space="0" w:color="auto"/>
              <w:bottom w:val="double" w:sz="4" w:space="0" w:color="auto"/>
            </w:tcBorders>
            <w:vAlign w:val="bottom"/>
          </w:tcPr>
          <w:p w14:paraId="00417E5E" w14:textId="50E9E60B"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Inter-annual</w:t>
            </w:r>
          </w:p>
        </w:tc>
        <w:tc>
          <w:tcPr>
            <w:tcW w:w="850" w:type="dxa"/>
            <w:tcBorders>
              <w:top w:val="single" w:sz="4" w:space="0" w:color="auto"/>
              <w:bottom w:val="double" w:sz="4" w:space="0" w:color="auto"/>
            </w:tcBorders>
            <w:vAlign w:val="bottom"/>
          </w:tcPr>
          <w:p w14:paraId="382B0FDC" w14:textId="77777777"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Spatio</w:t>
            </w:r>
          </w:p>
          <w:p w14:paraId="6B999564" w14:textId="670C38EC" w:rsidR="006A7D50" w:rsidRPr="006A7D50" w:rsidRDefault="006A7D50" w:rsidP="006A7D50">
            <w:pPr>
              <w:spacing w:line="480" w:lineRule="auto"/>
              <w:jc w:val="center"/>
              <w:rPr>
                <w:rFonts w:ascii="Calibri" w:hAnsi="Calibri"/>
                <w:color w:val="000000"/>
                <w:sz w:val="16"/>
                <w:szCs w:val="16"/>
              </w:rPr>
            </w:pPr>
            <w:r w:rsidRPr="006A7D50">
              <w:rPr>
                <w:rFonts w:ascii="Calibri" w:hAnsi="Calibri"/>
                <w:color w:val="000000"/>
                <w:sz w:val="16"/>
                <w:szCs w:val="16"/>
              </w:rPr>
              <w:t>temporal</w:t>
            </w:r>
          </w:p>
        </w:tc>
      </w:tr>
      <w:tr w:rsidR="005E2131" w:rsidRPr="005E2131" w14:paraId="35D19AC5" w14:textId="77777777" w:rsidTr="00952A9C">
        <w:trPr>
          <w:trHeight w:val="446"/>
          <w:jc w:val="center"/>
        </w:trPr>
        <w:tc>
          <w:tcPr>
            <w:tcW w:w="1277" w:type="dxa"/>
            <w:tcBorders>
              <w:top w:val="double" w:sz="4" w:space="0" w:color="auto"/>
              <w:bottom w:val="single" w:sz="4" w:space="0" w:color="auto"/>
            </w:tcBorders>
          </w:tcPr>
          <w:p w14:paraId="4C3DB599" w14:textId="27CF7856"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Log(</w:t>
            </w:r>
            <w:r w:rsidRPr="005E2131">
              <w:rPr>
                <w:rFonts w:ascii="Calibri" w:hAnsi="Calibri"/>
                <w:i/>
                <w:color w:val="000000"/>
                <w:sz w:val="20"/>
                <w:szCs w:val="20"/>
              </w:rPr>
              <w:sym w:font="Symbol" w:char="F061"/>
            </w:r>
            <w:r w:rsidRPr="005E2131">
              <w:rPr>
                <w:rFonts w:ascii="Calibri" w:hAnsi="Calibri"/>
                <w:i/>
                <w:color w:val="000000"/>
                <w:sz w:val="20"/>
                <w:szCs w:val="20"/>
              </w:rPr>
              <w:t>)</w:t>
            </w:r>
          </w:p>
        </w:tc>
        <w:tc>
          <w:tcPr>
            <w:tcW w:w="850" w:type="dxa"/>
            <w:tcBorders>
              <w:top w:val="double" w:sz="4" w:space="0" w:color="auto"/>
            </w:tcBorders>
            <w:vAlign w:val="bottom"/>
          </w:tcPr>
          <w:p w14:paraId="6455D3D9" w14:textId="3238E88A"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-0.017</w:t>
            </w:r>
          </w:p>
        </w:tc>
        <w:tc>
          <w:tcPr>
            <w:tcW w:w="851" w:type="dxa"/>
            <w:tcBorders>
              <w:top w:val="double" w:sz="4" w:space="0" w:color="auto"/>
            </w:tcBorders>
            <w:vAlign w:val="bottom"/>
          </w:tcPr>
          <w:p w14:paraId="4BAD1BB3" w14:textId="01479A38"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-0.674</w:t>
            </w:r>
          </w:p>
        </w:tc>
        <w:tc>
          <w:tcPr>
            <w:tcW w:w="992" w:type="dxa"/>
            <w:tcBorders>
              <w:top w:val="double" w:sz="4" w:space="0" w:color="auto"/>
            </w:tcBorders>
            <w:vAlign w:val="bottom"/>
          </w:tcPr>
          <w:p w14:paraId="4B0C8322" w14:textId="2F8A6F7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-0.0729</w:t>
            </w:r>
          </w:p>
        </w:tc>
        <w:tc>
          <w:tcPr>
            <w:tcW w:w="992" w:type="dxa"/>
            <w:tcBorders>
              <w:top w:val="double" w:sz="4" w:space="0" w:color="auto"/>
            </w:tcBorders>
            <w:vAlign w:val="bottom"/>
          </w:tcPr>
          <w:p w14:paraId="3A0F98C7" w14:textId="22E01A7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-0.067</w:t>
            </w:r>
          </w:p>
        </w:tc>
        <w:tc>
          <w:tcPr>
            <w:tcW w:w="851" w:type="dxa"/>
            <w:tcBorders>
              <w:top w:val="double" w:sz="4" w:space="0" w:color="auto"/>
            </w:tcBorders>
            <w:vAlign w:val="bottom"/>
          </w:tcPr>
          <w:p w14:paraId="0364D394" w14:textId="4E0916F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-0.044</w:t>
            </w:r>
          </w:p>
        </w:tc>
        <w:tc>
          <w:tcPr>
            <w:tcW w:w="850" w:type="dxa"/>
            <w:tcBorders>
              <w:top w:val="double" w:sz="4" w:space="0" w:color="auto"/>
            </w:tcBorders>
            <w:vAlign w:val="bottom"/>
          </w:tcPr>
          <w:p w14:paraId="4E157A9B" w14:textId="5372928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-0.0786</w:t>
            </w:r>
          </w:p>
        </w:tc>
        <w:tc>
          <w:tcPr>
            <w:tcW w:w="851" w:type="dxa"/>
            <w:tcBorders>
              <w:top w:val="double" w:sz="4" w:space="0" w:color="auto"/>
            </w:tcBorders>
            <w:vAlign w:val="bottom"/>
          </w:tcPr>
          <w:p w14:paraId="290D5BBC" w14:textId="6D6D007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-0.0196</w:t>
            </w:r>
          </w:p>
        </w:tc>
        <w:tc>
          <w:tcPr>
            <w:tcW w:w="850" w:type="dxa"/>
            <w:tcBorders>
              <w:top w:val="double" w:sz="4" w:space="0" w:color="auto"/>
            </w:tcBorders>
            <w:vAlign w:val="bottom"/>
          </w:tcPr>
          <w:p w14:paraId="00850375" w14:textId="09B8B06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-0.0503</w:t>
            </w:r>
          </w:p>
        </w:tc>
        <w:tc>
          <w:tcPr>
            <w:tcW w:w="709" w:type="dxa"/>
            <w:tcBorders>
              <w:top w:val="double" w:sz="4" w:space="0" w:color="auto"/>
            </w:tcBorders>
            <w:vAlign w:val="bottom"/>
          </w:tcPr>
          <w:p w14:paraId="09E24FE9" w14:textId="3858E27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-0.078</w:t>
            </w:r>
          </w:p>
        </w:tc>
        <w:tc>
          <w:tcPr>
            <w:tcW w:w="709" w:type="dxa"/>
            <w:tcBorders>
              <w:top w:val="double" w:sz="4" w:space="0" w:color="auto"/>
            </w:tcBorders>
            <w:vAlign w:val="bottom"/>
          </w:tcPr>
          <w:p w14:paraId="4A205E29" w14:textId="0F14530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-0.081</w:t>
            </w:r>
          </w:p>
        </w:tc>
        <w:tc>
          <w:tcPr>
            <w:tcW w:w="709" w:type="dxa"/>
            <w:tcBorders>
              <w:top w:val="double" w:sz="4" w:space="0" w:color="auto"/>
            </w:tcBorders>
            <w:vAlign w:val="bottom"/>
          </w:tcPr>
          <w:p w14:paraId="56C918EE" w14:textId="5FB6631F"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-0.027</w:t>
            </w:r>
          </w:p>
        </w:tc>
        <w:tc>
          <w:tcPr>
            <w:tcW w:w="850" w:type="dxa"/>
            <w:tcBorders>
              <w:top w:val="double" w:sz="4" w:space="0" w:color="auto"/>
            </w:tcBorders>
            <w:vAlign w:val="bottom"/>
          </w:tcPr>
          <w:p w14:paraId="7BCE564C" w14:textId="6A4477D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-0.068</w:t>
            </w:r>
          </w:p>
        </w:tc>
      </w:tr>
      <w:tr w:rsidR="005E2131" w:rsidRPr="005E2131" w14:paraId="6235B2CD" w14:textId="77777777" w:rsidTr="00952A9C">
        <w:trPr>
          <w:jc w:val="center"/>
        </w:trPr>
        <w:tc>
          <w:tcPr>
            <w:tcW w:w="1277" w:type="dxa"/>
            <w:tcBorders>
              <w:top w:val="single" w:sz="4" w:space="0" w:color="auto"/>
            </w:tcBorders>
          </w:tcPr>
          <w:p w14:paraId="3BDD12DD" w14:textId="5D8A7FF0"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Log(c)</w:t>
            </w:r>
          </w:p>
        </w:tc>
        <w:tc>
          <w:tcPr>
            <w:tcW w:w="850" w:type="dxa"/>
            <w:vAlign w:val="bottom"/>
          </w:tcPr>
          <w:p w14:paraId="452B4677" w14:textId="766C82A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12.35</w:t>
            </w:r>
          </w:p>
        </w:tc>
        <w:tc>
          <w:tcPr>
            <w:tcW w:w="851" w:type="dxa"/>
            <w:vAlign w:val="bottom"/>
          </w:tcPr>
          <w:p w14:paraId="283B2756" w14:textId="3B472F5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-1.99</w:t>
            </w:r>
          </w:p>
        </w:tc>
        <w:tc>
          <w:tcPr>
            <w:tcW w:w="992" w:type="dxa"/>
            <w:vAlign w:val="bottom"/>
          </w:tcPr>
          <w:p w14:paraId="0060DB7F" w14:textId="4414AF6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12.77</w:t>
            </w:r>
          </w:p>
        </w:tc>
        <w:tc>
          <w:tcPr>
            <w:tcW w:w="992" w:type="dxa"/>
            <w:vAlign w:val="bottom"/>
          </w:tcPr>
          <w:p w14:paraId="1ED15508" w14:textId="626661D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12.74</w:t>
            </w:r>
          </w:p>
        </w:tc>
        <w:tc>
          <w:tcPr>
            <w:tcW w:w="851" w:type="dxa"/>
            <w:vAlign w:val="bottom"/>
          </w:tcPr>
          <w:p w14:paraId="5FB7C8BB" w14:textId="4F5A37EC"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12.380</w:t>
            </w:r>
          </w:p>
        </w:tc>
        <w:tc>
          <w:tcPr>
            <w:tcW w:w="850" w:type="dxa"/>
            <w:vAlign w:val="bottom"/>
          </w:tcPr>
          <w:p w14:paraId="289C9855" w14:textId="0624B33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12.813</w:t>
            </w:r>
          </w:p>
        </w:tc>
        <w:tc>
          <w:tcPr>
            <w:tcW w:w="851" w:type="dxa"/>
            <w:vAlign w:val="bottom"/>
          </w:tcPr>
          <w:p w14:paraId="1A8CCC06" w14:textId="6FCCAD7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12.497</w:t>
            </w:r>
          </w:p>
        </w:tc>
        <w:tc>
          <w:tcPr>
            <w:tcW w:w="850" w:type="dxa"/>
            <w:vAlign w:val="bottom"/>
          </w:tcPr>
          <w:p w14:paraId="267BBF2C" w14:textId="775E108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12.473</w:t>
            </w:r>
          </w:p>
        </w:tc>
        <w:tc>
          <w:tcPr>
            <w:tcW w:w="709" w:type="dxa"/>
            <w:vAlign w:val="bottom"/>
          </w:tcPr>
          <w:p w14:paraId="7461CF47" w14:textId="214B10AC"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13.01</w:t>
            </w:r>
          </w:p>
        </w:tc>
        <w:tc>
          <w:tcPr>
            <w:tcW w:w="709" w:type="dxa"/>
            <w:vAlign w:val="bottom"/>
          </w:tcPr>
          <w:p w14:paraId="6759BDE4" w14:textId="3092E97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12.89</w:t>
            </w:r>
          </w:p>
        </w:tc>
        <w:tc>
          <w:tcPr>
            <w:tcW w:w="709" w:type="dxa"/>
            <w:vAlign w:val="bottom"/>
          </w:tcPr>
          <w:p w14:paraId="78D6D1A1" w14:textId="188E513B"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12.60</w:t>
            </w:r>
          </w:p>
        </w:tc>
        <w:tc>
          <w:tcPr>
            <w:tcW w:w="850" w:type="dxa"/>
            <w:vAlign w:val="bottom"/>
          </w:tcPr>
          <w:p w14:paraId="64350CB7" w14:textId="2E6D1CE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12.61</w:t>
            </w:r>
          </w:p>
        </w:tc>
      </w:tr>
      <w:tr w:rsidR="005E2131" w:rsidRPr="005E2131" w14:paraId="44AEB20D" w14:textId="77777777" w:rsidTr="006A7D50">
        <w:trPr>
          <w:jc w:val="center"/>
        </w:trPr>
        <w:tc>
          <w:tcPr>
            <w:tcW w:w="1277" w:type="dxa"/>
          </w:tcPr>
          <w:p w14:paraId="73F305F7" w14:textId="44A917C7"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S</w:t>
            </w:r>
          </w:p>
        </w:tc>
        <w:tc>
          <w:tcPr>
            <w:tcW w:w="850" w:type="dxa"/>
            <w:vAlign w:val="bottom"/>
          </w:tcPr>
          <w:p w14:paraId="41195902" w14:textId="160B3FD8"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0.024</w:t>
            </w:r>
          </w:p>
        </w:tc>
        <w:tc>
          <w:tcPr>
            <w:tcW w:w="851" w:type="dxa"/>
            <w:vAlign w:val="bottom"/>
          </w:tcPr>
          <w:p w14:paraId="04788935" w14:textId="13D553AB"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1F3463D0" w14:textId="489CED8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0.12</w:t>
            </w:r>
          </w:p>
        </w:tc>
        <w:tc>
          <w:tcPr>
            <w:tcW w:w="992" w:type="dxa"/>
            <w:vAlign w:val="bottom"/>
          </w:tcPr>
          <w:p w14:paraId="37E5E6D3" w14:textId="00D737EF"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1" w:type="dxa"/>
            <w:vAlign w:val="bottom"/>
          </w:tcPr>
          <w:p w14:paraId="09D4F257" w14:textId="4751266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0.133</w:t>
            </w:r>
          </w:p>
        </w:tc>
        <w:tc>
          <w:tcPr>
            <w:tcW w:w="850" w:type="dxa"/>
            <w:vAlign w:val="bottom"/>
          </w:tcPr>
          <w:p w14:paraId="4961A43C" w14:textId="45F6925C"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1" w:type="dxa"/>
            <w:vAlign w:val="bottom"/>
          </w:tcPr>
          <w:p w14:paraId="41E66737" w14:textId="0F3A95B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0.160</w:t>
            </w:r>
          </w:p>
        </w:tc>
        <w:tc>
          <w:tcPr>
            <w:tcW w:w="850" w:type="dxa"/>
            <w:vAlign w:val="bottom"/>
          </w:tcPr>
          <w:p w14:paraId="3F128584" w14:textId="558E104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0.084</w:t>
            </w:r>
          </w:p>
        </w:tc>
        <w:tc>
          <w:tcPr>
            <w:tcW w:w="709" w:type="dxa"/>
            <w:vAlign w:val="bottom"/>
          </w:tcPr>
          <w:p w14:paraId="4498FF4E" w14:textId="46125CB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1.439</w:t>
            </w:r>
          </w:p>
        </w:tc>
        <w:tc>
          <w:tcPr>
            <w:tcW w:w="709" w:type="dxa"/>
            <w:vAlign w:val="bottom"/>
          </w:tcPr>
          <w:p w14:paraId="3C8731D2" w14:textId="45F93AC7"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709" w:type="dxa"/>
            <w:vAlign w:val="bottom"/>
          </w:tcPr>
          <w:p w14:paraId="298F2101" w14:textId="46C927CC"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-0.596</w:t>
            </w:r>
          </w:p>
        </w:tc>
        <w:tc>
          <w:tcPr>
            <w:tcW w:w="850" w:type="dxa"/>
            <w:vAlign w:val="bottom"/>
          </w:tcPr>
          <w:p w14:paraId="72F1E36D" w14:textId="497C914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0.088</w:t>
            </w:r>
          </w:p>
        </w:tc>
      </w:tr>
      <w:tr w:rsidR="005E2131" w:rsidRPr="005E2131" w14:paraId="62B41229" w14:textId="77777777" w:rsidTr="006A7D50">
        <w:trPr>
          <w:jc w:val="center"/>
        </w:trPr>
        <w:tc>
          <w:tcPr>
            <w:tcW w:w="1277" w:type="dxa"/>
          </w:tcPr>
          <w:p w14:paraId="15F7C179" w14:textId="4945BDF1"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C</w:t>
            </w:r>
          </w:p>
        </w:tc>
        <w:tc>
          <w:tcPr>
            <w:tcW w:w="850" w:type="dxa"/>
            <w:vAlign w:val="bottom"/>
          </w:tcPr>
          <w:p w14:paraId="7CF17476" w14:textId="4ADF449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0.496</w:t>
            </w:r>
          </w:p>
        </w:tc>
        <w:tc>
          <w:tcPr>
            <w:tcW w:w="851" w:type="dxa"/>
            <w:vAlign w:val="bottom"/>
          </w:tcPr>
          <w:p w14:paraId="560DC79B" w14:textId="27F5DC6F"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69AF5F25" w14:textId="0D7894BB"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07E2067B" w14:textId="725713D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0.121</w:t>
            </w:r>
          </w:p>
        </w:tc>
        <w:tc>
          <w:tcPr>
            <w:tcW w:w="851" w:type="dxa"/>
            <w:vAlign w:val="bottom"/>
          </w:tcPr>
          <w:p w14:paraId="051F4FB7" w14:textId="11A222A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0.150</w:t>
            </w:r>
          </w:p>
        </w:tc>
        <w:tc>
          <w:tcPr>
            <w:tcW w:w="850" w:type="dxa"/>
            <w:vAlign w:val="bottom"/>
          </w:tcPr>
          <w:p w14:paraId="1D41C758" w14:textId="4ED16F94"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1" w:type="dxa"/>
            <w:vAlign w:val="bottom"/>
          </w:tcPr>
          <w:p w14:paraId="7F8946B8" w14:textId="14178BC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0.398</w:t>
            </w:r>
          </w:p>
        </w:tc>
        <w:tc>
          <w:tcPr>
            <w:tcW w:w="850" w:type="dxa"/>
            <w:vAlign w:val="bottom"/>
          </w:tcPr>
          <w:p w14:paraId="506AF32F" w14:textId="665A0C7C"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0.186</w:t>
            </w:r>
          </w:p>
        </w:tc>
        <w:tc>
          <w:tcPr>
            <w:tcW w:w="709" w:type="dxa"/>
            <w:vAlign w:val="bottom"/>
          </w:tcPr>
          <w:p w14:paraId="3200331C" w14:textId="2E3F083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-1.197</w:t>
            </w:r>
          </w:p>
        </w:tc>
        <w:tc>
          <w:tcPr>
            <w:tcW w:w="709" w:type="dxa"/>
            <w:vAlign w:val="bottom"/>
          </w:tcPr>
          <w:p w14:paraId="4CB57544" w14:textId="3EE3817F"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709" w:type="dxa"/>
            <w:vAlign w:val="bottom"/>
          </w:tcPr>
          <w:p w14:paraId="68607F1A" w14:textId="279DDDEB"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1.026</w:t>
            </w:r>
          </w:p>
        </w:tc>
        <w:tc>
          <w:tcPr>
            <w:tcW w:w="850" w:type="dxa"/>
            <w:vAlign w:val="bottom"/>
          </w:tcPr>
          <w:p w14:paraId="58F8FAA3" w14:textId="6E57574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0.189</w:t>
            </w:r>
          </w:p>
        </w:tc>
      </w:tr>
      <w:tr w:rsidR="005E2131" w:rsidRPr="005E2131" w14:paraId="014952B8" w14:textId="77777777" w:rsidTr="006A7D50">
        <w:trPr>
          <w:jc w:val="center"/>
        </w:trPr>
        <w:tc>
          <w:tcPr>
            <w:tcW w:w="1277" w:type="dxa"/>
          </w:tcPr>
          <w:p w14:paraId="33E65BFC" w14:textId="0287E0B7"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HW</w:t>
            </w:r>
          </w:p>
        </w:tc>
        <w:tc>
          <w:tcPr>
            <w:tcW w:w="850" w:type="dxa"/>
            <w:vAlign w:val="bottom"/>
          </w:tcPr>
          <w:p w14:paraId="31298BA8" w14:textId="5CC6062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-0.029</w:t>
            </w:r>
          </w:p>
        </w:tc>
        <w:tc>
          <w:tcPr>
            <w:tcW w:w="851" w:type="dxa"/>
            <w:vAlign w:val="bottom"/>
          </w:tcPr>
          <w:p w14:paraId="21DF80ED" w14:textId="5AE6791A"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1661D639" w14:textId="27BC805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3.94</w:t>
            </w:r>
          </w:p>
        </w:tc>
        <w:tc>
          <w:tcPr>
            <w:tcW w:w="992" w:type="dxa"/>
            <w:vAlign w:val="bottom"/>
          </w:tcPr>
          <w:p w14:paraId="4263FF2E" w14:textId="05941D9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3.853</w:t>
            </w:r>
          </w:p>
        </w:tc>
        <w:tc>
          <w:tcPr>
            <w:tcW w:w="851" w:type="dxa"/>
            <w:vAlign w:val="bottom"/>
          </w:tcPr>
          <w:p w14:paraId="11416394" w14:textId="294FFCE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-0.020</w:t>
            </w:r>
          </w:p>
        </w:tc>
        <w:tc>
          <w:tcPr>
            <w:tcW w:w="850" w:type="dxa"/>
            <w:vAlign w:val="bottom"/>
          </w:tcPr>
          <w:p w14:paraId="1495CC68" w14:textId="1E40D69F"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5.276</w:t>
            </w:r>
          </w:p>
        </w:tc>
        <w:tc>
          <w:tcPr>
            <w:tcW w:w="851" w:type="dxa"/>
            <w:vAlign w:val="bottom"/>
          </w:tcPr>
          <w:p w14:paraId="51CF68A1" w14:textId="3876494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0.019</w:t>
            </w:r>
          </w:p>
        </w:tc>
        <w:tc>
          <w:tcPr>
            <w:tcW w:w="850" w:type="dxa"/>
            <w:vAlign w:val="bottom"/>
          </w:tcPr>
          <w:p w14:paraId="1CEDC0D5" w14:textId="2CE63FDA"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0.726</w:t>
            </w:r>
          </w:p>
        </w:tc>
        <w:tc>
          <w:tcPr>
            <w:tcW w:w="709" w:type="dxa"/>
            <w:vAlign w:val="bottom"/>
          </w:tcPr>
          <w:p w14:paraId="680B64C6" w14:textId="76E569ED"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709" w:type="dxa"/>
            <w:vAlign w:val="bottom"/>
          </w:tcPr>
          <w:p w14:paraId="1825DF04" w14:textId="182C48D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4.747</w:t>
            </w:r>
          </w:p>
        </w:tc>
        <w:tc>
          <w:tcPr>
            <w:tcW w:w="709" w:type="dxa"/>
            <w:vAlign w:val="bottom"/>
          </w:tcPr>
          <w:p w14:paraId="7FE9632F" w14:textId="2D6D5C8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-2.468</w:t>
            </w:r>
          </w:p>
        </w:tc>
        <w:tc>
          <w:tcPr>
            <w:tcW w:w="850" w:type="dxa"/>
            <w:vAlign w:val="bottom"/>
          </w:tcPr>
          <w:p w14:paraId="378EEDE6" w14:textId="3CA2AF3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-0.174</w:t>
            </w:r>
          </w:p>
        </w:tc>
      </w:tr>
      <w:tr w:rsidR="005E2131" w:rsidRPr="005E2131" w14:paraId="73C0EAFF" w14:textId="77777777" w:rsidTr="006A7D50">
        <w:trPr>
          <w:jc w:val="center"/>
        </w:trPr>
        <w:tc>
          <w:tcPr>
            <w:tcW w:w="1277" w:type="dxa"/>
          </w:tcPr>
          <w:p w14:paraId="34551519" w14:textId="3740B29D"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HR</w:t>
            </w:r>
          </w:p>
        </w:tc>
        <w:tc>
          <w:tcPr>
            <w:tcW w:w="850" w:type="dxa"/>
            <w:vAlign w:val="bottom"/>
          </w:tcPr>
          <w:p w14:paraId="4245E417" w14:textId="2763A24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-3.074</w:t>
            </w:r>
          </w:p>
        </w:tc>
        <w:tc>
          <w:tcPr>
            <w:tcW w:w="851" w:type="dxa"/>
            <w:vAlign w:val="bottom"/>
          </w:tcPr>
          <w:p w14:paraId="0E4C1D80" w14:textId="3E1B34CA"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5D15BA7B" w14:textId="08064590"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259FDAD3" w14:textId="5C97E715"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1" w:type="dxa"/>
            <w:vAlign w:val="bottom"/>
          </w:tcPr>
          <w:p w14:paraId="1914747F" w14:textId="55BC067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-0.734</w:t>
            </w:r>
          </w:p>
        </w:tc>
        <w:tc>
          <w:tcPr>
            <w:tcW w:w="850" w:type="dxa"/>
            <w:vAlign w:val="bottom"/>
          </w:tcPr>
          <w:p w14:paraId="40C5DA11" w14:textId="56AE3E4B"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-0.476</w:t>
            </w:r>
          </w:p>
        </w:tc>
        <w:tc>
          <w:tcPr>
            <w:tcW w:w="851" w:type="dxa"/>
            <w:vAlign w:val="bottom"/>
          </w:tcPr>
          <w:p w14:paraId="014BA548" w14:textId="0A7D6B9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-2.211</w:t>
            </w:r>
          </w:p>
        </w:tc>
        <w:tc>
          <w:tcPr>
            <w:tcW w:w="850" w:type="dxa"/>
            <w:vAlign w:val="bottom"/>
          </w:tcPr>
          <w:p w14:paraId="4E106C3C" w14:textId="2B1DF5C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-0.994</w:t>
            </w:r>
          </w:p>
        </w:tc>
        <w:tc>
          <w:tcPr>
            <w:tcW w:w="709" w:type="dxa"/>
            <w:vAlign w:val="bottom"/>
          </w:tcPr>
          <w:p w14:paraId="671512A9" w14:textId="0342A19F"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-2.079</w:t>
            </w:r>
          </w:p>
        </w:tc>
        <w:tc>
          <w:tcPr>
            <w:tcW w:w="709" w:type="dxa"/>
            <w:vAlign w:val="bottom"/>
          </w:tcPr>
          <w:p w14:paraId="2E79D309" w14:textId="06B78339"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709" w:type="dxa"/>
            <w:vAlign w:val="bottom"/>
          </w:tcPr>
          <w:p w14:paraId="12A1BA7E" w14:textId="3F2945F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-17.41</w:t>
            </w:r>
          </w:p>
        </w:tc>
        <w:tc>
          <w:tcPr>
            <w:tcW w:w="850" w:type="dxa"/>
            <w:vAlign w:val="bottom"/>
          </w:tcPr>
          <w:p w14:paraId="617C2C6B" w14:textId="4829A9C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-0.933</w:t>
            </w:r>
          </w:p>
        </w:tc>
      </w:tr>
      <w:tr w:rsidR="005E2131" w:rsidRPr="005E2131" w14:paraId="325FF0CA" w14:textId="77777777" w:rsidTr="006A7D50">
        <w:trPr>
          <w:jc w:val="center"/>
        </w:trPr>
        <w:tc>
          <w:tcPr>
            <w:tcW w:w="1277" w:type="dxa"/>
          </w:tcPr>
          <w:p w14:paraId="7627A628" w14:textId="5758DF12"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HY</w:t>
            </w:r>
          </w:p>
        </w:tc>
        <w:tc>
          <w:tcPr>
            <w:tcW w:w="850" w:type="dxa"/>
            <w:vAlign w:val="bottom"/>
          </w:tcPr>
          <w:p w14:paraId="4B042894" w14:textId="75F428B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5.767</w:t>
            </w:r>
          </w:p>
        </w:tc>
        <w:tc>
          <w:tcPr>
            <w:tcW w:w="851" w:type="dxa"/>
            <w:vAlign w:val="bottom"/>
          </w:tcPr>
          <w:p w14:paraId="79959DFD" w14:textId="04D4767D"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45BFB5A6" w14:textId="32CBCE6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2.88</w:t>
            </w:r>
          </w:p>
        </w:tc>
        <w:tc>
          <w:tcPr>
            <w:tcW w:w="992" w:type="dxa"/>
            <w:vAlign w:val="bottom"/>
          </w:tcPr>
          <w:p w14:paraId="66A87107" w14:textId="4FBAF78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2.968</w:t>
            </w:r>
          </w:p>
        </w:tc>
        <w:tc>
          <w:tcPr>
            <w:tcW w:w="851" w:type="dxa"/>
            <w:vAlign w:val="bottom"/>
          </w:tcPr>
          <w:p w14:paraId="7BDAE626" w14:textId="52B5C36A"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2.427</w:t>
            </w:r>
          </w:p>
        </w:tc>
        <w:tc>
          <w:tcPr>
            <w:tcW w:w="850" w:type="dxa"/>
            <w:vAlign w:val="bottom"/>
          </w:tcPr>
          <w:p w14:paraId="17BC27BC" w14:textId="2216922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3.007</w:t>
            </w:r>
          </w:p>
        </w:tc>
        <w:tc>
          <w:tcPr>
            <w:tcW w:w="851" w:type="dxa"/>
            <w:vAlign w:val="bottom"/>
          </w:tcPr>
          <w:p w14:paraId="284D0860" w14:textId="1407CE2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-0.045</w:t>
            </w:r>
          </w:p>
        </w:tc>
        <w:tc>
          <w:tcPr>
            <w:tcW w:w="850" w:type="dxa"/>
            <w:vAlign w:val="bottom"/>
          </w:tcPr>
          <w:p w14:paraId="2E4723BE" w14:textId="56F1911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2.976</w:t>
            </w:r>
          </w:p>
        </w:tc>
        <w:tc>
          <w:tcPr>
            <w:tcW w:w="709" w:type="dxa"/>
            <w:vAlign w:val="bottom"/>
          </w:tcPr>
          <w:p w14:paraId="7A32F3D5" w14:textId="0C57548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5.523</w:t>
            </w:r>
          </w:p>
        </w:tc>
        <w:tc>
          <w:tcPr>
            <w:tcW w:w="709" w:type="dxa"/>
            <w:vAlign w:val="bottom"/>
          </w:tcPr>
          <w:p w14:paraId="0FC11AFB" w14:textId="0D51A11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2.606</w:t>
            </w:r>
          </w:p>
        </w:tc>
        <w:tc>
          <w:tcPr>
            <w:tcW w:w="709" w:type="dxa"/>
            <w:vAlign w:val="bottom"/>
          </w:tcPr>
          <w:p w14:paraId="7E34D889" w14:textId="19D48657"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0" w:type="dxa"/>
            <w:vAlign w:val="bottom"/>
          </w:tcPr>
          <w:p w14:paraId="4C63F94E" w14:textId="0F9DF375"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2.814</w:t>
            </w:r>
          </w:p>
        </w:tc>
      </w:tr>
      <w:tr w:rsidR="005E2131" w:rsidRPr="005E2131" w14:paraId="1C7AFEAF" w14:textId="77777777" w:rsidTr="006A7D50">
        <w:trPr>
          <w:jc w:val="center"/>
        </w:trPr>
        <w:tc>
          <w:tcPr>
            <w:tcW w:w="1277" w:type="dxa"/>
          </w:tcPr>
          <w:p w14:paraId="2797F84A" w14:textId="3A7E6917"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Hres</w:t>
            </w:r>
          </w:p>
        </w:tc>
        <w:tc>
          <w:tcPr>
            <w:tcW w:w="850" w:type="dxa"/>
            <w:vAlign w:val="bottom"/>
          </w:tcPr>
          <w:p w14:paraId="25A54BDA" w14:textId="6A1E4DB5"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-0.999</w:t>
            </w:r>
          </w:p>
        </w:tc>
        <w:tc>
          <w:tcPr>
            <w:tcW w:w="851" w:type="dxa"/>
            <w:vAlign w:val="bottom"/>
          </w:tcPr>
          <w:p w14:paraId="515BB533" w14:textId="4D5E4ED9"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473882E6" w14:textId="39918BE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0.007</w:t>
            </w:r>
          </w:p>
        </w:tc>
        <w:tc>
          <w:tcPr>
            <w:tcW w:w="992" w:type="dxa"/>
            <w:vAlign w:val="bottom"/>
          </w:tcPr>
          <w:p w14:paraId="5E028938" w14:textId="1FB0B978"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0.142</w:t>
            </w:r>
          </w:p>
        </w:tc>
        <w:tc>
          <w:tcPr>
            <w:tcW w:w="851" w:type="dxa"/>
            <w:vAlign w:val="bottom"/>
          </w:tcPr>
          <w:p w14:paraId="4643388C" w14:textId="4B96FD1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-0.113</w:t>
            </w:r>
          </w:p>
        </w:tc>
        <w:tc>
          <w:tcPr>
            <w:tcW w:w="850" w:type="dxa"/>
            <w:vAlign w:val="bottom"/>
          </w:tcPr>
          <w:p w14:paraId="1BDD3697" w14:textId="73DC1E9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-0.300</w:t>
            </w:r>
          </w:p>
        </w:tc>
        <w:tc>
          <w:tcPr>
            <w:tcW w:w="851" w:type="dxa"/>
            <w:vAlign w:val="bottom"/>
          </w:tcPr>
          <w:p w14:paraId="10840FA2" w14:textId="2EE4930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-1.671</w:t>
            </w:r>
          </w:p>
        </w:tc>
        <w:tc>
          <w:tcPr>
            <w:tcW w:w="850" w:type="dxa"/>
            <w:vAlign w:val="bottom"/>
          </w:tcPr>
          <w:p w14:paraId="355865FC" w14:textId="3BEA3B2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-0.300</w:t>
            </w:r>
          </w:p>
        </w:tc>
        <w:tc>
          <w:tcPr>
            <w:tcW w:w="709" w:type="dxa"/>
            <w:vAlign w:val="bottom"/>
          </w:tcPr>
          <w:p w14:paraId="1B4D4DDD" w14:textId="6F2BF4EF"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-1.822</w:t>
            </w:r>
          </w:p>
        </w:tc>
        <w:tc>
          <w:tcPr>
            <w:tcW w:w="709" w:type="dxa"/>
            <w:vAlign w:val="bottom"/>
          </w:tcPr>
          <w:p w14:paraId="7FB0DE8A" w14:textId="41D74A3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-0.315</w:t>
            </w:r>
          </w:p>
        </w:tc>
        <w:tc>
          <w:tcPr>
            <w:tcW w:w="709" w:type="dxa"/>
            <w:vAlign w:val="bottom"/>
          </w:tcPr>
          <w:p w14:paraId="3F564A5F" w14:textId="7318EBE7"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r w:rsidRPr="005E2131">
              <w:rPr>
                <w:rFonts w:ascii="Calibri" w:hAnsi="Calibri"/>
                <w:color w:val="000000"/>
                <w:sz w:val="18"/>
                <w:szCs w:val="20"/>
              </w:rPr>
              <w:t>4.1</w:t>
            </w:r>
            <w:r>
              <w:rPr>
                <w:rFonts w:ascii="Calibri" w:hAnsi="Calibri"/>
                <w:color w:val="000000"/>
                <w:sz w:val="18"/>
                <w:szCs w:val="20"/>
              </w:rPr>
              <w:t>76</w:t>
            </w:r>
          </w:p>
        </w:tc>
        <w:tc>
          <w:tcPr>
            <w:tcW w:w="850" w:type="dxa"/>
            <w:vAlign w:val="bottom"/>
          </w:tcPr>
          <w:p w14:paraId="6C6FEA43" w14:textId="3E4C2395"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r>
      <w:tr w:rsidR="005E2131" w:rsidRPr="005E2131" w14:paraId="14AE0993" w14:textId="77777777" w:rsidTr="006A7D50">
        <w:trPr>
          <w:jc w:val="center"/>
        </w:trPr>
        <w:tc>
          <w:tcPr>
            <w:tcW w:w="1277" w:type="dxa"/>
          </w:tcPr>
          <w:p w14:paraId="4E8BADE8" w14:textId="056A7485"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TW</w:t>
            </w:r>
          </w:p>
        </w:tc>
        <w:tc>
          <w:tcPr>
            <w:tcW w:w="850" w:type="dxa"/>
            <w:vAlign w:val="bottom"/>
          </w:tcPr>
          <w:p w14:paraId="35893A3E" w14:textId="0C1CF91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-0.493</w:t>
            </w:r>
          </w:p>
        </w:tc>
        <w:tc>
          <w:tcPr>
            <w:tcW w:w="851" w:type="dxa"/>
            <w:vAlign w:val="bottom"/>
          </w:tcPr>
          <w:p w14:paraId="6C8C3EFA" w14:textId="46458705"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021E9159" w14:textId="3E03A07F"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-3.88</w:t>
            </w:r>
          </w:p>
        </w:tc>
        <w:tc>
          <w:tcPr>
            <w:tcW w:w="992" w:type="dxa"/>
            <w:vAlign w:val="bottom"/>
          </w:tcPr>
          <w:p w14:paraId="69BAC6B1" w14:textId="072AB06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-3.769</w:t>
            </w:r>
          </w:p>
        </w:tc>
        <w:tc>
          <w:tcPr>
            <w:tcW w:w="851" w:type="dxa"/>
            <w:vAlign w:val="bottom"/>
          </w:tcPr>
          <w:p w14:paraId="5B58F095" w14:textId="6C656E57"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0" w:type="dxa"/>
            <w:vAlign w:val="bottom"/>
          </w:tcPr>
          <w:p w14:paraId="7E127664" w14:textId="32FBDBB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-5.174</w:t>
            </w:r>
          </w:p>
        </w:tc>
        <w:tc>
          <w:tcPr>
            <w:tcW w:w="851" w:type="dxa"/>
            <w:vAlign w:val="bottom"/>
          </w:tcPr>
          <w:p w14:paraId="2554DA9B" w14:textId="7C6AF92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-0.092</w:t>
            </w:r>
          </w:p>
        </w:tc>
        <w:tc>
          <w:tcPr>
            <w:tcW w:w="850" w:type="dxa"/>
            <w:vAlign w:val="bottom"/>
          </w:tcPr>
          <w:p w14:paraId="435344F3" w14:textId="3F01451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-0.841</w:t>
            </w:r>
          </w:p>
        </w:tc>
        <w:tc>
          <w:tcPr>
            <w:tcW w:w="709" w:type="dxa"/>
            <w:vAlign w:val="bottom"/>
          </w:tcPr>
          <w:p w14:paraId="6C88F38B" w14:textId="480B28E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-0.493</w:t>
            </w:r>
          </w:p>
        </w:tc>
        <w:tc>
          <w:tcPr>
            <w:tcW w:w="709" w:type="dxa"/>
            <w:vAlign w:val="bottom"/>
          </w:tcPr>
          <w:p w14:paraId="5CF41075" w14:textId="32E46E2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-4.592</w:t>
            </w:r>
          </w:p>
        </w:tc>
        <w:tc>
          <w:tcPr>
            <w:tcW w:w="709" w:type="dxa"/>
            <w:vAlign w:val="bottom"/>
          </w:tcPr>
          <w:p w14:paraId="1A28472D" w14:textId="59C7EBF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1.880</w:t>
            </w:r>
          </w:p>
        </w:tc>
        <w:tc>
          <w:tcPr>
            <w:tcW w:w="850" w:type="dxa"/>
            <w:vAlign w:val="bottom"/>
          </w:tcPr>
          <w:p w14:paraId="163F47B1" w14:textId="7591327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-0.018</w:t>
            </w:r>
          </w:p>
        </w:tc>
      </w:tr>
      <w:tr w:rsidR="005E2131" w:rsidRPr="005E2131" w14:paraId="761B636A" w14:textId="77777777" w:rsidTr="006A7D50">
        <w:trPr>
          <w:jc w:val="center"/>
        </w:trPr>
        <w:tc>
          <w:tcPr>
            <w:tcW w:w="1277" w:type="dxa"/>
          </w:tcPr>
          <w:p w14:paraId="6CBC74D5" w14:textId="6FABD4DD"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TR</w:t>
            </w:r>
          </w:p>
        </w:tc>
        <w:tc>
          <w:tcPr>
            <w:tcW w:w="850" w:type="dxa"/>
            <w:vAlign w:val="bottom"/>
          </w:tcPr>
          <w:p w14:paraId="73B20FAF" w14:textId="65B32AA1"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1.949</w:t>
            </w:r>
          </w:p>
        </w:tc>
        <w:tc>
          <w:tcPr>
            <w:tcW w:w="851" w:type="dxa"/>
            <w:vAlign w:val="bottom"/>
          </w:tcPr>
          <w:p w14:paraId="1110B120" w14:textId="2E1FD1EE"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7425B039" w14:textId="775EFF88"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64E668ED" w14:textId="08191FB3"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1" w:type="dxa"/>
            <w:vAlign w:val="bottom"/>
          </w:tcPr>
          <w:p w14:paraId="4867D88A" w14:textId="2577578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0.244</w:t>
            </w:r>
          </w:p>
        </w:tc>
        <w:tc>
          <w:tcPr>
            <w:tcW w:w="850" w:type="dxa"/>
            <w:vAlign w:val="bottom"/>
          </w:tcPr>
          <w:p w14:paraId="52EAFDA6" w14:textId="7F081E6C"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1" w:type="dxa"/>
            <w:vAlign w:val="bottom"/>
          </w:tcPr>
          <w:p w14:paraId="1C11A924" w14:textId="6E65A53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1.252</w:t>
            </w:r>
          </w:p>
        </w:tc>
        <w:tc>
          <w:tcPr>
            <w:tcW w:w="850" w:type="dxa"/>
            <w:vAlign w:val="bottom"/>
          </w:tcPr>
          <w:p w14:paraId="6C9289C4" w14:textId="4C81152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0.403</w:t>
            </w:r>
          </w:p>
        </w:tc>
        <w:tc>
          <w:tcPr>
            <w:tcW w:w="709" w:type="dxa"/>
            <w:vAlign w:val="bottom"/>
          </w:tcPr>
          <w:p w14:paraId="4CBC0D2D" w14:textId="1D25A3D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-1.077</w:t>
            </w:r>
          </w:p>
        </w:tc>
        <w:tc>
          <w:tcPr>
            <w:tcW w:w="709" w:type="dxa"/>
            <w:vAlign w:val="bottom"/>
          </w:tcPr>
          <w:p w14:paraId="6552639E" w14:textId="787F81A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-0.256</w:t>
            </w:r>
          </w:p>
        </w:tc>
        <w:tc>
          <w:tcPr>
            <w:tcW w:w="709" w:type="dxa"/>
            <w:vAlign w:val="bottom"/>
          </w:tcPr>
          <w:p w14:paraId="24C4904C" w14:textId="0F14C2D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2.342</w:t>
            </w:r>
          </w:p>
        </w:tc>
        <w:tc>
          <w:tcPr>
            <w:tcW w:w="850" w:type="dxa"/>
            <w:vAlign w:val="bottom"/>
          </w:tcPr>
          <w:p w14:paraId="23E07CAB" w14:textId="2A83BE39"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0.385</w:t>
            </w:r>
          </w:p>
        </w:tc>
      </w:tr>
      <w:tr w:rsidR="005E2131" w:rsidRPr="005E2131" w14:paraId="75F02F1E" w14:textId="77777777" w:rsidTr="006A7D50">
        <w:trPr>
          <w:jc w:val="center"/>
        </w:trPr>
        <w:tc>
          <w:tcPr>
            <w:tcW w:w="1277" w:type="dxa"/>
          </w:tcPr>
          <w:p w14:paraId="31E644FB" w14:textId="4B9360C8"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TY</w:t>
            </w:r>
          </w:p>
        </w:tc>
        <w:tc>
          <w:tcPr>
            <w:tcW w:w="850" w:type="dxa"/>
            <w:vAlign w:val="bottom"/>
          </w:tcPr>
          <w:p w14:paraId="13C1DBA9" w14:textId="14DB089E"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-7.360</w:t>
            </w:r>
          </w:p>
        </w:tc>
        <w:tc>
          <w:tcPr>
            <w:tcW w:w="851" w:type="dxa"/>
            <w:vAlign w:val="bottom"/>
          </w:tcPr>
          <w:p w14:paraId="0F14A981" w14:textId="4ED29419"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165FACEE" w14:textId="6F99691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-3.21</w:t>
            </w:r>
          </w:p>
        </w:tc>
        <w:tc>
          <w:tcPr>
            <w:tcW w:w="992" w:type="dxa"/>
            <w:vAlign w:val="bottom"/>
          </w:tcPr>
          <w:p w14:paraId="6F79E386" w14:textId="0BBCFED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-3.375</w:t>
            </w:r>
          </w:p>
        </w:tc>
        <w:tc>
          <w:tcPr>
            <w:tcW w:w="851" w:type="dxa"/>
            <w:vAlign w:val="bottom"/>
          </w:tcPr>
          <w:p w14:paraId="26B77BCD" w14:textId="6DFECA48"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-2.785</w:t>
            </w:r>
          </w:p>
        </w:tc>
        <w:tc>
          <w:tcPr>
            <w:tcW w:w="850" w:type="dxa"/>
            <w:vAlign w:val="bottom"/>
          </w:tcPr>
          <w:p w14:paraId="68153B51" w14:textId="0329D2BB"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-3.395</w:t>
            </w:r>
          </w:p>
        </w:tc>
        <w:tc>
          <w:tcPr>
            <w:tcW w:w="851" w:type="dxa"/>
            <w:vAlign w:val="bottom"/>
          </w:tcPr>
          <w:p w14:paraId="11917615" w14:textId="65EF8A2D"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850" w:type="dxa"/>
            <w:vAlign w:val="bottom"/>
          </w:tcPr>
          <w:p w14:paraId="146BCD70" w14:textId="3E111F4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-3.434</w:t>
            </w:r>
          </w:p>
        </w:tc>
        <w:tc>
          <w:tcPr>
            <w:tcW w:w="709" w:type="dxa"/>
            <w:vAlign w:val="bottom"/>
          </w:tcPr>
          <w:p w14:paraId="06B4F1F2" w14:textId="3232910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-7.425</w:t>
            </w:r>
          </w:p>
        </w:tc>
        <w:tc>
          <w:tcPr>
            <w:tcW w:w="709" w:type="dxa"/>
            <w:vAlign w:val="bottom"/>
          </w:tcPr>
          <w:p w14:paraId="66B2837D" w14:textId="79B74DA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-2.931</w:t>
            </w:r>
          </w:p>
        </w:tc>
        <w:tc>
          <w:tcPr>
            <w:tcW w:w="709" w:type="dxa"/>
            <w:vAlign w:val="bottom"/>
          </w:tcPr>
          <w:p w14:paraId="696B438D" w14:textId="6BD5E8B7"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-0.384</w:t>
            </w:r>
          </w:p>
        </w:tc>
        <w:tc>
          <w:tcPr>
            <w:tcW w:w="850" w:type="dxa"/>
            <w:vAlign w:val="bottom"/>
          </w:tcPr>
          <w:p w14:paraId="530B5CB3" w14:textId="13DA8125"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-3.240</w:t>
            </w:r>
          </w:p>
        </w:tc>
      </w:tr>
      <w:tr w:rsidR="005E2131" w:rsidRPr="005E2131" w14:paraId="3E396C34" w14:textId="77777777" w:rsidTr="006A7D50">
        <w:trPr>
          <w:jc w:val="center"/>
        </w:trPr>
        <w:tc>
          <w:tcPr>
            <w:tcW w:w="1277" w:type="dxa"/>
          </w:tcPr>
          <w:p w14:paraId="6043A26F" w14:textId="78B26F16"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Tres</w:t>
            </w:r>
          </w:p>
        </w:tc>
        <w:tc>
          <w:tcPr>
            <w:tcW w:w="850" w:type="dxa"/>
            <w:vAlign w:val="bottom"/>
          </w:tcPr>
          <w:p w14:paraId="1A4C87EA" w14:textId="69F111C5"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-0.738</w:t>
            </w:r>
          </w:p>
        </w:tc>
        <w:tc>
          <w:tcPr>
            <w:tcW w:w="851" w:type="dxa"/>
            <w:vAlign w:val="bottom"/>
          </w:tcPr>
          <w:p w14:paraId="0506D2C9" w14:textId="2DDA55FA"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992" w:type="dxa"/>
            <w:vAlign w:val="bottom"/>
          </w:tcPr>
          <w:p w14:paraId="3FABCC77" w14:textId="1B255DD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0.218</w:t>
            </w:r>
          </w:p>
        </w:tc>
        <w:tc>
          <w:tcPr>
            <w:tcW w:w="992" w:type="dxa"/>
            <w:vAlign w:val="bottom"/>
          </w:tcPr>
          <w:p w14:paraId="3CCFD6FC" w14:textId="14A3732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-0.081</w:t>
            </w:r>
          </w:p>
        </w:tc>
        <w:tc>
          <w:tcPr>
            <w:tcW w:w="851" w:type="dxa"/>
            <w:vAlign w:val="bottom"/>
          </w:tcPr>
          <w:p w14:paraId="71D11407" w14:textId="038CA485"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0.044</w:t>
            </w:r>
          </w:p>
        </w:tc>
        <w:tc>
          <w:tcPr>
            <w:tcW w:w="850" w:type="dxa"/>
            <w:vAlign w:val="bottom"/>
          </w:tcPr>
          <w:p w14:paraId="7CFA346B" w14:textId="45903F6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0.200</w:t>
            </w:r>
          </w:p>
        </w:tc>
        <w:tc>
          <w:tcPr>
            <w:tcW w:w="851" w:type="dxa"/>
            <w:vAlign w:val="bottom"/>
          </w:tcPr>
          <w:p w14:paraId="25B9F205" w14:textId="49DC6DD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1.473</w:t>
            </w:r>
          </w:p>
        </w:tc>
        <w:tc>
          <w:tcPr>
            <w:tcW w:w="850" w:type="dxa"/>
            <w:vAlign w:val="bottom"/>
          </w:tcPr>
          <w:p w14:paraId="69867B1D" w14:textId="341EB96F" w:rsidR="005E2131" w:rsidRPr="005E2131" w:rsidRDefault="005E2131" w:rsidP="00B25928">
            <w:pPr>
              <w:spacing w:line="480" w:lineRule="auto"/>
              <w:jc w:val="center"/>
              <w:rPr>
                <w:rFonts w:ascii="Times New Roman" w:hAnsi="Times New Roman" w:cs="Times New Roman"/>
                <w:sz w:val="18"/>
                <w:szCs w:val="20"/>
              </w:rPr>
            </w:pPr>
            <w:r>
              <w:rPr>
                <w:rFonts w:ascii="Calibri" w:hAnsi="Calibri"/>
                <w:color w:val="000000"/>
                <w:sz w:val="18"/>
                <w:szCs w:val="20"/>
              </w:rPr>
              <w:t>-</w:t>
            </w:r>
          </w:p>
        </w:tc>
        <w:tc>
          <w:tcPr>
            <w:tcW w:w="709" w:type="dxa"/>
            <w:vAlign w:val="bottom"/>
          </w:tcPr>
          <w:p w14:paraId="672DE472" w14:textId="58F21B3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-0.209</w:t>
            </w:r>
          </w:p>
        </w:tc>
        <w:tc>
          <w:tcPr>
            <w:tcW w:w="709" w:type="dxa"/>
            <w:vAlign w:val="bottom"/>
          </w:tcPr>
          <w:p w14:paraId="66A1CC3E" w14:textId="286F9A4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0.272</w:t>
            </w:r>
          </w:p>
        </w:tc>
        <w:tc>
          <w:tcPr>
            <w:tcW w:w="709" w:type="dxa"/>
            <w:vAlign w:val="bottom"/>
          </w:tcPr>
          <w:p w14:paraId="682556C4" w14:textId="5C7DFA85"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2.982</w:t>
            </w:r>
          </w:p>
        </w:tc>
        <w:tc>
          <w:tcPr>
            <w:tcW w:w="850" w:type="dxa"/>
            <w:vAlign w:val="bottom"/>
          </w:tcPr>
          <w:p w14:paraId="7B7E7AC9" w14:textId="680095A8"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0.046</w:t>
            </w:r>
          </w:p>
        </w:tc>
      </w:tr>
      <w:tr w:rsidR="005E2131" w:rsidRPr="005E2131" w14:paraId="4F0D2389" w14:textId="77777777" w:rsidTr="006A7D50">
        <w:trPr>
          <w:jc w:val="center"/>
        </w:trPr>
        <w:tc>
          <w:tcPr>
            <w:tcW w:w="1277" w:type="dxa"/>
          </w:tcPr>
          <w:p w14:paraId="37FC2E63" w14:textId="2F588288" w:rsidR="005E2131" w:rsidRPr="005E2131" w:rsidRDefault="005E2131" w:rsidP="005E2131">
            <w:pPr>
              <w:spacing w:line="480" w:lineRule="auto"/>
              <w:jc w:val="center"/>
              <w:rPr>
                <w:rFonts w:ascii="Calibri" w:hAnsi="Calibri"/>
                <w:i/>
                <w:color w:val="000000"/>
                <w:sz w:val="20"/>
                <w:szCs w:val="20"/>
              </w:rPr>
            </w:pPr>
            <w:r w:rsidRPr="005E2131">
              <w:rPr>
                <w:rFonts w:ascii="Calibri" w:hAnsi="Calibri"/>
                <w:i/>
                <w:color w:val="000000"/>
                <w:sz w:val="20"/>
                <w:szCs w:val="20"/>
              </w:rPr>
              <w:t>a</w:t>
            </w:r>
            <w:r w:rsidRPr="005E2131">
              <w:rPr>
                <w:rFonts w:ascii="Calibri" w:hAnsi="Calibri"/>
                <w:i/>
                <w:color w:val="000000"/>
                <w:sz w:val="20"/>
                <w:szCs w:val="20"/>
                <w:vertAlign w:val="subscript"/>
              </w:rPr>
              <w:t>0</w:t>
            </w:r>
          </w:p>
        </w:tc>
        <w:tc>
          <w:tcPr>
            <w:tcW w:w="850" w:type="dxa"/>
            <w:vAlign w:val="bottom"/>
          </w:tcPr>
          <w:p w14:paraId="3BF8D20B" w14:textId="1DBB5D6F"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-10.42</w:t>
            </w:r>
          </w:p>
        </w:tc>
        <w:tc>
          <w:tcPr>
            <w:tcW w:w="851" w:type="dxa"/>
            <w:vAlign w:val="bottom"/>
          </w:tcPr>
          <w:p w14:paraId="539ED0F4" w14:textId="69D7F2F0"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-4.68</w:t>
            </w:r>
          </w:p>
        </w:tc>
        <w:tc>
          <w:tcPr>
            <w:tcW w:w="992" w:type="dxa"/>
            <w:vAlign w:val="bottom"/>
          </w:tcPr>
          <w:p w14:paraId="58110C9F" w14:textId="5414AA0A"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-10.35</w:t>
            </w:r>
          </w:p>
        </w:tc>
        <w:tc>
          <w:tcPr>
            <w:tcW w:w="992" w:type="dxa"/>
            <w:vAlign w:val="bottom"/>
          </w:tcPr>
          <w:p w14:paraId="211E1332" w14:textId="720A0712"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-10.35</w:t>
            </w:r>
          </w:p>
        </w:tc>
        <w:tc>
          <w:tcPr>
            <w:tcW w:w="851" w:type="dxa"/>
            <w:vAlign w:val="bottom"/>
          </w:tcPr>
          <w:p w14:paraId="0EC2FC22" w14:textId="679B8883"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-9.556</w:t>
            </w:r>
          </w:p>
        </w:tc>
        <w:tc>
          <w:tcPr>
            <w:tcW w:w="850" w:type="dxa"/>
            <w:vAlign w:val="bottom"/>
          </w:tcPr>
          <w:p w14:paraId="694F4F82" w14:textId="36B2977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-10.55</w:t>
            </w:r>
          </w:p>
        </w:tc>
        <w:tc>
          <w:tcPr>
            <w:tcW w:w="851" w:type="dxa"/>
            <w:vAlign w:val="bottom"/>
          </w:tcPr>
          <w:p w14:paraId="22AA200B" w14:textId="3881C9DB"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-10.38</w:t>
            </w:r>
          </w:p>
        </w:tc>
        <w:tc>
          <w:tcPr>
            <w:tcW w:w="850" w:type="dxa"/>
            <w:vAlign w:val="bottom"/>
          </w:tcPr>
          <w:p w14:paraId="739C1C76" w14:textId="46887114"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-9.727</w:t>
            </w:r>
          </w:p>
        </w:tc>
        <w:tc>
          <w:tcPr>
            <w:tcW w:w="709" w:type="dxa"/>
            <w:vAlign w:val="bottom"/>
          </w:tcPr>
          <w:p w14:paraId="46FCCC3C" w14:textId="7DAE2746"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-11.95</w:t>
            </w:r>
          </w:p>
        </w:tc>
        <w:tc>
          <w:tcPr>
            <w:tcW w:w="709" w:type="dxa"/>
            <w:vAlign w:val="bottom"/>
          </w:tcPr>
          <w:p w14:paraId="6B33ECE4" w14:textId="14F12BC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-10.50</w:t>
            </w:r>
          </w:p>
        </w:tc>
        <w:tc>
          <w:tcPr>
            <w:tcW w:w="709" w:type="dxa"/>
            <w:vAlign w:val="bottom"/>
          </w:tcPr>
          <w:p w14:paraId="4213D187" w14:textId="0079CC5D"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-15.73</w:t>
            </w:r>
          </w:p>
        </w:tc>
        <w:tc>
          <w:tcPr>
            <w:tcW w:w="850" w:type="dxa"/>
            <w:vAlign w:val="bottom"/>
          </w:tcPr>
          <w:p w14:paraId="0D59F4B3" w14:textId="6960FCEB" w:rsidR="005E2131" w:rsidRPr="005E2131" w:rsidRDefault="005E2131" w:rsidP="00B25928">
            <w:pPr>
              <w:spacing w:line="480" w:lineRule="auto"/>
              <w:jc w:val="center"/>
              <w:rPr>
                <w:rFonts w:ascii="Times New Roman" w:hAnsi="Times New Roman" w:cs="Times New Roman"/>
                <w:sz w:val="18"/>
                <w:szCs w:val="20"/>
              </w:rPr>
            </w:pPr>
            <w:r w:rsidRPr="005E2131">
              <w:rPr>
                <w:rFonts w:ascii="Calibri" w:hAnsi="Calibri"/>
                <w:color w:val="000000"/>
                <w:sz w:val="18"/>
                <w:szCs w:val="20"/>
              </w:rPr>
              <w:t>-9.55</w:t>
            </w:r>
          </w:p>
        </w:tc>
      </w:tr>
    </w:tbl>
    <w:p w14:paraId="2C004CE5" w14:textId="77777777" w:rsidR="00D33E1B" w:rsidRDefault="00D33E1B" w:rsidP="00D33E1B">
      <w:pPr>
        <w:spacing w:line="480" w:lineRule="auto"/>
        <w:rPr>
          <w:rFonts w:ascii="Times New Roman" w:hAnsi="Times New Roman" w:cs="Times New Roman"/>
        </w:rPr>
      </w:pPr>
    </w:p>
    <w:p w14:paraId="19C2C0F0" w14:textId="5B0A4581" w:rsidR="00F71B63" w:rsidRDefault="004A1F5C">
      <w:pPr>
        <w:rPr>
          <w:rFonts w:ascii="Times New Roman" w:hAnsi="Times New Roman" w:cs="Times New Roman"/>
        </w:rPr>
      </w:pPr>
      <w:r>
        <w:rPr>
          <w:rFonts w:ascii="Times New Roman" w:hAnsi="Times New Roman" w:cs="Times New Roman"/>
        </w:rPr>
        <w:br w:type="page"/>
      </w:r>
    </w:p>
    <w:p w14:paraId="634EB7BE" w14:textId="3ED06046" w:rsidR="00F71B63" w:rsidRDefault="00F71B63" w:rsidP="007068B9">
      <w:pPr>
        <w:spacing w:line="480" w:lineRule="auto"/>
        <w:rPr>
          <w:rFonts w:ascii="Times New Roman" w:hAnsi="Times New Roman" w:cs="Times New Roman"/>
        </w:rPr>
      </w:pPr>
      <w:r>
        <w:rPr>
          <w:rFonts w:ascii="Times New Roman" w:hAnsi="Times New Roman" w:cs="Times New Roman"/>
        </w:rPr>
        <w:lastRenderedPageBreak/>
        <w:t>Web Table 2:</w:t>
      </w:r>
      <w:r w:rsidR="007068B9">
        <w:rPr>
          <w:rFonts w:ascii="Times New Roman" w:hAnsi="Times New Roman" w:cs="Times New Roman"/>
        </w:rPr>
        <w:t xml:space="preserve"> decimal logarithm of the probability of observing no epidemic in the five non-epidemic data points estimated with parameters inferred from the analysis </w:t>
      </w:r>
      <w:r w:rsidR="007068B9" w:rsidRPr="007068B9">
        <w:rPr>
          <w:rFonts w:ascii="Times New Roman" w:hAnsi="Times New Roman" w:cs="Times New Roman"/>
          <w:u w:val="single"/>
        </w:rPr>
        <w:t>excluding</w:t>
      </w:r>
      <w:r w:rsidR="007068B9">
        <w:rPr>
          <w:rFonts w:ascii="Times New Roman" w:hAnsi="Times New Roman" w:cs="Times New Roman"/>
        </w:rPr>
        <w:t xml:space="preserve"> non-epidemic data points. Results are shown only for the four sub-models used for testing the link between epidemic onset dates and temperature.</w:t>
      </w:r>
    </w:p>
    <w:p w14:paraId="5DEBCF0F" w14:textId="77777777" w:rsidR="00F71B63" w:rsidRDefault="00F71B63">
      <w:pPr>
        <w:rPr>
          <w:rFonts w:ascii="Times New Roman" w:hAnsi="Times New Roman" w:cs="Times New Roman"/>
        </w:rPr>
      </w:pPr>
    </w:p>
    <w:p w14:paraId="74AF602E" w14:textId="77777777" w:rsidR="00A21CC2" w:rsidRDefault="00A21CC2" w:rsidP="00A21CC2">
      <w:pPr>
        <w:rPr>
          <w:rFonts w:ascii="Times New Roman" w:hAnsi="Times New Roman" w:cs="Times New Roman"/>
        </w:rPr>
      </w:pPr>
    </w:p>
    <w:tbl>
      <w:tblPr>
        <w:tblStyle w:val="TableGrid"/>
        <w:tblW w:w="1034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1134"/>
        <w:gridCol w:w="1276"/>
        <w:gridCol w:w="1276"/>
        <w:gridCol w:w="2126"/>
      </w:tblGrid>
      <w:tr w:rsidR="007068B9" w14:paraId="6099FC97" w14:textId="77777777" w:rsidTr="007068B9">
        <w:trPr>
          <w:trHeight w:hRule="exact" w:val="567"/>
        </w:trPr>
        <w:tc>
          <w:tcPr>
            <w:tcW w:w="4537" w:type="dxa"/>
          </w:tcPr>
          <w:p w14:paraId="532B5B70" w14:textId="7EF34342" w:rsidR="007068B9" w:rsidRDefault="007068B9" w:rsidP="00E502D2">
            <w:pPr>
              <w:jc w:val="center"/>
              <w:rPr>
                <w:rFonts w:ascii="Times New Roman" w:hAnsi="Times New Roman" w:cs="Times New Roman"/>
              </w:rPr>
            </w:pPr>
            <w:r>
              <w:rPr>
                <w:rFonts w:ascii="Times New Roman" w:hAnsi="Times New Roman" w:cs="Times New Roman"/>
              </w:rPr>
              <w:t>Data point = Region (epidemic year)</w:t>
            </w:r>
          </w:p>
        </w:tc>
        <w:tc>
          <w:tcPr>
            <w:tcW w:w="5812" w:type="dxa"/>
            <w:gridSpan w:val="4"/>
            <w:tcBorders>
              <w:bottom w:val="single" w:sz="4" w:space="0" w:color="auto"/>
            </w:tcBorders>
          </w:tcPr>
          <w:p w14:paraId="68535969" w14:textId="7D92FB76" w:rsidR="007068B9" w:rsidRDefault="007068B9" w:rsidP="00E502D2">
            <w:pPr>
              <w:jc w:val="center"/>
            </w:pPr>
            <w:r>
              <w:t>Sub-model</w:t>
            </w:r>
          </w:p>
        </w:tc>
      </w:tr>
      <w:tr w:rsidR="00A21CC2" w14:paraId="02A4ADEE" w14:textId="77777777" w:rsidTr="007068B9">
        <w:trPr>
          <w:trHeight w:hRule="exact" w:val="567"/>
        </w:trPr>
        <w:tc>
          <w:tcPr>
            <w:tcW w:w="4537" w:type="dxa"/>
            <w:tcBorders>
              <w:bottom w:val="double" w:sz="4" w:space="0" w:color="auto"/>
            </w:tcBorders>
          </w:tcPr>
          <w:p w14:paraId="0709C717" w14:textId="0ED0E524" w:rsidR="00A21CC2" w:rsidRDefault="00A21CC2" w:rsidP="00E502D2">
            <w:pPr>
              <w:jc w:val="center"/>
              <w:rPr>
                <w:rFonts w:ascii="Times New Roman" w:hAnsi="Times New Roman" w:cs="Times New Roman"/>
              </w:rPr>
            </w:pPr>
          </w:p>
        </w:tc>
        <w:tc>
          <w:tcPr>
            <w:tcW w:w="1134" w:type="dxa"/>
            <w:tcBorders>
              <w:top w:val="single" w:sz="4" w:space="0" w:color="auto"/>
              <w:bottom w:val="double" w:sz="4" w:space="0" w:color="auto"/>
            </w:tcBorders>
          </w:tcPr>
          <w:p w14:paraId="1D2772EF" w14:textId="77777777" w:rsidR="00A21CC2" w:rsidRPr="00DC6C13" w:rsidRDefault="00A21CC2" w:rsidP="00E502D2">
            <w:pPr>
              <w:jc w:val="center"/>
            </w:pPr>
            <w:r>
              <w:t>T: global</w:t>
            </w:r>
          </w:p>
        </w:tc>
        <w:tc>
          <w:tcPr>
            <w:tcW w:w="1276" w:type="dxa"/>
            <w:tcBorders>
              <w:top w:val="single" w:sz="4" w:space="0" w:color="auto"/>
              <w:bottom w:val="double" w:sz="4" w:space="0" w:color="auto"/>
            </w:tcBorders>
          </w:tcPr>
          <w:p w14:paraId="0D70E96F" w14:textId="77777777" w:rsidR="00A21CC2" w:rsidRPr="00DC6C13" w:rsidRDefault="00A21CC2" w:rsidP="00E502D2">
            <w:pPr>
              <w:jc w:val="center"/>
            </w:pPr>
            <w:r>
              <w:t>T: spatial</w:t>
            </w:r>
          </w:p>
        </w:tc>
        <w:tc>
          <w:tcPr>
            <w:tcW w:w="1276" w:type="dxa"/>
            <w:tcBorders>
              <w:top w:val="single" w:sz="4" w:space="0" w:color="auto"/>
              <w:bottom w:val="double" w:sz="4" w:space="0" w:color="auto"/>
            </w:tcBorders>
          </w:tcPr>
          <w:p w14:paraId="3FB7FA0D" w14:textId="77777777" w:rsidR="00A21CC2" w:rsidRPr="00DC6C13" w:rsidRDefault="00A21CC2" w:rsidP="00E502D2">
            <w:pPr>
              <w:ind w:left="35"/>
              <w:jc w:val="center"/>
            </w:pPr>
            <w:r>
              <w:t>T: annual</w:t>
            </w:r>
          </w:p>
        </w:tc>
        <w:tc>
          <w:tcPr>
            <w:tcW w:w="2126" w:type="dxa"/>
            <w:tcBorders>
              <w:top w:val="single" w:sz="4" w:space="0" w:color="auto"/>
              <w:bottom w:val="double" w:sz="4" w:space="0" w:color="auto"/>
            </w:tcBorders>
          </w:tcPr>
          <w:p w14:paraId="10009D71" w14:textId="77777777" w:rsidR="00A21CC2" w:rsidRPr="00DC6C13" w:rsidRDefault="00A21CC2" w:rsidP="00E502D2">
            <w:pPr>
              <w:jc w:val="center"/>
            </w:pPr>
            <w:r>
              <w:t>T: spatiotemporal</w:t>
            </w:r>
          </w:p>
        </w:tc>
      </w:tr>
      <w:tr w:rsidR="00A21CC2" w14:paraId="44A2B2C1" w14:textId="77777777" w:rsidTr="007068B9">
        <w:trPr>
          <w:trHeight w:hRule="exact" w:val="567"/>
        </w:trPr>
        <w:tc>
          <w:tcPr>
            <w:tcW w:w="4537" w:type="dxa"/>
            <w:tcBorders>
              <w:top w:val="double" w:sz="4" w:space="0" w:color="auto"/>
            </w:tcBorders>
          </w:tcPr>
          <w:p w14:paraId="02B12795" w14:textId="77777777" w:rsidR="00A21CC2" w:rsidRDefault="00A21CC2" w:rsidP="00E502D2">
            <w:pPr>
              <w:jc w:val="center"/>
              <w:rPr>
                <w:rFonts w:ascii="Times New Roman" w:hAnsi="Times New Roman" w:cs="Times New Roman"/>
              </w:rPr>
            </w:pPr>
            <w:r w:rsidRPr="0077512A">
              <w:t>Haute-Normandie (2007-2008)</w:t>
            </w:r>
          </w:p>
        </w:tc>
        <w:tc>
          <w:tcPr>
            <w:tcW w:w="1134" w:type="dxa"/>
            <w:tcBorders>
              <w:top w:val="double" w:sz="4" w:space="0" w:color="auto"/>
            </w:tcBorders>
          </w:tcPr>
          <w:p w14:paraId="6148215F" w14:textId="77777777" w:rsidR="00A21CC2" w:rsidRDefault="00A21CC2" w:rsidP="00E502D2">
            <w:pPr>
              <w:jc w:val="center"/>
              <w:rPr>
                <w:rFonts w:ascii="Times New Roman" w:hAnsi="Times New Roman" w:cs="Times New Roman"/>
              </w:rPr>
            </w:pPr>
            <w:r w:rsidRPr="00DC6C13">
              <w:t>-8.58</w:t>
            </w:r>
          </w:p>
        </w:tc>
        <w:tc>
          <w:tcPr>
            <w:tcW w:w="1276" w:type="dxa"/>
            <w:tcBorders>
              <w:top w:val="double" w:sz="4" w:space="0" w:color="auto"/>
            </w:tcBorders>
          </w:tcPr>
          <w:p w14:paraId="27352ABA" w14:textId="77777777" w:rsidR="00A21CC2" w:rsidRDefault="00A21CC2" w:rsidP="00E502D2">
            <w:pPr>
              <w:jc w:val="center"/>
              <w:rPr>
                <w:rFonts w:ascii="Times New Roman" w:hAnsi="Times New Roman" w:cs="Times New Roman"/>
              </w:rPr>
            </w:pPr>
            <w:r w:rsidRPr="00DC6C13">
              <w:t>-4.93</w:t>
            </w:r>
          </w:p>
        </w:tc>
        <w:tc>
          <w:tcPr>
            <w:tcW w:w="1276" w:type="dxa"/>
            <w:tcBorders>
              <w:top w:val="double" w:sz="4" w:space="0" w:color="auto"/>
            </w:tcBorders>
          </w:tcPr>
          <w:p w14:paraId="3DB4DF03" w14:textId="77777777" w:rsidR="00A21CC2" w:rsidRDefault="00A21CC2" w:rsidP="00E502D2">
            <w:pPr>
              <w:ind w:left="35"/>
              <w:jc w:val="center"/>
              <w:rPr>
                <w:rFonts w:ascii="Times New Roman" w:hAnsi="Times New Roman" w:cs="Times New Roman"/>
              </w:rPr>
            </w:pPr>
            <w:r w:rsidRPr="00DC6C13">
              <w:t>-6.08</w:t>
            </w:r>
          </w:p>
        </w:tc>
        <w:tc>
          <w:tcPr>
            <w:tcW w:w="2126" w:type="dxa"/>
            <w:tcBorders>
              <w:top w:val="double" w:sz="4" w:space="0" w:color="auto"/>
            </w:tcBorders>
          </w:tcPr>
          <w:p w14:paraId="5EDC4DD4" w14:textId="77777777" w:rsidR="00A21CC2" w:rsidRDefault="00A21CC2" w:rsidP="00E502D2">
            <w:pPr>
              <w:jc w:val="center"/>
              <w:rPr>
                <w:rFonts w:ascii="Times New Roman" w:hAnsi="Times New Roman" w:cs="Times New Roman"/>
              </w:rPr>
            </w:pPr>
            <w:r w:rsidRPr="00DC6C13">
              <w:t>-7.57</w:t>
            </w:r>
          </w:p>
        </w:tc>
      </w:tr>
      <w:tr w:rsidR="00A21CC2" w14:paraId="6C3CADF8" w14:textId="77777777" w:rsidTr="007068B9">
        <w:trPr>
          <w:trHeight w:hRule="exact" w:val="567"/>
        </w:trPr>
        <w:tc>
          <w:tcPr>
            <w:tcW w:w="4537" w:type="dxa"/>
          </w:tcPr>
          <w:p w14:paraId="30B06FCE" w14:textId="77777777" w:rsidR="00A21CC2" w:rsidRPr="00A21CC2" w:rsidRDefault="00A21CC2" w:rsidP="00E502D2">
            <w:pPr>
              <w:jc w:val="center"/>
              <w:rPr>
                <w:rFonts w:ascii="Times New Roman" w:hAnsi="Times New Roman" w:cs="Times New Roman"/>
                <w:lang w:val="fr-FR"/>
              </w:rPr>
            </w:pPr>
            <w:r w:rsidRPr="00A21CC2">
              <w:rPr>
                <w:lang w:val="fr-FR"/>
              </w:rPr>
              <w:t>Provence-Alpes-Côte-D’azur (2007-2008</w:t>
            </w:r>
            <w:r>
              <w:rPr>
                <w:lang w:val="fr-FR"/>
              </w:rPr>
              <w:t>)</w:t>
            </w:r>
          </w:p>
        </w:tc>
        <w:tc>
          <w:tcPr>
            <w:tcW w:w="1134" w:type="dxa"/>
          </w:tcPr>
          <w:p w14:paraId="7BBDF591" w14:textId="77777777" w:rsidR="00A21CC2" w:rsidRDefault="00A21CC2" w:rsidP="00E502D2">
            <w:pPr>
              <w:jc w:val="center"/>
              <w:rPr>
                <w:rFonts w:ascii="Times New Roman" w:hAnsi="Times New Roman" w:cs="Times New Roman"/>
              </w:rPr>
            </w:pPr>
            <w:r w:rsidRPr="00DC6C13">
              <w:t>-14.46</w:t>
            </w:r>
          </w:p>
        </w:tc>
        <w:tc>
          <w:tcPr>
            <w:tcW w:w="1276" w:type="dxa"/>
          </w:tcPr>
          <w:p w14:paraId="4182C3AC" w14:textId="77777777" w:rsidR="00A21CC2" w:rsidRDefault="00A21CC2" w:rsidP="00E502D2">
            <w:pPr>
              <w:jc w:val="center"/>
              <w:rPr>
                <w:rFonts w:ascii="Times New Roman" w:hAnsi="Times New Roman" w:cs="Times New Roman"/>
              </w:rPr>
            </w:pPr>
            <w:r w:rsidRPr="00DC6C13">
              <w:t>-5.02</w:t>
            </w:r>
          </w:p>
        </w:tc>
        <w:tc>
          <w:tcPr>
            <w:tcW w:w="1276" w:type="dxa"/>
          </w:tcPr>
          <w:p w14:paraId="50996B09" w14:textId="77777777" w:rsidR="00A21CC2" w:rsidRDefault="00A21CC2" w:rsidP="00E502D2">
            <w:pPr>
              <w:jc w:val="center"/>
              <w:rPr>
                <w:rFonts w:ascii="Times New Roman" w:hAnsi="Times New Roman" w:cs="Times New Roman"/>
              </w:rPr>
            </w:pPr>
            <w:r w:rsidRPr="00DC6C13">
              <w:t>-25.65</w:t>
            </w:r>
          </w:p>
        </w:tc>
        <w:tc>
          <w:tcPr>
            <w:tcW w:w="2126" w:type="dxa"/>
          </w:tcPr>
          <w:p w14:paraId="28AC1209" w14:textId="77777777" w:rsidR="00A21CC2" w:rsidRDefault="00A21CC2" w:rsidP="00E502D2">
            <w:pPr>
              <w:jc w:val="center"/>
              <w:rPr>
                <w:rFonts w:ascii="Times New Roman" w:hAnsi="Times New Roman" w:cs="Times New Roman"/>
              </w:rPr>
            </w:pPr>
            <w:r w:rsidRPr="00DC6C13">
              <w:t>-13.28</w:t>
            </w:r>
          </w:p>
        </w:tc>
      </w:tr>
      <w:tr w:rsidR="00A21CC2" w14:paraId="0BE6B0BA" w14:textId="77777777" w:rsidTr="007068B9">
        <w:trPr>
          <w:trHeight w:hRule="exact" w:val="567"/>
        </w:trPr>
        <w:tc>
          <w:tcPr>
            <w:tcW w:w="4537" w:type="dxa"/>
          </w:tcPr>
          <w:p w14:paraId="6EEB06F7" w14:textId="77777777" w:rsidR="00A21CC2" w:rsidRDefault="00A21CC2" w:rsidP="00E502D2">
            <w:pPr>
              <w:jc w:val="center"/>
              <w:rPr>
                <w:rFonts w:ascii="Times New Roman" w:hAnsi="Times New Roman" w:cs="Times New Roman"/>
              </w:rPr>
            </w:pPr>
            <w:r w:rsidRPr="0077512A">
              <w:t>Auvergne (2011-2012)</w:t>
            </w:r>
          </w:p>
        </w:tc>
        <w:tc>
          <w:tcPr>
            <w:tcW w:w="1134" w:type="dxa"/>
          </w:tcPr>
          <w:p w14:paraId="497725F2" w14:textId="77777777" w:rsidR="00A21CC2" w:rsidRDefault="00A21CC2" w:rsidP="00E502D2">
            <w:pPr>
              <w:jc w:val="center"/>
              <w:rPr>
                <w:rFonts w:ascii="Times New Roman" w:hAnsi="Times New Roman" w:cs="Times New Roman"/>
              </w:rPr>
            </w:pPr>
            <w:r w:rsidRPr="00DC6C13">
              <w:t>-10.86</w:t>
            </w:r>
          </w:p>
        </w:tc>
        <w:tc>
          <w:tcPr>
            <w:tcW w:w="1276" w:type="dxa"/>
          </w:tcPr>
          <w:p w14:paraId="7AF78443" w14:textId="77777777" w:rsidR="00A21CC2" w:rsidRDefault="00A21CC2" w:rsidP="00E502D2">
            <w:pPr>
              <w:jc w:val="center"/>
              <w:rPr>
                <w:rFonts w:ascii="Times New Roman" w:hAnsi="Times New Roman" w:cs="Times New Roman"/>
              </w:rPr>
            </w:pPr>
            <w:r w:rsidRPr="00DC6C13">
              <w:t>-5.78</w:t>
            </w:r>
          </w:p>
        </w:tc>
        <w:tc>
          <w:tcPr>
            <w:tcW w:w="1276" w:type="dxa"/>
          </w:tcPr>
          <w:p w14:paraId="0499E5E5" w14:textId="77777777" w:rsidR="00A21CC2" w:rsidRDefault="00A21CC2" w:rsidP="00E502D2">
            <w:pPr>
              <w:ind w:left="35"/>
              <w:jc w:val="center"/>
              <w:rPr>
                <w:rFonts w:ascii="Times New Roman" w:hAnsi="Times New Roman" w:cs="Times New Roman"/>
              </w:rPr>
            </w:pPr>
            <w:r w:rsidRPr="00DC6C13">
              <w:t>-4.25</w:t>
            </w:r>
          </w:p>
        </w:tc>
        <w:tc>
          <w:tcPr>
            <w:tcW w:w="2126" w:type="dxa"/>
          </w:tcPr>
          <w:p w14:paraId="1F1536DE" w14:textId="77777777" w:rsidR="00A21CC2" w:rsidRDefault="00A21CC2" w:rsidP="00E502D2">
            <w:pPr>
              <w:ind w:left="35"/>
              <w:jc w:val="center"/>
              <w:rPr>
                <w:rFonts w:ascii="Times New Roman" w:hAnsi="Times New Roman" w:cs="Times New Roman"/>
              </w:rPr>
            </w:pPr>
            <w:r w:rsidRPr="00DC6C13">
              <w:t>-13.88</w:t>
            </w:r>
          </w:p>
        </w:tc>
      </w:tr>
      <w:tr w:rsidR="00A21CC2" w14:paraId="49FE9218" w14:textId="77777777" w:rsidTr="007068B9">
        <w:trPr>
          <w:trHeight w:hRule="exact" w:val="567"/>
        </w:trPr>
        <w:tc>
          <w:tcPr>
            <w:tcW w:w="4537" w:type="dxa"/>
          </w:tcPr>
          <w:p w14:paraId="2C168D63" w14:textId="77777777" w:rsidR="00A21CC2" w:rsidRDefault="00A21CC2" w:rsidP="00E502D2">
            <w:pPr>
              <w:jc w:val="center"/>
              <w:rPr>
                <w:rFonts w:ascii="Times New Roman" w:hAnsi="Times New Roman" w:cs="Times New Roman"/>
              </w:rPr>
            </w:pPr>
            <w:r w:rsidRPr="0077512A">
              <w:t>Haute-Normandie (2011-2012)</w:t>
            </w:r>
          </w:p>
        </w:tc>
        <w:tc>
          <w:tcPr>
            <w:tcW w:w="1134" w:type="dxa"/>
          </w:tcPr>
          <w:p w14:paraId="783AE32E" w14:textId="77777777" w:rsidR="00A21CC2" w:rsidRDefault="00A21CC2" w:rsidP="00E502D2">
            <w:pPr>
              <w:jc w:val="center"/>
              <w:rPr>
                <w:rFonts w:ascii="Times New Roman" w:hAnsi="Times New Roman" w:cs="Times New Roman"/>
              </w:rPr>
            </w:pPr>
            <w:r w:rsidRPr="00DC6C13">
              <w:t>-12.82</w:t>
            </w:r>
          </w:p>
        </w:tc>
        <w:tc>
          <w:tcPr>
            <w:tcW w:w="1276" w:type="dxa"/>
          </w:tcPr>
          <w:p w14:paraId="062A6236" w14:textId="77777777" w:rsidR="00A21CC2" w:rsidRDefault="00A21CC2" w:rsidP="00E502D2">
            <w:pPr>
              <w:jc w:val="center"/>
              <w:rPr>
                <w:rFonts w:ascii="Times New Roman" w:hAnsi="Times New Roman" w:cs="Times New Roman"/>
              </w:rPr>
            </w:pPr>
            <w:r w:rsidRPr="00DC6C13">
              <w:t>-8.35</w:t>
            </w:r>
          </w:p>
        </w:tc>
        <w:tc>
          <w:tcPr>
            <w:tcW w:w="1276" w:type="dxa"/>
          </w:tcPr>
          <w:p w14:paraId="230666E5" w14:textId="77777777" w:rsidR="00A21CC2" w:rsidRDefault="00A21CC2" w:rsidP="00E502D2">
            <w:pPr>
              <w:ind w:left="35"/>
              <w:jc w:val="center"/>
              <w:rPr>
                <w:rFonts w:ascii="Times New Roman" w:hAnsi="Times New Roman" w:cs="Times New Roman"/>
              </w:rPr>
            </w:pPr>
            <w:r w:rsidRPr="00DC6C13">
              <w:t>-5.00</w:t>
            </w:r>
          </w:p>
        </w:tc>
        <w:tc>
          <w:tcPr>
            <w:tcW w:w="2126" w:type="dxa"/>
          </w:tcPr>
          <w:p w14:paraId="47A61849" w14:textId="77777777" w:rsidR="00A21CC2" w:rsidRDefault="00A21CC2" w:rsidP="00E502D2">
            <w:pPr>
              <w:ind w:left="35"/>
              <w:jc w:val="center"/>
              <w:rPr>
                <w:rFonts w:ascii="Times New Roman" w:hAnsi="Times New Roman" w:cs="Times New Roman"/>
              </w:rPr>
            </w:pPr>
            <w:r w:rsidRPr="00DC6C13">
              <w:t>-16.46</w:t>
            </w:r>
          </w:p>
        </w:tc>
      </w:tr>
      <w:tr w:rsidR="00A21CC2" w14:paraId="306A23AB" w14:textId="77777777" w:rsidTr="007068B9">
        <w:trPr>
          <w:trHeight w:hRule="exact" w:val="567"/>
        </w:trPr>
        <w:tc>
          <w:tcPr>
            <w:tcW w:w="4537" w:type="dxa"/>
            <w:tcBorders>
              <w:bottom w:val="single" w:sz="4" w:space="0" w:color="auto"/>
            </w:tcBorders>
          </w:tcPr>
          <w:p w14:paraId="463779EF" w14:textId="77777777" w:rsidR="00A21CC2" w:rsidRDefault="00A21CC2" w:rsidP="00E502D2">
            <w:pPr>
              <w:jc w:val="center"/>
              <w:rPr>
                <w:rFonts w:ascii="Times New Roman" w:hAnsi="Times New Roman" w:cs="Times New Roman"/>
              </w:rPr>
            </w:pPr>
            <w:r w:rsidRPr="0077512A">
              <w:t>Pays-de-la-Loire (2011-2012)</w:t>
            </w:r>
          </w:p>
        </w:tc>
        <w:tc>
          <w:tcPr>
            <w:tcW w:w="1134" w:type="dxa"/>
            <w:tcBorders>
              <w:bottom w:val="single" w:sz="4" w:space="0" w:color="auto"/>
            </w:tcBorders>
          </w:tcPr>
          <w:p w14:paraId="594DB025" w14:textId="77777777" w:rsidR="00A21CC2" w:rsidRDefault="00A21CC2" w:rsidP="00E502D2">
            <w:pPr>
              <w:jc w:val="center"/>
              <w:rPr>
                <w:rFonts w:ascii="Times New Roman" w:hAnsi="Times New Roman" w:cs="Times New Roman"/>
              </w:rPr>
            </w:pPr>
            <w:r w:rsidRPr="00DC6C13">
              <w:t>-13.59</w:t>
            </w:r>
          </w:p>
        </w:tc>
        <w:tc>
          <w:tcPr>
            <w:tcW w:w="1276" w:type="dxa"/>
            <w:tcBorders>
              <w:bottom w:val="single" w:sz="4" w:space="0" w:color="auto"/>
            </w:tcBorders>
          </w:tcPr>
          <w:p w14:paraId="146B71FB" w14:textId="77777777" w:rsidR="00A21CC2" w:rsidRDefault="00A21CC2" w:rsidP="00E502D2">
            <w:pPr>
              <w:jc w:val="center"/>
              <w:rPr>
                <w:rFonts w:ascii="Times New Roman" w:hAnsi="Times New Roman" w:cs="Times New Roman"/>
              </w:rPr>
            </w:pPr>
            <w:r w:rsidRPr="00DC6C13">
              <w:t>-5.89</w:t>
            </w:r>
          </w:p>
        </w:tc>
        <w:tc>
          <w:tcPr>
            <w:tcW w:w="1276" w:type="dxa"/>
            <w:tcBorders>
              <w:bottom w:val="single" w:sz="4" w:space="0" w:color="auto"/>
            </w:tcBorders>
          </w:tcPr>
          <w:p w14:paraId="79006B4B" w14:textId="77777777" w:rsidR="00A21CC2" w:rsidRDefault="00A21CC2" w:rsidP="00E502D2">
            <w:pPr>
              <w:ind w:left="35"/>
              <w:jc w:val="center"/>
              <w:rPr>
                <w:rFonts w:ascii="Times New Roman" w:hAnsi="Times New Roman" w:cs="Times New Roman"/>
              </w:rPr>
            </w:pPr>
            <w:r w:rsidRPr="00DC6C13">
              <w:t>-5.81</w:t>
            </w:r>
          </w:p>
        </w:tc>
        <w:tc>
          <w:tcPr>
            <w:tcW w:w="2126" w:type="dxa"/>
            <w:tcBorders>
              <w:bottom w:val="single" w:sz="4" w:space="0" w:color="auto"/>
            </w:tcBorders>
          </w:tcPr>
          <w:p w14:paraId="20211688" w14:textId="77777777" w:rsidR="00A21CC2" w:rsidRDefault="00A21CC2" w:rsidP="00E502D2">
            <w:pPr>
              <w:ind w:left="35"/>
              <w:jc w:val="center"/>
              <w:rPr>
                <w:rFonts w:ascii="Times New Roman" w:hAnsi="Times New Roman" w:cs="Times New Roman"/>
              </w:rPr>
            </w:pPr>
            <w:r w:rsidRPr="00DC6C13">
              <w:t>-14.28</w:t>
            </w:r>
          </w:p>
        </w:tc>
      </w:tr>
    </w:tbl>
    <w:p w14:paraId="72E71CCD" w14:textId="77777777" w:rsidR="00A21CC2" w:rsidRDefault="00A21CC2" w:rsidP="00A21CC2">
      <w:pPr>
        <w:rPr>
          <w:rFonts w:ascii="Times New Roman" w:hAnsi="Times New Roman" w:cs="Times New Roman"/>
        </w:rPr>
      </w:pPr>
    </w:p>
    <w:p w14:paraId="783EF6A4" w14:textId="77777777" w:rsidR="00F71B63" w:rsidRDefault="00F71B63">
      <w:pPr>
        <w:rPr>
          <w:rFonts w:ascii="Times New Roman" w:hAnsi="Times New Roman" w:cs="Times New Roman"/>
        </w:rPr>
      </w:pPr>
    </w:p>
    <w:p w14:paraId="2288EC2A" w14:textId="79D8C106" w:rsidR="00F71B63" w:rsidRDefault="00F71B63">
      <w:pPr>
        <w:rPr>
          <w:rFonts w:ascii="Times New Roman" w:hAnsi="Times New Roman" w:cs="Times New Roman"/>
        </w:rPr>
      </w:pPr>
      <w:r>
        <w:rPr>
          <w:rFonts w:ascii="Times New Roman" w:hAnsi="Times New Roman" w:cs="Times New Roman"/>
        </w:rPr>
        <w:br w:type="page"/>
      </w:r>
    </w:p>
    <w:p w14:paraId="3051D92A" w14:textId="45C15686" w:rsidR="007068B9" w:rsidRDefault="007068B9" w:rsidP="007068B9">
      <w:pPr>
        <w:spacing w:line="480" w:lineRule="auto"/>
        <w:rPr>
          <w:rFonts w:ascii="Times New Roman" w:hAnsi="Times New Roman" w:cs="Times New Roman"/>
        </w:rPr>
      </w:pPr>
      <w:r>
        <w:rPr>
          <w:rFonts w:ascii="Times New Roman" w:hAnsi="Times New Roman" w:cs="Times New Roman"/>
        </w:rPr>
        <w:lastRenderedPageBreak/>
        <w:t xml:space="preserve">Web Table 3: decimal logarithm of the probability of observing no epidemic in the five non-epidemic data points estimated with parameters inferred from the analysis </w:t>
      </w:r>
      <w:r w:rsidRPr="007068B9">
        <w:rPr>
          <w:rFonts w:ascii="Times New Roman" w:hAnsi="Times New Roman" w:cs="Times New Roman"/>
          <w:u w:val="single"/>
        </w:rPr>
        <w:t>including</w:t>
      </w:r>
      <w:r>
        <w:rPr>
          <w:rFonts w:ascii="Times New Roman" w:hAnsi="Times New Roman" w:cs="Times New Roman"/>
        </w:rPr>
        <w:t xml:space="preserve"> non-epidemic data points. Results are shown only for the four sub-models used for testing the link between epidemic onset dates and temperature.</w:t>
      </w:r>
    </w:p>
    <w:p w14:paraId="779A941C" w14:textId="77777777" w:rsidR="00F71B63" w:rsidRDefault="00F71B63" w:rsidP="00F71B63">
      <w:pPr>
        <w:rPr>
          <w:rFonts w:ascii="Times New Roman" w:hAnsi="Times New Roman" w:cs="Times New Roman"/>
        </w:rPr>
      </w:pPr>
    </w:p>
    <w:tbl>
      <w:tblPr>
        <w:tblStyle w:val="TableGrid"/>
        <w:tblW w:w="1034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1134"/>
        <w:gridCol w:w="1276"/>
        <w:gridCol w:w="1276"/>
        <w:gridCol w:w="2126"/>
      </w:tblGrid>
      <w:tr w:rsidR="007068B9" w14:paraId="0DF6339C" w14:textId="77777777" w:rsidTr="007068B9">
        <w:trPr>
          <w:trHeight w:hRule="exact" w:val="567"/>
        </w:trPr>
        <w:tc>
          <w:tcPr>
            <w:tcW w:w="4537" w:type="dxa"/>
          </w:tcPr>
          <w:p w14:paraId="39EF2432" w14:textId="5AD19629" w:rsidR="007068B9" w:rsidRDefault="007068B9" w:rsidP="007068B9">
            <w:pPr>
              <w:jc w:val="center"/>
              <w:rPr>
                <w:rFonts w:ascii="Times New Roman" w:hAnsi="Times New Roman" w:cs="Times New Roman"/>
              </w:rPr>
            </w:pPr>
            <w:r>
              <w:rPr>
                <w:rFonts w:ascii="Times New Roman" w:hAnsi="Times New Roman" w:cs="Times New Roman"/>
              </w:rPr>
              <w:t>Data point = Region (epidemic year)</w:t>
            </w:r>
          </w:p>
        </w:tc>
        <w:tc>
          <w:tcPr>
            <w:tcW w:w="5812" w:type="dxa"/>
            <w:gridSpan w:val="4"/>
            <w:tcBorders>
              <w:bottom w:val="single" w:sz="4" w:space="0" w:color="auto"/>
            </w:tcBorders>
          </w:tcPr>
          <w:p w14:paraId="047EC272" w14:textId="357A9204" w:rsidR="007068B9" w:rsidRDefault="007068B9" w:rsidP="007068B9">
            <w:pPr>
              <w:jc w:val="center"/>
            </w:pPr>
            <w:r>
              <w:t>Sub-model</w:t>
            </w:r>
          </w:p>
        </w:tc>
      </w:tr>
      <w:tr w:rsidR="007068B9" w14:paraId="264C51AB" w14:textId="77777777" w:rsidTr="007068B9">
        <w:trPr>
          <w:trHeight w:hRule="exact" w:val="567"/>
        </w:trPr>
        <w:tc>
          <w:tcPr>
            <w:tcW w:w="4537" w:type="dxa"/>
            <w:tcBorders>
              <w:bottom w:val="double" w:sz="4" w:space="0" w:color="auto"/>
            </w:tcBorders>
          </w:tcPr>
          <w:p w14:paraId="5EF7AEC7" w14:textId="3A40653E" w:rsidR="007068B9" w:rsidRDefault="007068B9" w:rsidP="007068B9">
            <w:pPr>
              <w:jc w:val="center"/>
              <w:rPr>
                <w:rFonts w:ascii="Times New Roman" w:hAnsi="Times New Roman" w:cs="Times New Roman"/>
              </w:rPr>
            </w:pPr>
          </w:p>
        </w:tc>
        <w:tc>
          <w:tcPr>
            <w:tcW w:w="1134" w:type="dxa"/>
            <w:tcBorders>
              <w:top w:val="single" w:sz="4" w:space="0" w:color="auto"/>
              <w:bottom w:val="double" w:sz="4" w:space="0" w:color="auto"/>
            </w:tcBorders>
          </w:tcPr>
          <w:p w14:paraId="5EF8E8E0" w14:textId="617D5381" w:rsidR="007068B9" w:rsidRPr="00DC6C13" w:rsidRDefault="007068B9" w:rsidP="007068B9">
            <w:pPr>
              <w:jc w:val="center"/>
            </w:pPr>
            <w:r>
              <w:t>T: global</w:t>
            </w:r>
          </w:p>
        </w:tc>
        <w:tc>
          <w:tcPr>
            <w:tcW w:w="1276" w:type="dxa"/>
            <w:tcBorders>
              <w:top w:val="single" w:sz="4" w:space="0" w:color="auto"/>
              <w:bottom w:val="double" w:sz="4" w:space="0" w:color="auto"/>
            </w:tcBorders>
          </w:tcPr>
          <w:p w14:paraId="0E0AB863" w14:textId="3E9586D1" w:rsidR="007068B9" w:rsidRPr="00DC6C13" w:rsidRDefault="007068B9" w:rsidP="007068B9">
            <w:pPr>
              <w:jc w:val="center"/>
            </w:pPr>
            <w:r>
              <w:t>T: spatial</w:t>
            </w:r>
          </w:p>
        </w:tc>
        <w:tc>
          <w:tcPr>
            <w:tcW w:w="1276" w:type="dxa"/>
            <w:tcBorders>
              <w:top w:val="single" w:sz="4" w:space="0" w:color="auto"/>
              <w:bottom w:val="double" w:sz="4" w:space="0" w:color="auto"/>
            </w:tcBorders>
          </w:tcPr>
          <w:p w14:paraId="4C506DBA" w14:textId="0961DBB7" w:rsidR="007068B9" w:rsidRPr="00DC6C13" w:rsidRDefault="007068B9" w:rsidP="007068B9">
            <w:pPr>
              <w:ind w:left="35"/>
              <w:jc w:val="center"/>
            </w:pPr>
            <w:r>
              <w:t>T: annual</w:t>
            </w:r>
          </w:p>
        </w:tc>
        <w:tc>
          <w:tcPr>
            <w:tcW w:w="2126" w:type="dxa"/>
            <w:tcBorders>
              <w:top w:val="single" w:sz="4" w:space="0" w:color="auto"/>
              <w:bottom w:val="double" w:sz="4" w:space="0" w:color="auto"/>
            </w:tcBorders>
          </w:tcPr>
          <w:p w14:paraId="448E6883" w14:textId="0A36C284" w:rsidR="007068B9" w:rsidRPr="00DC6C13" w:rsidRDefault="007068B9" w:rsidP="007068B9">
            <w:pPr>
              <w:jc w:val="center"/>
            </w:pPr>
            <w:r>
              <w:t>T: spatiotemporal</w:t>
            </w:r>
          </w:p>
        </w:tc>
      </w:tr>
      <w:tr w:rsidR="007068B9" w14:paraId="11F2F15F" w14:textId="77777777" w:rsidTr="007068B9">
        <w:trPr>
          <w:trHeight w:hRule="exact" w:val="567"/>
        </w:trPr>
        <w:tc>
          <w:tcPr>
            <w:tcW w:w="4537" w:type="dxa"/>
            <w:tcBorders>
              <w:top w:val="double" w:sz="4" w:space="0" w:color="auto"/>
            </w:tcBorders>
          </w:tcPr>
          <w:p w14:paraId="0030F0AF" w14:textId="6525BDC7" w:rsidR="007068B9" w:rsidRDefault="007068B9" w:rsidP="007068B9">
            <w:pPr>
              <w:jc w:val="center"/>
              <w:rPr>
                <w:rFonts w:ascii="Times New Roman" w:hAnsi="Times New Roman" w:cs="Times New Roman"/>
              </w:rPr>
            </w:pPr>
            <w:r w:rsidRPr="0077512A">
              <w:t>Haute-Normandie (2007-2008)</w:t>
            </w:r>
          </w:p>
        </w:tc>
        <w:tc>
          <w:tcPr>
            <w:tcW w:w="1134" w:type="dxa"/>
            <w:tcBorders>
              <w:top w:val="double" w:sz="4" w:space="0" w:color="auto"/>
            </w:tcBorders>
          </w:tcPr>
          <w:p w14:paraId="708E1C73" w14:textId="1E70A39A" w:rsidR="007068B9" w:rsidRDefault="007068B9" w:rsidP="007068B9">
            <w:pPr>
              <w:jc w:val="center"/>
              <w:rPr>
                <w:rFonts w:ascii="Times New Roman" w:hAnsi="Times New Roman" w:cs="Times New Roman"/>
              </w:rPr>
            </w:pPr>
            <w:r w:rsidRPr="00B81628">
              <w:t>-2.00</w:t>
            </w:r>
          </w:p>
        </w:tc>
        <w:tc>
          <w:tcPr>
            <w:tcW w:w="1276" w:type="dxa"/>
            <w:tcBorders>
              <w:top w:val="double" w:sz="4" w:space="0" w:color="auto"/>
            </w:tcBorders>
          </w:tcPr>
          <w:p w14:paraId="16E64E6F" w14:textId="432058E1" w:rsidR="007068B9" w:rsidRDefault="007068B9" w:rsidP="007068B9">
            <w:pPr>
              <w:jc w:val="center"/>
              <w:rPr>
                <w:rFonts w:ascii="Times New Roman" w:hAnsi="Times New Roman" w:cs="Times New Roman"/>
              </w:rPr>
            </w:pPr>
            <w:r w:rsidRPr="00B81628">
              <w:t>-2.34</w:t>
            </w:r>
          </w:p>
        </w:tc>
        <w:tc>
          <w:tcPr>
            <w:tcW w:w="1276" w:type="dxa"/>
            <w:tcBorders>
              <w:top w:val="double" w:sz="4" w:space="0" w:color="auto"/>
            </w:tcBorders>
          </w:tcPr>
          <w:p w14:paraId="1C5BB458" w14:textId="236393C2" w:rsidR="007068B9" w:rsidRDefault="007068B9" w:rsidP="007068B9">
            <w:pPr>
              <w:ind w:left="35"/>
              <w:jc w:val="center"/>
              <w:rPr>
                <w:rFonts w:ascii="Times New Roman" w:hAnsi="Times New Roman" w:cs="Times New Roman"/>
              </w:rPr>
            </w:pPr>
            <w:r w:rsidRPr="00B81628">
              <w:t>-2.26</w:t>
            </w:r>
          </w:p>
        </w:tc>
        <w:tc>
          <w:tcPr>
            <w:tcW w:w="2126" w:type="dxa"/>
            <w:tcBorders>
              <w:top w:val="double" w:sz="4" w:space="0" w:color="auto"/>
            </w:tcBorders>
          </w:tcPr>
          <w:p w14:paraId="05225A68" w14:textId="00F823CF" w:rsidR="007068B9" w:rsidRDefault="007068B9" w:rsidP="007068B9">
            <w:pPr>
              <w:jc w:val="center"/>
              <w:rPr>
                <w:rFonts w:ascii="Times New Roman" w:hAnsi="Times New Roman" w:cs="Times New Roman"/>
              </w:rPr>
            </w:pPr>
            <w:r w:rsidRPr="00B81628">
              <w:t>-1.98</w:t>
            </w:r>
          </w:p>
        </w:tc>
      </w:tr>
      <w:tr w:rsidR="007068B9" w14:paraId="034A2BB1" w14:textId="77777777" w:rsidTr="007068B9">
        <w:trPr>
          <w:trHeight w:hRule="exact" w:val="567"/>
        </w:trPr>
        <w:tc>
          <w:tcPr>
            <w:tcW w:w="4537" w:type="dxa"/>
          </w:tcPr>
          <w:p w14:paraId="302275B9" w14:textId="218219B4" w:rsidR="007068B9" w:rsidRPr="00A21CC2" w:rsidRDefault="007068B9" w:rsidP="007068B9">
            <w:pPr>
              <w:jc w:val="center"/>
              <w:rPr>
                <w:rFonts w:ascii="Times New Roman" w:hAnsi="Times New Roman" w:cs="Times New Roman"/>
                <w:lang w:val="fr-FR"/>
              </w:rPr>
            </w:pPr>
            <w:r w:rsidRPr="00A21CC2">
              <w:rPr>
                <w:lang w:val="fr-FR"/>
              </w:rPr>
              <w:t>Provence-Alpes-Côte-D’azur (2007-2008</w:t>
            </w:r>
            <w:r>
              <w:rPr>
                <w:lang w:val="fr-FR"/>
              </w:rPr>
              <w:t>)</w:t>
            </w:r>
          </w:p>
        </w:tc>
        <w:tc>
          <w:tcPr>
            <w:tcW w:w="1134" w:type="dxa"/>
          </w:tcPr>
          <w:p w14:paraId="350AF421" w14:textId="739B3054" w:rsidR="007068B9" w:rsidRDefault="007068B9" w:rsidP="007068B9">
            <w:pPr>
              <w:jc w:val="center"/>
              <w:rPr>
                <w:rFonts w:ascii="Times New Roman" w:hAnsi="Times New Roman" w:cs="Times New Roman"/>
              </w:rPr>
            </w:pPr>
            <w:r w:rsidRPr="00B81628">
              <w:t>-1.60</w:t>
            </w:r>
          </w:p>
        </w:tc>
        <w:tc>
          <w:tcPr>
            <w:tcW w:w="1276" w:type="dxa"/>
          </w:tcPr>
          <w:p w14:paraId="00445921" w14:textId="166F47A5" w:rsidR="007068B9" w:rsidRDefault="007068B9" w:rsidP="007068B9">
            <w:pPr>
              <w:jc w:val="center"/>
              <w:rPr>
                <w:rFonts w:ascii="Times New Roman" w:hAnsi="Times New Roman" w:cs="Times New Roman"/>
              </w:rPr>
            </w:pPr>
            <w:r w:rsidRPr="00B81628">
              <w:t>-2.52</w:t>
            </w:r>
          </w:p>
        </w:tc>
        <w:tc>
          <w:tcPr>
            <w:tcW w:w="1276" w:type="dxa"/>
          </w:tcPr>
          <w:p w14:paraId="591BF0DF" w14:textId="2711F5A6" w:rsidR="007068B9" w:rsidRDefault="007068B9" w:rsidP="007068B9">
            <w:pPr>
              <w:jc w:val="center"/>
              <w:rPr>
                <w:rFonts w:ascii="Times New Roman" w:hAnsi="Times New Roman" w:cs="Times New Roman"/>
              </w:rPr>
            </w:pPr>
            <w:r w:rsidRPr="00B81628">
              <w:t>-1.78</w:t>
            </w:r>
          </w:p>
        </w:tc>
        <w:tc>
          <w:tcPr>
            <w:tcW w:w="2126" w:type="dxa"/>
          </w:tcPr>
          <w:p w14:paraId="1FF48976" w14:textId="0F2FFB2F" w:rsidR="007068B9" w:rsidRDefault="007068B9" w:rsidP="007068B9">
            <w:pPr>
              <w:jc w:val="center"/>
              <w:rPr>
                <w:rFonts w:ascii="Times New Roman" w:hAnsi="Times New Roman" w:cs="Times New Roman"/>
              </w:rPr>
            </w:pPr>
            <w:r w:rsidRPr="00B81628">
              <w:t>-1.55</w:t>
            </w:r>
          </w:p>
        </w:tc>
      </w:tr>
      <w:tr w:rsidR="007068B9" w14:paraId="25F8170D" w14:textId="77777777" w:rsidTr="007068B9">
        <w:trPr>
          <w:trHeight w:hRule="exact" w:val="567"/>
        </w:trPr>
        <w:tc>
          <w:tcPr>
            <w:tcW w:w="4537" w:type="dxa"/>
          </w:tcPr>
          <w:p w14:paraId="4F7AE524" w14:textId="4BD05011" w:rsidR="007068B9" w:rsidRDefault="007068B9" w:rsidP="007068B9">
            <w:pPr>
              <w:jc w:val="center"/>
              <w:rPr>
                <w:rFonts w:ascii="Times New Roman" w:hAnsi="Times New Roman" w:cs="Times New Roman"/>
              </w:rPr>
            </w:pPr>
            <w:r w:rsidRPr="0077512A">
              <w:t>Auvergne (2011-2012)</w:t>
            </w:r>
          </w:p>
        </w:tc>
        <w:tc>
          <w:tcPr>
            <w:tcW w:w="1134" w:type="dxa"/>
          </w:tcPr>
          <w:p w14:paraId="38B566A1" w14:textId="63F87582" w:rsidR="007068B9" w:rsidRDefault="007068B9" w:rsidP="007068B9">
            <w:pPr>
              <w:jc w:val="center"/>
              <w:rPr>
                <w:rFonts w:ascii="Times New Roman" w:hAnsi="Times New Roman" w:cs="Times New Roman"/>
              </w:rPr>
            </w:pPr>
            <w:r w:rsidRPr="00B81628">
              <w:t>-2.71</w:t>
            </w:r>
          </w:p>
        </w:tc>
        <w:tc>
          <w:tcPr>
            <w:tcW w:w="1276" w:type="dxa"/>
          </w:tcPr>
          <w:p w14:paraId="222F0316" w14:textId="1A6F899A" w:rsidR="007068B9" w:rsidRDefault="007068B9" w:rsidP="007068B9">
            <w:pPr>
              <w:jc w:val="center"/>
              <w:rPr>
                <w:rFonts w:ascii="Times New Roman" w:hAnsi="Times New Roman" w:cs="Times New Roman"/>
              </w:rPr>
            </w:pPr>
            <w:r w:rsidRPr="00B81628">
              <w:t>-1.39</w:t>
            </w:r>
          </w:p>
        </w:tc>
        <w:tc>
          <w:tcPr>
            <w:tcW w:w="1276" w:type="dxa"/>
          </w:tcPr>
          <w:p w14:paraId="0096193F" w14:textId="4A29B9F3" w:rsidR="007068B9" w:rsidRDefault="007068B9" w:rsidP="007068B9">
            <w:pPr>
              <w:ind w:left="35"/>
              <w:jc w:val="center"/>
              <w:rPr>
                <w:rFonts w:ascii="Times New Roman" w:hAnsi="Times New Roman" w:cs="Times New Roman"/>
              </w:rPr>
            </w:pPr>
            <w:r w:rsidRPr="00B81628">
              <w:t>-1.34</w:t>
            </w:r>
          </w:p>
        </w:tc>
        <w:tc>
          <w:tcPr>
            <w:tcW w:w="2126" w:type="dxa"/>
          </w:tcPr>
          <w:p w14:paraId="1953267C" w14:textId="08A6FEA3" w:rsidR="007068B9" w:rsidRDefault="007068B9" w:rsidP="007068B9">
            <w:pPr>
              <w:ind w:left="35"/>
              <w:jc w:val="center"/>
              <w:rPr>
                <w:rFonts w:ascii="Times New Roman" w:hAnsi="Times New Roman" w:cs="Times New Roman"/>
              </w:rPr>
            </w:pPr>
            <w:r w:rsidRPr="00B81628">
              <w:t>-1.49</w:t>
            </w:r>
          </w:p>
        </w:tc>
      </w:tr>
      <w:tr w:rsidR="007068B9" w14:paraId="74373265" w14:textId="77777777" w:rsidTr="007068B9">
        <w:trPr>
          <w:trHeight w:hRule="exact" w:val="567"/>
        </w:trPr>
        <w:tc>
          <w:tcPr>
            <w:tcW w:w="4537" w:type="dxa"/>
          </w:tcPr>
          <w:p w14:paraId="39990EF3" w14:textId="3A7F4817" w:rsidR="007068B9" w:rsidRDefault="007068B9" w:rsidP="007068B9">
            <w:pPr>
              <w:jc w:val="center"/>
              <w:rPr>
                <w:rFonts w:ascii="Times New Roman" w:hAnsi="Times New Roman" w:cs="Times New Roman"/>
              </w:rPr>
            </w:pPr>
            <w:r w:rsidRPr="0077512A">
              <w:t>Haute-Normandie (2011-2012)</w:t>
            </w:r>
          </w:p>
        </w:tc>
        <w:tc>
          <w:tcPr>
            <w:tcW w:w="1134" w:type="dxa"/>
          </w:tcPr>
          <w:p w14:paraId="3FDF4B78" w14:textId="7AE0F056" w:rsidR="007068B9" w:rsidRDefault="007068B9" w:rsidP="007068B9">
            <w:pPr>
              <w:jc w:val="center"/>
              <w:rPr>
                <w:rFonts w:ascii="Times New Roman" w:hAnsi="Times New Roman" w:cs="Times New Roman"/>
              </w:rPr>
            </w:pPr>
            <w:r w:rsidRPr="00B81628">
              <w:t>-1.85</w:t>
            </w:r>
          </w:p>
        </w:tc>
        <w:tc>
          <w:tcPr>
            <w:tcW w:w="1276" w:type="dxa"/>
          </w:tcPr>
          <w:p w14:paraId="745F0BD0" w14:textId="2405C8B2" w:rsidR="007068B9" w:rsidRDefault="007068B9" w:rsidP="007068B9">
            <w:pPr>
              <w:jc w:val="center"/>
              <w:rPr>
                <w:rFonts w:ascii="Times New Roman" w:hAnsi="Times New Roman" w:cs="Times New Roman"/>
              </w:rPr>
            </w:pPr>
            <w:r w:rsidRPr="00B81628">
              <w:t>-1.40</w:t>
            </w:r>
          </w:p>
        </w:tc>
        <w:tc>
          <w:tcPr>
            <w:tcW w:w="1276" w:type="dxa"/>
          </w:tcPr>
          <w:p w14:paraId="7D5526DD" w14:textId="5E2F257F" w:rsidR="007068B9" w:rsidRDefault="007068B9" w:rsidP="007068B9">
            <w:pPr>
              <w:ind w:left="35"/>
              <w:jc w:val="center"/>
              <w:rPr>
                <w:rFonts w:ascii="Times New Roman" w:hAnsi="Times New Roman" w:cs="Times New Roman"/>
              </w:rPr>
            </w:pPr>
            <w:r w:rsidRPr="00B81628">
              <w:t>-1.01</w:t>
            </w:r>
          </w:p>
        </w:tc>
        <w:tc>
          <w:tcPr>
            <w:tcW w:w="2126" w:type="dxa"/>
          </w:tcPr>
          <w:p w14:paraId="46C0F9AD" w14:textId="068AA38B" w:rsidR="007068B9" w:rsidRDefault="007068B9" w:rsidP="007068B9">
            <w:pPr>
              <w:ind w:left="35"/>
              <w:jc w:val="center"/>
              <w:rPr>
                <w:rFonts w:ascii="Times New Roman" w:hAnsi="Times New Roman" w:cs="Times New Roman"/>
              </w:rPr>
            </w:pPr>
            <w:r w:rsidRPr="00B81628">
              <w:t>-1.10</w:t>
            </w:r>
          </w:p>
        </w:tc>
      </w:tr>
      <w:tr w:rsidR="007068B9" w14:paraId="175B7805" w14:textId="77777777" w:rsidTr="007068B9">
        <w:trPr>
          <w:trHeight w:hRule="exact" w:val="567"/>
        </w:trPr>
        <w:tc>
          <w:tcPr>
            <w:tcW w:w="4537" w:type="dxa"/>
            <w:tcBorders>
              <w:bottom w:val="single" w:sz="4" w:space="0" w:color="auto"/>
            </w:tcBorders>
          </w:tcPr>
          <w:p w14:paraId="049530A6" w14:textId="7A1D2B4C" w:rsidR="007068B9" w:rsidRDefault="007068B9" w:rsidP="007068B9">
            <w:pPr>
              <w:jc w:val="center"/>
              <w:rPr>
                <w:rFonts w:ascii="Times New Roman" w:hAnsi="Times New Roman" w:cs="Times New Roman"/>
              </w:rPr>
            </w:pPr>
            <w:r w:rsidRPr="0077512A">
              <w:t>Pays-de-la-Loire (2011-2012)</w:t>
            </w:r>
          </w:p>
        </w:tc>
        <w:tc>
          <w:tcPr>
            <w:tcW w:w="1134" w:type="dxa"/>
            <w:tcBorders>
              <w:bottom w:val="single" w:sz="4" w:space="0" w:color="auto"/>
            </w:tcBorders>
          </w:tcPr>
          <w:p w14:paraId="6A780FC4" w14:textId="63B99420" w:rsidR="007068B9" w:rsidRDefault="007068B9" w:rsidP="007068B9">
            <w:pPr>
              <w:jc w:val="center"/>
              <w:rPr>
                <w:rFonts w:ascii="Times New Roman" w:hAnsi="Times New Roman" w:cs="Times New Roman"/>
              </w:rPr>
            </w:pPr>
            <w:r w:rsidRPr="00B81628">
              <w:t>-3.27</w:t>
            </w:r>
          </w:p>
        </w:tc>
        <w:tc>
          <w:tcPr>
            <w:tcW w:w="1276" w:type="dxa"/>
            <w:tcBorders>
              <w:bottom w:val="single" w:sz="4" w:space="0" w:color="auto"/>
            </w:tcBorders>
          </w:tcPr>
          <w:p w14:paraId="1B01CCA3" w14:textId="4EBEB532" w:rsidR="007068B9" w:rsidRDefault="007068B9" w:rsidP="007068B9">
            <w:pPr>
              <w:jc w:val="center"/>
              <w:rPr>
                <w:rFonts w:ascii="Times New Roman" w:hAnsi="Times New Roman" w:cs="Times New Roman"/>
              </w:rPr>
            </w:pPr>
            <w:r w:rsidRPr="00B81628">
              <w:t>-1.58</w:t>
            </w:r>
          </w:p>
        </w:tc>
        <w:tc>
          <w:tcPr>
            <w:tcW w:w="1276" w:type="dxa"/>
            <w:tcBorders>
              <w:bottom w:val="single" w:sz="4" w:space="0" w:color="auto"/>
            </w:tcBorders>
          </w:tcPr>
          <w:p w14:paraId="2F145B6A" w14:textId="0F81BB7A" w:rsidR="007068B9" w:rsidRDefault="007068B9" w:rsidP="007068B9">
            <w:pPr>
              <w:ind w:left="35"/>
              <w:jc w:val="center"/>
              <w:rPr>
                <w:rFonts w:ascii="Times New Roman" w:hAnsi="Times New Roman" w:cs="Times New Roman"/>
              </w:rPr>
            </w:pPr>
            <w:r w:rsidRPr="00B81628">
              <w:t>-1.60</w:t>
            </w:r>
          </w:p>
        </w:tc>
        <w:tc>
          <w:tcPr>
            <w:tcW w:w="2126" w:type="dxa"/>
            <w:tcBorders>
              <w:bottom w:val="single" w:sz="4" w:space="0" w:color="auto"/>
            </w:tcBorders>
          </w:tcPr>
          <w:p w14:paraId="3B03AEF3" w14:textId="06D5EE94" w:rsidR="007068B9" w:rsidRDefault="007068B9" w:rsidP="007068B9">
            <w:pPr>
              <w:ind w:left="35"/>
              <w:jc w:val="center"/>
              <w:rPr>
                <w:rFonts w:ascii="Times New Roman" w:hAnsi="Times New Roman" w:cs="Times New Roman"/>
              </w:rPr>
            </w:pPr>
            <w:r w:rsidRPr="00B81628">
              <w:t>-1.61</w:t>
            </w:r>
          </w:p>
        </w:tc>
      </w:tr>
    </w:tbl>
    <w:p w14:paraId="14AFF3EA" w14:textId="77777777" w:rsidR="00F71B63" w:rsidRDefault="00F71B63" w:rsidP="00F71B63">
      <w:pPr>
        <w:rPr>
          <w:rFonts w:ascii="Times New Roman" w:hAnsi="Times New Roman" w:cs="Times New Roman"/>
        </w:rPr>
      </w:pPr>
    </w:p>
    <w:p w14:paraId="6D72C051" w14:textId="77777777" w:rsidR="00F71B63" w:rsidRDefault="00F71B63">
      <w:pPr>
        <w:rPr>
          <w:rFonts w:ascii="Times New Roman" w:hAnsi="Times New Roman" w:cs="Times New Roman"/>
        </w:rPr>
      </w:pPr>
      <w:r>
        <w:rPr>
          <w:rFonts w:ascii="Times New Roman" w:hAnsi="Times New Roman" w:cs="Times New Roman"/>
        </w:rPr>
        <w:br w:type="page"/>
      </w:r>
    </w:p>
    <w:p w14:paraId="5AE5E326" w14:textId="44117999" w:rsidR="00D33E1B" w:rsidRDefault="004A1F5C" w:rsidP="00D33E1B">
      <w:pPr>
        <w:spacing w:line="480" w:lineRule="auto"/>
        <w:rPr>
          <w:rFonts w:ascii="Times New Roman" w:hAnsi="Times New Roman" w:cs="Times New Roman"/>
        </w:rPr>
      </w:pPr>
      <w:r>
        <w:rPr>
          <w:rFonts w:ascii="Times New Roman" w:hAnsi="Times New Roman" w:cs="Times New Roman"/>
        </w:rPr>
        <w:lastRenderedPageBreak/>
        <w:t>Web Table 4: differences in estimates of the parameter of interest, observed LRT, 95% thresholds of the LRT obtained from the permutation procedure and P values between the analysis where non-epidemic years were included and excluded. Results are presented for the four components of the two climatic covariates (temperature, T; humidity, H) and the two demographic covariates (population size and the proportion of children, prop. children)</w:t>
      </w:r>
    </w:p>
    <w:p w14:paraId="6F29081B" w14:textId="284946B5" w:rsidR="004A1F5C" w:rsidRDefault="004A1F5C" w:rsidP="00584AEA">
      <w:pPr>
        <w:spacing w:line="480" w:lineRule="auto"/>
        <w:rPr>
          <w:rFonts w:ascii="Times New Roman" w:hAnsi="Times New Roman" w:cs="Times New Roman"/>
        </w:rPr>
      </w:pPr>
    </w:p>
    <w:tbl>
      <w:tblPr>
        <w:tblStyle w:val="TableGrid"/>
        <w:tblW w:w="1087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134"/>
        <w:gridCol w:w="1134"/>
        <w:gridCol w:w="1134"/>
        <w:gridCol w:w="1134"/>
        <w:gridCol w:w="1134"/>
        <w:gridCol w:w="1134"/>
        <w:gridCol w:w="1134"/>
        <w:gridCol w:w="1098"/>
      </w:tblGrid>
      <w:tr w:rsidR="004A1F5C" w14:paraId="0366E960" w14:textId="77777777" w:rsidTr="004A1F5C">
        <w:tc>
          <w:tcPr>
            <w:tcW w:w="1843" w:type="dxa"/>
          </w:tcPr>
          <w:p w14:paraId="4532324F" w14:textId="77777777" w:rsidR="004A1F5C" w:rsidRDefault="004A1F5C" w:rsidP="00584AEA">
            <w:pPr>
              <w:spacing w:line="480" w:lineRule="auto"/>
              <w:jc w:val="center"/>
            </w:pPr>
          </w:p>
        </w:tc>
        <w:tc>
          <w:tcPr>
            <w:tcW w:w="2268" w:type="dxa"/>
            <w:gridSpan w:val="2"/>
            <w:tcBorders>
              <w:bottom w:val="single" w:sz="4" w:space="0" w:color="auto"/>
            </w:tcBorders>
            <w:vAlign w:val="bottom"/>
          </w:tcPr>
          <w:p w14:paraId="31C0CDF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estimate</w:t>
            </w:r>
          </w:p>
        </w:tc>
        <w:tc>
          <w:tcPr>
            <w:tcW w:w="2268" w:type="dxa"/>
            <w:gridSpan w:val="2"/>
            <w:tcBorders>
              <w:bottom w:val="single" w:sz="4" w:space="0" w:color="auto"/>
            </w:tcBorders>
            <w:vAlign w:val="bottom"/>
          </w:tcPr>
          <w:p w14:paraId="4CA9C788"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Observed LRT</w:t>
            </w:r>
          </w:p>
        </w:tc>
        <w:tc>
          <w:tcPr>
            <w:tcW w:w="2268" w:type="dxa"/>
            <w:gridSpan w:val="2"/>
            <w:tcBorders>
              <w:bottom w:val="single" w:sz="4" w:space="0" w:color="auto"/>
            </w:tcBorders>
            <w:vAlign w:val="bottom"/>
          </w:tcPr>
          <w:p w14:paraId="2858879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95% threshold (LRT)</w:t>
            </w:r>
          </w:p>
        </w:tc>
        <w:tc>
          <w:tcPr>
            <w:tcW w:w="2232" w:type="dxa"/>
            <w:gridSpan w:val="2"/>
            <w:tcBorders>
              <w:bottom w:val="single" w:sz="4" w:space="0" w:color="auto"/>
            </w:tcBorders>
            <w:vAlign w:val="bottom"/>
          </w:tcPr>
          <w:p w14:paraId="6756AE3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P value</w:t>
            </w:r>
          </w:p>
        </w:tc>
      </w:tr>
      <w:tr w:rsidR="004A1F5C" w14:paraId="1B4EFD2B" w14:textId="77777777" w:rsidTr="004A1F5C">
        <w:tc>
          <w:tcPr>
            <w:tcW w:w="1843" w:type="dxa"/>
            <w:tcBorders>
              <w:bottom w:val="double" w:sz="4" w:space="0" w:color="auto"/>
            </w:tcBorders>
          </w:tcPr>
          <w:p w14:paraId="1E13B67C" w14:textId="77777777" w:rsidR="004A1F5C" w:rsidRDefault="004A1F5C" w:rsidP="00584AEA">
            <w:pPr>
              <w:spacing w:line="480" w:lineRule="auto"/>
              <w:jc w:val="center"/>
            </w:pPr>
          </w:p>
        </w:tc>
        <w:tc>
          <w:tcPr>
            <w:tcW w:w="1134" w:type="dxa"/>
            <w:tcBorders>
              <w:top w:val="single" w:sz="4" w:space="0" w:color="auto"/>
              <w:bottom w:val="double" w:sz="4" w:space="0" w:color="auto"/>
            </w:tcBorders>
            <w:vAlign w:val="bottom"/>
          </w:tcPr>
          <w:p w14:paraId="754C65C5"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excluded</w:t>
            </w:r>
          </w:p>
        </w:tc>
        <w:tc>
          <w:tcPr>
            <w:tcW w:w="1134" w:type="dxa"/>
            <w:tcBorders>
              <w:top w:val="single" w:sz="4" w:space="0" w:color="auto"/>
              <w:bottom w:val="double" w:sz="4" w:space="0" w:color="auto"/>
            </w:tcBorders>
            <w:vAlign w:val="bottom"/>
          </w:tcPr>
          <w:p w14:paraId="0EE935A6"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included</w:t>
            </w:r>
          </w:p>
        </w:tc>
        <w:tc>
          <w:tcPr>
            <w:tcW w:w="1134" w:type="dxa"/>
            <w:tcBorders>
              <w:top w:val="single" w:sz="4" w:space="0" w:color="auto"/>
              <w:bottom w:val="double" w:sz="4" w:space="0" w:color="auto"/>
            </w:tcBorders>
            <w:vAlign w:val="bottom"/>
          </w:tcPr>
          <w:p w14:paraId="23BBD72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excluded</w:t>
            </w:r>
          </w:p>
        </w:tc>
        <w:tc>
          <w:tcPr>
            <w:tcW w:w="1134" w:type="dxa"/>
            <w:tcBorders>
              <w:top w:val="single" w:sz="4" w:space="0" w:color="auto"/>
              <w:bottom w:val="double" w:sz="4" w:space="0" w:color="auto"/>
            </w:tcBorders>
            <w:vAlign w:val="bottom"/>
          </w:tcPr>
          <w:p w14:paraId="783ACA30"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included</w:t>
            </w:r>
          </w:p>
        </w:tc>
        <w:tc>
          <w:tcPr>
            <w:tcW w:w="1134" w:type="dxa"/>
            <w:tcBorders>
              <w:top w:val="single" w:sz="4" w:space="0" w:color="auto"/>
              <w:bottom w:val="double" w:sz="4" w:space="0" w:color="auto"/>
            </w:tcBorders>
            <w:vAlign w:val="bottom"/>
          </w:tcPr>
          <w:p w14:paraId="026B826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excluded</w:t>
            </w:r>
          </w:p>
        </w:tc>
        <w:tc>
          <w:tcPr>
            <w:tcW w:w="1134" w:type="dxa"/>
            <w:tcBorders>
              <w:top w:val="single" w:sz="4" w:space="0" w:color="auto"/>
              <w:bottom w:val="double" w:sz="4" w:space="0" w:color="auto"/>
            </w:tcBorders>
            <w:vAlign w:val="bottom"/>
          </w:tcPr>
          <w:p w14:paraId="7176AA11"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included</w:t>
            </w:r>
          </w:p>
        </w:tc>
        <w:tc>
          <w:tcPr>
            <w:tcW w:w="1134" w:type="dxa"/>
            <w:tcBorders>
              <w:top w:val="single" w:sz="4" w:space="0" w:color="auto"/>
              <w:bottom w:val="double" w:sz="4" w:space="0" w:color="auto"/>
            </w:tcBorders>
            <w:vAlign w:val="bottom"/>
          </w:tcPr>
          <w:p w14:paraId="706749A8"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excluded</w:t>
            </w:r>
          </w:p>
        </w:tc>
        <w:tc>
          <w:tcPr>
            <w:tcW w:w="1098" w:type="dxa"/>
            <w:tcBorders>
              <w:top w:val="single" w:sz="4" w:space="0" w:color="auto"/>
              <w:bottom w:val="double" w:sz="4" w:space="0" w:color="auto"/>
            </w:tcBorders>
            <w:vAlign w:val="bottom"/>
          </w:tcPr>
          <w:p w14:paraId="4581B023"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included</w:t>
            </w:r>
          </w:p>
        </w:tc>
      </w:tr>
      <w:tr w:rsidR="004A1F5C" w14:paraId="72444CC0" w14:textId="77777777" w:rsidTr="00584AEA">
        <w:trPr>
          <w:trHeight w:hRule="exact" w:val="567"/>
        </w:trPr>
        <w:tc>
          <w:tcPr>
            <w:tcW w:w="1843" w:type="dxa"/>
            <w:tcBorders>
              <w:top w:val="double" w:sz="4" w:space="0" w:color="auto"/>
            </w:tcBorders>
          </w:tcPr>
          <w:p w14:paraId="405314E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T: global</w:t>
            </w:r>
          </w:p>
        </w:tc>
        <w:tc>
          <w:tcPr>
            <w:tcW w:w="1134" w:type="dxa"/>
            <w:tcBorders>
              <w:top w:val="double" w:sz="4" w:space="0" w:color="auto"/>
            </w:tcBorders>
            <w:vAlign w:val="bottom"/>
          </w:tcPr>
          <w:p w14:paraId="4E563AFC"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-0.4932</w:t>
            </w:r>
          </w:p>
        </w:tc>
        <w:tc>
          <w:tcPr>
            <w:tcW w:w="1134" w:type="dxa"/>
            <w:tcBorders>
              <w:top w:val="double" w:sz="4" w:space="0" w:color="auto"/>
            </w:tcBorders>
            <w:vAlign w:val="bottom"/>
          </w:tcPr>
          <w:p w14:paraId="5D21B78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-0.3915</w:t>
            </w:r>
          </w:p>
        </w:tc>
        <w:tc>
          <w:tcPr>
            <w:tcW w:w="1134" w:type="dxa"/>
            <w:tcBorders>
              <w:top w:val="double" w:sz="4" w:space="0" w:color="auto"/>
            </w:tcBorders>
            <w:vAlign w:val="bottom"/>
          </w:tcPr>
          <w:p w14:paraId="718B8C8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rPr>
              <w:t>0</w:t>
            </w:r>
            <w:r>
              <w:rPr>
                <w:rFonts w:ascii="Calibri" w:hAnsi="Calibri"/>
                <w:color w:val="000000"/>
                <w:sz w:val="22"/>
                <w:szCs w:val="22"/>
              </w:rPr>
              <w:t>.1870</w:t>
            </w:r>
          </w:p>
        </w:tc>
        <w:tc>
          <w:tcPr>
            <w:tcW w:w="1134" w:type="dxa"/>
            <w:tcBorders>
              <w:top w:val="double" w:sz="4" w:space="0" w:color="auto"/>
            </w:tcBorders>
            <w:vAlign w:val="bottom"/>
          </w:tcPr>
          <w:p w14:paraId="119B6EB1"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3.8622</w:t>
            </w:r>
          </w:p>
        </w:tc>
        <w:tc>
          <w:tcPr>
            <w:tcW w:w="1134" w:type="dxa"/>
            <w:tcBorders>
              <w:top w:val="double" w:sz="4" w:space="0" w:color="auto"/>
            </w:tcBorders>
            <w:vAlign w:val="bottom"/>
          </w:tcPr>
          <w:p w14:paraId="12F226C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6.0798</w:t>
            </w:r>
          </w:p>
        </w:tc>
        <w:tc>
          <w:tcPr>
            <w:tcW w:w="1134" w:type="dxa"/>
            <w:tcBorders>
              <w:top w:val="double" w:sz="4" w:space="0" w:color="auto"/>
            </w:tcBorders>
            <w:vAlign w:val="bottom"/>
          </w:tcPr>
          <w:p w14:paraId="6EC6C67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20.9497</w:t>
            </w:r>
          </w:p>
        </w:tc>
        <w:tc>
          <w:tcPr>
            <w:tcW w:w="1134" w:type="dxa"/>
            <w:tcBorders>
              <w:top w:val="double" w:sz="4" w:space="0" w:color="auto"/>
            </w:tcBorders>
            <w:vAlign w:val="bottom"/>
          </w:tcPr>
          <w:p w14:paraId="5AB9583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0.1718</w:t>
            </w:r>
          </w:p>
        </w:tc>
        <w:tc>
          <w:tcPr>
            <w:tcW w:w="1098" w:type="dxa"/>
            <w:tcBorders>
              <w:top w:val="double" w:sz="4" w:space="0" w:color="auto"/>
            </w:tcBorders>
            <w:vAlign w:val="bottom"/>
          </w:tcPr>
          <w:p w14:paraId="137B0A3C"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0.4356</w:t>
            </w:r>
          </w:p>
        </w:tc>
      </w:tr>
      <w:tr w:rsidR="004A1F5C" w14:paraId="57316AAE" w14:textId="77777777" w:rsidTr="00584AEA">
        <w:trPr>
          <w:trHeight w:hRule="exact" w:val="567"/>
        </w:trPr>
        <w:tc>
          <w:tcPr>
            <w:tcW w:w="1843" w:type="dxa"/>
          </w:tcPr>
          <w:p w14:paraId="4141615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T: spatial</w:t>
            </w:r>
          </w:p>
        </w:tc>
        <w:tc>
          <w:tcPr>
            <w:tcW w:w="1134" w:type="dxa"/>
            <w:vAlign w:val="bottom"/>
          </w:tcPr>
          <w:p w14:paraId="0440A06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-0.2557</w:t>
            </w:r>
          </w:p>
        </w:tc>
        <w:tc>
          <w:tcPr>
            <w:tcW w:w="1134" w:type="dxa"/>
            <w:vAlign w:val="bottom"/>
          </w:tcPr>
          <w:p w14:paraId="3E572A33"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-0.4346</w:t>
            </w:r>
          </w:p>
        </w:tc>
        <w:tc>
          <w:tcPr>
            <w:tcW w:w="1134" w:type="dxa"/>
            <w:vAlign w:val="bottom"/>
          </w:tcPr>
          <w:p w14:paraId="30FAADA3"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0.7752</w:t>
            </w:r>
          </w:p>
        </w:tc>
        <w:tc>
          <w:tcPr>
            <w:tcW w:w="1134" w:type="dxa"/>
            <w:vAlign w:val="bottom"/>
          </w:tcPr>
          <w:p w14:paraId="1BE40827"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1.3997</w:t>
            </w:r>
          </w:p>
        </w:tc>
        <w:tc>
          <w:tcPr>
            <w:tcW w:w="1134" w:type="dxa"/>
            <w:vAlign w:val="bottom"/>
          </w:tcPr>
          <w:p w14:paraId="1619940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1.8026</w:t>
            </w:r>
          </w:p>
        </w:tc>
        <w:tc>
          <w:tcPr>
            <w:tcW w:w="1134" w:type="dxa"/>
            <w:vAlign w:val="bottom"/>
          </w:tcPr>
          <w:p w14:paraId="6E501AB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6.8800</w:t>
            </w:r>
          </w:p>
        </w:tc>
        <w:tc>
          <w:tcPr>
            <w:tcW w:w="1134" w:type="dxa"/>
            <w:vAlign w:val="bottom"/>
          </w:tcPr>
          <w:p w14:paraId="121EDB32"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0.1598</w:t>
            </w:r>
          </w:p>
        </w:tc>
        <w:tc>
          <w:tcPr>
            <w:tcW w:w="1098" w:type="dxa"/>
            <w:vAlign w:val="bottom"/>
          </w:tcPr>
          <w:p w14:paraId="44CBBD7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0.4366</w:t>
            </w:r>
          </w:p>
        </w:tc>
      </w:tr>
      <w:tr w:rsidR="004A1F5C" w14:paraId="61DDBFBA" w14:textId="77777777" w:rsidTr="00584AEA">
        <w:trPr>
          <w:trHeight w:hRule="exact" w:val="567"/>
        </w:trPr>
        <w:tc>
          <w:tcPr>
            <w:tcW w:w="1843" w:type="dxa"/>
          </w:tcPr>
          <w:p w14:paraId="1DD6823C"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T: annual</w:t>
            </w:r>
          </w:p>
        </w:tc>
        <w:tc>
          <w:tcPr>
            <w:tcW w:w="1134" w:type="dxa"/>
            <w:vAlign w:val="bottom"/>
          </w:tcPr>
          <w:p w14:paraId="494EF64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-0.3841</w:t>
            </w:r>
          </w:p>
        </w:tc>
        <w:tc>
          <w:tcPr>
            <w:tcW w:w="1134" w:type="dxa"/>
            <w:vAlign w:val="bottom"/>
          </w:tcPr>
          <w:p w14:paraId="754B3B16"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0.1906</w:t>
            </w:r>
          </w:p>
        </w:tc>
        <w:tc>
          <w:tcPr>
            <w:tcW w:w="1134" w:type="dxa"/>
            <w:vAlign w:val="bottom"/>
          </w:tcPr>
          <w:p w14:paraId="6226C2C3"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0.8816</w:t>
            </w:r>
          </w:p>
        </w:tc>
        <w:tc>
          <w:tcPr>
            <w:tcW w:w="1134" w:type="dxa"/>
            <w:vAlign w:val="bottom"/>
          </w:tcPr>
          <w:p w14:paraId="040A91C7"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1.2058</w:t>
            </w:r>
          </w:p>
        </w:tc>
        <w:tc>
          <w:tcPr>
            <w:tcW w:w="1134" w:type="dxa"/>
            <w:vAlign w:val="bottom"/>
          </w:tcPr>
          <w:p w14:paraId="24873817"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4.1795</w:t>
            </w:r>
          </w:p>
        </w:tc>
        <w:tc>
          <w:tcPr>
            <w:tcW w:w="1134" w:type="dxa"/>
            <w:vAlign w:val="bottom"/>
          </w:tcPr>
          <w:p w14:paraId="727F980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8.5556</w:t>
            </w:r>
          </w:p>
        </w:tc>
        <w:tc>
          <w:tcPr>
            <w:tcW w:w="1134" w:type="dxa"/>
            <w:vAlign w:val="bottom"/>
          </w:tcPr>
          <w:p w14:paraId="23F938C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0.2627</w:t>
            </w:r>
          </w:p>
        </w:tc>
        <w:tc>
          <w:tcPr>
            <w:tcW w:w="1098" w:type="dxa"/>
            <w:vAlign w:val="bottom"/>
          </w:tcPr>
          <w:p w14:paraId="2B045FD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0.4665</w:t>
            </w:r>
          </w:p>
        </w:tc>
      </w:tr>
      <w:tr w:rsidR="004A1F5C" w14:paraId="321E9E9A" w14:textId="77777777" w:rsidTr="00584AEA">
        <w:trPr>
          <w:trHeight w:hRule="exact" w:val="567"/>
        </w:trPr>
        <w:tc>
          <w:tcPr>
            <w:tcW w:w="1843" w:type="dxa"/>
          </w:tcPr>
          <w:p w14:paraId="13112FB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T: spatiotemporal</w:t>
            </w:r>
          </w:p>
        </w:tc>
        <w:tc>
          <w:tcPr>
            <w:tcW w:w="1134" w:type="dxa"/>
            <w:vAlign w:val="bottom"/>
          </w:tcPr>
          <w:p w14:paraId="1561587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0.0461</w:t>
            </w:r>
          </w:p>
        </w:tc>
        <w:tc>
          <w:tcPr>
            <w:tcW w:w="1134" w:type="dxa"/>
            <w:vAlign w:val="bottom"/>
          </w:tcPr>
          <w:p w14:paraId="528B181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0.2987</w:t>
            </w:r>
          </w:p>
        </w:tc>
        <w:tc>
          <w:tcPr>
            <w:tcW w:w="1134" w:type="dxa"/>
            <w:vAlign w:val="bottom"/>
          </w:tcPr>
          <w:p w14:paraId="3D28A5F7"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0.0202</w:t>
            </w:r>
          </w:p>
        </w:tc>
        <w:tc>
          <w:tcPr>
            <w:tcW w:w="1134" w:type="dxa"/>
            <w:vAlign w:val="bottom"/>
          </w:tcPr>
          <w:p w14:paraId="5B73CC9F"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0.5286</w:t>
            </w:r>
          </w:p>
        </w:tc>
        <w:tc>
          <w:tcPr>
            <w:tcW w:w="1134" w:type="dxa"/>
            <w:vAlign w:val="bottom"/>
          </w:tcPr>
          <w:p w14:paraId="047DCC1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5.4401</w:t>
            </w:r>
          </w:p>
        </w:tc>
        <w:tc>
          <w:tcPr>
            <w:tcW w:w="1134" w:type="dxa"/>
            <w:vAlign w:val="bottom"/>
          </w:tcPr>
          <w:p w14:paraId="690AC65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3.6685</w:t>
            </w:r>
          </w:p>
        </w:tc>
        <w:tc>
          <w:tcPr>
            <w:tcW w:w="1134" w:type="dxa"/>
            <w:vAlign w:val="bottom"/>
          </w:tcPr>
          <w:p w14:paraId="5D682F2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0.9361</w:t>
            </w:r>
          </w:p>
        </w:tc>
        <w:tc>
          <w:tcPr>
            <w:tcW w:w="1098" w:type="dxa"/>
            <w:vAlign w:val="bottom"/>
          </w:tcPr>
          <w:p w14:paraId="00E6D24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0.4605</w:t>
            </w:r>
          </w:p>
        </w:tc>
      </w:tr>
      <w:tr w:rsidR="004A1F5C" w14:paraId="0E296469" w14:textId="77777777" w:rsidTr="00584AEA">
        <w:trPr>
          <w:trHeight w:hRule="exact" w:val="567"/>
        </w:trPr>
        <w:tc>
          <w:tcPr>
            <w:tcW w:w="1843" w:type="dxa"/>
          </w:tcPr>
          <w:p w14:paraId="5BB7507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H: global</w:t>
            </w:r>
          </w:p>
        </w:tc>
        <w:tc>
          <w:tcPr>
            <w:tcW w:w="1134" w:type="dxa"/>
            <w:vAlign w:val="bottom"/>
          </w:tcPr>
          <w:p w14:paraId="2297A8E3"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-0.0200</w:t>
            </w:r>
          </w:p>
        </w:tc>
        <w:tc>
          <w:tcPr>
            <w:tcW w:w="1134" w:type="dxa"/>
            <w:vAlign w:val="bottom"/>
          </w:tcPr>
          <w:p w14:paraId="2F36C39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-0.1131</w:t>
            </w:r>
          </w:p>
        </w:tc>
        <w:tc>
          <w:tcPr>
            <w:tcW w:w="1134" w:type="dxa"/>
            <w:vAlign w:val="bottom"/>
          </w:tcPr>
          <w:p w14:paraId="62FB2BE2"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0.3981</w:t>
            </w:r>
          </w:p>
        </w:tc>
        <w:tc>
          <w:tcPr>
            <w:tcW w:w="1134" w:type="dxa"/>
            <w:vAlign w:val="bottom"/>
          </w:tcPr>
          <w:p w14:paraId="58CF72B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0.3187</w:t>
            </w:r>
          </w:p>
        </w:tc>
        <w:tc>
          <w:tcPr>
            <w:tcW w:w="1134" w:type="dxa"/>
            <w:vAlign w:val="bottom"/>
          </w:tcPr>
          <w:p w14:paraId="29719D3F"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9.0969</w:t>
            </w:r>
          </w:p>
        </w:tc>
        <w:tc>
          <w:tcPr>
            <w:tcW w:w="1134" w:type="dxa"/>
            <w:vAlign w:val="bottom"/>
          </w:tcPr>
          <w:p w14:paraId="06AA328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20.6519</w:t>
            </w:r>
          </w:p>
        </w:tc>
        <w:tc>
          <w:tcPr>
            <w:tcW w:w="1134" w:type="dxa"/>
            <w:vAlign w:val="bottom"/>
          </w:tcPr>
          <w:p w14:paraId="4A617188"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0.7842</w:t>
            </w:r>
          </w:p>
        </w:tc>
        <w:tc>
          <w:tcPr>
            <w:tcW w:w="1098" w:type="dxa"/>
            <w:vAlign w:val="bottom"/>
          </w:tcPr>
          <w:p w14:paraId="174D5E5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0.8232</w:t>
            </w:r>
          </w:p>
        </w:tc>
      </w:tr>
      <w:tr w:rsidR="004A1F5C" w14:paraId="5D2F3944" w14:textId="77777777" w:rsidTr="00584AEA">
        <w:trPr>
          <w:trHeight w:hRule="exact" w:val="567"/>
        </w:trPr>
        <w:tc>
          <w:tcPr>
            <w:tcW w:w="1843" w:type="dxa"/>
          </w:tcPr>
          <w:p w14:paraId="64FDCF15"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H: spatial</w:t>
            </w:r>
          </w:p>
        </w:tc>
        <w:tc>
          <w:tcPr>
            <w:tcW w:w="1134" w:type="dxa"/>
            <w:vAlign w:val="bottom"/>
          </w:tcPr>
          <w:p w14:paraId="77FE48A5"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-0.4763</w:t>
            </w:r>
          </w:p>
        </w:tc>
        <w:tc>
          <w:tcPr>
            <w:tcW w:w="1134" w:type="dxa"/>
            <w:vAlign w:val="bottom"/>
          </w:tcPr>
          <w:p w14:paraId="7135D0FC"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-0.1322</w:t>
            </w:r>
          </w:p>
        </w:tc>
        <w:tc>
          <w:tcPr>
            <w:tcW w:w="1134" w:type="dxa"/>
            <w:vAlign w:val="bottom"/>
          </w:tcPr>
          <w:p w14:paraId="389F34E1"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2.2409</w:t>
            </w:r>
          </w:p>
        </w:tc>
        <w:tc>
          <w:tcPr>
            <w:tcW w:w="1134" w:type="dxa"/>
            <w:vAlign w:val="bottom"/>
          </w:tcPr>
          <w:p w14:paraId="4EBC73C7"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0.1902</w:t>
            </w:r>
          </w:p>
        </w:tc>
        <w:tc>
          <w:tcPr>
            <w:tcW w:w="1134" w:type="dxa"/>
            <w:vAlign w:val="bottom"/>
          </w:tcPr>
          <w:p w14:paraId="2EB2838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1.7614</w:t>
            </w:r>
          </w:p>
        </w:tc>
        <w:tc>
          <w:tcPr>
            <w:tcW w:w="1134" w:type="dxa"/>
            <w:vAlign w:val="bottom"/>
          </w:tcPr>
          <w:p w14:paraId="116D34B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6.2979</w:t>
            </w:r>
          </w:p>
        </w:tc>
        <w:tc>
          <w:tcPr>
            <w:tcW w:w="1134" w:type="dxa"/>
            <w:vAlign w:val="bottom"/>
          </w:tcPr>
          <w:p w14:paraId="258BA2A0"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0.0290</w:t>
            </w:r>
          </w:p>
        </w:tc>
        <w:tc>
          <w:tcPr>
            <w:tcW w:w="1098" w:type="dxa"/>
            <w:vAlign w:val="bottom"/>
          </w:tcPr>
          <w:p w14:paraId="78EAA7A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0.7902</w:t>
            </w:r>
          </w:p>
        </w:tc>
      </w:tr>
      <w:tr w:rsidR="004A1F5C" w14:paraId="7965E17F" w14:textId="77777777" w:rsidTr="00584AEA">
        <w:trPr>
          <w:trHeight w:hRule="exact" w:val="567"/>
        </w:trPr>
        <w:tc>
          <w:tcPr>
            <w:tcW w:w="1843" w:type="dxa"/>
          </w:tcPr>
          <w:p w14:paraId="77B4C023"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H: annual</w:t>
            </w:r>
          </w:p>
        </w:tc>
        <w:tc>
          <w:tcPr>
            <w:tcW w:w="1134" w:type="dxa"/>
            <w:vAlign w:val="bottom"/>
          </w:tcPr>
          <w:p w14:paraId="6C3C0822"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-0.0449</w:t>
            </w:r>
          </w:p>
        </w:tc>
        <w:tc>
          <w:tcPr>
            <w:tcW w:w="1134" w:type="dxa"/>
            <w:vAlign w:val="bottom"/>
          </w:tcPr>
          <w:p w14:paraId="5610DF4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0.2738</w:t>
            </w:r>
          </w:p>
        </w:tc>
        <w:tc>
          <w:tcPr>
            <w:tcW w:w="1134" w:type="dxa"/>
            <w:vAlign w:val="bottom"/>
          </w:tcPr>
          <w:p w14:paraId="6052D2C0"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0.0505</w:t>
            </w:r>
          </w:p>
        </w:tc>
        <w:tc>
          <w:tcPr>
            <w:tcW w:w="1134" w:type="dxa"/>
            <w:vAlign w:val="bottom"/>
          </w:tcPr>
          <w:p w14:paraId="646C0AC8"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2.9623</w:t>
            </w:r>
          </w:p>
        </w:tc>
        <w:tc>
          <w:tcPr>
            <w:tcW w:w="1134" w:type="dxa"/>
            <w:vAlign w:val="bottom"/>
          </w:tcPr>
          <w:p w14:paraId="1FE67E3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7.9286</w:t>
            </w:r>
          </w:p>
        </w:tc>
        <w:tc>
          <w:tcPr>
            <w:tcW w:w="1134" w:type="dxa"/>
            <w:vAlign w:val="bottom"/>
          </w:tcPr>
          <w:p w14:paraId="6885ACF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9.7823</w:t>
            </w:r>
          </w:p>
        </w:tc>
        <w:tc>
          <w:tcPr>
            <w:tcW w:w="1134" w:type="dxa"/>
            <w:vAlign w:val="bottom"/>
          </w:tcPr>
          <w:p w14:paraId="6B4A8D5F"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0.7512</w:t>
            </w:r>
          </w:p>
        </w:tc>
        <w:tc>
          <w:tcPr>
            <w:tcW w:w="1098" w:type="dxa"/>
            <w:vAlign w:val="bottom"/>
          </w:tcPr>
          <w:p w14:paraId="261E7471"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0.2977</w:t>
            </w:r>
          </w:p>
        </w:tc>
      </w:tr>
      <w:tr w:rsidR="004A1F5C" w14:paraId="74EAD303" w14:textId="77777777" w:rsidTr="00584AEA">
        <w:trPr>
          <w:trHeight w:hRule="exact" w:val="567"/>
        </w:trPr>
        <w:tc>
          <w:tcPr>
            <w:tcW w:w="1843" w:type="dxa"/>
          </w:tcPr>
          <w:p w14:paraId="5488CC28"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H: spatiotemporal</w:t>
            </w:r>
          </w:p>
        </w:tc>
        <w:tc>
          <w:tcPr>
            <w:tcW w:w="1134" w:type="dxa"/>
            <w:vAlign w:val="bottom"/>
          </w:tcPr>
          <w:p w14:paraId="1F0D00A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-0.3004</w:t>
            </w:r>
          </w:p>
        </w:tc>
        <w:tc>
          <w:tcPr>
            <w:tcW w:w="1134" w:type="dxa"/>
            <w:vAlign w:val="bottom"/>
          </w:tcPr>
          <w:p w14:paraId="50DF1CF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0.1990</w:t>
            </w:r>
          </w:p>
        </w:tc>
        <w:tc>
          <w:tcPr>
            <w:tcW w:w="1134" w:type="dxa"/>
            <w:vAlign w:val="bottom"/>
          </w:tcPr>
          <w:p w14:paraId="1A67648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0.4509</w:t>
            </w:r>
          </w:p>
        </w:tc>
        <w:tc>
          <w:tcPr>
            <w:tcW w:w="1134" w:type="dxa"/>
            <w:vAlign w:val="bottom"/>
          </w:tcPr>
          <w:p w14:paraId="0B889AB6"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0.2055</w:t>
            </w:r>
          </w:p>
        </w:tc>
        <w:tc>
          <w:tcPr>
            <w:tcW w:w="1134" w:type="dxa"/>
            <w:vAlign w:val="bottom"/>
          </w:tcPr>
          <w:p w14:paraId="12A401C6"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4.3136</w:t>
            </w:r>
          </w:p>
        </w:tc>
        <w:tc>
          <w:tcPr>
            <w:tcW w:w="1134" w:type="dxa"/>
            <w:vAlign w:val="bottom"/>
          </w:tcPr>
          <w:p w14:paraId="38E4D19C"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2.9695</w:t>
            </w:r>
          </w:p>
        </w:tc>
        <w:tc>
          <w:tcPr>
            <w:tcW w:w="1134" w:type="dxa"/>
            <w:vAlign w:val="bottom"/>
          </w:tcPr>
          <w:p w14:paraId="3D4A2ED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0.7932</w:t>
            </w:r>
          </w:p>
        </w:tc>
        <w:tc>
          <w:tcPr>
            <w:tcW w:w="1098" w:type="dxa"/>
            <w:vAlign w:val="bottom"/>
          </w:tcPr>
          <w:p w14:paraId="61F45196"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0.6294</w:t>
            </w:r>
          </w:p>
        </w:tc>
      </w:tr>
      <w:tr w:rsidR="004A1F5C" w14:paraId="25AA07F2" w14:textId="77777777" w:rsidTr="00584AEA">
        <w:trPr>
          <w:trHeight w:hRule="exact" w:val="567"/>
        </w:trPr>
        <w:tc>
          <w:tcPr>
            <w:tcW w:w="1843" w:type="dxa"/>
          </w:tcPr>
          <w:p w14:paraId="6FAE0D07" w14:textId="03602BEE"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Population size</w:t>
            </w:r>
          </w:p>
        </w:tc>
        <w:tc>
          <w:tcPr>
            <w:tcW w:w="1134" w:type="dxa"/>
            <w:vAlign w:val="bottom"/>
          </w:tcPr>
          <w:p w14:paraId="0336B7F6"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0.1274</w:t>
            </w:r>
          </w:p>
        </w:tc>
        <w:tc>
          <w:tcPr>
            <w:tcW w:w="1134" w:type="dxa"/>
            <w:vAlign w:val="bottom"/>
          </w:tcPr>
          <w:p w14:paraId="653C19E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0.1488</w:t>
            </w:r>
          </w:p>
        </w:tc>
        <w:tc>
          <w:tcPr>
            <w:tcW w:w="1134" w:type="dxa"/>
            <w:vAlign w:val="bottom"/>
          </w:tcPr>
          <w:p w14:paraId="4DBB96D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0.9521</w:t>
            </w:r>
          </w:p>
        </w:tc>
        <w:tc>
          <w:tcPr>
            <w:tcW w:w="1134" w:type="dxa"/>
            <w:vAlign w:val="bottom"/>
          </w:tcPr>
          <w:p w14:paraId="30962BEB"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1.8024</w:t>
            </w:r>
          </w:p>
        </w:tc>
        <w:tc>
          <w:tcPr>
            <w:tcW w:w="1134" w:type="dxa"/>
            <w:vAlign w:val="bottom"/>
          </w:tcPr>
          <w:p w14:paraId="0C1F953D"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2.2829</w:t>
            </w:r>
          </w:p>
        </w:tc>
        <w:tc>
          <w:tcPr>
            <w:tcW w:w="1134" w:type="dxa"/>
            <w:vAlign w:val="bottom"/>
          </w:tcPr>
          <w:p w14:paraId="32AD07D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6.5359</w:t>
            </w:r>
          </w:p>
        </w:tc>
        <w:tc>
          <w:tcPr>
            <w:tcW w:w="1134" w:type="dxa"/>
            <w:vAlign w:val="bottom"/>
          </w:tcPr>
          <w:p w14:paraId="3312DCA2"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0.1718</w:t>
            </w:r>
          </w:p>
        </w:tc>
        <w:tc>
          <w:tcPr>
            <w:tcW w:w="1098" w:type="dxa"/>
            <w:vAlign w:val="bottom"/>
          </w:tcPr>
          <w:p w14:paraId="75A713A8"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0.3397</w:t>
            </w:r>
          </w:p>
        </w:tc>
      </w:tr>
      <w:tr w:rsidR="004A1F5C" w14:paraId="2F3152EA" w14:textId="77777777" w:rsidTr="00584AEA">
        <w:trPr>
          <w:trHeight w:hRule="exact" w:val="567"/>
        </w:trPr>
        <w:tc>
          <w:tcPr>
            <w:tcW w:w="1843" w:type="dxa"/>
            <w:tcBorders>
              <w:bottom w:val="single" w:sz="4" w:space="0" w:color="auto"/>
            </w:tcBorders>
          </w:tcPr>
          <w:p w14:paraId="06FFA8C2" w14:textId="08767452"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Prop. children</w:t>
            </w:r>
          </w:p>
        </w:tc>
        <w:tc>
          <w:tcPr>
            <w:tcW w:w="1134" w:type="dxa"/>
            <w:tcBorders>
              <w:bottom w:val="single" w:sz="4" w:space="0" w:color="auto"/>
            </w:tcBorders>
            <w:vAlign w:val="bottom"/>
          </w:tcPr>
          <w:p w14:paraId="18F9C5CA"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0.1215</w:t>
            </w:r>
          </w:p>
        </w:tc>
        <w:tc>
          <w:tcPr>
            <w:tcW w:w="1134" w:type="dxa"/>
            <w:tcBorders>
              <w:bottom w:val="single" w:sz="4" w:space="0" w:color="auto"/>
            </w:tcBorders>
            <w:vAlign w:val="bottom"/>
          </w:tcPr>
          <w:p w14:paraId="4125896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0.0297</w:t>
            </w:r>
          </w:p>
        </w:tc>
        <w:tc>
          <w:tcPr>
            <w:tcW w:w="1134" w:type="dxa"/>
            <w:tcBorders>
              <w:bottom w:val="single" w:sz="4" w:space="0" w:color="auto"/>
            </w:tcBorders>
            <w:vAlign w:val="bottom"/>
          </w:tcPr>
          <w:p w14:paraId="58154F5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1.3576</w:t>
            </w:r>
          </w:p>
        </w:tc>
        <w:tc>
          <w:tcPr>
            <w:tcW w:w="1134" w:type="dxa"/>
            <w:tcBorders>
              <w:bottom w:val="single" w:sz="4" w:space="0" w:color="auto"/>
            </w:tcBorders>
            <w:vAlign w:val="bottom"/>
          </w:tcPr>
          <w:p w14:paraId="4492BB44"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0.0792</w:t>
            </w:r>
          </w:p>
        </w:tc>
        <w:tc>
          <w:tcPr>
            <w:tcW w:w="1134" w:type="dxa"/>
            <w:tcBorders>
              <w:bottom w:val="single" w:sz="4" w:space="0" w:color="auto"/>
            </w:tcBorders>
            <w:vAlign w:val="bottom"/>
          </w:tcPr>
          <w:p w14:paraId="4C26EBA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2.2672</w:t>
            </w:r>
          </w:p>
        </w:tc>
        <w:tc>
          <w:tcPr>
            <w:tcW w:w="1134" w:type="dxa"/>
            <w:tcBorders>
              <w:bottom w:val="single" w:sz="4" w:space="0" w:color="auto"/>
              <w:right w:val="single" w:sz="4" w:space="0" w:color="auto"/>
            </w:tcBorders>
            <w:vAlign w:val="bottom"/>
          </w:tcPr>
          <w:p w14:paraId="0C2C5319"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6.3188</w:t>
            </w:r>
          </w:p>
        </w:tc>
        <w:tc>
          <w:tcPr>
            <w:tcW w:w="1134" w:type="dxa"/>
            <w:tcBorders>
              <w:left w:val="single" w:sz="4" w:space="0" w:color="auto"/>
              <w:bottom w:val="single" w:sz="4" w:space="0" w:color="auto"/>
            </w:tcBorders>
            <w:vAlign w:val="bottom"/>
          </w:tcPr>
          <w:p w14:paraId="1B7C943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0.0929</w:t>
            </w:r>
          </w:p>
        </w:tc>
        <w:tc>
          <w:tcPr>
            <w:tcW w:w="1098" w:type="dxa"/>
            <w:tcBorders>
              <w:bottom w:val="single" w:sz="4" w:space="0" w:color="auto"/>
            </w:tcBorders>
            <w:vAlign w:val="bottom"/>
          </w:tcPr>
          <w:p w14:paraId="154FBDCE" w14:textId="77777777" w:rsidR="004A1F5C" w:rsidRDefault="004A1F5C" w:rsidP="00584AEA">
            <w:pPr>
              <w:spacing w:line="480" w:lineRule="auto"/>
              <w:jc w:val="center"/>
              <w:rPr>
                <w:rFonts w:ascii="Calibri" w:hAnsi="Calibri"/>
                <w:color w:val="000000"/>
                <w:sz w:val="22"/>
                <w:szCs w:val="22"/>
              </w:rPr>
            </w:pPr>
            <w:r>
              <w:rPr>
                <w:rFonts w:ascii="Calibri" w:hAnsi="Calibri"/>
                <w:color w:val="000000"/>
                <w:sz w:val="22"/>
                <w:szCs w:val="22"/>
              </w:rPr>
              <w:t>0.8472</w:t>
            </w:r>
          </w:p>
        </w:tc>
      </w:tr>
    </w:tbl>
    <w:p w14:paraId="7EC0CAD4" w14:textId="77777777" w:rsidR="00D33E1B" w:rsidRDefault="00D33E1B" w:rsidP="00584AEA">
      <w:pPr>
        <w:spacing w:line="480" w:lineRule="auto"/>
        <w:rPr>
          <w:rFonts w:ascii="Times New Roman" w:hAnsi="Times New Roman" w:cs="Times New Roman"/>
        </w:rPr>
      </w:pPr>
    </w:p>
    <w:p w14:paraId="158E5643" w14:textId="77777777" w:rsidR="004E2ADD" w:rsidRDefault="004E2ADD" w:rsidP="00D33E1B">
      <w:pPr>
        <w:spacing w:line="480" w:lineRule="auto"/>
        <w:rPr>
          <w:rFonts w:ascii="Times New Roman" w:hAnsi="Times New Roman" w:cs="Times New Roman"/>
        </w:rPr>
      </w:pPr>
    </w:p>
    <w:p w14:paraId="16B94F26" w14:textId="77777777" w:rsidR="006B2037" w:rsidRDefault="006B2037" w:rsidP="00D33E1B">
      <w:pPr>
        <w:spacing w:line="480" w:lineRule="auto"/>
        <w:rPr>
          <w:rFonts w:ascii="Times New Roman" w:hAnsi="Times New Roman" w:cs="Times New Roman"/>
        </w:rPr>
      </w:pPr>
    </w:p>
    <w:p w14:paraId="72CA87AD" w14:textId="77777777" w:rsidR="006B2037" w:rsidRDefault="006B2037" w:rsidP="00D33E1B">
      <w:pPr>
        <w:spacing w:line="480" w:lineRule="auto"/>
        <w:rPr>
          <w:rFonts w:ascii="Times New Roman" w:hAnsi="Times New Roman" w:cs="Times New Roman"/>
        </w:rPr>
      </w:pPr>
    </w:p>
    <w:p w14:paraId="65B945A7" w14:textId="77777777" w:rsidR="005C45A5" w:rsidRDefault="005C45A5">
      <w:pPr>
        <w:rPr>
          <w:rFonts w:ascii="Times New Roman" w:hAnsi="Times New Roman" w:cs="Times New Roman"/>
        </w:rPr>
      </w:pPr>
      <w:r>
        <w:rPr>
          <w:rFonts w:ascii="Times New Roman" w:hAnsi="Times New Roman" w:cs="Times New Roman"/>
        </w:rPr>
        <w:br w:type="page"/>
      </w:r>
    </w:p>
    <w:p w14:paraId="1EB7C37F" w14:textId="02E35179" w:rsidR="006B2037" w:rsidRDefault="006B2037" w:rsidP="00D33E1B">
      <w:pPr>
        <w:tabs>
          <w:tab w:val="left" w:pos="1000"/>
        </w:tabs>
        <w:rPr>
          <w:rFonts w:ascii="Times New Roman" w:hAnsi="Times New Roman" w:cs="Times New Roman"/>
        </w:rPr>
      </w:pPr>
      <w:r>
        <w:rPr>
          <w:rFonts w:ascii="Times New Roman" w:hAnsi="Times New Roman" w:cs="Times New Roman"/>
        </w:rPr>
        <w:lastRenderedPageBreak/>
        <w:t>REFERENCES</w:t>
      </w:r>
    </w:p>
    <w:p w14:paraId="7310D2AB" w14:textId="77777777" w:rsidR="006B2037" w:rsidRDefault="006B2037" w:rsidP="00D33E1B">
      <w:pPr>
        <w:tabs>
          <w:tab w:val="left" w:pos="1000"/>
        </w:tabs>
        <w:rPr>
          <w:rFonts w:ascii="Times New Roman" w:hAnsi="Times New Roman" w:cs="Times New Roman"/>
        </w:rPr>
      </w:pPr>
    </w:p>
    <w:p w14:paraId="44AFCB55" w14:textId="77777777" w:rsidR="00407AF2" w:rsidRPr="00407AF2" w:rsidRDefault="006B2037" w:rsidP="00407AF2">
      <w:pPr>
        <w:pStyle w:val="EndNoteBibliography"/>
        <w:spacing w:line="480" w:lineRule="auto"/>
        <w:ind w:left="720" w:hanging="720"/>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407AF2" w:rsidRPr="00407AF2">
        <w:rPr>
          <w:noProof/>
        </w:rPr>
        <w:t>1.</w:t>
      </w:r>
      <w:r w:rsidR="00407AF2" w:rsidRPr="00407AF2">
        <w:rPr>
          <w:noProof/>
        </w:rPr>
        <w:tab/>
        <w:t>Viboud C, Bjørnstad ON, Smith DL</w:t>
      </w:r>
      <w:r w:rsidR="00407AF2" w:rsidRPr="00407AF2">
        <w:rPr>
          <w:i/>
          <w:noProof/>
        </w:rPr>
        <w:t xml:space="preserve"> et al</w:t>
      </w:r>
      <w:r w:rsidR="00407AF2" w:rsidRPr="00407AF2">
        <w:rPr>
          <w:noProof/>
        </w:rPr>
        <w:t xml:space="preserve">: Synchrony, Waves, and Spatial Hierarchies in the Spread of Influenza. </w:t>
      </w:r>
      <w:r w:rsidR="00407AF2" w:rsidRPr="00407AF2">
        <w:rPr>
          <w:i/>
          <w:noProof/>
        </w:rPr>
        <w:t xml:space="preserve">Science. </w:t>
      </w:r>
      <w:r w:rsidR="00407AF2" w:rsidRPr="00407AF2">
        <w:rPr>
          <w:noProof/>
        </w:rPr>
        <w:t>2006;312(5772):447-451.</w:t>
      </w:r>
    </w:p>
    <w:p w14:paraId="152243C6" w14:textId="77777777" w:rsidR="00407AF2" w:rsidRPr="00407AF2" w:rsidRDefault="00407AF2" w:rsidP="00407AF2">
      <w:pPr>
        <w:pStyle w:val="EndNoteBibliography"/>
        <w:spacing w:line="480" w:lineRule="auto"/>
        <w:ind w:left="720" w:hanging="720"/>
        <w:rPr>
          <w:noProof/>
        </w:rPr>
      </w:pPr>
      <w:r w:rsidRPr="00407AF2">
        <w:rPr>
          <w:noProof/>
        </w:rPr>
        <w:t>2.</w:t>
      </w:r>
      <w:r w:rsidRPr="00407AF2">
        <w:rPr>
          <w:noProof/>
        </w:rPr>
        <w:tab/>
        <w:t>Shaman J, Pitzer VE, Viboud C</w:t>
      </w:r>
      <w:r w:rsidRPr="00407AF2">
        <w:rPr>
          <w:i/>
          <w:noProof/>
        </w:rPr>
        <w:t xml:space="preserve"> et al</w:t>
      </w:r>
      <w:r w:rsidRPr="00407AF2">
        <w:rPr>
          <w:noProof/>
        </w:rPr>
        <w:t xml:space="preserve">: Absolute Humidity and the Seasonal Onset of Influenza in the Continental United States. </w:t>
      </w:r>
      <w:r w:rsidRPr="00407AF2">
        <w:rPr>
          <w:i/>
          <w:noProof/>
        </w:rPr>
        <w:t xml:space="preserve">PLoS Biol. </w:t>
      </w:r>
      <w:r w:rsidRPr="00407AF2">
        <w:rPr>
          <w:noProof/>
        </w:rPr>
        <w:t>2010;8(2):e1000316.</w:t>
      </w:r>
    </w:p>
    <w:p w14:paraId="22F0115A" w14:textId="77777777" w:rsidR="00407AF2" w:rsidRPr="00407AF2" w:rsidRDefault="00407AF2" w:rsidP="00407AF2">
      <w:pPr>
        <w:pStyle w:val="EndNoteBibliography"/>
        <w:spacing w:line="480" w:lineRule="auto"/>
        <w:ind w:left="720" w:hanging="720"/>
        <w:rPr>
          <w:noProof/>
        </w:rPr>
      </w:pPr>
      <w:r w:rsidRPr="00407AF2">
        <w:rPr>
          <w:noProof/>
        </w:rPr>
        <w:t>3.</w:t>
      </w:r>
      <w:r w:rsidRPr="00407AF2">
        <w:rPr>
          <w:noProof/>
        </w:rPr>
        <w:tab/>
        <w:t>Alonso WJ, Viboud C, Simonsen L</w:t>
      </w:r>
      <w:r w:rsidRPr="00407AF2">
        <w:rPr>
          <w:i/>
          <w:noProof/>
        </w:rPr>
        <w:t xml:space="preserve"> et al</w:t>
      </w:r>
      <w:r w:rsidRPr="00407AF2">
        <w:rPr>
          <w:noProof/>
        </w:rPr>
        <w:t xml:space="preserve">: Seasonality of Influenza in Brazil: A Traveling Wave from the Amazon to the Subtropics. </w:t>
      </w:r>
      <w:r w:rsidRPr="00407AF2">
        <w:rPr>
          <w:i/>
          <w:noProof/>
        </w:rPr>
        <w:t xml:space="preserve">Am J Epidemiol. </w:t>
      </w:r>
      <w:r w:rsidRPr="00407AF2">
        <w:rPr>
          <w:noProof/>
        </w:rPr>
        <w:t>2007;165(12):1434-1442.</w:t>
      </w:r>
    </w:p>
    <w:p w14:paraId="1D6DABA9" w14:textId="77777777" w:rsidR="00407AF2" w:rsidRPr="00407AF2" w:rsidRDefault="00407AF2" w:rsidP="00407AF2">
      <w:pPr>
        <w:pStyle w:val="EndNoteBibliography"/>
        <w:spacing w:line="480" w:lineRule="auto"/>
        <w:ind w:left="720" w:hanging="720"/>
        <w:rPr>
          <w:noProof/>
        </w:rPr>
      </w:pPr>
      <w:r w:rsidRPr="00407AF2">
        <w:rPr>
          <w:noProof/>
        </w:rPr>
        <w:t>4.</w:t>
      </w:r>
      <w:r w:rsidRPr="00407AF2">
        <w:rPr>
          <w:noProof/>
        </w:rPr>
        <w:tab/>
        <w:t xml:space="preserve">Charaudeau S, Pakdaman K, Boëlle P-Y: Commuter Mobility and the Spread of Infectious Diseases: Application to Influenza in France. </w:t>
      </w:r>
      <w:r w:rsidRPr="00407AF2">
        <w:rPr>
          <w:i/>
          <w:noProof/>
        </w:rPr>
        <w:t xml:space="preserve">PLoS ONE. </w:t>
      </w:r>
      <w:r w:rsidRPr="00407AF2">
        <w:rPr>
          <w:noProof/>
        </w:rPr>
        <w:t>2014;9(1):e83002.</w:t>
      </w:r>
    </w:p>
    <w:p w14:paraId="084D1704" w14:textId="77777777" w:rsidR="00407AF2" w:rsidRPr="00407AF2" w:rsidRDefault="00407AF2" w:rsidP="00407AF2">
      <w:pPr>
        <w:pStyle w:val="EndNoteBibliography"/>
        <w:spacing w:line="480" w:lineRule="auto"/>
        <w:ind w:left="720" w:hanging="720"/>
        <w:rPr>
          <w:noProof/>
        </w:rPr>
      </w:pPr>
      <w:r w:rsidRPr="00407AF2">
        <w:rPr>
          <w:noProof/>
        </w:rPr>
        <w:t>5.</w:t>
      </w:r>
      <w:r w:rsidRPr="00407AF2">
        <w:rPr>
          <w:noProof/>
        </w:rPr>
        <w:tab/>
        <w:t xml:space="preserve">Crépey P, Barthélemy M: Detecting Robust Patterns in the Spread of Epidemics: A Case Study of Influenza in the United States and France. </w:t>
      </w:r>
      <w:r w:rsidRPr="00407AF2">
        <w:rPr>
          <w:i/>
          <w:noProof/>
        </w:rPr>
        <w:t xml:space="preserve">Am J Epidemiol. </w:t>
      </w:r>
      <w:r w:rsidRPr="00407AF2">
        <w:rPr>
          <w:noProof/>
        </w:rPr>
        <w:t>2007;166(11):1244-1251.</w:t>
      </w:r>
    </w:p>
    <w:p w14:paraId="7F95A9B7" w14:textId="77777777" w:rsidR="00407AF2" w:rsidRPr="00407AF2" w:rsidRDefault="00407AF2" w:rsidP="00407AF2">
      <w:pPr>
        <w:pStyle w:val="EndNoteBibliography"/>
        <w:spacing w:line="480" w:lineRule="auto"/>
        <w:ind w:left="720" w:hanging="720"/>
        <w:rPr>
          <w:noProof/>
        </w:rPr>
      </w:pPr>
      <w:r w:rsidRPr="00407AF2">
        <w:rPr>
          <w:noProof/>
        </w:rPr>
        <w:t>6.</w:t>
      </w:r>
      <w:r w:rsidRPr="00407AF2">
        <w:rPr>
          <w:noProof/>
        </w:rPr>
        <w:tab/>
        <w:t>Huppert A, Barnea O, Katriel G</w:t>
      </w:r>
      <w:r w:rsidRPr="00407AF2">
        <w:rPr>
          <w:i/>
          <w:noProof/>
        </w:rPr>
        <w:t xml:space="preserve"> et al</w:t>
      </w:r>
      <w:r w:rsidRPr="00407AF2">
        <w:rPr>
          <w:noProof/>
        </w:rPr>
        <w:t xml:space="preserve">: Modeling and Statistical Analysis of the Spatio-Temporal Patterns of Seasonal Influenza in Israel. </w:t>
      </w:r>
      <w:r w:rsidRPr="00407AF2">
        <w:rPr>
          <w:i/>
          <w:noProof/>
        </w:rPr>
        <w:t xml:space="preserve">PLoS ONE. </w:t>
      </w:r>
      <w:r w:rsidRPr="00407AF2">
        <w:rPr>
          <w:noProof/>
        </w:rPr>
        <w:t>2012;7(10):e45107.</w:t>
      </w:r>
    </w:p>
    <w:p w14:paraId="5E98367E" w14:textId="77777777" w:rsidR="00407AF2" w:rsidRPr="00407AF2" w:rsidRDefault="00407AF2" w:rsidP="00407AF2">
      <w:pPr>
        <w:pStyle w:val="EndNoteBibliography"/>
        <w:spacing w:line="480" w:lineRule="auto"/>
        <w:ind w:left="720" w:hanging="720"/>
        <w:rPr>
          <w:noProof/>
        </w:rPr>
      </w:pPr>
      <w:r w:rsidRPr="00407AF2">
        <w:rPr>
          <w:noProof/>
        </w:rPr>
        <w:t>7.</w:t>
      </w:r>
      <w:r w:rsidRPr="00407AF2">
        <w:rPr>
          <w:noProof/>
        </w:rPr>
        <w:tab/>
        <w:t>Stark JH, Cummings DAT, Ermentrout B</w:t>
      </w:r>
      <w:r w:rsidRPr="00407AF2">
        <w:rPr>
          <w:i/>
          <w:noProof/>
        </w:rPr>
        <w:t xml:space="preserve"> et al</w:t>
      </w:r>
      <w:r w:rsidRPr="00407AF2">
        <w:rPr>
          <w:noProof/>
        </w:rPr>
        <w:t xml:space="preserve">: Local Variations in Spatial Synchrony of Influenza Epidemics. </w:t>
      </w:r>
      <w:r w:rsidRPr="00407AF2">
        <w:rPr>
          <w:i/>
          <w:noProof/>
        </w:rPr>
        <w:t xml:space="preserve">PLoS ONE. </w:t>
      </w:r>
      <w:r w:rsidRPr="00407AF2">
        <w:rPr>
          <w:noProof/>
        </w:rPr>
        <w:t>2012;7(8):e43528.</w:t>
      </w:r>
    </w:p>
    <w:p w14:paraId="2E0FBAD6" w14:textId="77777777" w:rsidR="00407AF2" w:rsidRPr="00407AF2" w:rsidRDefault="00407AF2" w:rsidP="00407AF2">
      <w:pPr>
        <w:pStyle w:val="EndNoteBibliography"/>
        <w:spacing w:line="480" w:lineRule="auto"/>
        <w:ind w:left="720" w:hanging="720"/>
        <w:rPr>
          <w:noProof/>
        </w:rPr>
      </w:pPr>
      <w:r w:rsidRPr="00407AF2">
        <w:rPr>
          <w:noProof/>
        </w:rPr>
        <w:t>8.</w:t>
      </w:r>
      <w:r w:rsidRPr="00407AF2">
        <w:rPr>
          <w:noProof/>
        </w:rPr>
        <w:tab/>
        <w:t>Yu H, Alonso WJ, Feng L</w:t>
      </w:r>
      <w:r w:rsidRPr="00407AF2">
        <w:rPr>
          <w:i/>
          <w:noProof/>
        </w:rPr>
        <w:t xml:space="preserve"> et al</w:t>
      </w:r>
      <w:r w:rsidRPr="00407AF2">
        <w:rPr>
          <w:noProof/>
        </w:rPr>
        <w:t xml:space="preserve">: Characterization of Regional Influenza Seasonality Patterns in China and Implications for Vaccination Strategies: Spatio-Temporal Modeling of Surveillance Data. </w:t>
      </w:r>
      <w:r w:rsidRPr="00407AF2">
        <w:rPr>
          <w:i/>
          <w:noProof/>
        </w:rPr>
        <w:t xml:space="preserve">PLoS Medicine. </w:t>
      </w:r>
      <w:r w:rsidRPr="00407AF2">
        <w:rPr>
          <w:noProof/>
        </w:rPr>
        <w:t>2013;10(11):e1001552.</w:t>
      </w:r>
    </w:p>
    <w:p w14:paraId="32606A89" w14:textId="77777777" w:rsidR="00407AF2" w:rsidRPr="00407AF2" w:rsidRDefault="00407AF2" w:rsidP="00407AF2">
      <w:pPr>
        <w:pStyle w:val="EndNoteBibliography"/>
        <w:spacing w:line="480" w:lineRule="auto"/>
        <w:ind w:left="720" w:hanging="720"/>
        <w:rPr>
          <w:noProof/>
        </w:rPr>
      </w:pPr>
      <w:r w:rsidRPr="00407AF2">
        <w:rPr>
          <w:noProof/>
        </w:rPr>
        <w:lastRenderedPageBreak/>
        <w:t>9.</w:t>
      </w:r>
      <w:r w:rsidRPr="00407AF2">
        <w:rPr>
          <w:noProof/>
        </w:rPr>
        <w:tab/>
        <w:t>Gog JR, Ballesteros S, Viboud C</w:t>
      </w:r>
      <w:r w:rsidRPr="00407AF2">
        <w:rPr>
          <w:i/>
          <w:noProof/>
        </w:rPr>
        <w:t xml:space="preserve"> et al</w:t>
      </w:r>
      <w:r w:rsidRPr="00407AF2">
        <w:rPr>
          <w:noProof/>
        </w:rPr>
        <w:t xml:space="preserve">: Spatial Transmission of 2009 Pandemic Influenza in the US. </w:t>
      </w:r>
      <w:r w:rsidRPr="00407AF2">
        <w:rPr>
          <w:i/>
          <w:noProof/>
        </w:rPr>
        <w:t xml:space="preserve">PLoS Comp Biol. </w:t>
      </w:r>
      <w:r w:rsidRPr="00407AF2">
        <w:rPr>
          <w:noProof/>
        </w:rPr>
        <w:t>2014;10(6):e1003635.</w:t>
      </w:r>
    </w:p>
    <w:p w14:paraId="0FCC8B86" w14:textId="77777777" w:rsidR="00407AF2" w:rsidRPr="00407AF2" w:rsidRDefault="00407AF2" w:rsidP="00407AF2">
      <w:pPr>
        <w:pStyle w:val="EndNoteBibliography"/>
        <w:spacing w:line="480" w:lineRule="auto"/>
        <w:ind w:left="720" w:hanging="720"/>
        <w:rPr>
          <w:noProof/>
        </w:rPr>
      </w:pPr>
      <w:r w:rsidRPr="00407AF2">
        <w:rPr>
          <w:noProof/>
        </w:rPr>
        <w:t>10.</w:t>
      </w:r>
      <w:r w:rsidRPr="00407AF2">
        <w:rPr>
          <w:noProof/>
        </w:rPr>
        <w:tab/>
        <w:t>He D, Dushoff J, Eftimie R</w:t>
      </w:r>
      <w:r w:rsidRPr="00407AF2">
        <w:rPr>
          <w:i/>
          <w:noProof/>
        </w:rPr>
        <w:t xml:space="preserve"> et al</w:t>
      </w:r>
      <w:r w:rsidRPr="00407AF2">
        <w:rPr>
          <w:noProof/>
        </w:rPr>
        <w:t xml:space="preserve">: Patterns of spread of influenza A in Canada. </w:t>
      </w:r>
      <w:r w:rsidRPr="00407AF2">
        <w:rPr>
          <w:i/>
          <w:noProof/>
        </w:rPr>
        <w:t xml:space="preserve">Proceedings of the Royal Society of London B: Biological Sciences. </w:t>
      </w:r>
      <w:r w:rsidRPr="00407AF2">
        <w:rPr>
          <w:noProof/>
        </w:rPr>
        <w:t>2013;280(1770).</w:t>
      </w:r>
    </w:p>
    <w:p w14:paraId="0281E4B4" w14:textId="396C6E34" w:rsidR="00D33E1B" w:rsidRPr="00D33E1B" w:rsidRDefault="006B2037" w:rsidP="00407AF2">
      <w:pPr>
        <w:tabs>
          <w:tab w:val="left" w:pos="1000"/>
        </w:tabs>
        <w:spacing w:line="480" w:lineRule="auto"/>
        <w:rPr>
          <w:rFonts w:ascii="Times New Roman" w:hAnsi="Times New Roman" w:cs="Times New Roman"/>
        </w:rPr>
      </w:pPr>
      <w:r>
        <w:rPr>
          <w:rFonts w:ascii="Times New Roman" w:hAnsi="Times New Roman" w:cs="Times New Roman"/>
        </w:rPr>
        <w:fldChar w:fldCharType="end"/>
      </w:r>
    </w:p>
    <w:sectPr w:rsidR="00D33E1B" w:rsidRPr="00D33E1B" w:rsidSect="00F51EB2">
      <w:footerReference w:type="even" r:id="rId19"/>
      <w:foot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359D5" w14:textId="77777777" w:rsidR="0079438B" w:rsidRDefault="0079438B" w:rsidP="00C32B7B">
      <w:r>
        <w:separator/>
      </w:r>
    </w:p>
  </w:endnote>
  <w:endnote w:type="continuationSeparator" w:id="0">
    <w:p w14:paraId="350C765B" w14:textId="77777777" w:rsidR="0079438B" w:rsidRDefault="0079438B" w:rsidP="00C32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2B96" w14:textId="77777777" w:rsidR="004A1F5C" w:rsidRDefault="004A1F5C" w:rsidP="003E60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F31951" w14:textId="77777777" w:rsidR="004A1F5C" w:rsidRDefault="004A1F5C" w:rsidP="00B20B2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9B76" w14:textId="1AEEF8E5" w:rsidR="004A1F5C" w:rsidRDefault="004A1F5C" w:rsidP="003E60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3451">
      <w:rPr>
        <w:rStyle w:val="PageNumber"/>
        <w:noProof/>
      </w:rPr>
      <w:t>1</w:t>
    </w:r>
    <w:r>
      <w:rPr>
        <w:rStyle w:val="PageNumber"/>
      </w:rPr>
      <w:fldChar w:fldCharType="end"/>
    </w:r>
  </w:p>
  <w:p w14:paraId="4969E74F" w14:textId="77777777" w:rsidR="004A1F5C" w:rsidRDefault="004A1F5C" w:rsidP="00B20B2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686BD" w14:textId="77777777" w:rsidR="0079438B" w:rsidRDefault="0079438B" w:rsidP="00C32B7B">
      <w:r>
        <w:separator/>
      </w:r>
    </w:p>
  </w:footnote>
  <w:footnote w:type="continuationSeparator" w:id="0">
    <w:p w14:paraId="438579FE" w14:textId="77777777" w:rsidR="0079438B" w:rsidRDefault="0079438B" w:rsidP="00C32B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45AE"/>
    <w:multiLevelType w:val="hybridMultilevel"/>
    <w:tmpl w:val="518493B6"/>
    <w:lvl w:ilvl="0" w:tplc="04090001">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 w15:restartNumberingAfterBreak="0">
    <w:nsid w:val="3B9504BF"/>
    <w:multiLevelType w:val="hybridMultilevel"/>
    <w:tmpl w:val="727C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4A4160"/>
    <w:multiLevelType w:val="hybridMultilevel"/>
    <w:tmpl w:val="853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_jour_epi&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a992vvgxfffxettwmvv5fkfzxwedrzvedd&quot;&gt;climat&lt;record-ids&gt;&lt;item&gt;495&lt;/item&gt;&lt;item&gt;534&lt;/item&gt;&lt;item&gt;555&lt;/item&gt;&lt;item&gt;588&lt;/item&gt;&lt;item&gt;603&lt;/item&gt;&lt;item&gt;613&lt;/item&gt;&lt;item&gt;728&lt;/item&gt;&lt;item&gt;740&lt;/item&gt;&lt;item&gt;764&lt;/item&gt;&lt;item&gt;793&lt;/item&gt;&lt;/record-ids&gt;&lt;/item&gt;&lt;/Libraries&gt;"/>
  </w:docVars>
  <w:rsids>
    <w:rsidRoot w:val="00A5683D"/>
    <w:rsid w:val="000021C9"/>
    <w:rsid w:val="00007EC7"/>
    <w:rsid w:val="00017DC8"/>
    <w:rsid w:val="00021AC9"/>
    <w:rsid w:val="00023A59"/>
    <w:rsid w:val="00023E02"/>
    <w:rsid w:val="00041378"/>
    <w:rsid w:val="00041836"/>
    <w:rsid w:val="00041A47"/>
    <w:rsid w:val="000600FE"/>
    <w:rsid w:val="000C6DFD"/>
    <w:rsid w:val="0010131B"/>
    <w:rsid w:val="00113833"/>
    <w:rsid w:val="00163451"/>
    <w:rsid w:val="001679DF"/>
    <w:rsid w:val="00175B5E"/>
    <w:rsid w:val="001A166A"/>
    <w:rsid w:val="001A4C11"/>
    <w:rsid w:val="001C25F5"/>
    <w:rsid w:val="001F4A5E"/>
    <w:rsid w:val="00214BFC"/>
    <w:rsid w:val="00243462"/>
    <w:rsid w:val="00250783"/>
    <w:rsid w:val="0025557A"/>
    <w:rsid w:val="002748D3"/>
    <w:rsid w:val="002D2788"/>
    <w:rsid w:val="002D69FA"/>
    <w:rsid w:val="0031003A"/>
    <w:rsid w:val="00342425"/>
    <w:rsid w:val="00352EEC"/>
    <w:rsid w:val="0037141B"/>
    <w:rsid w:val="00375D09"/>
    <w:rsid w:val="003900CF"/>
    <w:rsid w:val="003956F6"/>
    <w:rsid w:val="003D1B15"/>
    <w:rsid w:val="003D4812"/>
    <w:rsid w:val="003E032D"/>
    <w:rsid w:val="003E040D"/>
    <w:rsid w:val="003E0730"/>
    <w:rsid w:val="003E60BD"/>
    <w:rsid w:val="003F447B"/>
    <w:rsid w:val="003F5A9A"/>
    <w:rsid w:val="003F5C98"/>
    <w:rsid w:val="00407AF2"/>
    <w:rsid w:val="0042062D"/>
    <w:rsid w:val="0042150D"/>
    <w:rsid w:val="00423E78"/>
    <w:rsid w:val="004646B4"/>
    <w:rsid w:val="00480254"/>
    <w:rsid w:val="004A1F5C"/>
    <w:rsid w:val="004B172A"/>
    <w:rsid w:val="004B722F"/>
    <w:rsid w:val="004B769A"/>
    <w:rsid w:val="004D2716"/>
    <w:rsid w:val="004E2ADD"/>
    <w:rsid w:val="004E63C5"/>
    <w:rsid w:val="004F2D74"/>
    <w:rsid w:val="00546E1A"/>
    <w:rsid w:val="00555ACB"/>
    <w:rsid w:val="00563152"/>
    <w:rsid w:val="005811BA"/>
    <w:rsid w:val="00584AEA"/>
    <w:rsid w:val="005A1078"/>
    <w:rsid w:val="005A125F"/>
    <w:rsid w:val="005A639E"/>
    <w:rsid w:val="005B0B64"/>
    <w:rsid w:val="005B2057"/>
    <w:rsid w:val="005B28AB"/>
    <w:rsid w:val="005C45A5"/>
    <w:rsid w:val="005C50DE"/>
    <w:rsid w:val="005C67A4"/>
    <w:rsid w:val="005C7CD5"/>
    <w:rsid w:val="005E0029"/>
    <w:rsid w:val="005E2131"/>
    <w:rsid w:val="00615CA6"/>
    <w:rsid w:val="0064608A"/>
    <w:rsid w:val="0064609F"/>
    <w:rsid w:val="006521CA"/>
    <w:rsid w:val="0065396E"/>
    <w:rsid w:val="00657ED6"/>
    <w:rsid w:val="00687347"/>
    <w:rsid w:val="006A7D50"/>
    <w:rsid w:val="006B2037"/>
    <w:rsid w:val="006B3FE7"/>
    <w:rsid w:val="006D36B7"/>
    <w:rsid w:val="006D4144"/>
    <w:rsid w:val="006E2746"/>
    <w:rsid w:val="006E6259"/>
    <w:rsid w:val="007068B9"/>
    <w:rsid w:val="00713B58"/>
    <w:rsid w:val="00723A14"/>
    <w:rsid w:val="007627BC"/>
    <w:rsid w:val="007735C8"/>
    <w:rsid w:val="007825BC"/>
    <w:rsid w:val="0079438B"/>
    <w:rsid w:val="00796D77"/>
    <w:rsid w:val="007A6FF2"/>
    <w:rsid w:val="007B2818"/>
    <w:rsid w:val="007E154E"/>
    <w:rsid w:val="007F08FD"/>
    <w:rsid w:val="007F46E2"/>
    <w:rsid w:val="00802B13"/>
    <w:rsid w:val="00822552"/>
    <w:rsid w:val="0083225D"/>
    <w:rsid w:val="008416A2"/>
    <w:rsid w:val="008444ED"/>
    <w:rsid w:val="00857AA6"/>
    <w:rsid w:val="00872098"/>
    <w:rsid w:val="008752A3"/>
    <w:rsid w:val="008A2BF5"/>
    <w:rsid w:val="008C70EB"/>
    <w:rsid w:val="008D066E"/>
    <w:rsid w:val="008D459F"/>
    <w:rsid w:val="008E183E"/>
    <w:rsid w:val="00901072"/>
    <w:rsid w:val="009276AC"/>
    <w:rsid w:val="00931167"/>
    <w:rsid w:val="0093272B"/>
    <w:rsid w:val="009348C3"/>
    <w:rsid w:val="00952A9C"/>
    <w:rsid w:val="00960223"/>
    <w:rsid w:val="00967A46"/>
    <w:rsid w:val="00976D5C"/>
    <w:rsid w:val="009A49E5"/>
    <w:rsid w:val="009B7410"/>
    <w:rsid w:val="009D024C"/>
    <w:rsid w:val="009D2053"/>
    <w:rsid w:val="009E2B58"/>
    <w:rsid w:val="009F0C1E"/>
    <w:rsid w:val="009F37FA"/>
    <w:rsid w:val="009F70E2"/>
    <w:rsid w:val="00A0721A"/>
    <w:rsid w:val="00A14EC7"/>
    <w:rsid w:val="00A16BAC"/>
    <w:rsid w:val="00A21CC2"/>
    <w:rsid w:val="00A23505"/>
    <w:rsid w:val="00A31DF1"/>
    <w:rsid w:val="00A5683D"/>
    <w:rsid w:val="00A6792F"/>
    <w:rsid w:val="00A905AE"/>
    <w:rsid w:val="00AA382D"/>
    <w:rsid w:val="00AB749E"/>
    <w:rsid w:val="00AC3A46"/>
    <w:rsid w:val="00AC7C22"/>
    <w:rsid w:val="00B1685E"/>
    <w:rsid w:val="00B2089C"/>
    <w:rsid w:val="00B20B29"/>
    <w:rsid w:val="00B25928"/>
    <w:rsid w:val="00B32832"/>
    <w:rsid w:val="00B35B1C"/>
    <w:rsid w:val="00B36F85"/>
    <w:rsid w:val="00B7570C"/>
    <w:rsid w:val="00BA0CE9"/>
    <w:rsid w:val="00BA4BC8"/>
    <w:rsid w:val="00BB5BD7"/>
    <w:rsid w:val="00BB7B1E"/>
    <w:rsid w:val="00BB7CB8"/>
    <w:rsid w:val="00BD7056"/>
    <w:rsid w:val="00BE5883"/>
    <w:rsid w:val="00BF4595"/>
    <w:rsid w:val="00BF61BA"/>
    <w:rsid w:val="00C2600B"/>
    <w:rsid w:val="00C32B7B"/>
    <w:rsid w:val="00C33755"/>
    <w:rsid w:val="00C43881"/>
    <w:rsid w:val="00C701BC"/>
    <w:rsid w:val="00C72BF6"/>
    <w:rsid w:val="00C77108"/>
    <w:rsid w:val="00C8647F"/>
    <w:rsid w:val="00C9799A"/>
    <w:rsid w:val="00C97B73"/>
    <w:rsid w:val="00CB445A"/>
    <w:rsid w:val="00CD004E"/>
    <w:rsid w:val="00CD4607"/>
    <w:rsid w:val="00CE1D9E"/>
    <w:rsid w:val="00CE61BB"/>
    <w:rsid w:val="00D03F87"/>
    <w:rsid w:val="00D048B4"/>
    <w:rsid w:val="00D3306C"/>
    <w:rsid w:val="00D33E1B"/>
    <w:rsid w:val="00D34E27"/>
    <w:rsid w:val="00D45B0F"/>
    <w:rsid w:val="00D67759"/>
    <w:rsid w:val="00D919D8"/>
    <w:rsid w:val="00DA0F4E"/>
    <w:rsid w:val="00DC2F7E"/>
    <w:rsid w:val="00DC72E0"/>
    <w:rsid w:val="00DF5D39"/>
    <w:rsid w:val="00E017F6"/>
    <w:rsid w:val="00E01C2E"/>
    <w:rsid w:val="00E3700B"/>
    <w:rsid w:val="00E379A5"/>
    <w:rsid w:val="00E41D56"/>
    <w:rsid w:val="00E433E8"/>
    <w:rsid w:val="00E56014"/>
    <w:rsid w:val="00E66CF3"/>
    <w:rsid w:val="00EC5050"/>
    <w:rsid w:val="00EC5C9F"/>
    <w:rsid w:val="00F02391"/>
    <w:rsid w:val="00F02FFB"/>
    <w:rsid w:val="00F0324D"/>
    <w:rsid w:val="00F04E98"/>
    <w:rsid w:val="00F10280"/>
    <w:rsid w:val="00F27833"/>
    <w:rsid w:val="00F32848"/>
    <w:rsid w:val="00F36910"/>
    <w:rsid w:val="00F50978"/>
    <w:rsid w:val="00F5129E"/>
    <w:rsid w:val="00F51EB2"/>
    <w:rsid w:val="00F57FA7"/>
    <w:rsid w:val="00F71B63"/>
    <w:rsid w:val="00F83EDB"/>
    <w:rsid w:val="00F9151A"/>
    <w:rsid w:val="00F954E0"/>
    <w:rsid w:val="00F97023"/>
    <w:rsid w:val="00FA73BE"/>
    <w:rsid w:val="00FB6E70"/>
    <w:rsid w:val="00FC4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27B2B7"/>
  <w14:defaultImageDpi w14:val="300"/>
  <w15:docId w15:val="{6018CB1C-1EC3-440B-9066-71EB95F9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8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8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83D"/>
    <w:rPr>
      <w:rFonts w:ascii="Lucida Grande" w:hAnsi="Lucida Grande" w:cs="Lucida Grande"/>
      <w:sz w:val="18"/>
      <w:szCs w:val="18"/>
    </w:rPr>
  </w:style>
  <w:style w:type="paragraph" w:styleId="ListParagraph">
    <w:name w:val="List Paragraph"/>
    <w:basedOn w:val="Normal"/>
    <w:uiPriority w:val="34"/>
    <w:qFormat/>
    <w:rsid w:val="00A5683D"/>
    <w:pPr>
      <w:ind w:left="720"/>
      <w:contextualSpacing/>
    </w:pPr>
  </w:style>
  <w:style w:type="table" w:styleId="TableGrid">
    <w:name w:val="Table Grid"/>
    <w:basedOn w:val="TableNormal"/>
    <w:uiPriority w:val="39"/>
    <w:rsid w:val="00D33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4607"/>
    <w:rPr>
      <w:sz w:val="18"/>
      <w:szCs w:val="18"/>
    </w:rPr>
  </w:style>
  <w:style w:type="paragraph" w:styleId="CommentText">
    <w:name w:val="annotation text"/>
    <w:basedOn w:val="Normal"/>
    <w:link w:val="CommentTextChar"/>
    <w:uiPriority w:val="99"/>
    <w:semiHidden/>
    <w:unhideWhenUsed/>
    <w:rsid w:val="00CD4607"/>
  </w:style>
  <w:style w:type="character" w:customStyle="1" w:styleId="CommentTextChar">
    <w:name w:val="Comment Text Char"/>
    <w:basedOn w:val="DefaultParagraphFont"/>
    <w:link w:val="CommentText"/>
    <w:uiPriority w:val="99"/>
    <w:semiHidden/>
    <w:rsid w:val="00CD4607"/>
  </w:style>
  <w:style w:type="paragraph" w:styleId="CommentSubject">
    <w:name w:val="annotation subject"/>
    <w:basedOn w:val="CommentText"/>
    <w:next w:val="CommentText"/>
    <w:link w:val="CommentSubjectChar"/>
    <w:uiPriority w:val="99"/>
    <w:semiHidden/>
    <w:unhideWhenUsed/>
    <w:rsid w:val="00CD4607"/>
    <w:rPr>
      <w:b/>
      <w:bCs/>
      <w:sz w:val="20"/>
      <w:szCs w:val="20"/>
    </w:rPr>
  </w:style>
  <w:style w:type="character" w:customStyle="1" w:styleId="CommentSubjectChar">
    <w:name w:val="Comment Subject Char"/>
    <w:basedOn w:val="CommentTextChar"/>
    <w:link w:val="CommentSubject"/>
    <w:uiPriority w:val="99"/>
    <w:semiHidden/>
    <w:rsid w:val="00CD4607"/>
    <w:rPr>
      <w:b/>
      <w:bCs/>
      <w:sz w:val="20"/>
      <w:szCs w:val="20"/>
    </w:rPr>
  </w:style>
  <w:style w:type="character" w:styleId="PlaceholderText">
    <w:name w:val="Placeholder Text"/>
    <w:basedOn w:val="DefaultParagraphFont"/>
    <w:uiPriority w:val="99"/>
    <w:semiHidden/>
    <w:rsid w:val="003D4812"/>
    <w:rPr>
      <w:color w:val="808080"/>
    </w:rPr>
  </w:style>
  <w:style w:type="paragraph" w:customStyle="1" w:styleId="EndNoteBibliographyTitle">
    <w:name w:val="EndNote Bibliography Title"/>
    <w:basedOn w:val="Normal"/>
    <w:rsid w:val="006B2037"/>
    <w:pPr>
      <w:jc w:val="center"/>
    </w:pPr>
    <w:rPr>
      <w:rFonts w:ascii="Cambria" w:hAnsi="Cambria"/>
    </w:rPr>
  </w:style>
  <w:style w:type="paragraph" w:customStyle="1" w:styleId="EndNoteBibliography">
    <w:name w:val="EndNote Bibliography"/>
    <w:basedOn w:val="Normal"/>
    <w:rsid w:val="006B2037"/>
    <w:rPr>
      <w:rFonts w:ascii="Cambria" w:hAnsi="Cambria"/>
    </w:rPr>
  </w:style>
  <w:style w:type="paragraph" w:styleId="Header">
    <w:name w:val="header"/>
    <w:basedOn w:val="Normal"/>
    <w:link w:val="HeaderChar"/>
    <w:uiPriority w:val="99"/>
    <w:unhideWhenUsed/>
    <w:rsid w:val="00C32B7B"/>
    <w:pPr>
      <w:tabs>
        <w:tab w:val="center" w:pos="4320"/>
        <w:tab w:val="right" w:pos="8640"/>
      </w:tabs>
    </w:pPr>
  </w:style>
  <w:style w:type="character" w:customStyle="1" w:styleId="HeaderChar">
    <w:name w:val="Header Char"/>
    <w:basedOn w:val="DefaultParagraphFont"/>
    <w:link w:val="Header"/>
    <w:uiPriority w:val="99"/>
    <w:rsid w:val="00C32B7B"/>
  </w:style>
  <w:style w:type="paragraph" w:styleId="Footer">
    <w:name w:val="footer"/>
    <w:basedOn w:val="Normal"/>
    <w:link w:val="FooterChar"/>
    <w:uiPriority w:val="99"/>
    <w:unhideWhenUsed/>
    <w:rsid w:val="00C32B7B"/>
    <w:pPr>
      <w:tabs>
        <w:tab w:val="center" w:pos="4320"/>
        <w:tab w:val="right" w:pos="8640"/>
      </w:tabs>
    </w:pPr>
  </w:style>
  <w:style w:type="character" w:customStyle="1" w:styleId="FooterChar">
    <w:name w:val="Footer Char"/>
    <w:basedOn w:val="DefaultParagraphFont"/>
    <w:link w:val="Footer"/>
    <w:uiPriority w:val="99"/>
    <w:rsid w:val="00C32B7B"/>
  </w:style>
  <w:style w:type="character" w:styleId="PageNumber">
    <w:name w:val="page number"/>
    <w:basedOn w:val="DefaultParagraphFont"/>
    <w:uiPriority w:val="99"/>
    <w:semiHidden/>
    <w:unhideWhenUsed/>
    <w:rsid w:val="00B20B29"/>
  </w:style>
  <w:style w:type="paragraph" w:customStyle="1" w:styleId="Standard">
    <w:name w:val="Standard"/>
    <w:rsid w:val="00DC72E0"/>
    <w:pPr>
      <w:widowControl w:val="0"/>
      <w:suppressAutoHyphens/>
      <w:autoSpaceDN w:val="0"/>
      <w:textAlignment w:val="baseline"/>
    </w:pPr>
    <w:rPr>
      <w:rFonts w:ascii="Times New Roman" w:eastAsia="SimSun" w:hAnsi="Times New Roman" w:cs="Mangal"/>
      <w:kern w:val="3"/>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3070</Words>
  <Characters>17499</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dc:creator>
  <cp:keywords/>
  <dc:description/>
  <cp:lastModifiedBy>Marion Roussel</cp:lastModifiedBy>
  <cp:revision>2</cp:revision>
  <dcterms:created xsi:type="dcterms:W3CDTF">2017-10-17T16:52:00Z</dcterms:created>
  <dcterms:modified xsi:type="dcterms:W3CDTF">2017-10-17T16:52:00Z</dcterms:modified>
</cp:coreProperties>
</file>