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175"/>
        <w:gridCol w:w="2130"/>
        <w:gridCol w:w="2949"/>
        <w:gridCol w:w="2384"/>
      </w:tblGrid>
      <w:tr w:rsidR="00617FFE" w:rsidTr="00905D8E">
        <w:trPr>
          <w:trHeight w:val="745"/>
        </w:trPr>
        <w:tc>
          <w:tcPr>
            <w:tcW w:w="11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E57CAC">
              <w:rPr>
                <w:rStyle w:val="None"/>
                <w:rFonts w:cs="Times New Roman"/>
                <w:b/>
                <w:bCs/>
                <w:sz w:val="20"/>
                <w:szCs w:val="20"/>
                <w:lang w:val="en-US"/>
              </w:rPr>
              <w:t>Genera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 w:rsidRPr="00E57CAC">
              <w:rPr>
                <w:rStyle w:val="None"/>
                <w:rFonts w:cs="Times New Roman"/>
                <w:b/>
                <w:bCs/>
                <w:sz w:val="20"/>
                <w:szCs w:val="20"/>
                <w:lang w:val="en-US"/>
              </w:rPr>
              <w:t>Relative abundance %</w:t>
            </w:r>
          </w:p>
        </w:tc>
        <w:tc>
          <w:tcPr>
            <w:tcW w:w="15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 w:rsidRPr="00E57CAC">
              <w:rPr>
                <w:rStyle w:val="None"/>
                <w:rFonts w:cs="Times New Roman"/>
                <w:b/>
                <w:bCs/>
                <w:sz w:val="20"/>
                <w:szCs w:val="20"/>
                <w:lang w:val="en-US"/>
              </w:rPr>
              <w:t>Class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 w:rsidRPr="00E57CAC">
              <w:rPr>
                <w:rStyle w:val="None"/>
                <w:rFonts w:cs="Times New Roman"/>
                <w:b/>
                <w:bCs/>
                <w:sz w:val="20"/>
                <w:szCs w:val="20"/>
                <w:lang w:val="en-US"/>
              </w:rPr>
              <w:t>Phyla</w:t>
            </w:r>
          </w:p>
        </w:tc>
      </w:tr>
      <w:tr w:rsidR="00617FFE" w:rsidTr="00905D8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 w:rsidRPr="00E57CAC">
              <w:rPr>
                <w:rStyle w:val="None"/>
                <w:rFonts w:cs="Times New Roman"/>
                <w:b/>
                <w:bCs/>
                <w:sz w:val="20"/>
                <w:szCs w:val="20"/>
                <w:lang w:val="en-US"/>
              </w:rPr>
              <w:t>Coarse peat-sand</w:t>
            </w:r>
          </w:p>
        </w:tc>
      </w:tr>
      <w:tr w:rsidR="00617FFE" w:rsidRPr="008D383A" w:rsidTr="00905D8E">
        <w:trPr>
          <w:trHeight w:val="295"/>
        </w:trPr>
        <w:tc>
          <w:tcPr>
            <w:tcW w:w="112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 w:rsidRPr="00E57CAC">
              <w:rPr>
                <w:rStyle w:val="None"/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Pseudomonas 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7.7±8</w:t>
            </w:r>
          </w:p>
        </w:tc>
        <w:tc>
          <w:tcPr>
            <w:tcW w:w="153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Gammaproteobacteria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Proteobacteria</w:t>
            </w:r>
          </w:p>
        </w:tc>
      </w:tr>
      <w:tr w:rsidR="00617FFE" w:rsidRPr="008D383A" w:rsidTr="00905D8E">
        <w:trPr>
          <w:trHeight w:val="290"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E57CAC">
              <w:rPr>
                <w:rStyle w:val="None"/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>Arthrobacter</w:t>
            </w:r>
            <w:proofErr w:type="spellEnd"/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2.8</w:t>
            </w: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±</w:t>
            </w: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1.</w:t>
            </w: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Actinobacteria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Actinobacteria</w:t>
            </w:r>
          </w:p>
        </w:tc>
      </w:tr>
      <w:tr w:rsidR="00617FFE" w:rsidTr="00905D8E">
        <w:trPr>
          <w:trHeight w:val="290"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E57CAC">
              <w:rPr>
                <w:rStyle w:val="None"/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>Terrimonas</w:t>
            </w:r>
            <w:proofErr w:type="spellEnd"/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2.2±1.7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Sphingobacteriia</w:t>
            </w:r>
            <w:proofErr w:type="spellEnd"/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Bacteroidetes</w:t>
            </w:r>
          </w:p>
        </w:tc>
      </w:tr>
      <w:tr w:rsidR="00617FFE" w:rsidTr="00905D8E">
        <w:trPr>
          <w:trHeight w:val="290"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7CAC">
              <w:rPr>
                <w:rStyle w:val="None"/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>Opitutus</w:t>
            </w:r>
            <w:proofErr w:type="spellEnd"/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1.7±0.9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Opitutae</w:t>
            </w:r>
            <w:proofErr w:type="spellEnd"/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Verrumicrobia</w:t>
            </w:r>
            <w:proofErr w:type="spellEnd"/>
          </w:p>
        </w:tc>
      </w:tr>
      <w:tr w:rsidR="00617FFE" w:rsidRPr="008D383A" w:rsidTr="00905D8E">
        <w:trPr>
          <w:trHeight w:val="290"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7CAC">
              <w:rPr>
                <w:rStyle w:val="None"/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>Devosia</w:t>
            </w:r>
            <w:proofErr w:type="spellEnd"/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1.6±0.8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Alphaproteobacteria</w:t>
            </w:r>
            <w:proofErr w:type="spellEnd"/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Proteobacteria</w:t>
            </w:r>
          </w:p>
        </w:tc>
      </w:tr>
      <w:tr w:rsidR="00617FFE" w:rsidRPr="008D383A" w:rsidTr="00905D8E">
        <w:trPr>
          <w:trHeight w:val="295"/>
        </w:trPr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E57CAC">
              <w:rPr>
                <w:rStyle w:val="None"/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>Methylophilus</w:t>
            </w:r>
            <w:proofErr w:type="spellEnd"/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1.4±0.5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Betaproteobacteria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Proteobacteria</w:t>
            </w:r>
          </w:p>
        </w:tc>
      </w:tr>
      <w:tr w:rsidR="00617FFE" w:rsidRPr="008D383A" w:rsidTr="00905D8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E57CAC">
              <w:rPr>
                <w:rStyle w:val="None"/>
                <w:rFonts w:cs="Times New Roman"/>
                <w:b/>
                <w:bCs/>
                <w:sz w:val="20"/>
                <w:szCs w:val="20"/>
                <w:lang w:val="en-US"/>
              </w:rPr>
              <w:t>Fine peat-sand</w:t>
            </w:r>
          </w:p>
        </w:tc>
      </w:tr>
      <w:tr w:rsidR="00617FFE" w:rsidTr="00905D8E">
        <w:trPr>
          <w:trHeight w:val="295"/>
        </w:trPr>
        <w:tc>
          <w:tcPr>
            <w:tcW w:w="112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E57CAC">
              <w:rPr>
                <w:rStyle w:val="None"/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>Arthrobacter</w:t>
            </w:r>
            <w:proofErr w:type="spellEnd"/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8±3.3</w:t>
            </w:r>
          </w:p>
        </w:tc>
        <w:tc>
          <w:tcPr>
            <w:tcW w:w="153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Actinobacteria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Actinobacteria</w:t>
            </w:r>
          </w:p>
        </w:tc>
      </w:tr>
      <w:tr w:rsidR="00617FFE" w:rsidTr="00905D8E">
        <w:trPr>
          <w:trHeight w:val="290"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7CAC">
              <w:rPr>
                <w:rStyle w:val="None"/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>Rhodanobacter</w:t>
            </w:r>
            <w:proofErr w:type="spellEnd"/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2±0.3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Gammaproteobacteria</w:t>
            </w:r>
            <w:proofErr w:type="spellEnd"/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Proteobacteria</w:t>
            </w:r>
          </w:p>
        </w:tc>
      </w:tr>
      <w:tr w:rsidR="00617FFE" w:rsidTr="00905D8E">
        <w:trPr>
          <w:trHeight w:val="290"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7CAC">
              <w:rPr>
                <w:rStyle w:val="None"/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>Nitrosospira</w:t>
            </w:r>
            <w:proofErr w:type="spellEnd"/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 w:rsidRPr="008D383A">
              <w:rPr>
                <w:rStyle w:val="None"/>
                <w:rFonts w:cs="Times New Roman"/>
                <w:sz w:val="20"/>
                <w:szCs w:val="20"/>
              </w:rPr>
              <w:t>1.</w:t>
            </w:r>
            <w:r>
              <w:rPr>
                <w:rStyle w:val="None"/>
                <w:rFonts w:cs="Times New Roman"/>
                <w:sz w:val="20"/>
                <w:szCs w:val="20"/>
              </w:rPr>
              <w:t>4±0.6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8D383A">
              <w:rPr>
                <w:rStyle w:val="None"/>
                <w:rFonts w:cs="Times New Roman"/>
                <w:sz w:val="20"/>
                <w:szCs w:val="20"/>
              </w:rPr>
              <w:t>Betaproteobacteria</w:t>
            </w:r>
            <w:proofErr w:type="spellEnd"/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8D383A">
              <w:rPr>
                <w:rStyle w:val="None"/>
                <w:rFonts w:cs="Times New Roman"/>
                <w:sz w:val="20"/>
                <w:szCs w:val="20"/>
              </w:rPr>
              <w:t>Proteobacteria</w:t>
            </w:r>
            <w:proofErr w:type="spellEnd"/>
          </w:p>
        </w:tc>
      </w:tr>
      <w:tr w:rsidR="00617FFE" w:rsidTr="00905D8E">
        <w:trPr>
          <w:trHeight w:val="290"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8D383A">
              <w:rPr>
                <w:rStyle w:val="None"/>
                <w:rFonts w:cs="Times New Roman"/>
                <w:b/>
                <w:bCs/>
                <w:i/>
                <w:iCs/>
                <w:sz w:val="20"/>
                <w:szCs w:val="20"/>
              </w:rPr>
              <w:t>Pseudolabrys</w:t>
            </w:r>
            <w:proofErr w:type="spellEnd"/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None"/>
                <w:rFonts w:cs="Times New Roman"/>
                <w:sz w:val="20"/>
                <w:szCs w:val="20"/>
              </w:rPr>
              <w:t>1.3±0.3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8D383A">
              <w:rPr>
                <w:rStyle w:val="None"/>
                <w:rFonts w:cs="Times New Roman"/>
                <w:sz w:val="20"/>
                <w:szCs w:val="20"/>
              </w:rPr>
              <w:t>Alphaproteobacteria</w:t>
            </w:r>
            <w:proofErr w:type="spellEnd"/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8D383A">
              <w:rPr>
                <w:rStyle w:val="None"/>
                <w:rFonts w:cs="Times New Roman"/>
                <w:sz w:val="20"/>
                <w:szCs w:val="20"/>
              </w:rPr>
              <w:t>Proteobacteria</w:t>
            </w:r>
            <w:proofErr w:type="spellEnd"/>
          </w:p>
        </w:tc>
      </w:tr>
      <w:tr w:rsidR="00617FFE" w:rsidTr="00905D8E">
        <w:trPr>
          <w:trHeight w:val="290"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Style w:val="None"/>
                <w:rFonts w:cs="Times New Roman"/>
                <w:b/>
                <w:bCs/>
                <w:i/>
                <w:iCs/>
                <w:sz w:val="20"/>
                <w:szCs w:val="20"/>
              </w:rPr>
              <w:t>Devosia</w:t>
            </w:r>
            <w:proofErr w:type="spellEnd"/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None"/>
                <w:rFonts w:cs="Times New Roman"/>
                <w:sz w:val="20"/>
                <w:szCs w:val="20"/>
              </w:rPr>
              <w:t>1</w:t>
            </w:r>
            <w:r w:rsidRPr="008D383A">
              <w:rPr>
                <w:rStyle w:val="None"/>
                <w:rFonts w:cs="Times New Roman"/>
                <w:sz w:val="20"/>
                <w:szCs w:val="20"/>
              </w:rPr>
              <w:t>±</w:t>
            </w:r>
            <w:r>
              <w:rPr>
                <w:rStyle w:val="None"/>
                <w:rFonts w:cs="Times New Roman"/>
                <w:sz w:val="20"/>
                <w:szCs w:val="20"/>
              </w:rPr>
              <w:t>0.</w:t>
            </w:r>
            <w:r w:rsidRPr="008D383A">
              <w:rPr>
                <w:rStyle w:val="None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0B643B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0B643B">
              <w:rPr>
                <w:rStyle w:val="None"/>
                <w:sz w:val="20"/>
                <w:szCs w:val="20"/>
              </w:rPr>
              <w:t>Alphaproteobacteria</w:t>
            </w:r>
            <w:proofErr w:type="spellEnd"/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0B643B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0B643B">
              <w:rPr>
                <w:rStyle w:val="None"/>
                <w:sz w:val="20"/>
                <w:szCs w:val="20"/>
              </w:rPr>
              <w:t>Proteobacteria</w:t>
            </w:r>
            <w:proofErr w:type="spellEnd"/>
          </w:p>
        </w:tc>
      </w:tr>
      <w:tr w:rsidR="00617FFE" w:rsidRPr="008D383A" w:rsidTr="00905D8E">
        <w:trPr>
          <w:trHeight w:val="295"/>
        </w:trPr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0B643B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0B643B">
              <w:rPr>
                <w:rStyle w:val="None"/>
                <w:b/>
                <w:bCs/>
                <w:i/>
                <w:iCs/>
                <w:sz w:val="20"/>
                <w:szCs w:val="20"/>
                <w:lang w:val="en-US"/>
              </w:rPr>
              <w:t>Pedobacter</w:t>
            </w:r>
            <w:proofErr w:type="spellEnd"/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1.2±0.2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Sphingobacteriia</w:t>
            </w:r>
            <w:proofErr w:type="spellEnd"/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0B643B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0B643B">
              <w:rPr>
                <w:rStyle w:val="None"/>
                <w:sz w:val="20"/>
                <w:szCs w:val="20"/>
              </w:rPr>
              <w:t>Bacteroidetes</w:t>
            </w:r>
          </w:p>
        </w:tc>
      </w:tr>
      <w:tr w:rsidR="00617FFE" w:rsidRPr="008D383A" w:rsidTr="00905D8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E57CAC">
              <w:rPr>
                <w:rStyle w:val="None"/>
                <w:rFonts w:cs="Times New Roman"/>
                <w:b/>
                <w:bCs/>
                <w:sz w:val="20"/>
                <w:szCs w:val="20"/>
                <w:lang w:val="en-US"/>
              </w:rPr>
              <w:t>Gardening compost</w:t>
            </w:r>
          </w:p>
        </w:tc>
      </w:tr>
      <w:tr w:rsidR="00617FFE" w:rsidRPr="008D383A" w:rsidTr="00905D8E">
        <w:trPr>
          <w:trHeight w:val="295"/>
        </w:trPr>
        <w:tc>
          <w:tcPr>
            <w:tcW w:w="112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E57CAC">
              <w:rPr>
                <w:rStyle w:val="None"/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>Aequorivita</w:t>
            </w:r>
            <w:proofErr w:type="spellEnd"/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2.5±1.5</w:t>
            </w:r>
          </w:p>
        </w:tc>
        <w:tc>
          <w:tcPr>
            <w:tcW w:w="153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Flavobacteriia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Bacteroidetes</w:t>
            </w:r>
          </w:p>
        </w:tc>
      </w:tr>
      <w:tr w:rsidR="00617FFE" w:rsidRPr="00495B18" w:rsidTr="00905D8E">
        <w:trPr>
          <w:trHeight w:val="290"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E57CAC">
              <w:rPr>
                <w:rStyle w:val="None"/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>Devosia</w:t>
            </w:r>
            <w:proofErr w:type="spellEnd"/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8D383A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1.9</w:t>
            </w: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±0</w:t>
            </w: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495B18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Alphaproteobacteria</w:t>
            </w:r>
            <w:proofErr w:type="spellEnd"/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495B18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Proteobacteria</w:t>
            </w:r>
          </w:p>
        </w:tc>
      </w:tr>
      <w:tr w:rsidR="00617FFE" w:rsidRPr="00495B18" w:rsidTr="00905D8E">
        <w:trPr>
          <w:trHeight w:val="290"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495B18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E57CAC">
              <w:rPr>
                <w:rStyle w:val="None"/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>Flavobacterium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495B18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1.7±1.1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495B18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Flavobacteriia</w:t>
            </w:r>
            <w:proofErr w:type="spellEnd"/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495B18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Bacteroidetes</w:t>
            </w:r>
          </w:p>
        </w:tc>
      </w:tr>
      <w:tr w:rsidR="00617FFE" w:rsidRPr="00495B18" w:rsidTr="00905D8E">
        <w:trPr>
          <w:trHeight w:val="290"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7CAC">
              <w:rPr>
                <w:rStyle w:val="None"/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>Arthrobacter</w:t>
            </w:r>
            <w:proofErr w:type="spellEnd"/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495B18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1.6</w:t>
            </w: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±1</w:t>
            </w: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495B18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Actinobacteria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495B18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Actinobacteria</w:t>
            </w:r>
          </w:p>
        </w:tc>
      </w:tr>
      <w:tr w:rsidR="00617FFE" w:rsidRPr="00495B18" w:rsidTr="00905D8E">
        <w:trPr>
          <w:trHeight w:val="290"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495B18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E57CAC">
              <w:rPr>
                <w:rStyle w:val="None"/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>Pedobacter</w:t>
            </w:r>
            <w:proofErr w:type="spellEnd"/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495B18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1.5±1.4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495B18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Bacteroidetes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495B18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Sphingobacteriia</w:t>
            </w:r>
            <w:proofErr w:type="spellEnd"/>
          </w:p>
        </w:tc>
      </w:tr>
      <w:tr w:rsidR="00617FFE" w:rsidTr="00905D8E">
        <w:trPr>
          <w:trHeight w:val="295"/>
        </w:trPr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495B18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E57CAC">
              <w:rPr>
                <w:rStyle w:val="None"/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>Acinetobacter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495B18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Style w:val="None"/>
                <w:rFonts w:cs="Times New Roman"/>
                <w:sz w:val="20"/>
                <w:szCs w:val="20"/>
                <w:lang w:val="en-US"/>
              </w:rPr>
              <w:t>1.5±1.2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495B18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Gammaproteobacteria</w:t>
            </w:r>
            <w:proofErr w:type="spellEnd"/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FFE" w:rsidRPr="00E57CAC" w:rsidRDefault="00617FFE" w:rsidP="00905D8E">
            <w:pPr>
              <w:pStyle w:val="Body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 w:rsidRPr="00E57CAC">
              <w:rPr>
                <w:rStyle w:val="None"/>
                <w:rFonts w:cs="Times New Roman"/>
                <w:sz w:val="20"/>
                <w:szCs w:val="20"/>
                <w:lang w:val="en-US"/>
              </w:rPr>
              <w:t>Proteobacteria</w:t>
            </w:r>
          </w:p>
        </w:tc>
      </w:tr>
    </w:tbl>
    <w:p w:rsidR="00505282" w:rsidRDefault="00AF17DC"/>
    <w:sectPr w:rsidR="00505282" w:rsidSect="00B777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FE"/>
    <w:rsid w:val="000E012A"/>
    <w:rsid w:val="004661DC"/>
    <w:rsid w:val="00617FFE"/>
    <w:rsid w:val="008E3F1E"/>
    <w:rsid w:val="00AC181D"/>
    <w:rsid w:val="00AF17DC"/>
    <w:rsid w:val="00B7779D"/>
    <w:rsid w:val="00C31447"/>
    <w:rsid w:val="00CE4781"/>
    <w:rsid w:val="00E60728"/>
    <w:rsid w:val="00EA4429"/>
    <w:rsid w:val="00E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7C32A-28CB-4482-A65D-678CB1E8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17FF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ody">
    <w:name w:val="Body"/>
    <w:rsid w:val="00617FF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Times New Roman"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61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</dc:creator>
  <cp:keywords/>
  <dc:description/>
  <cp:lastModifiedBy>Marja</cp:lastModifiedBy>
  <cp:revision>2</cp:revision>
  <dcterms:created xsi:type="dcterms:W3CDTF">2018-01-09T08:39:00Z</dcterms:created>
  <dcterms:modified xsi:type="dcterms:W3CDTF">2018-01-09T08:39:00Z</dcterms:modified>
</cp:coreProperties>
</file>