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CDE3" w14:textId="33683A42" w:rsidR="00096A0A" w:rsidRPr="00D63AA8" w:rsidRDefault="00AC6100" w:rsidP="00D63AA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096A0A">
        <w:rPr>
          <w:rFonts w:ascii="Times New Roman" w:hAnsi="Times New Roman"/>
          <w:color w:val="auto"/>
          <w:sz w:val="24"/>
          <w:szCs w:val="24"/>
        </w:rPr>
        <w:t xml:space="preserve">Online </w:t>
      </w:r>
      <w:r w:rsidRPr="00D63AA8">
        <w:rPr>
          <w:rFonts w:ascii="Times New Roman" w:hAnsi="Times New Roman"/>
          <w:color w:val="000000" w:themeColor="text1"/>
          <w:sz w:val="24"/>
          <w:szCs w:val="24"/>
        </w:rPr>
        <w:t xml:space="preserve">Supplement </w:t>
      </w:r>
      <w:r w:rsidR="00096A0A" w:rsidRPr="00D63AA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63AA8" w:rsidRPr="00D63AA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96A0A" w:rsidRPr="00D63AA8">
        <w:rPr>
          <w:rFonts w:ascii="Times New Roman" w:hAnsi="Times New Roman"/>
          <w:color w:val="000000" w:themeColor="text1"/>
          <w:sz w:val="24"/>
          <w:szCs w:val="24"/>
        </w:rPr>
        <w:t xml:space="preserve">Descriptive Summary of Risk of Bias of </w:t>
      </w:r>
      <w:r w:rsidR="00A12A50" w:rsidRPr="00D63AA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96A0A" w:rsidRPr="00D63AA8">
        <w:rPr>
          <w:rFonts w:ascii="Times New Roman" w:hAnsi="Times New Roman"/>
          <w:color w:val="000000" w:themeColor="text1"/>
          <w:sz w:val="24"/>
          <w:szCs w:val="24"/>
        </w:rPr>
        <w:t xml:space="preserve">ncluded </w:t>
      </w:r>
      <w:r w:rsidR="00A12A50" w:rsidRPr="00D63AA8">
        <w:rPr>
          <w:rFonts w:ascii="Times New Roman" w:hAnsi="Times New Roman"/>
          <w:color w:val="000000" w:themeColor="text1"/>
          <w:sz w:val="24"/>
          <w:szCs w:val="24"/>
        </w:rPr>
        <w:t>Q</w:t>
      </w:r>
      <w:r w:rsidR="00374329" w:rsidRPr="00D63AA8">
        <w:rPr>
          <w:rFonts w:ascii="Times New Roman" w:hAnsi="Times New Roman"/>
          <w:color w:val="000000" w:themeColor="text1"/>
          <w:sz w:val="24"/>
          <w:szCs w:val="24"/>
        </w:rPr>
        <w:t xml:space="preserve">uantitative </w:t>
      </w:r>
      <w:r w:rsidR="00A12A50" w:rsidRPr="00D63AA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96A0A" w:rsidRPr="00D63AA8">
        <w:rPr>
          <w:rFonts w:ascii="Times New Roman" w:hAnsi="Times New Roman"/>
          <w:color w:val="000000" w:themeColor="text1"/>
          <w:sz w:val="24"/>
          <w:szCs w:val="24"/>
        </w:rPr>
        <w:t>tudies</w:t>
      </w:r>
    </w:p>
    <w:p w14:paraId="5839E10B" w14:textId="6DB491FC" w:rsidR="00265EF0" w:rsidRDefault="00A80AFC" w:rsidP="00096A0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Cochrane Collaboration</w:t>
      </w:r>
      <w:r w:rsidR="003B446E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tool used to assess risk of bias in quantitative studies (handbook.cochrane.org/chapter_8/table_8_5_a_the_cochrane_collaborations_tools_for_assessing.html)</w:t>
      </w:r>
    </w:p>
    <w:p w14:paraId="4EEEB256" w14:textId="4FFAEAFF" w:rsidR="00D63AA8" w:rsidRDefault="00D63AA8" w:rsidP="00096A0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5</w:t>
      </w:r>
    </w:p>
    <w:p w14:paraId="478A73F2" w14:textId="79FB4BCC" w:rsidR="00D63AA8" w:rsidRPr="00D63AA8" w:rsidRDefault="00D63AA8" w:rsidP="00096A0A">
      <w:pPr>
        <w:ind w:firstLine="0"/>
        <w:rPr>
          <w:rFonts w:ascii="Times New Roman" w:hAnsi="Times New Roman"/>
          <w:i/>
          <w:sz w:val="24"/>
          <w:szCs w:val="24"/>
        </w:rPr>
      </w:pPr>
      <w:r w:rsidRPr="00096A0A">
        <w:rPr>
          <w:rFonts w:ascii="Times New Roman" w:hAnsi="Times New Roman"/>
          <w:i/>
          <w:sz w:val="24"/>
          <w:szCs w:val="24"/>
        </w:rPr>
        <w:t xml:space="preserve">Descriptive Summary of Risk of Bias of </w:t>
      </w:r>
      <w:r>
        <w:rPr>
          <w:rFonts w:ascii="Times New Roman" w:hAnsi="Times New Roman"/>
          <w:i/>
          <w:sz w:val="24"/>
          <w:szCs w:val="24"/>
        </w:rPr>
        <w:t>I</w:t>
      </w:r>
      <w:r w:rsidRPr="00096A0A">
        <w:rPr>
          <w:rFonts w:ascii="Times New Roman" w:hAnsi="Times New Roman"/>
          <w:i/>
          <w:sz w:val="24"/>
          <w:szCs w:val="24"/>
        </w:rPr>
        <w:t xml:space="preserve">ncluded </w:t>
      </w:r>
      <w:r>
        <w:rPr>
          <w:rFonts w:ascii="Times New Roman" w:hAnsi="Times New Roman"/>
          <w:i/>
          <w:sz w:val="24"/>
          <w:szCs w:val="24"/>
        </w:rPr>
        <w:t>Quantitative S</w:t>
      </w:r>
      <w:r w:rsidRPr="00096A0A">
        <w:rPr>
          <w:rFonts w:ascii="Times New Roman" w:hAnsi="Times New Roman"/>
          <w:i/>
          <w:sz w:val="24"/>
          <w:szCs w:val="24"/>
        </w:rPr>
        <w:t>tudies</w:t>
      </w:r>
    </w:p>
    <w:tbl>
      <w:tblPr>
        <w:tblStyle w:val="ListTable2"/>
        <w:tblW w:w="0" w:type="auto"/>
        <w:tblInd w:w="-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885"/>
        <w:gridCol w:w="1782"/>
        <w:gridCol w:w="1850"/>
        <w:gridCol w:w="1880"/>
        <w:gridCol w:w="2008"/>
        <w:gridCol w:w="1405"/>
        <w:gridCol w:w="1644"/>
      </w:tblGrid>
      <w:tr w:rsidR="00742838" w:rsidRPr="00C0149D" w14:paraId="51706237" w14:textId="77777777" w:rsidTr="0002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568BC3BD" w14:textId="7C2A81D0" w:rsidR="00B601E2" w:rsidRPr="00C0149D" w:rsidRDefault="00B601E2" w:rsidP="008F79C2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0" w:type="auto"/>
            <w:gridSpan w:val="2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7E151B" w14:textId="681621D5" w:rsidR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Selection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3BA813F" w14:textId="341CE97B" w:rsidR="00B601E2" w:rsidDel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Performance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0FC6AA0" w14:textId="5435EC3F" w:rsidR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Detection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935059" w14:textId="33B5218D" w:rsidR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Attrition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47E201A" w14:textId="46D4F0F2" w:rsidR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Reporting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5A26102" w14:textId="722C3BC4" w:rsidR="00B601E2" w:rsidRDefault="00B601E2" w:rsidP="00024E09">
            <w:pPr>
              <w:adjustRightInd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Other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</w:tr>
      <w:tr w:rsidR="007D6BA1" w:rsidRPr="00C0149D" w14:paraId="621A6CAA" w14:textId="77777777" w:rsidTr="0002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E2926CB" w14:textId="0F1A39DD" w:rsidR="00B601E2" w:rsidRPr="00C0149D" w:rsidRDefault="00B601E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BC211C9" w14:textId="1600D0CD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Random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equence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eneration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F313645" w14:textId="38571773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Allocation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oncealment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E06C675" w14:textId="1A61938B" w:rsidR="00B601E2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Blinding of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articipants and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ersonnel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DC50867" w14:textId="5F2B93DF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Blinding of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utcome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ssessment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AE0493C" w14:textId="6E441429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Incomplete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utcome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9665957" w14:textId="44C66979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Selective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eporting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67E3093" w14:textId="5F3B97F4" w:rsidR="00B601E2" w:rsidRPr="00C0149D" w:rsidRDefault="00B601E2" w:rsidP="008F79C2">
            <w:pPr>
              <w:adjustRightInd w:val="0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Other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ources of </w:t>
            </w:r>
            <w:r w:rsidR="00827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ias</w:t>
            </w:r>
          </w:p>
        </w:tc>
      </w:tr>
      <w:tr w:rsidR="007D6BA1" w:rsidRPr="00C0149D" w14:paraId="5343194D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63AB1E5" w14:textId="00337492" w:rsidR="00B601E2" w:rsidRPr="00C0149D" w:rsidRDefault="00B601E2" w:rsidP="007072E7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Aalborg (20</w:t>
            </w:r>
            <w:r w:rsidR="00B30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C01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and Miller (</w:t>
            </w:r>
            <w:r w:rsidR="00707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  <w:r w:rsidRPr="00C01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4C7904F" w14:textId="05FC5C77" w:rsidR="00B601E2" w:rsidRPr="007A75C7" w:rsidRDefault="007A75C7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EC3051">
              <w:rPr>
                <w:rFonts w:ascii="Times New Roman" w:hAnsi="Times New Roman"/>
                <w:sz w:val="20"/>
                <w:szCs w:val="20"/>
              </w:rPr>
              <w:t>s</w:t>
            </w:r>
            <w:r w:rsidR="00045C4A">
              <w:rPr>
                <w:rFonts w:ascii="Times New Roman" w:hAnsi="Times New Roman"/>
                <w:sz w:val="20"/>
                <w:szCs w:val="20"/>
              </w:rPr>
              <w:t xml:space="preserve">pecific method 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n/r, </w:t>
            </w:r>
            <w:r w:rsidR="00742838">
              <w:rPr>
                <w:rFonts w:ascii="Times New Roman" w:hAnsi="Times New Roman"/>
                <w:sz w:val="20"/>
                <w:szCs w:val="20"/>
              </w:rPr>
              <w:t xml:space="preserve">beyond </w:t>
            </w:r>
            <w:r w:rsidR="00AA45E1">
              <w:rPr>
                <w:rFonts w:ascii="Times New Roman" w:hAnsi="Times New Roman"/>
                <w:sz w:val="20"/>
                <w:szCs w:val="20"/>
              </w:rPr>
              <w:t>‘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r</w:t>
            </w:r>
            <w:r w:rsidR="00045C4A">
              <w:rPr>
                <w:rFonts w:ascii="Times New Roman" w:hAnsi="Times New Roman"/>
                <w:sz w:val="20"/>
                <w:szCs w:val="20"/>
              </w:rPr>
              <w:t>andomly</w:t>
            </w:r>
            <w:r w:rsidR="00AA45E1">
              <w:rPr>
                <w:rFonts w:ascii="Times New Roman" w:hAnsi="Times New Roman"/>
                <w:sz w:val="20"/>
                <w:szCs w:val="20"/>
              </w:rPr>
              <w:t>’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C4A">
              <w:rPr>
                <w:rFonts w:ascii="Times New Roman" w:hAnsi="Times New Roman"/>
                <w:sz w:val="20"/>
                <w:szCs w:val="20"/>
              </w:rPr>
              <w:t xml:space="preserve">assigned </w:t>
            </w:r>
            <w:proofErr w:type="gramStart"/>
            <w:r w:rsidR="00045C4A">
              <w:rPr>
                <w:rFonts w:ascii="Times New Roman" w:hAnsi="Times New Roman"/>
                <w:sz w:val="20"/>
                <w:szCs w:val="20"/>
              </w:rPr>
              <w:t>to choice</w:t>
            </w:r>
            <w:proofErr w:type="gramEnd"/>
            <w:r w:rsidR="00045C4A">
              <w:rPr>
                <w:rFonts w:ascii="Times New Roman" w:hAnsi="Times New Roman"/>
                <w:sz w:val="20"/>
                <w:szCs w:val="20"/>
              </w:rPr>
              <w:t xml:space="preserve"> or control condition. p.</w:t>
            </w:r>
            <w:r w:rsidR="00124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C4A">
              <w:rPr>
                <w:rFonts w:ascii="Times New Roman" w:hAnsi="Times New Roman"/>
                <w:sz w:val="20"/>
                <w:szCs w:val="20"/>
              </w:rPr>
              <w:t>3</w:t>
            </w:r>
            <w:r w:rsidR="00CC78A9">
              <w:rPr>
                <w:rFonts w:ascii="Times New Roman" w:hAnsi="Times New Roman"/>
                <w:sz w:val="20"/>
                <w:szCs w:val="20"/>
              </w:rPr>
              <w:t>.</w:t>
            </w:r>
            <w:r w:rsidR="00045C4A">
              <w:rPr>
                <w:rFonts w:ascii="Times New Roman" w:hAnsi="Times New Roman"/>
                <w:sz w:val="20"/>
                <w:szCs w:val="20"/>
              </w:rPr>
              <w:t xml:space="preserve"> Miller (201</w:t>
            </w:r>
            <w:r w:rsidR="00D502F8">
              <w:rPr>
                <w:rFonts w:ascii="Times New Roman" w:hAnsi="Times New Roman"/>
                <w:sz w:val="20"/>
                <w:szCs w:val="20"/>
              </w:rPr>
              <w:t>1</w:t>
            </w:r>
            <w:r w:rsidR="00045C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6F7F2C1" w14:textId="3D73E439" w:rsidR="00B601E2" w:rsidRPr="006777A3" w:rsidRDefault="006777A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7C41AF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7E9925E" w14:textId="220731E1" w:rsidR="00B601E2" w:rsidRPr="00397BBE" w:rsidRDefault="00026C0F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  <w:r w:rsidR="003360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igh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="003360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EC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3360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no blinding attempted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D4CBF57" w14:textId="0911500B" w:rsidR="00B601E2" w:rsidRPr="00397BBE" w:rsidRDefault="00B25F27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45568FD" w14:textId="78387E86" w:rsidR="00B601E2" w:rsidRPr="00397BBE" w:rsidRDefault="00C27BE7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="006630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BA97977" w14:textId="2A5AD44A" w:rsidR="00B601E2" w:rsidRPr="006630C3" w:rsidRDefault="006630C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EC3051">
              <w:rPr>
                <w:rFonts w:ascii="Times New Roman" w:hAnsi="Times New Roman"/>
                <w:sz w:val="20"/>
                <w:szCs w:val="20"/>
              </w:rPr>
              <w:t>i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risk; no protocol available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FA5B5FA" w14:textId="798EED3A" w:rsidR="00B601E2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02372E95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02E84E0" w14:textId="77777777" w:rsidR="00B601E2" w:rsidRPr="00C0149D" w:rsidRDefault="00B601E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Baker (2011)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2462F59" w14:textId="7B2FBBCF" w:rsidR="004E4440" w:rsidRPr="003C68A9" w:rsidRDefault="004E4440" w:rsidP="00865CE6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E44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4E44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EC30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4E44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07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pecific method n/r, </w:t>
            </w:r>
            <w:r w:rsidR="00DC53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beyond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‘</w:t>
            </w:r>
            <w:r w:rsidRPr="004E4440">
              <w:rPr>
                <w:rFonts w:ascii="Times New Roman" w:hAnsi="Times New Roman"/>
                <w:sz w:val="20"/>
                <w:szCs w:val="20"/>
              </w:rPr>
              <w:t>h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alf of the classrooms were randomly</w:t>
            </w:r>
          </w:p>
          <w:p w14:paraId="599319CF" w14:textId="1F2211C0" w:rsidR="004E4440" w:rsidRPr="003C68A9" w:rsidRDefault="004E4440" w:rsidP="006C7062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>assigned to a parent training intervention group</w:t>
            </w:r>
            <w:r>
              <w:rPr>
                <w:rFonts w:ascii="Times New Roman" w:hAnsi="Times New Roman"/>
                <w:sz w:val="20"/>
                <w:szCs w:val="20"/>
              </w:rPr>
              <w:t>’. p. 129</w:t>
            </w:r>
          </w:p>
          <w:p w14:paraId="23AC606A" w14:textId="00B81D76" w:rsidR="00B601E2" w:rsidRPr="00397BBE" w:rsidRDefault="00B601E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6FB9096" w14:textId="7144EA35" w:rsidR="00B601E2" w:rsidRPr="00D56D58" w:rsidRDefault="00D56D58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7C41AF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10794">
              <w:rPr>
                <w:rFonts w:ascii="Times New Roman" w:hAnsi="Times New Roman"/>
                <w:sz w:val="20"/>
                <w:szCs w:val="20"/>
              </w:rPr>
              <w:t>i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4508260" w14:textId="7BD9F6C0" w:rsidR="00B601E2" w:rsidRPr="007127F9" w:rsidRDefault="007127F9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05FB81F" w14:textId="0D5AC141" w:rsidR="00F84070" w:rsidRPr="003C68A9" w:rsidRDefault="00DC538C" w:rsidP="00865CE6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56B5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hAnsi="Times New Roman"/>
                <w:sz w:val="20"/>
                <w:szCs w:val="20"/>
              </w:rPr>
              <w:t>u</w:t>
            </w:r>
            <w:r w:rsidR="00F84070" w:rsidRPr="003C68A9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10794">
              <w:rPr>
                <w:rFonts w:ascii="Times New Roman" w:hAnsi="Times New Roman"/>
                <w:sz w:val="20"/>
                <w:szCs w:val="20"/>
              </w:rPr>
              <w:t>u</w:t>
            </w:r>
            <w:r w:rsidR="00F84070" w:rsidRPr="003C68A9">
              <w:rPr>
                <w:rFonts w:ascii="Times New Roman" w:hAnsi="Times New Roman"/>
                <w:sz w:val="20"/>
                <w:szCs w:val="20"/>
              </w:rPr>
              <w:t>nclear whether tea</w:t>
            </w:r>
            <w:r w:rsidR="002F56B5">
              <w:rPr>
                <w:rFonts w:ascii="Times New Roman" w:hAnsi="Times New Roman"/>
                <w:sz w:val="20"/>
                <w:szCs w:val="20"/>
              </w:rPr>
              <w:t>chers were blinded to group allocation</w:t>
            </w:r>
          </w:p>
          <w:p w14:paraId="760812EA" w14:textId="06373E5A" w:rsidR="00B601E2" w:rsidRPr="00397BBE" w:rsidRDefault="00B601E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CAA181" w14:textId="5E1A27DF" w:rsidR="00B601E2" w:rsidRPr="00397BBE" w:rsidRDefault="00155CCD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="00AA67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A2AD81" w14:textId="2C7877A5" w:rsidR="00B601E2" w:rsidRPr="003C68A9" w:rsidRDefault="003442C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6C7062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1E6E6F6" w14:textId="2492C26B" w:rsidR="00B601E2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5737124E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A02BAFC" w14:textId="2AA513D0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Bjorknes (201</w:t>
            </w:r>
            <w:r w:rsidR="00B30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and Bjorknes (2013)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1DC2A14" w14:textId="2D3955AB" w:rsidR="00F56869" w:rsidRPr="003C68A9" w:rsidRDefault="003E2F6B" w:rsidP="00735870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81A18"/>
                <w:sz w:val="20"/>
                <w:szCs w:val="20"/>
              </w:rPr>
            </w:pPr>
            <w:r w:rsidRPr="00F568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F568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C70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F568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568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r w:rsidR="006C7062">
              <w:rPr>
                <w:rFonts w:ascii="Times New Roman" w:hAnsi="Times New Roman"/>
                <w:color w:val="181A18"/>
                <w:sz w:val="20"/>
                <w:szCs w:val="20"/>
              </w:rPr>
              <w:t>r</w:t>
            </w:r>
            <w:r w:rsidR="00F56869" w:rsidRPr="003C68A9">
              <w:rPr>
                <w:rFonts w:ascii="Times New Roman" w:hAnsi="Times New Roman"/>
                <w:color w:val="181A18"/>
                <w:sz w:val="20"/>
                <w:szCs w:val="20"/>
              </w:rPr>
              <w:t>andomization sequences were computer</w:t>
            </w:r>
            <w:r w:rsidR="00F56869">
              <w:rPr>
                <w:rFonts w:ascii="Times New Roman" w:hAnsi="Times New Roman"/>
                <w:color w:val="181A18"/>
                <w:sz w:val="20"/>
                <w:szCs w:val="20"/>
              </w:rPr>
              <w:t xml:space="preserve"> </w:t>
            </w:r>
            <w:r w:rsidR="00F56869" w:rsidRPr="003C68A9">
              <w:rPr>
                <w:rFonts w:ascii="Times New Roman" w:hAnsi="Times New Roman"/>
                <w:color w:val="181A18"/>
                <w:sz w:val="20"/>
                <w:szCs w:val="20"/>
              </w:rPr>
              <w:t>generated</w:t>
            </w:r>
          </w:p>
          <w:p w14:paraId="66470440" w14:textId="17FE8FEE" w:rsidR="00F56869" w:rsidRPr="003C68A9" w:rsidRDefault="00F56869" w:rsidP="00735870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(Microsoft Excel)’. p. 55</w:t>
            </w:r>
            <w:r w:rsidR="00CC7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.</w:t>
            </w:r>
            <w:r w:rsidR="00767743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 xml:space="preserve"> Bjorknes (2013)</w:t>
            </w:r>
          </w:p>
          <w:p w14:paraId="75CC1982" w14:textId="191BE717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F07BF90" w14:textId="44B6C818" w:rsidR="00E67698" w:rsidRPr="00C54701" w:rsidRDefault="00843B37" w:rsidP="00C54701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7C41AF"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C7062"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7698" w:rsidRPr="004858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r w:rsidR="006C7062" w:rsidRPr="004858A4">
              <w:rPr>
                <w:rFonts w:ascii="Times New Roman" w:hAnsi="Times New Roman"/>
                <w:color w:val="181A18"/>
                <w:sz w:val="20"/>
                <w:szCs w:val="20"/>
              </w:rPr>
              <w:t>r</w:t>
            </w:r>
            <w:r w:rsidR="00E67698" w:rsidRPr="004858A4">
              <w:rPr>
                <w:rFonts w:ascii="Times New Roman" w:hAnsi="Times New Roman"/>
                <w:color w:val="181A18"/>
                <w:sz w:val="20"/>
                <w:szCs w:val="20"/>
              </w:rPr>
              <w:t>andomization procedures were carried out after the entire</w:t>
            </w:r>
            <w:r w:rsidR="004858A4" w:rsidRPr="004858A4">
              <w:rPr>
                <w:rFonts w:ascii="Times New Roman" w:hAnsi="Times New Roman"/>
                <w:color w:val="181A18"/>
                <w:sz w:val="20"/>
                <w:szCs w:val="20"/>
              </w:rPr>
              <w:t xml:space="preserve"> </w:t>
            </w:r>
            <w:r w:rsidR="00E67698" w:rsidRPr="00C54701">
              <w:rPr>
                <w:rFonts w:ascii="Times New Roman" w:hAnsi="Times New Roman"/>
                <w:sz w:val="20"/>
                <w:szCs w:val="20"/>
              </w:rPr>
              <w:t>group of study participants had completed the baseline</w:t>
            </w:r>
            <w:r w:rsidR="004858A4"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698" w:rsidRPr="00C54701">
              <w:rPr>
                <w:rFonts w:ascii="Times New Roman" w:hAnsi="Times New Roman"/>
                <w:sz w:val="20"/>
                <w:szCs w:val="20"/>
              </w:rPr>
              <w:t xml:space="preserve">interview.’ </w:t>
            </w:r>
            <w:r w:rsidR="006376D7" w:rsidRPr="00C54701">
              <w:rPr>
                <w:rFonts w:ascii="Times New Roman" w:hAnsi="Times New Roman"/>
                <w:sz w:val="20"/>
                <w:szCs w:val="20"/>
              </w:rPr>
              <w:t>p. 55</w:t>
            </w:r>
            <w:r w:rsidR="007B5D49">
              <w:rPr>
                <w:rFonts w:ascii="Times New Roman" w:hAnsi="Times New Roman"/>
                <w:sz w:val="20"/>
                <w:szCs w:val="20"/>
              </w:rPr>
              <w:t>.</w:t>
            </w:r>
            <w:r w:rsidR="006376D7" w:rsidRPr="00C54701">
              <w:rPr>
                <w:rFonts w:ascii="Times New Roman" w:hAnsi="Times New Roman"/>
                <w:sz w:val="20"/>
                <w:szCs w:val="20"/>
              </w:rPr>
              <w:t xml:space="preserve"> Bjorknes (2013)</w:t>
            </w:r>
          </w:p>
          <w:p w14:paraId="31FB7767" w14:textId="77777777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C650759" w14:textId="332724C0" w:rsidR="00811FA0" w:rsidRPr="00397BBE" w:rsidRDefault="00104B85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5145527" w14:textId="21F59A66" w:rsidR="004E0732" w:rsidRPr="00786B7F" w:rsidRDefault="004E0732" w:rsidP="00735870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Unclear </w:t>
            </w:r>
            <w:r w:rsidR="00C54701">
              <w:rPr>
                <w:rFonts w:ascii="Times New Roman" w:hAnsi="Times New Roman"/>
                <w:sz w:val="20"/>
                <w:szCs w:val="20"/>
              </w:rPr>
              <w:t>risk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  <w:r w:rsidRPr="00786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062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nclear whether tea</w:t>
            </w:r>
            <w:r w:rsidRPr="00E5566C">
              <w:rPr>
                <w:rFonts w:ascii="Times New Roman" w:hAnsi="Times New Roman"/>
                <w:sz w:val="20"/>
                <w:szCs w:val="20"/>
              </w:rPr>
              <w:t xml:space="preserve">chers were blinded to </w:t>
            </w:r>
            <w:r w:rsidR="00473297">
              <w:rPr>
                <w:rFonts w:ascii="Times New Roman" w:hAnsi="Times New Roman"/>
                <w:sz w:val="20"/>
                <w:szCs w:val="20"/>
              </w:rPr>
              <w:t>group allocation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0E1A1" w14:textId="0F337B78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DAD8542" w14:textId="0F3D3B49" w:rsidR="002216AA" w:rsidRPr="003C68A9" w:rsidRDefault="00AE10B8" w:rsidP="00735870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81A1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C70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81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missing data imputed using acceptable methods</w:t>
            </w:r>
            <w:r w:rsidR="00221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2216AA" w:rsidRPr="00221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r w:rsidR="00F326AA">
              <w:rPr>
                <w:rFonts w:ascii="Times New Roman" w:hAnsi="Times New Roman"/>
                <w:color w:val="181A18"/>
                <w:sz w:val="20"/>
                <w:szCs w:val="20"/>
              </w:rPr>
              <w:t>M</w:t>
            </w:r>
            <w:r w:rsidR="002216AA" w:rsidRPr="003C68A9">
              <w:rPr>
                <w:rFonts w:ascii="Times New Roman" w:hAnsi="Times New Roman"/>
                <w:color w:val="181A18"/>
                <w:sz w:val="20"/>
                <w:szCs w:val="20"/>
              </w:rPr>
              <w:t>issing-completely-at-random</w:t>
            </w:r>
          </w:p>
          <w:p w14:paraId="04DE2BF7" w14:textId="77777777" w:rsidR="002216AA" w:rsidRPr="003C68A9" w:rsidRDefault="002216AA" w:rsidP="00735870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(MCAR) test was carried out for each instrument, and the</w:t>
            </w:r>
          </w:p>
          <w:p w14:paraId="5A49674A" w14:textId="37C1590F" w:rsidR="002216AA" w:rsidRPr="003C68A9" w:rsidRDefault="002216AA" w:rsidP="0062645B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statistical method expectation–maximization (EM) was used</w:t>
            </w:r>
          </w:p>
          <w:p w14:paraId="4D0C6370" w14:textId="247CDF02" w:rsidR="002216AA" w:rsidRPr="003C68A9" w:rsidRDefault="002216AA" w:rsidP="0062645B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 xml:space="preserve">to estimate and fill in missing values at the item level.’ </w:t>
            </w:r>
            <w:r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p. 57</w:t>
            </w:r>
            <w:r w:rsidR="007B5D4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>.</w:t>
            </w:r>
            <w:r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 xml:space="preserve"> Bjorknes (2013)</w:t>
            </w:r>
          </w:p>
          <w:p w14:paraId="2C4CC3EB" w14:textId="5B17F0F3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804CD77" w14:textId="3B18140B" w:rsidR="00811FA0" w:rsidRPr="00397BBE" w:rsidRDefault="001F462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35870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B4AFF76" w14:textId="25C5D080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75A5BF11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6C61C44" w14:textId="7EE35948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Brody (2006)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937460E" w14:textId="30DC848F" w:rsidR="00811FA0" w:rsidRPr="00397BBE" w:rsidRDefault="002609CD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3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887498C" w14:textId="16D6356C" w:rsidR="00811FA0" w:rsidRPr="00397BBE" w:rsidRDefault="003158E9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35870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070E174" w14:textId="32CC310C" w:rsidR="00811FA0" w:rsidRPr="00397BBE" w:rsidRDefault="00B16536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6B09212" w14:textId="5E8277C4" w:rsidR="00811FA0" w:rsidRPr="00397BBE" w:rsidRDefault="006228E7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EE088F6" w14:textId="4E39954F" w:rsidR="00811FA0" w:rsidRPr="00397BBE" w:rsidRDefault="00155CCD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6F35010" w14:textId="1221E240" w:rsidR="00811FA0" w:rsidRPr="00397BBE" w:rsidRDefault="00155CCD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35870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F5331AE" w14:textId="38F16FF7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6B82F03A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29FEDBA" w14:textId="77777777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Byrnes (2012)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3D68EA7" w14:textId="216131D8" w:rsidR="00084B22" w:rsidRPr="003C68A9" w:rsidRDefault="00084B22" w:rsidP="00310A7F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81A1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084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084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3C2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084B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84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randomisation method n/r beyond ‘</w:t>
            </w:r>
            <w:r w:rsidRPr="003C68A9">
              <w:rPr>
                <w:rFonts w:ascii="Times New Roman" w:hAnsi="Times New Roman"/>
                <w:color w:val="181A18"/>
                <w:sz w:val="20"/>
                <w:szCs w:val="20"/>
              </w:rPr>
              <w:t>families were</w:t>
            </w:r>
          </w:p>
          <w:p w14:paraId="292B51DE" w14:textId="0AC28EBB" w:rsidR="00084B22" w:rsidRPr="003C68A9" w:rsidRDefault="00084B22" w:rsidP="0062645B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t xml:space="preserve">randomly assigned to one of two programs or a </w:t>
            </w:r>
            <w:r w:rsidRPr="003C68A9">
              <w:rPr>
                <w:rFonts w:ascii="Times New Roman" w:eastAsiaTheme="minorHAnsi" w:hAnsi="Times New Roman"/>
                <w:color w:val="181A18"/>
                <w:sz w:val="20"/>
                <w:szCs w:val="20"/>
                <w:lang w:val="en-GB" w:eastAsia="en-GB"/>
              </w:rPr>
              <w:lastRenderedPageBreak/>
              <w:t>control condition’. p. 178</w:t>
            </w:r>
          </w:p>
          <w:p w14:paraId="7C6FF0D4" w14:textId="6F99122E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D76E362" w14:textId="28C20084" w:rsidR="00811FA0" w:rsidRPr="00397BBE" w:rsidRDefault="00D70CD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B9CF5AC" w14:textId="79BE77D6" w:rsidR="00811FA0" w:rsidRPr="00397BBE" w:rsidRDefault="0042733D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 risk</w:t>
            </w:r>
            <w:r w:rsidR="0073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DE36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blinding attempted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299DBD0" w14:textId="359A81A6" w:rsidR="00811FA0" w:rsidRPr="00397BBE" w:rsidRDefault="00EF793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3927F33" w14:textId="036C91E7" w:rsidR="00811FA0" w:rsidRPr="00397BBE" w:rsidRDefault="00E16C88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3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E14D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62689B1" w14:textId="7726012A" w:rsidR="00811FA0" w:rsidRPr="00397BBE" w:rsidRDefault="00EF793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310A7F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F7D0DB0" w14:textId="08079595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6B1A2970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946D25D" w14:textId="77777777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(2008)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1A9688D" w14:textId="26022935" w:rsidR="0098489C" w:rsidRPr="003641D7" w:rsidRDefault="0098489C" w:rsidP="0018427E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984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984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1842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984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</w:t>
            </w:r>
            <w:r w:rsidRPr="005C67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Onl</w:t>
            </w:r>
            <w:r w:rsidRPr="003641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reported that </w:t>
            </w:r>
          </w:p>
          <w:p w14:paraId="3B4E1F7C" w14:textId="735698CA" w:rsidR="0098489C" w:rsidRPr="003C68A9" w:rsidRDefault="0098489C" w:rsidP="0099458E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641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randomization produced</w:t>
            </w:r>
          </w:p>
          <w:p w14:paraId="3F1AAA52" w14:textId="51F8C38E" w:rsidR="0098489C" w:rsidRPr="003C68A9" w:rsidRDefault="0098489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similar, comparable groups’. p. 329</w:t>
            </w:r>
          </w:p>
          <w:p w14:paraId="4D0105D6" w14:textId="1F22499B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B49CA98" w14:textId="3BF392F2" w:rsidR="00811FA0" w:rsidRPr="00397BBE" w:rsidRDefault="003641D7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1842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central allocation (web-based randomisation procedure)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D46C71A" w14:textId="0A592CB4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  <w:r w:rsidR="002240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ow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="002240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1842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outcome not likely to be influenced by lack of blinding</w:t>
            </w:r>
            <w:r w:rsidR="002240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due to use of web-based platform for study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C8DF86A" w14:textId="1A14A041" w:rsidR="00811FA0" w:rsidRPr="00397BBE" w:rsidRDefault="0049229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D7FE86D" w14:textId="24548D32" w:rsidR="00811FA0" w:rsidRPr="00397BBE" w:rsidRDefault="0070401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1842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F04896B" w14:textId="5AB977C0" w:rsidR="00811FA0" w:rsidRPr="00397BBE" w:rsidRDefault="004E12AE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18427E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C18B665" w14:textId="1833F09F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7CFA4904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5B4AB57" w14:textId="2DCD9334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Carpentier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(2007)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2A8691F" w14:textId="1BA2BE82" w:rsidR="00872AD7" w:rsidRPr="001F1F70" w:rsidRDefault="00872AD7" w:rsidP="00276494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53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1F1F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1F1F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DC3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1F1F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n/r. Only reported that </w:t>
            </w:r>
          </w:p>
          <w:p w14:paraId="1CF3E063" w14:textId="2128B84F" w:rsidR="00872AD7" w:rsidRPr="001F1F70" w:rsidRDefault="00F15390" w:rsidP="0099458E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‘families were randomly assigned to either the control or intervention condition’. </w:t>
            </w:r>
            <w:r w:rsidR="00872AD7" w:rsidRPr="00F15390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p</w:t>
            </w:r>
            <w:r w:rsidR="00872AD7" w:rsidRPr="001F1F70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</w:t>
            </w:r>
            <w:r w:rsidRPr="001F1F70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528</w:t>
            </w:r>
          </w:p>
          <w:p w14:paraId="5F1E19F8" w14:textId="284DFB24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0D7387B" w14:textId="4D734449" w:rsidR="00811FA0" w:rsidRPr="00397BBE" w:rsidRDefault="00362CE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DC3EAA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23B2D3F" w14:textId="5A0F9429" w:rsidR="00811FA0" w:rsidRPr="00397BBE" w:rsidRDefault="00362CE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nclear: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B3CB780" w14:textId="22B3DB76" w:rsidR="00811FA0" w:rsidRPr="00397BBE" w:rsidRDefault="00F14B28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35855C9" w14:textId="68F70D4A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</w:t>
            </w:r>
            <w:r w:rsidR="0040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igh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="0040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DC3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40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proofErr w:type="spellStart"/>
            <w:r w:rsidR="00DC3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istwise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deletion excluded participants with missing data from the analyses</w:t>
            </w:r>
            <w:r w:rsidR="00403D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regarding program </w:t>
            </w:r>
            <w:r w:rsidR="00FE0D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enrolment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’</w:t>
            </w:r>
            <w:r w:rsidR="00FE0D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p. 533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EDFC0E8" w14:textId="68C5BE66" w:rsidR="00811FA0" w:rsidRPr="00397BBE" w:rsidRDefault="00F14B28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DC3EAA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>
              <w:rPr>
                <w:rFonts w:ascii="Times New Roman" w:hAnsi="Times New Roman"/>
                <w:sz w:val="20"/>
                <w:szCs w:val="20"/>
              </w:rPr>
              <w:t>; no protocol available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8F869A9" w14:textId="05264C30" w:rsidR="00811FA0" w:rsidRPr="00397BBE" w:rsidRDefault="001F1F7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High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isk</w:t>
            </w:r>
            <w:r w:rsidR="00DC3E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unequal probability assignment. English families were given a 70% chance of being placed in treatment and 30% chance of being placed in control. Conversely, Spanish families were given a 60% chance of being placed in treatment, and a 40% chance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placement in control</w:t>
            </w:r>
          </w:p>
        </w:tc>
      </w:tr>
      <w:tr w:rsidR="007D6BA1" w:rsidRPr="00C0149D" w14:paraId="77348A6B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28D00961" w14:textId="034BEF50" w:rsidR="00811FA0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Eisner (2011)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50048982" w14:textId="29458DF4" w:rsidR="00811FA0" w:rsidRPr="00397BBE" w:rsidRDefault="002E01B6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591C0DB4" w14:textId="6C638C2D" w:rsidR="00811FA0" w:rsidRPr="00397BBE" w:rsidRDefault="00E342CF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A409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insufficient information provided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621888D5" w14:textId="42057F93" w:rsidR="00811FA0" w:rsidRPr="00397BBE" w:rsidRDefault="00E4215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="00E342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A409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E342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</w:t>
            </w:r>
            <w:r w:rsidR="00120E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data</w:t>
            </w:r>
            <w:r w:rsidR="00E342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40705143" w14:textId="67FC1386" w:rsidR="00811FA0" w:rsidRPr="00397BBE" w:rsidRDefault="00120E83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2FEA547A" w14:textId="4C85F5D0" w:rsidR="00811FA0" w:rsidRPr="00397BBE" w:rsidRDefault="00120E83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A409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4BB79DB1" w14:textId="4A340940" w:rsidR="00811FA0" w:rsidRPr="00397BBE" w:rsidRDefault="00120E83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A40912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>
              <w:rPr>
                <w:rFonts w:ascii="Times New Roman" w:hAnsi="Times New Roman"/>
                <w:sz w:val="20"/>
                <w:szCs w:val="20"/>
              </w:rPr>
              <w:t>; no protocol available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5E29732E" w14:textId="4953AA2D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43BCE5DA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AF1B7D" w14:textId="77777777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Fleming (2015)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2BECF62" w14:textId="29B45698" w:rsidR="003759B5" w:rsidRDefault="003759B5" w:rsidP="003640CF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375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A409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375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  <w:p w14:paraId="3BA87CDF" w14:textId="4C196401" w:rsidR="003759B5" w:rsidRPr="003C68A9" w:rsidRDefault="003759B5" w:rsidP="0099458E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assigned identification</w:t>
            </w:r>
          </w:p>
          <w:p w14:paraId="49CB5905" w14:textId="77777777" w:rsidR="003759B5" w:rsidRPr="003C68A9" w:rsidRDefault="003759B5" w:rsidP="0062645B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numbers in the order in which participants returned</w:t>
            </w:r>
          </w:p>
          <w:p w14:paraId="1922DEC6" w14:textId="77777777" w:rsidR="003759B5" w:rsidRPr="003C68A9" w:rsidRDefault="003759B5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permission slips and then blocked the participants by</w:t>
            </w:r>
          </w:p>
          <w:p w14:paraId="69C9101E" w14:textId="659848A6" w:rsidR="003759B5" w:rsidRPr="003C68A9" w:rsidRDefault="003759B5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school and adol</w:t>
            </w:r>
            <w:r w:rsidRPr="009E63C0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escent gender. Within blocks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…</w:t>
            </w:r>
          </w:p>
          <w:p w14:paraId="617C45F5" w14:textId="77777777" w:rsidR="003759B5" w:rsidRPr="003C68A9" w:rsidRDefault="003759B5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assigned families sequentially to one of the three</w:t>
            </w:r>
          </w:p>
          <w:p w14:paraId="7794B9E4" w14:textId="15E3A9CD" w:rsidR="003759B5" w:rsidRPr="003C68A9" w:rsidRDefault="003759B5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experimental condition</w:t>
            </w:r>
            <w:r w:rsidRPr="003759B5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s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…or a</w:t>
            </w:r>
          </w:p>
          <w:p w14:paraId="1FAC63A1" w14:textId="066ABB52" w:rsidR="003759B5" w:rsidRPr="003C68A9" w:rsidRDefault="003759B5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no-intervention control condition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’</w:t>
            </w:r>
            <w:r w:rsidR="00283C43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p. 108</w:t>
            </w:r>
          </w:p>
          <w:p w14:paraId="19BE648D" w14:textId="62B85A14" w:rsidR="00811FA0" w:rsidRPr="00397BBE" w:rsidRDefault="003759B5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7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8243C68" w14:textId="47A0F1CF" w:rsidR="00811FA0" w:rsidRPr="00397BBE" w:rsidRDefault="008323F7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3640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EA98872" w14:textId="2C172861" w:rsidR="00CB340F" w:rsidRPr="00C54701" w:rsidRDefault="00A94ED2" w:rsidP="00C54701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17D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 w:rsidRPr="007749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3640CF" w:rsidRP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7D42">
              <w:rPr>
                <w:rFonts w:ascii="Times New Roman" w:hAnsi="Times New Roman"/>
                <w:sz w:val="20"/>
                <w:szCs w:val="20"/>
              </w:rPr>
              <w:t>‘staff person</w:t>
            </w:r>
            <w:r w:rsidR="00D17D42"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who made assignments to condition had no contact</w:t>
            </w:r>
            <w:r w:rsidR="00D17D42"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with individual families and had no information on</w:t>
            </w:r>
            <w:r w:rsidR="00D17D42"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families other than identification numbers, gender of</w:t>
            </w:r>
            <w:r w:rsidR="00D17D42"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the students, and the students’ schools’. p</w:t>
            </w:r>
            <w:r w:rsidR="007B5D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14:paraId="6D1931BB" w14:textId="77777777" w:rsidR="00CB340F" w:rsidRDefault="00CB34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</w:p>
          <w:p w14:paraId="3997CB23" w14:textId="395D4B7C" w:rsidR="00811FA0" w:rsidRPr="003C68A9" w:rsidRDefault="00CB34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However, u</w:t>
            </w:r>
            <w:r w:rsidR="00A94ED2"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nclear whether participants were blinded to allocation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7D651B5" w14:textId="13AD4CF7" w:rsidR="00F326AA" w:rsidRPr="00C54701" w:rsidRDefault="009E63C0" w:rsidP="00C54701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A57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F326AA" w:rsidRPr="00DA57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DA57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3640CF" w:rsidRPr="00DA57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DA57AD">
              <w:rPr>
                <w:rFonts w:ascii="Times New Roman" w:hAnsi="Times New Roman"/>
                <w:sz w:val="20"/>
                <w:szCs w:val="20"/>
              </w:rPr>
              <w:t> ‘</w:t>
            </w:r>
            <w:r w:rsidR="003640CF" w:rsidRPr="00DA57AD">
              <w:rPr>
                <w:rFonts w:ascii="Times New Roman" w:hAnsi="Times New Roman"/>
                <w:sz w:val="20"/>
                <w:szCs w:val="20"/>
              </w:rPr>
              <w:t>d</w:t>
            </w:r>
            <w:r w:rsidRPr="00DA57AD">
              <w:rPr>
                <w:rFonts w:ascii="Times New Roman" w:hAnsi="Times New Roman"/>
                <w:sz w:val="20"/>
                <w:szCs w:val="20"/>
              </w:rPr>
              <w:t>ata collection</w:t>
            </w:r>
            <w:r w:rsidR="00DA57AD" w:rsidRPr="00DA5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staff, who were not informed of condition assignments</w:t>
            </w:r>
            <w:r w:rsidR="00D400D1" w:rsidRPr="00C54701">
              <w:rPr>
                <w:rFonts w:ascii="Times New Roman" w:hAnsi="Times New Roman"/>
                <w:sz w:val="20"/>
                <w:szCs w:val="20"/>
              </w:rPr>
              <w:t>…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 xml:space="preserve">’. </w:t>
            </w:r>
            <w:r w:rsidR="00F326AA" w:rsidRPr="00C547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0C25607" w14:textId="7A6E670F" w:rsidR="009E63C0" w:rsidRPr="00DA57AD" w:rsidRDefault="009E63C0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DA57AD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p</w:t>
            </w:r>
            <w:r w:rsidR="007B5D4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. </w:t>
            </w:r>
            <w:r w:rsidRPr="00DA57AD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108</w:t>
            </w:r>
          </w:p>
          <w:p w14:paraId="432871A9" w14:textId="2C824D72" w:rsidR="00811FA0" w:rsidRPr="00397BBE" w:rsidRDefault="00811FA0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19D446E" w14:textId="2E509F97" w:rsidR="00811FA0" w:rsidRPr="00397BBE" w:rsidRDefault="00182DC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956CFE2" w14:textId="66072950" w:rsidR="00811FA0" w:rsidRPr="00397BBE" w:rsidRDefault="00326B8C" w:rsidP="003640CF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3640CF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>
              <w:rPr>
                <w:rFonts w:ascii="Times New Roman" w:hAnsi="Times New Roman"/>
                <w:sz w:val="20"/>
                <w:szCs w:val="20"/>
              </w:rPr>
              <w:t>; no protocol available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271D31D" w14:textId="3BC8CA83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1611ECB4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0CAA3FA" w14:textId="4D15F0A9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Garvey (2006)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D76C53D" w14:textId="210DE560" w:rsidR="00F241CE" w:rsidRPr="003C68A9" w:rsidRDefault="00F67C8C" w:rsidP="00625BE3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F2A2B"/>
                <w:sz w:val="20"/>
                <w:szCs w:val="20"/>
              </w:rPr>
            </w:pPr>
            <w:r w:rsidRPr="00F2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F2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3640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3E65A2" w:rsidRPr="00DD5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procedure not clear</w:t>
            </w:r>
            <w:r w:rsidR="00F241CE" w:rsidRPr="00DD5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‘</w:t>
            </w:r>
            <w:r w:rsidR="00F241CE" w:rsidRPr="003C68A9">
              <w:rPr>
                <w:rFonts w:ascii="Times New Roman" w:hAnsi="Times New Roman"/>
                <w:color w:val="2F2A2B"/>
                <w:sz w:val="20"/>
                <w:szCs w:val="20"/>
              </w:rPr>
              <w:t xml:space="preserve">7-day care </w:t>
            </w:r>
            <w:proofErr w:type="spellStart"/>
            <w:r w:rsidR="00F241CE" w:rsidRPr="003C68A9">
              <w:rPr>
                <w:rFonts w:ascii="Times New Roman" w:hAnsi="Times New Roman"/>
                <w:color w:val="2F2A2B"/>
                <w:sz w:val="20"/>
                <w:szCs w:val="20"/>
              </w:rPr>
              <w:t>centers</w:t>
            </w:r>
            <w:proofErr w:type="spellEnd"/>
            <w:r w:rsidR="00F241CE" w:rsidRPr="003C68A9">
              <w:rPr>
                <w:rFonts w:ascii="Times New Roman" w:hAnsi="Times New Roman"/>
                <w:color w:val="2F2A2B"/>
                <w:sz w:val="20"/>
                <w:szCs w:val="20"/>
              </w:rPr>
              <w:t xml:space="preserve"> were assigned</w:t>
            </w:r>
          </w:p>
          <w:p w14:paraId="70797F43" w14:textId="77777777" w:rsidR="00F241CE" w:rsidRPr="003C68A9" w:rsidRDefault="00F241CE" w:rsidP="00625BE3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  <w:t>to one of two equivalent groups that were</w:t>
            </w:r>
          </w:p>
          <w:p w14:paraId="00141FD6" w14:textId="77777777" w:rsidR="00F241CE" w:rsidRPr="003C68A9" w:rsidRDefault="00F241CE" w:rsidP="0099458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  <w:t>matched on size, racial/ethnic composition, median</w:t>
            </w:r>
          </w:p>
          <w:p w14:paraId="1F15F6D6" w14:textId="77777777" w:rsidR="00F241CE" w:rsidRPr="003C68A9" w:rsidRDefault="00F241CE" w:rsidP="0062645B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  <w:t>income, and percent single-family households</w:t>
            </w:r>
          </w:p>
          <w:p w14:paraId="28AB3C06" w14:textId="77777777" w:rsidR="00F241CE" w:rsidRPr="003C68A9" w:rsidRDefault="00F241CE" w:rsidP="0062645B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  <w:t>and then randomly assigned to the intervention or</w:t>
            </w:r>
          </w:p>
          <w:p w14:paraId="4C2A6FD8" w14:textId="7551AFC7" w:rsidR="00F241CE" w:rsidRPr="003C68A9" w:rsidRDefault="00F241CE" w:rsidP="007D127D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color w:val="2F2A2B"/>
                <w:sz w:val="20"/>
                <w:szCs w:val="20"/>
                <w:lang w:val="en-GB" w:eastAsia="en-GB"/>
              </w:rPr>
              <w:t>waiting list control condition’. p. 205</w:t>
            </w:r>
          </w:p>
          <w:p w14:paraId="3901881C" w14:textId="4B1D39BB" w:rsidR="00811FA0" w:rsidRPr="00397BBE" w:rsidRDefault="00811FA0" w:rsidP="00932F64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ACF6F4B" w14:textId="2D2548ED" w:rsidR="00811FA0" w:rsidRPr="00397BBE" w:rsidRDefault="00DD552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CF943C7" w14:textId="0A6B76A8" w:rsidR="00811FA0" w:rsidRPr="00397BBE" w:rsidRDefault="00DD552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625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545CB1D" w14:textId="57B3B43E" w:rsidR="00811FA0" w:rsidRPr="00397BBE" w:rsidRDefault="0016175E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625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6F66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PT group leaders reported on parents’ engagement in program, </w:t>
            </w:r>
            <w:r w:rsidR="006728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but </w:t>
            </w:r>
            <w:r w:rsidR="006F66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unclear whether leaders themselves were blinded to</w:t>
            </w:r>
            <w:r w:rsidR="005F57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group</w:t>
            </w:r>
            <w:r w:rsidR="006F66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allocation</w:t>
            </w:r>
            <w:r w:rsidR="006A53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18E1AE3" w14:textId="2416849E" w:rsidR="00811FA0" w:rsidRPr="00397BBE" w:rsidRDefault="00DD552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625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  <w:r w:rsidR="0081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3AA39FA" w14:textId="0EEA6FED" w:rsidR="00811FA0" w:rsidRPr="00397BBE" w:rsidRDefault="00DD552A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625BE3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 w:rsidR="00811FA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47EF88D" w14:textId="52D4985C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265A3B8B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8B260B3" w14:textId="77777777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Heinrichs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(2005)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D3C7939" w14:textId="40E5E347" w:rsidR="008B5F88" w:rsidRDefault="008B5F88" w:rsidP="00801977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8B5F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25B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8B5F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  <w:p w14:paraId="7689CDF0" w14:textId="2B153569" w:rsidR="008B5F88" w:rsidRPr="003C68A9" w:rsidRDefault="008B5F88" w:rsidP="0062645B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‘</w:t>
            </w:r>
            <w:r w:rsidR="00625BE3">
              <w:rPr>
                <w:rFonts w:ascii="Times New Roman" w:hAnsi="Times New Roman"/>
                <w:color w:val="auto"/>
                <w:sz w:val="20"/>
                <w:szCs w:val="20"/>
              </w:rPr>
              <w:t>f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amilies were assigned to the experimental</w:t>
            </w:r>
          </w:p>
          <w:p w14:paraId="1FAE5771" w14:textId="77777777" w:rsidR="008B5F88" w:rsidRPr="003C68A9" w:rsidRDefault="008B5F88" w:rsidP="0062645B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or control group based on preschool affiliation.</w:t>
            </w:r>
          </w:p>
          <w:p w14:paraId="7E5D4936" w14:textId="77777777" w:rsidR="008B5F88" w:rsidRPr="003C68A9" w:rsidRDefault="008B5F88" w:rsidP="007D127D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Preschools were randomized to the two conditions</w:t>
            </w:r>
          </w:p>
          <w:p w14:paraId="5BCEA18A" w14:textId="77777777" w:rsidR="008B5F88" w:rsidRPr="003C68A9" w:rsidRDefault="008B5F88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lastRenderedPageBreak/>
              <w:t>after being matched according to the social structure</w:t>
            </w:r>
          </w:p>
          <w:p w14:paraId="21180DF7" w14:textId="4E4CFD2C" w:rsidR="008B5F88" w:rsidRPr="003C68A9" w:rsidRDefault="008B5F88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of their respective neighbo</w:t>
            </w:r>
            <w:r w:rsidR="00652857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u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rhoods’</w:t>
            </w:r>
            <w:r w:rsidR="00283C43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p. 278</w:t>
            </w:r>
          </w:p>
          <w:p w14:paraId="7E348C6A" w14:textId="424159AE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0FBB319" w14:textId="7A996DC7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H</w:t>
            </w:r>
            <w:r w:rsidR="005B6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igh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="005B6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9945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inadequate concealment of interventions prior to allocation. Participants were aware of possibility they would be allocated to one of two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conditions (control or experimental)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194C90A" w14:textId="6B15619A" w:rsidR="00811FA0" w:rsidRPr="00397BBE" w:rsidRDefault="00414AC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High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A718AB8" w14:textId="2E4E49F5" w:rsidR="00811FA0" w:rsidRPr="00397BBE" w:rsidRDefault="004D46C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</w:t>
            </w:r>
            <w:r w:rsidR="004A2B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  <w:r w:rsidR="009945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4A2B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unclear whether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teachers rating participating families were themselves blinded to </w:t>
            </w:r>
            <w:r w:rsidR="00C83A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group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allocation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0E395BB" w14:textId="0C77FCF8" w:rsidR="00811FA0" w:rsidRPr="00397BBE" w:rsidRDefault="00D912DD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8019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F3D517" w14:textId="72307C13" w:rsidR="00811FA0" w:rsidRPr="00397BBE" w:rsidRDefault="00D912DD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801977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642A8FF" w14:textId="4914D7C4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F326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5ED61AAC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EAB1577" w14:textId="77777777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Heinrichs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(2006)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3883736" w14:textId="3FA66593" w:rsidR="0022635C" w:rsidRPr="003C68A9" w:rsidRDefault="0022635C" w:rsidP="0062645B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263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Unclear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2263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264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2263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specific randomisation procedure n/r</w:t>
            </w:r>
            <w:r w:rsidR="0062645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62645B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‘</w:t>
            </w:r>
            <w:proofErr w:type="gramEnd"/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preschools were first matched based on their size</w:t>
            </w:r>
          </w:p>
          <w:p w14:paraId="1BBAD6CE" w14:textId="56B3F195" w:rsidR="0022635C" w:rsidRPr="003C68A9" w:rsidRDefault="0022635C" w:rsidP="007D127D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and then randomly assigned to one of the four recruitment conditions’</w:t>
            </w:r>
            <w:r w:rsidR="00283C43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p. 349</w:t>
            </w:r>
          </w:p>
          <w:p w14:paraId="34636B7F" w14:textId="46584CD0" w:rsidR="00811FA0" w:rsidRPr="00397BBE" w:rsidRDefault="0003283B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51FA4F3" w14:textId="530A72ED" w:rsidR="00811FA0" w:rsidRPr="0022635C" w:rsidRDefault="0022635C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hAnsi="Times New Roman"/>
                <w:sz w:val="20"/>
                <w:szCs w:val="20"/>
              </w:rPr>
              <w:t>u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62645B">
              <w:rPr>
                <w:rFonts w:ascii="Times New Roman" w:hAnsi="Times New Roman"/>
                <w:sz w:val="20"/>
                <w:szCs w:val="20"/>
              </w:rPr>
              <w:t>m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>ethod of concealment is not described in sufficient detail to allow a definit</w:t>
            </w:r>
            <w:r w:rsidR="00283C43">
              <w:rPr>
                <w:rFonts w:ascii="Times New Roman" w:hAnsi="Times New Roman"/>
                <w:sz w:val="20"/>
                <w:szCs w:val="20"/>
              </w:rPr>
              <w:t>ive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 judgement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9F2E8A" w14:textId="52E7C756" w:rsidR="0003283B" w:rsidRDefault="0003283B" w:rsidP="0062645B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328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0328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6264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0328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  <w:p w14:paraId="5FE3E478" w14:textId="01F198F1" w:rsidR="0003283B" w:rsidRPr="003C68A9" w:rsidRDefault="0003283B" w:rsidP="007D127D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‘</w:t>
            </w:r>
            <w:r w:rsidR="0062645B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ne of these female recruiters was aware of the</w:t>
            </w:r>
          </w:p>
          <w:p w14:paraId="36258DC6" w14:textId="20D714E5" w:rsidR="0003283B" w:rsidRPr="003C68A9" w:rsidRDefault="0003283B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main hypotheses of the study while the other one was blind. Complete</w:t>
            </w:r>
            <w:r w:rsidR="00F86CAD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blindness was not possible because half of the female recruiters were also responsible for</w:t>
            </w:r>
          </w:p>
          <w:p w14:paraId="59BCAE95" w14:textId="46834948" w:rsidR="0003283B" w:rsidRPr="0003283B" w:rsidRDefault="0003283B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Theme="minorHAnsi" w:hAnsi="Times"/>
                <w:sz w:val="15"/>
                <w:szCs w:val="15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conducting the prevention program’. p. 349-50</w:t>
            </w:r>
          </w:p>
          <w:p w14:paraId="717C6EB1" w14:textId="239587F9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EE2F00D" w14:textId="7649692F" w:rsidR="00811FA0" w:rsidRPr="00397BBE" w:rsidRDefault="00154D6E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32024A7" w14:textId="795521AA" w:rsidR="00811FA0" w:rsidRPr="00397BBE" w:rsidRDefault="009B515F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32ACCF2" w14:textId="51F95EAF" w:rsidR="00811FA0" w:rsidRPr="00397BBE" w:rsidRDefault="009A3019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62645B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C05352F" w14:textId="66B23703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4AFBB85D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6CA2714" w14:textId="05B84EBB" w:rsidR="00811FA0" w:rsidRPr="00C0149D" w:rsidRDefault="00811FA0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Helfenbaum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-Kun (200</w:t>
            </w:r>
            <w:r w:rsidR="005B2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1D8B94C" w14:textId="5DF56D51" w:rsidR="000F35E6" w:rsidRPr="003C68A9" w:rsidRDefault="000F35E6" w:rsidP="00EA587F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5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0F35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D12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0F35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n/r, merely that ‘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fathers were randomly assigned to a</w:t>
            </w:r>
            <w:r w:rsidR="00065F9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sz w:val="20"/>
                <w:szCs w:val="20"/>
              </w:rPr>
              <w:t xml:space="preserve">parent-training group consistent </w:t>
            </w:r>
            <w:r w:rsidRPr="003C68A9">
              <w:rPr>
                <w:rFonts w:ascii="Times New Roman" w:hAnsi="Times New Roman"/>
                <w:sz w:val="20"/>
                <w:szCs w:val="20"/>
              </w:rPr>
              <w:lastRenderedPageBreak/>
              <w:t>with their language preference, or to a</w:t>
            </w:r>
          </w:p>
          <w:p w14:paraId="4249474A" w14:textId="00AD7925" w:rsidR="000F35E6" w:rsidRPr="003C68A9" w:rsidRDefault="000F35E6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no-treatment control group’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 p. 53</w:t>
            </w:r>
          </w:p>
          <w:p w14:paraId="244A0801" w14:textId="2A9E0577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721CAC1" w14:textId="2B6FA69A" w:rsidR="00811FA0" w:rsidRPr="00397BBE" w:rsidRDefault="00065F9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C659F5B" w14:textId="7557242E" w:rsidR="00811FA0" w:rsidRPr="00397BBE" w:rsidRDefault="00AE2E0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A669C05" w14:textId="2B13E86E" w:rsidR="000753C4" w:rsidRDefault="00617907" w:rsidP="00EA587F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617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6818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6179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267020D" w14:textId="5D7C4701" w:rsidR="00617907" w:rsidRPr="003C68A9" w:rsidRDefault="00617907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53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‘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Head Start teachers completed the Intensity scale of the Sutter-</w:t>
            </w:r>
            <w:proofErr w:type="spellStart"/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Eyberg</w:t>
            </w:r>
            <w:proofErr w:type="spellEnd"/>
          </w:p>
          <w:p w14:paraId="40DC2AAE" w14:textId="77777777" w:rsidR="000753C4" w:rsidRDefault="00617907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Student </w:t>
            </w:r>
            <w:proofErr w:type="spellStart"/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Inventory-Revised’. </w:t>
            </w:r>
            <w:r w:rsidR="000753C4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p. 53 </w:t>
            </w:r>
          </w:p>
          <w:p w14:paraId="14C671F6" w14:textId="117B4393" w:rsidR="00617907" w:rsidRPr="003C68A9" w:rsidRDefault="00617907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lastRenderedPageBreak/>
              <w:t>However unclear whether teachers were blinded to group allocation</w:t>
            </w:r>
          </w:p>
          <w:p w14:paraId="3095B2AC" w14:textId="025A5B49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9F444ED" w14:textId="35C89735" w:rsidR="00811FA0" w:rsidRPr="00397BBE" w:rsidRDefault="00D42CD3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B052D23" w14:textId="6B5D9E86" w:rsidR="00811FA0" w:rsidRPr="00397BBE" w:rsidRDefault="009A301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165D78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0A16711" w14:textId="01976575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7D6BA1" w:rsidRPr="00C0149D" w14:paraId="383E5474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DCA2AD" w14:textId="15A2BE5C" w:rsidR="00811FA0" w:rsidRPr="00C0149D" w:rsidRDefault="00543137" w:rsidP="00543137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Hellenthal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(2009)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C599273" w14:textId="281BE6D6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  <w:r w:rsidR="006E7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ow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="006E7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EA58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6E7A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intervention group only, no control group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3542A2E" w14:textId="51737576" w:rsidR="00811FA0" w:rsidRPr="00397BBE" w:rsidRDefault="00B5191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EA58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intervention group only, no control group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75475DB" w14:textId="556E0D6A" w:rsidR="00811FA0" w:rsidRPr="00397BBE" w:rsidRDefault="00B5191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EA58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intervention group only, no control group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7E35883" w14:textId="7A05800F" w:rsidR="00811FA0" w:rsidRPr="00397BBE" w:rsidRDefault="00E079E5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EA58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="0081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21A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intervention group only, no control group. Furthermore, </w:t>
            </w:r>
            <w:r w:rsidR="0081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data collected in an anonymous fashion as parents utilised a code on all forms except the consent form, which was kept separate from all other forms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7C77647" w14:textId="400EB683" w:rsidR="00811FA0" w:rsidRPr="00397BBE" w:rsidRDefault="00536651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EA58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A114FB8" w14:textId="0F7C8B32" w:rsidR="00811FA0" w:rsidRPr="00397BBE" w:rsidRDefault="009A3019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EA587F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52C1C15" w14:textId="37F4BB35" w:rsidR="00811FA0" w:rsidRPr="00397BBE" w:rsidRDefault="00811FA0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0D1DF5AC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D037469" w14:textId="5CC0BAEA" w:rsidR="00AD5962" w:rsidRDefault="00AD5962" w:rsidP="00543137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Mauric</w:t>
            </w:r>
            <w:r w:rsidR="00405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(2014)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895CDC5" w14:textId="42BEA304" w:rsidR="00AD5962" w:rsidRDefault="003C2EAA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="008622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nclear:</w:t>
            </w:r>
            <w:r w:rsidR="00AD59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603A826" w14:textId="2680A43A" w:rsidR="00AD5962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556B2BE" w14:textId="3028FB65" w:rsidR="00AD5962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BEC0BE8" w14:textId="2F411F9E" w:rsidR="00AD5962" w:rsidRPr="003C68A9" w:rsidRDefault="00862259" w:rsidP="00862259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Risk </w:t>
            </w:r>
            <w:r w:rsidR="00E03005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u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nclear: ‘t</w:t>
            </w:r>
            <w:r w:rsidR="00AD5962"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eachers completed</w:t>
            </w:r>
          </w:p>
          <w:p w14:paraId="5991BF83" w14:textId="77777777" w:rsidR="00AD5962" w:rsidRPr="003C68A9" w:rsidRDefault="00AD596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paper–pencil questionnaires on child </w:t>
            </w:r>
            <w:proofErr w:type="spellStart"/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behavior</w:t>
            </w:r>
            <w:proofErr w:type="spellEnd"/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’. p. 373. Unclear whether teachers were blinded to condition allocation</w:t>
            </w:r>
          </w:p>
          <w:p w14:paraId="6A13DD17" w14:textId="77777777" w:rsidR="00AD5962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715B2CB" w14:textId="7066C6A3" w:rsidR="00AD5962" w:rsidRDefault="0086225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nclear:</w:t>
            </w:r>
            <w:r w:rsidR="00AD59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678DDC1" w14:textId="31DF5E0A" w:rsidR="00AD5962" w:rsidRPr="00786B7F" w:rsidRDefault="00862259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nclear: i</w:t>
            </w:r>
            <w:r w:rsidR="00AD5962"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5DFFDF1" w14:textId="6127852A" w:rsidR="00AD5962" w:rsidRPr="00A63452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7278BFD3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15E1822" w14:textId="1F6D9555" w:rsidR="00AD5962" w:rsidRPr="00C0149D" w:rsidRDefault="00AD596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(2015)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3BEE94" w14:textId="442C8CCD" w:rsidR="00AD5962" w:rsidRPr="003C68A9" w:rsidRDefault="00AD5962" w:rsidP="002A7553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7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047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8622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047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‘</w:t>
            </w:r>
            <w:r w:rsidR="00862259"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arents were randomized to two recruitment</w:t>
            </w:r>
          </w:p>
          <w:p w14:paraId="4C3C80D3" w14:textId="4EEC1060" w:rsidR="00AD5962" w:rsidRPr="003C68A9" w:rsidRDefault="00CC78A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lastRenderedPageBreak/>
              <w:t>s</w:t>
            </w:r>
            <w:r w:rsidR="00AD5962"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trategies’. p. 61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.</w:t>
            </w:r>
            <w:r w:rsidR="00AD5962"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However, specific randomisation method n/r</w:t>
            </w:r>
          </w:p>
          <w:p w14:paraId="11D07059" w14:textId="54BAFDED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472CF51" w14:textId="513CFF87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2263BBF" w14:textId="2C23B0EA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631362B" w14:textId="7046D6CC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8F7FD04" w14:textId="68AB4F7C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Low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8622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missing data for variables associated with hypotheses were imputed using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multiple imputation in PASW Statistics 18 with 20 imputations, informed by sociodemographic and psychological variables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CB263CA" w14:textId="0F154029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862259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nsufficient information to permit judgement of </w:t>
            </w:r>
            <w:r w:rsidRPr="00786B7F">
              <w:rPr>
                <w:rFonts w:ascii="Times New Roman" w:hAnsi="Times New Roman"/>
                <w:sz w:val="20"/>
                <w:szCs w:val="20"/>
              </w:rPr>
              <w:lastRenderedPageBreak/>
              <w:t>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2AAEDFD" w14:textId="3D4B1EE4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36FF8776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87E9DDA" w14:textId="77777777" w:rsidR="00AD5962" w:rsidRPr="00C0149D" w:rsidRDefault="00AD596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Nordstrom (2008)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C7AA138" w14:textId="05ECDAF0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7879FD5" w14:textId="6A97CEF3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3BC463A" w14:textId="5CEB2F18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D443DB0" w14:textId="457A9E5C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DFF4182" w14:textId="0C1A05D1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isk</w:t>
            </w:r>
            <w:r w:rsidR="00932F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nine mothers with missing data were excluded from analyses. Imputation not implemented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480F763" w14:textId="5D5DE6F6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932F64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29F5EAB" w14:textId="76724281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2405AFBB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3FC7C56" w14:textId="77777777" w:rsidR="00AD5962" w:rsidRPr="00C0149D" w:rsidRDefault="00AD596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Plueck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(2010)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83A97C8" w14:textId="186E5896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932F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randomisation method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ADD9166" w14:textId="5C492092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CE5F57B" w14:textId="7C737613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A946B97" w14:textId="7485AC76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 regarding teacher-reported data, and whether they were blinded to group allocation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AF05B0C" w14:textId="47362AEB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932F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1E19103" w14:textId="0419638C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932F64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584D5AB" w14:textId="5D0CB418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53A6707B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9334BAA" w14:textId="4A06A369" w:rsidR="00AD5962" w:rsidRPr="00C0149D" w:rsidRDefault="00AD5962" w:rsidP="00FF2D69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Reedtz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(2011)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FEA6B1D" w14:textId="38A1AA31" w:rsidR="00AD5962" w:rsidRPr="003C68A9" w:rsidRDefault="00AD5962" w:rsidP="00C54701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4"/>
                <w:szCs w:val="14"/>
              </w:rPr>
            </w:pPr>
            <w:r w:rsidRPr="005814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 w:rsidRPr="005814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5814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A0AE2" w:rsidRPr="005814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5814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‘</w:t>
            </w:r>
            <w:r w:rsidR="007A0AE2" w:rsidRPr="00581402">
              <w:rPr>
                <w:rFonts w:ascii="Times New Roman" w:hAnsi="Times New Roman"/>
                <w:sz w:val="20"/>
                <w:szCs w:val="20"/>
              </w:rPr>
              <w:t>c</w:t>
            </w:r>
            <w:r w:rsidRPr="00581402">
              <w:rPr>
                <w:rFonts w:ascii="Times New Roman" w:hAnsi="Times New Roman"/>
                <w:sz w:val="20"/>
                <w:szCs w:val="20"/>
              </w:rPr>
              <w:t>hildren and families were randomized to either the shortened basic</w:t>
            </w:r>
            <w:r w:rsidR="00581402" w:rsidRPr="00581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version (</w:t>
            </w:r>
            <w:r w:rsidRPr="00C54701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124AC8" w:rsidRPr="00C54701">
              <w:rPr>
                <w:rFonts w:ascii="Times New Roman" w:hAnsi="Times New Roman"/>
                <w:sz w:val="20"/>
                <w:szCs w:val="20"/>
              </w:rPr>
              <w:t>=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89), or the control group (</w:t>
            </w:r>
            <w:r w:rsidRPr="00C54701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124AC8" w:rsidRPr="00C54701">
              <w:rPr>
                <w:rFonts w:ascii="Times New Roman" w:hAnsi="Times New Roman"/>
                <w:sz w:val="20"/>
                <w:szCs w:val="20"/>
              </w:rPr>
              <w:t>=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>97)’</w:t>
            </w:r>
            <w:r w:rsidR="00283C43" w:rsidRPr="00C54701">
              <w:rPr>
                <w:rFonts w:ascii="Times New Roman" w:hAnsi="Times New Roman"/>
                <w:sz w:val="20"/>
                <w:szCs w:val="20"/>
              </w:rPr>
              <w:t>.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 xml:space="preserve"> p. 268. However</w:t>
            </w:r>
            <w:r w:rsidR="00124AC8" w:rsidRPr="00C54701">
              <w:rPr>
                <w:rFonts w:ascii="Times New Roman" w:hAnsi="Times New Roman"/>
                <w:sz w:val="20"/>
                <w:szCs w:val="20"/>
              </w:rPr>
              <w:t>,</w:t>
            </w:r>
            <w:r w:rsidRPr="00C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7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randomisation method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F1BED69" w14:textId="2D0AEC13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B5A4E53" w14:textId="170F5951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E4B85BC" w14:textId="42E225AF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2563125" w14:textId="78CC7952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nclear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FA84CF4" w14:textId="57573B52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A0AE2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69D17CB" w14:textId="488B8E6F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458F04B4" w14:textId="77777777" w:rsidTr="00026C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335FF31" w14:textId="77777777" w:rsidR="00AD5962" w:rsidRPr="00C0149D" w:rsidRDefault="00AD596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Skarstrand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(2009)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7BA6AC49" w14:textId="2CE40367" w:rsidR="00AD5962" w:rsidRPr="003C68A9" w:rsidRDefault="00AD5962" w:rsidP="007E5C1C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D6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7D6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E5C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7D6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‘schools were stratified on socio-economic position: 12 in high-income areas and ten in</w:t>
            </w:r>
          </w:p>
          <w:p w14:paraId="442C6A2D" w14:textId="77777777" w:rsidR="00AD5962" w:rsidRPr="003C68A9" w:rsidRDefault="00AD5962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low-income areas. Half of the schools in the high-income areas, and half of the schools in</w:t>
            </w:r>
          </w:p>
          <w:p w14:paraId="398BD2D8" w14:textId="1B6EB394" w:rsidR="00AD5962" w:rsidRPr="00397BBE" w:rsidRDefault="00AD5962" w:rsidP="0062703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the low-income areas were randomly assigned to form the intervention group or the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control group’. p. </w:t>
            </w:r>
            <w:r w:rsidRPr="00B52946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386. Specific r</w:t>
            </w: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andomisation method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4246C5B" w14:textId="42636068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283C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E5926B4" w14:textId="79765563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E5C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80CFDF0" w14:textId="4BB6AE7A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576B3BD" w14:textId="3A504D5F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7E5C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supporting data n/r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D9FB14" w14:textId="35B50131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E5C1C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 judgement of low or high risk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682088F" w14:textId="7BFB79CE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  <w:tr w:rsidR="00AD5962" w:rsidRPr="00C0149D" w14:paraId="726A8332" w14:textId="77777777" w:rsidTr="0002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AB4546B" w14:textId="77777777" w:rsidR="00AD5962" w:rsidRPr="00C0149D" w:rsidRDefault="00AD5962" w:rsidP="008F79C2">
            <w:pPr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Winslow (2009)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A0178B1" w14:textId="468BA209" w:rsidR="00AD5962" w:rsidRPr="003C68A9" w:rsidRDefault="00AD5962" w:rsidP="007E5C1C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B74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EF2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AB3F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sk 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AB3F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  <w:r w:rsidR="00124A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AB3F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specific randomisation method n/r, beyond ‘</w:t>
            </w:r>
            <w:r w:rsidRPr="003C68A9">
              <w:rPr>
                <w:rFonts w:ascii="Times New Roman" w:hAnsi="Times New Roman"/>
                <w:color w:val="auto"/>
                <w:sz w:val="20"/>
                <w:szCs w:val="20"/>
              </w:rPr>
              <w:t>mothers were told</w:t>
            </w:r>
          </w:p>
          <w:p w14:paraId="457FD945" w14:textId="1A081426" w:rsidR="00AD5962" w:rsidRPr="003C68A9" w:rsidRDefault="00AD5962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 w:rsidRPr="003C68A9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that they would be randomly assigned to one of three program conditions’. p. 157</w:t>
            </w:r>
          </w:p>
          <w:p w14:paraId="13175D59" w14:textId="64AF33E5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77821AA" w14:textId="75D40C82" w:rsidR="00AD5962" w:rsidRPr="003C68A9" w:rsidRDefault="00AD5962" w:rsidP="007E5C1C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 xml:space="preserve">Risk </w:t>
            </w:r>
            <w:r w:rsidR="00283C43"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u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 w:eastAsia="en-GB"/>
              </w:rPr>
              <w:t>nclear</w:t>
            </w:r>
          </w:p>
          <w:p w14:paraId="0264D5F5" w14:textId="4E534B81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18A55FF" w14:textId="62F0BDE0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815F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188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19F43D1" w14:textId="48B134E2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5F9512A" w14:textId="51469B44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nclear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8AB807D" w14:textId="74BB3114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86B7F">
              <w:rPr>
                <w:rFonts w:ascii="Times New Roman" w:hAnsi="Times New Roman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hAnsi="Times New Roman"/>
                <w:sz w:val="20"/>
                <w:szCs w:val="20"/>
              </w:rPr>
              <w:t>u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 xml:space="preserve">nclear: </w:t>
            </w:r>
            <w:r w:rsidR="007E5C1C">
              <w:rPr>
                <w:rFonts w:ascii="Times New Roman" w:hAnsi="Times New Roman"/>
                <w:sz w:val="20"/>
                <w:szCs w:val="20"/>
              </w:rPr>
              <w:t>i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nsufficient information to permit</w:t>
            </w:r>
            <w:r w:rsidR="008A56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B7F">
              <w:rPr>
                <w:rFonts w:ascii="Times New Roman" w:hAnsi="Times New Roman"/>
                <w:sz w:val="20"/>
                <w:szCs w:val="20"/>
              </w:rPr>
              <w:t>judgement of low or high risk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66D1926" w14:textId="4C56BD7B" w:rsidR="00AD5962" w:rsidRPr="00397BBE" w:rsidRDefault="00AD5962" w:rsidP="0062703C">
            <w:pPr>
              <w:adjustRightInd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Risk </w:t>
            </w:r>
            <w:r w:rsidR="00E0300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u</w:t>
            </w:r>
            <w:r w:rsidRPr="00A6345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nclear</w:t>
            </w:r>
          </w:p>
        </w:tc>
      </w:tr>
    </w:tbl>
    <w:p w14:paraId="115E28CE" w14:textId="6B4A0455" w:rsidR="00374329" w:rsidRPr="006656E8" w:rsidRDefault="006656E8" w:rsidP="00096A0A">
      <w:pPr>
        <w:ind w:firstLine="0"/>
        <w:rPr>
          <w:rFonts w:ascii="Times New Roman" w:hAnsi="Times New Roman"/>
          <w:sz w:val="24"/>
          <w:szCs w:val="24"/>
        </w:rPr>
      </w:pPr>
      <w:r w:rsidRPr="006656E8">
        <w:rPr>
          <w:rFonts w:ascii="Times New Roman" w:hAnsi="Times New Roman"/>
          <w:sz w:val="24"/>
          <w:szCs w:val="24"/>
        </w:rPr>
        <w:t>Notes:</w:t>
      </w:r>
    </w:p>
    <w:p w14:paraId="501C5DDF" w14:textId="4017E5B4" w:rsidR="006656E8" w:rsidRPr="006656E8" w:rsidRDefault="006656E8" w:rsidP="00096A0A">
      <w:pPr>
        <w:ind w:firstLine="0"/>
        <w:rPr>
          <w:rFonts w:ascii="Times New Roman" w:hAnsi="Times New Roman"/>
          <w:sz w:val="24"/>
          <w:szCs w:val="24"/>
        </w:rPr>
      </w:pPr>
      <w:r w:rsidRPr="006656E8">
        <w:rPr>
          <w:rFonts w:ascii="Times New Roman" w:hAnsi="Times New Roman"/>
          <w:sz w:val="24"/>
          <w:szCs w:val="24"/>
        </w:rPr>
        <w:lastRenderedPageBreak/>
        <w:t>n/r= not reported</w:t>
      </w:r>
    </w:p>
    <w:p w14:paraId="2A9548CC" w14:textId="77777777" w:rsidR="00374329" w:rsidRPr="00096A0A" w:rsidRDefault="00374329" w:rsidP="00096A0A">
      <w:pPr>
        <w:ind w:firstLine="0"/>
        <w:rPr>
          <w:rFonts w:ascii="Times New Roman" w:hAnsi="Times New Roman"/>
          <w:i/>
          <w:sz w:val="24"/>
          <w:szCs w:val="24"/>
        </w:rPr>
      </w:pPr>
    </w:p>
    <w:sectPr w:rsidR="00374329" w:rsidRPr="00096A0A" w:rsidSect="00374329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8055F" w16cid:durableId="1E1E0ECD"/>
  <w16cid:commentId w16cid:paraId="778CD48A" w16cid:durableId="1E1E0C54"/>
  <w16cid:commentId w16cid:paraId="5DA82351" w16cid:durableId="1E1E0C9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7BA9" w14:textId="77777777" w:rsidR="00145E3B" w:rsidRDefault="00145E3B" w:rsidP="00374329">
      <w:pPr>
        <w:spacing w:after="0" w:line="240" w:lineRule="auto"/>
      </w:pPr>
      <w:r>
        <w:separator/>
      </w:r>
    </w:p>
  </w:endnote>
  <w:endnote w:type="continuationSeparator" w:id="0">
    <w:p w14:paraId="66D5CE25" w14:textId="77777777" w:rsidR="00145E3B" w:rsidRDefault="00145E3B" w:rsidP="0037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5650" w14:textId="77777777" w:rsidR="00F326AA" w:rsidRDefault="00F326AA" w:rsidP="008F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C7410" w14:textId="77777777" w:rsidR="00F326AA" w:rsidRDefault="00F326AA" w:rsidP="00374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E1C5" w14:textId="77777777" w:rsidR="00F326AA" w:rsidRDefault="00F326AA" w:rsidP="008F79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7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D7575" w14:textId="77777777" w:rsidR="00F326AA" w:rsidRDefault="00F326AA" w:rsidP="00374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4EC1" w14:textId="77777777" w:rsidR="00145E3B" w:rsidRDefault="00145E3B" w:rsidP="00374329">
      <w:pPr>
        <w:spacing w:after="0" w:line="240" w:lineRule="auto"/>
      </w:pPr>
      <w:r>
        <w:separator/>
      </w:r>
    </w:p>
  </w:footnote>
  <w:footnote w:type="continuationSeparator" w:id="0">
    <w:p w14:paraId="4ABFBA2A" w14:textId="77777777" w:rsidR="00145E3B" w:rsidRDefault="00145E3B" w:rsidP="0037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0"/>
    <w:rsid w:val="000022D0"/>
    <w:rsid w:val="0000294C"/>
    <w:rsid w:val="00024E09"/>
    <w:rsid w:val="00026C0F"/>
    <w:rsid w:val="0003283B"/>
    <w:rsid w:val="00045C4A"/>
    <w:rsid w:val="00047CFA"/>
    <w:rsid w:val="00065F99"/>
    <w:rsid w:val="0006762B"/>
    <w:rsid w:val="0006768C"/>
    <w:rsid w:val="000753C4"/>
    <w:rsid w:val="00076931"/>
    <w:rsid w:val="00084B22"/>
    <w:rsid w:val="00096A0A"/>
    <w:rsid w:val="000B072C"/>
    <w:rsid w:val="000D78EB"/>
    <w:rsid w:val="000D7E47"/>
    <w:rsid w:val="000E51EC"/>
    <w:rsid w:val="000E6BA5"/>
    <w:rsid w:val="000F35E6"/>
    <w:rsid w:val="00104B85"/>
    <w:rsid w:val="00120E83"/>
    <w:rsid w:val="00124AC8"/>
    <w:rsid w:val="00145E3B"/>
    <w:rsid w:val="00154D6E"/>
    <w:rsid w:val="00155CCD"/>
    <w:rsid w:val="00157161"/>
    <w:rsid w:val="0016175E"/>
    <w:rsid w:val="00164026"/>
    <w:rsid w:val="00165D78"/>
    <w:rsid w:val="00182DC3"/>
    <w:rsid w:val="0018427E"/>
    <w:rsid w:val="001962CA"/>
    <w:rsid w:val="001A367F"/>
    <w:rsid w:val="001C7EE8"/>
    <w:rsid w:val="001D761A"/>
    <w:rsid w:val="001F1F70"/>
    <w:rsid w:val="001F4620"/>
    <w:rsid w:val="001F60CB"/>
    <w:rsid w:val="00205FAA"/>
    <w:rsid w:val="00210691"/>
    <w:rsid w:val="002216AA"/>
    <w:rsid w:val="00224032"/>
    <w:rsid w:val="0022635C"/>
    <w:rsid w:val="002373EC"/>
    <w:rsid w:val="0024414E"/>
    <w:rsid w:val="00255748"/>
    <w:rsid w:val="002609CD"/>
    <w:rsid w:val="00265EF0"/>
    <w:rsid w:val="00275383"/>
    <w:rsid w:val="00276494"/>
    <w:rsid w:val="00283C43"/>
    <w:rsid w:val="002A5458"/>
    <w:rsid w:val="002A7553"/>
    <w:rsid w:val="002B07B1"/>
    <w:rsid w:val="002B27BC"/>
    <w:rsid w:val="002B7472"/>
    <w:rsid w:val="002E01B6"/>
    <w:rsid w:val="002E27CD"/>
    <w:rsid w:val="002F56B5"/>
    <w:rsid w:val="00303424"/>
    <w:rsid w:val="0030537F"/>
    <w:rsid w:val="00310A7F"/>
    <w:rsid w:val="003158E9"/>
    <w:rsid w:val="00326B8C"/>
    <w:rsid w:val="00335AF4"/>
    <w:rsid w:val="003360AE"/>
    <w:rsid w:val="003442CA"/>
    <w:rsid w:val="00362929"/>
    <w:rsid w:val="00362CE0"/>
    <w:rsid w:val="00362F21"/>
    <w:rsid w:val="003640CF"/>
    <w:rsid w:val="003641D7"/>
    <w:rsid w:val="00366F88"/>
    <w:rsid w:val="00374329"/>
    <w:rsid w:val="0037515B"/>
    <w:rsid w:val="003759B5"/>
    <w:rsid w:val="00385936"/>
    <w:rsid w:val="00397BBE"/>
    <w:rsid w:val="003B446E"/>
    <w:rsid w:val="003B6012"/>
    <w:rsid w:val="003B629A"/>
    <w:rsid w:val="003C2EAA"/>
    <w:rsid w:val="003C68A9"/>
    <w:rsid w:val="003D38E2"/>
    <w:rsid w:val="003D5760"/>
    <w:rsid w:val="003D7A44"/>
    <w:rsid w:val="003E0DF8"/>
    <w:rsid w:val="003E275E"/>
    <w:rsid w:val="003E2F6B"/>
    <w:rsid w:val="003E65A2"/>
    <w:rsid w:val="00403D72"/>
    <w:rsid w:val="004051FB"/>
    <w:rsid w:val="0040705C"/>
    <w:rsid w:val="00414AC3"/>
    <w:rsid w:val="0042733D"/>
    <w:rsid w:val="00441A5A"/>
    <w:rsid w:val="00473297"/>
    <w:rsid w:val="00476032"/>
    <w:rsid w:val="0048117E"/>
    <w:rsid w:val="00485408"/>
    <w:rsid w:val="004858A4"/>
    <w:rsid w:val="004907B9"/>
    <w:rsid w:val="00492290"/>
    <w:rsid w:val="0049366F"/>
    <w:rsid w:val="004A2BD2"/>
    <w:rsid w:val="004C1808"/>
    <w:rsid w:val="004D46C9"/>
    <w:rsid w:val="004E0732"/>
    <w:rsid w:val="004E12AE"/>
    <w:rsid w:val="004E4440"/>
    <w:rsid w:val="004E52A7"/>
    <w:rsid w:val="004F2A21"/>
    <w:rsid w:val="005044F6"/>
    <w:rsid w:val="00515C0E"/>
    <w:rsid w:val="00536651"/>
    <w:rsid w:val="00543137"/>
    <w:rsid w:val="0055614C"/>
    <w:rsid w:val="00564590"/>
    <w:rsid w:val="00581402"/>
    <w:rsid w:val="00584515"/>
    <w:rsid w:val="00584989"/>
    <w:rsid w:val="005A33E1"/>
    <w:rsid w:val="005B20FE"/>
    <w:rsid w:val="005B6DA8"/>
    <w:rsid w:val="005C2E4F"/>
    <w:rsid w:val="005C3275"/>
    <w:rsid w:val="005C6738"/>
    <w:rsid w:val="005D4022"/>
    <w:rsid w:val="005E20B5"/>
    <w:rsid w:val="005F5750"/>
    <w:rsid w:val="0060299C"/>
    <w:rsid w:val="00607457"/>
    <w:rsid w:val="00614132"/>
    <w:rsid w:val="00617907"/>
    <w:rsid w:val="006228E7"/>
    <w:rsid w:val="0062304A"/>
    <w:rsid w:val="00625BE3"/>
    <w:rsid w:val="0062645B"/>
    <w:rsid w:val="0062703C"/>
    <w:rsid w:val="00631C0A"/>
    <w:rsid w:val="006376D7"/>
    <w:rsid w:val="006407AE"/>
    <w:rsid w:val="00643ABA"/>
    <w:rsid w:val="006458A6"/>
    <w:rsid w:val="00652857"/>
    <w:rsid w:val="006630C3"/>
    <w:rsid w:val="006656E8"/>
    <w:rsid w:val="00672875"/>
    <w:rsid w:val="006777A3"/>
    <w:rsid w:val="00681802"/>
    <w:rsid w:val="00684ED2"/>
    <w:rsid w:val="006A5343"/>
    <w:rsid w:val="006B403B"/>
    <w:rsid w:val="006C7062"/>
    <w:rsid w:val="006D7B49"/>
    <w:rsid w:val="006E06B8"/>
    <w:rsid w:val="006E7A63"/>
    <w:rsid w:val="006F62E5"/>
    <w:rsid w:val="006F66EA"/>
    <w:rsid w:val="0070401A"/>
    <w:rsid w:val="00705AC5"/>
    <w:rsid w:val="007072E7"/>
    <w:rsid w:val="00707D41"/>
    <w:rsid w:val="00710794"/>
    <w:rsid w:val="007127F9"/>
    <w:rsid w:val="00720270"/>
    <w:rsid w:val="0072068F"/>
    <w:rsid w:val="00735870"/>
    <w:rsid w:val="00742838"/>
    <w:rsid w:val="00744754"/>
    <w:rsid w:val="00746BE3"/>
    <w:rsid w:val="00757BD2"/>
    <w:rsid w:val="00767743"/>
    <w:rsid w:val="0077414C"/>
    <w:rsid w:val="00774936"/>
    <w:rsid w:val="007A0003"/>
    <w:rsid w:val="007A0AE2"/>
    <w:rsid w:val="007A2EDE"/>
    <w:rsid w:val="007A75C7"/>
    <w:rsid w:val="007B4D86"/>
    <w:rsid w:val="007B5D49"/>
    <w:rsid w:val="007C0F81"/>
    <w:rsid w:val="007C41AF"/>
    <w:rsid w:val="007D127D"/>
    <w:rsid w:val="007D492B"/>
    <w:rsid w:val="007D6BA1"/>
    <w:rsid w:val="007E1A3E"/>
    <w:rsid w:val="007E2E83"/>
    <w:rsid w:val="007E5C1C"/>
    <w:rsid w:val="007F3051"/>
    <w:rsid w:val="007F4291"/>
    <w:rsid w:val="007F7DE7"/>
    <w:rsid w:val="00801977"/>
    <w:rsid w:val="00804DBA"/>
    <w:rsid w:val="0081144F"/>
    <w:rsid w:val="00811FA0"/>
    <w:rsid w:val="0081281E"/>
    <w:rsid w:val="00815F2E"/>
    <w:rsid w:val="00821689"/>
    <w:rsid w:val="00825871"/>
    <w:rsid w:val="008279F9"/>
    <w:rsid w:val="00827EF5"/>
    <w:rsid w:val="008323F7"/>
    <w:rsid w:val="00836625"/>
    <w:rsid w:val="00836935"/>
    <w:rsid w:val="00843B37"/>
    <w:rsid w:val="008475EF"/>
    <w:rsid w:val="00856438"/>
    <w:rsid w:val="00862259"/>
    <w:rsid w:val="0086259C"/>
    <w:rsid w:val="008652AB"/>
    <w:rsid w:val="00865CE6"/>
    <w:rsid w:val="00872AD7"/>
    <w:rsid w:val="00874D3E"/>
    <w:rsid w:val="0089479D"/>
    <w:rsid w:val="0089636C"/>
    <w:rsid w:val="008A5671"/>
    <w:rsid w:val="008B5F88"/>
    <w:rsid w:val="008E2E30"/>
    <w:rsid w:val="008F2F0B"/>
    <w:rsid w:val="008F354F"/>
    <w:rsid w:val="008F79C2"/>
    <w:rsid w:val="009015E1"/>
    <w:rsid w:val="00911C94"/>
    <w:rsid w:val="00914535"/>
    <w:rsid w:val="00915F2A"/>
    <w:rsid w:val="00931E57"/>
    <w:rsid w:val="00932F64"/>
    <w:rsid w:val="009336A1"/>
    <w:rsid w:val="009375E1"/>
    <w:rsid w:val="0095034D"/>
    <w:rsid w:val="00956952"/>
    <w:rsid w:val="00964A3E"/>
    <w:rsid w:val="009671D7"/>
    <w:rsid w:val="00973384"/>
    <w:rsid w:val="00973D6C"/>
    <w:rsid w:val="0098489C"/>
    <w:rsid w:val="00990B45"/>
    <w:rsid w:val="0099458E"/>
    <w:rsid w:val="009A3019"/>
    <w:rsid w:val="009A4C5D"/>
    <w:rsid w:val="009B515F"/>
    <w:rsid w:val="009E63C0"/>
    <w:rsid w:val="00A02983"/>
    <w:rsid w:val="00A05F48"/>
    <w:rsid w:val="00A12A50"/>
    <w:rsid w:val="00A16D3F"/>
    <w:rsid w:val="00A34C47"/>
    <w:rsid w:val="00A40912"/>
    <w:rsid w:val="00A43E11"/>
    <w:rsid w:val="00A51D69"/>
    <w:rsid w:val="00A52361"/>
    <w:rsid w:val="00A64FCC"/>
    <w:rsid w:val="00A747FB"/>
    <w:rsid w:val="00A80AFC"/>
    <w:rsid w:val="00A825A2"/>
    <w:rsid w:val="00A83214"/>
    <w:rsid w:val="00A84BFD"/>
    <w:rsid w:val="00A87FDC"/>
    <w:rsid w:val="00A94ED2"/>
    <w:rsid w:val="00A953B0"/>
    <w:rsid w:val="00A961B4"/>
    <w:rsid w:val="00A97283"/>
    <w:rsid w:val="00AA2A85"/>
    <w:rsid w:val="00AA45E1"/>
    <w:rsid w:val="00AA6728"/>
    <w:rsid w:val="00AB3F3D"/>
    <w:rsid w:val="00AB6255"/>
    <w:rsid w:val="00AC6100"/>
    <w:rsid w:val="00AD295B"/>
    <w:rsid w:val="00AD5962"/>
    <w:rsid w:val="00AE10B8"/>
    <w:rsid w:val="00AE1245"/>
    <w:rsid w:val="00AE2E03"/>
    <w:rsid w:val="00B0428B"/>
    <w:rsid w:val="00B16536"/>
    <w:rsid w:val="00B25D41"/>
    <w:rsid w:val="00B25F27"/>
    <w:rsid w:val="00B305FC"/>
    <w:rsid w:val="00B35499"/>
    <w:rsid w:val="00B43E51"/>
    <w:rsid w:val="00B51910"/>
    <w:rsid w:val="00B52946"/>
    <w:rsid w:val="00B54DA1"/>
    <w:rsid w:val="00B601E2"/>
    <w:rsid w:val="00B63206"/>
    <w:rsid w:val="00B7068B"/>
    <w:rsid w:val="00B72456"/>
    <w:rsid w:val="00B842F9"/>
    <w:rsid w:val="00B9767F"/>
    <w:rsid w:val="00BA2F88"/>
    <w:rsid w:val="00BA3E48"/>
    <w:rsid w:val="00BB0E82"/>
    <w:rsid w:val="00BB5CD5"/>
    <w:rsid w:val="00BC15DD"/>
    <w:rsid w:val="00BD2114"/>
    <w:rsid w:val="00BE55B7"/>
    <w:rsid w:val="00BF04C0"/>
    <w:rsid w:val="00BF25A4"/>
    <w:rsid w:val="00BF485A"/>
    <w:rsid w:val="00C21AA7"/>
    <w:rsid w:val="00C26A0F"/>
    <w:rsid w:val="00C27BE7"/>
    <w:rsid w:val="00C42504"/>
    <w:rsid w:val="00C4426B"/>
    <w:rsid w:val="00C5278A"/>
    <w:rsid w:val="00C53B0D"/>
    <w:rsid w:val="00C54701"/>
    <w:rsid w:val="00C57078"/>
    <w:rsid w:val="00C804CB"/>
    <w:rsid w:val="00C83A9E"/>
    <w:rsid w:val="00C90464"/>
    <w:rsid w:val="00CB340F"/>
    <w:rsid w:val="00CB6460"/>
    <w:rsid w:val="00CB747A"/>
    <w:rsid w:val="00CC15EE"/>
    <w:rsid w:val="00CC78A9"/>
    <w:rsid w:val="00CE5656"/>
    <w:rsid w:val="00CF5A55"/>
    <w:rsid w:val="00D12A91"/>
    <w:rsid w:val="00D1353C"/>
    <w:rsid w:val="00D17D42"/>
    <w:rsid w:val="00D31FEF"/>
    <w:rsid w:val="00D400D1"/>
    <w:rsid w:val="00D42CD3"/>
    <w:rsid w:val="00D502F8"/>
    <w:rsid w:val="00D56D58"/>
    <w:rsid w:val="00D61130"/>
    <w:rsid w:val="00D63AA8"/>
    <w:rsid w:val="00D64E22"/>
    <w:rsid w:val="00D70CD9"/>
    <w:rsid w:val="00D82EDC"/>
    <w:rsid w:val="00D912DD"/>
    <w:rsid w:val="00DA57AD"/>
    <w:rsid w:val="00DB1C79"/>
    <w:rsid w:val="00DB7398"/>
    <w:rsid w:val="00DC3EAA"/>
    <w:rsid w:val="00DC538C"/>
    <w:rsid w:val="00DC7C1E"/>
    <w:rsid w:val="00DD552A"/>
    <w:rsid w:val="00DE03AD"/>
    <w:rsid w:val="00DE0B28"/>
    <w:rsid w:val="00DE36AF"/>
    <w:rsid w:val="00DE491D"/>
    <w:rsid w:val="00DF40D9"/>
    <w:rsid w:val="00E03005"/>
    <w:rsid w:val="00E04F72"/>
    <w:rsid w:val="00E079E5"/>
    <w:rsid w:val="00E120B1"/>
    <w:rsid w:val="00E12392"/>
    <w:rsid w:val="00E14D52"/>
    <w:rsid w:val="00E16C88"/>
    <w:rsid w:val="00E2117D"/>
    <w:rsid w:val="00E21C90"/>
    <w:rsid w:val="00E342CF"/>
    <w:rsid w:val="00E42152"/>
    <w:rsid w:val="00E42A20"/>
    <w:rsid w:val="00E46081"/>
    <w:rsid w:val="00E472F6"/>
    <w:rsid w:val="00E52428"/>
    <w:rsid w:val="00E5566C"/>
    <w:rsid w:val="00E573DB"/>
    <w:rsid w:val="00E6713D"/>
    <w:rsid w:val="00E67698"/>
    <w:rsid w:val="00E72C54"/>
    <w:rsid w:val="00E82FCE"/>
    <w:rsid w:val="00E91588"/>
    <w:rsid w:val="00E97BF0"/>
    <w:rsid w:val="00EA587F"/>
    <w:rsid w:val="00EB2172"/>
    <w:rsid w:val="00EB26D5"/>
    <w:rsid w:val="00EC3051"/>
    <w:rsid w:val="00EC4014"/>
    <w:rsid w:val="00EE0B11"/>
    <w:rsid w:val="00EF2628"/>
    <w:rsid w:val="00EF7933"/>
    <w:rsid w:val="00F1097B"/>
    <w:rsid w:val="00F14B28"/>
    <w:rsid w:val="00F15390"/>
    <w:rsid w:val="00F239C9"/>
    <w:rsid w:val="00F241CE"/>
    <w:rsid w:val="00F326AA"/>
    <w:rsid w:val="00F34863"/>
    <w:rsid w:val="00F41F10"/>
    <w:rsid w:val="00F56869"/>
    <w:rsid w:val="00F6531E"/>
    <w:rsid w:val="00F65F52"/>
    <w:rsid w:val="00F67C8C"/>
    <w:rsid w:val="00F7688E"/>
    <w:rsid w:val="00F84070"/>
    <w:rsid w:val="00F848F9"/>
    <w:rsid w:val="00F86CAD"/>
    <w:rsid w:val="00FA1E85"/>
    <w:rsid w:val="00FC36AE"/>
    <w:rsid w:val="00FC452C"/>
    <w:rsid w:val="00FD2CDD"/>
    <w:rsid w:val="00FD72DB"/>
    <w:rsid w:val="00FE0D5F"/>
    <w:rsid w:val="00FE6920"/>
    <w:rsid w:val="00FF2D6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40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68F"/>
    <w:pPr>
      <w:spacing w:after="40" w:line="480" w:lineRule="auto"/>
      <w:ind w:firstLine="720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100"/>
    <w:pPr>
      <w:keepNext/>
      <w:keepLines/>
      <w:spacing w:before="200" w:after="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100"/>
    <w:rPr>
      <w:rFonts w:ascii="Cambria" w:eastAsia="Times New Roman" w:hAnsi="Cambria" w:cs="Times New Roman"/>
      <w:b/>
      <w:bCs/>
      <w:color w:val="4F81BD"/>
      <w:sz w:val="22"/>
      <w:szCs w:val="22"/>
      <w:lang w:val="en-AU"/>
    </w:rPr>
  </w:style>
  <w:style w:type="table" w:styleId="ListTable2">
    <w:name w:val="List Table 2"/>
    <w:basedOn w:val="TableNormal"/>
    <w:uiPriority w:val="47"/>
    <w:rsid w:val="00374329"/>
    <w:rPr>
      <w:rFonts w:eastAsiaTheme="minorEastAsia"/>
      <w:sz w:val="22"/>
      <w:szCs w:val="22"/>
      <w:lang w:val="en-AU" w:eastAsia="zh-C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37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29"/>
    <w:rPr>
      <w:rFonts w:ascii="Calibri" w:eastAsia="Calibri" w:hAnsi="Calibri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74329"/>
  </w:style>
  <w:style w:type="character" w:styleId="Hyperlink">
    <w:name w:val="Hyperlink"/>
    <w:basedOn w:val="DefaultParagraphFont"/>
    <w:uiPriority w:val="99"/>
    <w:unhideWhenUsed/>
    <w:rsid w:val="00265E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E2"/>
    <w:rPr>
      <w:rFonts w:ascii="Times New Roman" w:eastAsia="Calibri" w:hAnsi="Times New Roman" w:cs="Times New Roman"/>
      <w:sz w:val="18"/>
      <w:szCs w:val="18"/>
      <w:lang w:val="en-AU"/>
    </w:rPr>
  </w:style>
  <w:style w:type="paragraph" w:customStyle="1" w:styleId="p1">
    <w:name w:val="p1"/>
    <w:basedOn w:val="Normal"/>
    <w:rsid w:val="004E4440"/>
    <w:pPr>
      <w:spacing w:after="0" w:line="240" w:lineRule="auto"/>
      <w:ind w:firstLine="0"/>
    </w:pPr>
    <w:rPr>
      <w:rFonts w:ascii="Times" w:eastAsiaTheme="minorHAnsi" w:hAnsi="Times"/>
      <w:color w:val="181818"/>
      <w:sz w:val="15"/>
      <w:szCs w:val="15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0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FC"/>
    <w:rPr>
      <w:rFonts w:ascii="Calibri" w:eastAsia="Calibri" w:hAnsi="Calibri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FC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AD5962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1642</Words>
  <Characters>9365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Jane Finan</dc:creator>
  <cp:keywords/>
  <dc:description/>
  <cp:lastModifiedBy>Samantha Jane Finan</cp:lastModifiedBy>
  <cp:revision>2</cp:revision>
  <dcterms:created xsi:type="dcterms:W3CDTF">2018-02-05T01:45:00Z</dcterms:created>
  <dcterms:modified xsi:type="dcterms:W3CDTF">2018-02-05T01:45:00Z</dcterms:modified>
</cp:coreProperties>
</file>