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DAFF" w14:textId="77777777" w:rsidR="00445D2F" w:rsidRDefault="00445D2F" w:rsidP="00445D2F">
      <w:pPr>
        <w:spacing w:line="240" w:lineRule="auto"/>
        <w:rPr>
          <w:rFonts w:ascii="Times" w:hAnsi="Times" w:cs="Times"/>
          <w:b/>
          <w:sz w:val="32"/>
          <w:szCs w:val="32"/>
        </w:rPr>
      </w:pPr>
      <w:r>
        <w:rPr>
          <w:rFonts w:ascii="Times" w:hAnsi="Times" w:cs="Times"/>
          <w:b/>
          <w:sz w:val="32"/>
          <w:szCs w:val="32"/>
        </w:rPr>
        <w:t>Global opportunities for mariculture development to promote human nutrition</w:t>
      </w:r>
    </w:p>
    <w:p w14:paraId="5C15367C" w14:textId="77777777" w:rsidR="00445D2F" w:rsidRDefault="00445D2F" w:rsidP="00445D2F">
      <w:pPr>
        <w:spacing w:line="240" w:lineRule="auto"/>
        <w:rPr>
          <w:rFonts w:ascii="Times" w:hAnsi="Times" w:cs="Times"/>
          <w:sz w:val="24"/>
          <w:szCs w:val="24"/>
        </w:rPr>
      </w:pPr>
    </w:p>
    <w:p w14:paraId="0ECB7325" w14:textId="6FDAE37F" w:rsidR="00445D2F" w:rsidRDefault="00445D2F" w:rsidP="00445D2F">
      <w:pPr>
        <w:spacing w:line="360" w:lineRule="auto"/>
        <w:rPr>
          <w:rFonts w:ascii="Times" w:hAnsi="Times" w:cs="Times"/>
          <w:color w:val="auto"/>
          <w:sz w:val="24"/>
          <w:szCs w:val="24"/>
        </w:rPr>
      </w:pPr>
      <w:r>
        <w:rPr>
          <w:rFonts w:ascii="Times" w:hAnsi="Times" w:cs="Times"/>
          <w:color w:val="auto"/>
          <w:sz w:val="24"/>
          <w:szCs w:val="24"/>
        </w:rPr>
        <w:t>Owen R. Liu, Renato Molina, Margaret Wilson, Benjamin S. Halpern</w:t>
      </w:r>
    </w:p>
    <w:p w14:paraId="3B566E2E" w14:textId="77777777" w:rsidR="00445D2F" w:rsidRDefault="00445D2F" w:rsidP="00445D2F">
      <w:pPr>
        <w:spacing w:line="360" w:lineRule="auto"/>
        <w:rPr>
          <w:rFonts w:ascii="Times" w:hAnsi="Times" w:cs="Times"/>
          <w:b/>
          <w:sz w:val="24"/>
          <w:szCs w:val="24"/>
        </w:rPr>
      </w:pPr>
    </w:p>
    <w:p w14:paraId="5E325019" w14:textId="77777777" w:rsidR="001024B3" w:rsidRDefault="001024B3" w:rsidP="00445D2F">
      <w:pPr>
        <w:spacing w:line="240" w:lineRule="auto"/>
        <w:rPr>
          <w:rFonts w:ascii="Times" w:hAnsi="Times" w:cs="Times"/>
          <w:b/>
          <w:sz w:val="24"/>
          <w:szCs w:val="24"/>
        </w:rPr>
      </w:pPr>
      <w:r w:rsidRPr="0060162F">
        <w:rPr>
          <w:rFonts w:ascii="Times" w:hAnsi="Times" w:cs="Times"/>
          <w:b/>
          <w:sz w:val="24"/>
          <w:szCs w:val="24"/>
        </w:rPr>
        <w:t>APPENDIX</w:t>
      </w:r>
    </w:p>
    <w:p w14:paraId="424F9A43" w14:textId="77777777" w:rsidR="00445D2F" w:rsidRPr="0060162F" w:rsidRDefault="00445D2F" w:rsidP="00445D2F">
      <w:pPr>
        <w:rPr>
          <w:rFonts w:ascii="Times" w:hAnsi="Times" w:cs="Times"/>
          <w:b/>
          <w:sz w:val="24"/>
          <w:szCs w:val="24"/>
        </w:rPr>
      </w:pPr>
    </w:p>
    <w:p w14:paraId="4B37C76B" w14:textId="4A35110A" w:rsidR="001024B3" w:rsidRDefault="00445D2F" w:rsidP="00445D2F">
      <w:pPr>
        <w:rPr>
          <w:rFonts w:ascii="Times" w:hAnsi="Times" w:cs="Times"/>
          <w:sz w:val="24"/>
          <w:szCs w:val="24"/>
        </w:rPr>
      </w:pPr>
      <w:r>
        <w:rPr>
          <w:rFonts w:ascii="Times" w:hAnsi="Times" w:cs="Times"/>
          <w:sz w:val="24"/>
          <w:szCs w:val="24"/>
        </w:rPr>
        <w:t>As part of our global analysis of mariculture opportunity, we performed several extensions and sensitivity analyses to test the robustness of our results. The findings of these additional analyses are introduced in the main text, but are more fully explored here, organized into three main sections: cross-sectional limitations, seafood reliance vs. preference, and sensitivity analyses.</w:t>
      </w:r>
    </w:p>
    <w:p w14:paraId="7DCDBBE4" w14:textId="77777777" w:rsidR="00445D2F" w:rsidRPr="00445D2F" w:rsidRDefault="00445D2F" w:rsidP="001024B3">
      <w:pPr>
        <w:spacing w:line="360" w:lineRule="auto"/>
        <w:rPr>
          <w:rFonts w:ascii="Times" w:hAnsi="Times" w:cs="Times"/>
          <w:sz w:val="24"/>
          <w:szCs w:val="24"/>
        </w:rPr>
      </w:pPr>
    </w:p>
    <w:p w14:paraId="35EA22C6" w14:textId="77777777" w:rsidR="001024B3" w:rsidRPr="0060162F" w:rsidRDefault="001024B3" w:rsidP="001024B3">
      <w:pPr>
        <w:spacing w:line="360" w:lineRule="auto"/>
        <w:rPr>
          <w:rFonts w:ascii="Times" w:hAnsi="Times" w:cs="Times"/>
          <w:b/>
          <w:i/>
          <w:sz w:val="24"/>
          <w:szCs w:val="24"/>
        </w:rPr>
      </w:pPr>
      <w:r w:rsidRPr="0060162F">
        <w:rPr>
          <w:rFonts w:ascii="Times" w:hAnsi="Times" w:cs="Times"/>
          <w:b/>
          <w:i/>
          <w:sz w:val="24"/>
          <w:szCs w:val="24"/>
        </w:rPr>
        <w:t>Cross-sectional limitations</w:t>
      </w:r>
    </w:p>
    <w:p w14:paraId="7244C3AB" w14:textId="6DD06E93" w:rsidR="00C527F9" w:rsidRPr="0060162F" w:rsidRDefault="001024B3" w:rsidP="001024B3">
      <w:pPr>
        <w:rPr>
          <w:rFonts w:ascii="Times" w:hAnsi="Times" w:cs="Times"/>
          <w:sz w:val="24"/>
          <w:szCs w:val="24"/>
        </w:rPr>
      </w:pPr>
      <w:r w:rsidRPr="0060162F">
        <w:rPr>
          <w:rFonts w:ascii="Times" w:hAnsi="Times" w:cs="Times"/>
          <w:sz w:val="24"/>
          <w:szCs w:val="24"/>
        </w:rPr>
        <w:t>One of the main limi</w:t>
      </w:r>
      <w:r w:rsidR="00927F2C" w:rsidRPr="0060162F">
        <w:rPr>
          <w:rFonts w:ascii="Times" w:hAnsi="Times" w:cs="Times"/>
          <w:sz w:val="24"/>
          <w:szCs w:val="24"/>
        </w:rPr>
        <w:t xml:space="preserve">tations </w:t>
      </w:r>
      <w:r w:rsidR="00B06194" w:rsidRPr="0060162F">
        <w:rPr>
          <w:rFonts w:ascii="Times" w:hAnsi="Times" w:cs="Times"/>
          <w:sz w:val="24"/>
          <w:szCs w:val="24"/>
        </w:rPr>
        <w:t>in our</w:t>
      </w:r>
      <w:r w:rsidR="00C527F9" w:rsidRPr="0060162F">
        <w:rPr>
          <w:rFonts w:ascii="Times" w:hAnsi="Times" w:cs="Times"/>
          <w:sz w:val="24"/>
          <w:szCs w:val="24"/>
        </w:rPr>
        <w:t xml:space="preserve"> </w:t>
      </w:r>
      <w:r w:rsidR="00927F2C" w:rsidRPr="0060162F">
        <w:rPr>
          <w:rFonts w:ascii="Times" w:hAnsi="Times" w:cs="Times"/>
          <w:sz w:val="24"/>
          <w:szCs w:val="24"/>
        </w:rPr>
        <w:t xml:space="preserve">analysis is the fact that we are not able to </w:t>
      </w:r>
      <w:r w:rsidR="00502FA0">
        <w:rPr>
          <w:rFonts w:ascii="Times" w:hAnsi="Times" w:cs="Times"/>
          <w:sz w:val="24"/>
          <w:szCs w:val="24"/>
        </w:rPr>
        <w:t>deduce</w:t>
      </w:r>
      <w:r w:rsidR="00927F2C" w:rsidRPr="0060162F">
        <w:rPr>
          <w:rFonts w:ascii="Times" w:hAnsi="Times" w:cs="Times"/>
          <w:sz w:val="24"/>
          <w:szCs w:val="24"/>
        </w:rPr>
        <w:t xml:space="preserve"> trends that </w:t>
      </w:r>
      <w:r w:rsidR="00502FA0">
        <w:rPr>
          <w:rFonts w:ascii="Times" w:hAnsi="Times" w:cs="Times"/>
          <w:sz w:val="24"/>
          <w:szCs w:val="24"/>
        </w:rPr>
        <w:t>contributed to a country’s</w:t>
      </w:r>
      <w:r w:rsidR="00927F2C" w:rsidRPr="0060162F">
        <w:rPr>
          <w:rFonts w:ascii="Times" w:hAnsi="Times" w:cs="Times"/>
          <w:sz w:val="24"/>
          <w:szCs w:val="24"/>
        </w:rPr>
        <w:t xml:space="preserve"> </w:t>
      </w:r>
      <w:r w:rsidR="00C527F9" w:rsidRPr="0060162F">
        <w:rPr>
          <w:rFonts w:ascii="Times" w:hAnsi="Times" w:cs="Times"/>
          <w:sz w:val="24"/>
          <w:szCs w:val="24"/>
        </w:rPr>
        <w:t>relative</w:t>
      </w:r>
      <w:r w:rsidR="00927F2C" w:rsidRPr="0060162F">
        <w:rPr>
          <w:rFonts w:ascii="Times" w:hAnsi="Times" w:cs="Times"/>
          <w:sz w:val="24"/>
          <w:szCs w:val="24"/>
        </w:rPr>
        <w:t xml:space="preserve"> opportunity scores. </w:t>
      </w:r>
      <w:r w:rsidR="00C527F9" w:rsidRPr="0060162F">
        <w:rPr>
          <w:rFonts w:ascii="Times" w:hAnsi="Times" w:cs="Times"/>
          <w:sz w:val="24"/>
          <w:szCs w:val="24"/>
        </w:rPr>
        <w:t xml:space="preserve">This issue could be problematic because we could be measuring an effect that is </w:t>
      </w:r>
      <w:r w:rsidR="00502FA0">
        <w:rPr>
          <w:rFonts w:ascii="Times" w:hAnsi="Times" w:cs="Times"/>
          <w:sz w:val="24"/>
          <w:szCs w:val="24"/>
        </w:rPr>
        <w:t>a temporal anomaly</w:t>
      </w:r>
      <w:r w:rsidR="00C527F9" w:rsidRPr="0060162F">
        <w:rPr>
          <w:rFonts w:ascii="Times" w:hAnsi="Times" w:cs="Times"/>
          <w:sz w:val="24"/>
          <w:szCs w:val="24"/>
        </w:rPr>
        <w:t xml:space="preserve"> or </w:t>
      </w:r>
      <w:r w:rsidR="00502FA0">
        <w:rPr>
          <w:rFonts w:ascii="Times" w:hAnsi="Times" w:cs="Times"/>
          <w:sz w:val="24"/>
          <w:szCs w:val="24"/>
        </w:rPr>
        <w:t>overlooking a</w:t>
      </w:r>
      <w:r w:rsidR="00C527F9" w:rsidRPr="0060162F">
        <w:rPr>
          <w:rFonts w:ascii="Times" w:hAnsi="Times" w:cs="Times"/>
          <w:sz w:val="24"/>
          <w:szCs w:val="24"/>
        </w:rPr>
        <w:t xml:space="preserve"> trend suggesting that our assessment is expected to change significantly in the short term. Because of</w:t>
      </w:r>
      <w:r w:rsidR="00445D2F">
        <w:rPr>
          <w:rFonts w:ascii="Times" w:hAnsi="Times" w:cs="Times"/>
          <w:sz w:val="24"/>
          <w:szCs w:val="24"/>
        </w:rPr>
        <w:t xml:space="preserve"> the same</w:t>
      </w:r>
      <w:r w:rsidR="00C527F9" w:rsidRPr="0060162F">
        <w:rPr>
          <w:rFonts w:ascii="Times" w:hAnsi="Times" w:cs="Times"/>
          <w:sz w:val="24"/>
          <w:szCs w:val="24"/>
        </w:rPr>
        <w:t xml:space="preserve"> data limitation</w:t>
      </w:r>
      <w:r w:rsidR="00CE06ED" w:rsidRPr="0060162F">
        <w:rPr>
          <w:rFonts w:ascii="Times" w:hAnsi="Times" w:cs="Times"/>
          <w:sz w:val="24"/>
          <w:szCs w:val="24"/>
        </w:rPr>
        <w:t>s</w:t>
      </w:r>
      <w:r w:rsidR="00445D2F">
        <w:rPr>
          <w:rFonts w:ascii="Times" w:hAnsi="Times" w:cs="Times"/>
          <w:sz w:val="24"/>
          <w:szCs w:val="24"/>
        </w:rPr>
        <w:t xml:space="preserve"> which limited our main analysis to cross-sectional data in the first place</w:t>
      </w:r>
      <w:r w:rsidR="00C527F9" w:rsidRPr="0060162F">
        <w:rPr>
          <w:rFonts w:ascii="Times" w:hAnsi="Times" w:cs="Times"/>
          <w:sz w:val="24"/>
          <w:szCs w:val="24"/>
        </w:rPr>
        <w:t xml:space="preserve">, we </w:t>
      </w:r>
      <w:r w:rsidR="00445D2F">
        <w:rPr>
          <w:rFonts w:ascii="Times" w:hAnsi="Times" w:cs="Times"/>
          <w:sz w:val="24"/>
          <w:szCs w:val="24"/>
        </w:rPr>
        <w:t>are</w:t>
      </w:r>
      <w:r w:rsidR="00C527F9" w:rsidRPr="0060162F">
        <w:rPr>
          <w:rFonts w:ascii="Times" w:hAnsi="Times" w:cs="Times"/>
          <w:sz w:val="24"/>
          <w:szCs w:val="24"/>
        </w:rPr>
        <w:t xml:space="preserve"> only able to address this issue for the economic opportunity metrics. Nonetheless, if comprehensive panel data were to become available, a similar extension </w:t>
      </w:r>
      <w:r w:rsidR="00C30B98" w:rsidRPr="0060162F">
        <w:rPr>
          <w:rFonts w:ascii="Times" w:hAnsi="Times" w:cs="Times"/>
          <w:sz w:val="24"/>
          <w:szCs w:val="24"/>
        </w:rPr>
        <w:t xml:space="preserve">for </w:t>
      </w:r>
      <w:r w:rsidR="00CE06ED" w:rsidRPr="0060162F">
        <w:rPr>
          <w:rFonts w:ascii="Times" w:hAnsi="Times" w:cs="Times"/>
          <w:sz w:val="24"/>
          <w:szCs w:val="24"/>
        </w:rPr>
        <w:t xml:space="preserve">nutritional metrics </w:t>
      </w:r>
      <w:r w:rsidR="00445D2F">
        <w:rPr>
          <w:rFonts w:ascii="Times" w:hAnsi="Times" w:cs="Times"/>
          <w:sz w:val="24"/>
          <w:szCs w:val="24"/>
        </w:rPr>
        <w:t>could follow a similar methodology</w:t>
      </w:r>
      <w:r w:rsidR="00C527F9" w:rsidRPr="0060162F">
        <w:rPr>
          <w:rFonts w:ascii="Times" w:hAnsi="Times" w:cs="Times"/>
          <w:sz w:val="24"/>
          <w:szCs w:val="24"/>
        </w:rPr>
        <w:t>.</w:t>
      </w:r>
    </w:p>
    <w:p w14:paraId="53136ABC" w14:textId="77777777" w:rsidR="00C527F9" w:rsidRPr="0060162F" w:rsidRDefault="00C527F9" w:rsidP="001024B3">
      <w:pPr>
        <w:rPr>
          <w:rFonts w:ascii="Times" w:hAnsi="Times" w:cs="Times"/>
          <w:sz w:val="24"/>
          <w:szCs w:val="24"/>
        </w:rPr>
      </w:pPr>
    </w:p>
    <w:p w14:paraId="2AF292A1" w14:textId="7E194D5A" w:rsidR="00CE06ED" w:rsidRPr="0060162F" w:rsidRDefault="00CE06ED" w:rsidP="001024B3">
      <w:pPr>
        <w:rPr>
          <w:rFonts w:ascii="Times" w:hAnsi="Times" w:cs="Times"/>
          <w:sz w:val="24"/>
          <w:szCs w:val="24"/>
        </w:rPr>
      </w:pPr>
      <w:r w:rsidRPr="0060162F">
        <w:rPr>
          <w:rFonts w:ascii="Times" w:hAnsi="Times" w:cs="Times"/>
          <w:sz w:val="24"/>
          <w:szCs w:val="24"/>
        </w:rPr>
        <w:t xml:space="preserve">To evaluate how sensitive </w:t>
      </w:r>
      <w:r w:rsidR="00C527F9" w:rsidRPr="0060162F">
        <w:rPr>
          <w:rFonts w:ascii="Times" w:hAnsi="Times" w:cs="Times"/>
          <w:sz w:val="24"/>
          <w:szCs w:val="24"/>
        </w:rPr>
        <w:t xml:space="preserve">our results </w:t>
      </w:r>
      <w:r w:rsidRPr="0060162F">
        <w:rPr>
          <w:rFonts w:ascii="Times" w:hAnsi="Times" w:cs="Times"/>
          <w:sz w:val="24"/>
          <w:szCs w:val="24"/>
        </w:rPr>
        <w:t xml:space="preserve">are </w:t>
      </w:r>
      <w:r w:rsidR="00C527F9" w:rsidRPr="0060162F">
        <w:rPr>
          <w:rFonts w:ascii="Times" w:hAnsi="Times" w:cs="Times"/>
          <w:sz w:val="24"/>
          <w:szCs w:val="24"/>
        </w:rPr>
        <w:t xml:space="preserve">to changes over time, we </w:t>
      </w:r>
      <w:r w:rsidR="00C30B98" w:rsidRPr="0060162F">
        <w:rPr>
          <w:rFonts w:ascii="Times" w:hAnsi="Times" w:cs="Times"/>
          <w:sz w:val="24"/>
          <w:szCs w:val="24"/>
        </w:rPr>
        <w:t>conducted the</w:t>
      </w:r>
      <w:r w:rsidR="008F4328">
        <w:rPr>
          <w:rFonts w:ascii="Times" w:hAnsi="Times" w:cs="Times"/>
          <w:sz w:val="24"/>
          <w:szCs w:val="24"/>
        </w:rPr>
        <w:t xml:space="preserve"> same</w:t>
      </w:r>
      <w:r w:rsidR="00C30B98" w:rsidRPr="0060162F">
        <w:rPr>
          <w:rFonts w:ascii="Times" w:hAnsi="Times" w:cs="Times"/>
          <w:sz w:val="24"/>
          <w:szCs w:val="24"/>
        </w:rPr>
        <w:t xml:space="preserve"> analysis </w:t>
      </w:r>
      <w:r w:rsidR="008F4328">
        <w:rPr>
          <w:rFonts w:ascii="Times" w:hAnsi="Times" w:cs="Times"/>
          <w:sz w:val="24"/>
          <w:szCs w:val="24"/>
        </w:rPr>
        <w:t xml:space="preserve">as in the main text, but </w:t>
      </w:r>
      <w:r w:rsidR="00C30B98" w:rsidRPr="0060162F">
        <w:rPr>
          <w:rFonts w:ascii="Times" w:hAnsi="Times" w:cs="Times"/>
          <w:sz w:val="24"/>
          <w:szCs w:val="24"/>
        </w:rPr>
        <w:t>for several</w:t>
      </w:r>
      <w:r w:rsidR="008F4328">
        <w:rPr>
          <w:rFonts w:ascii="Times" w:hAnsi="Times" w:cs="Times"/>
          <w:sz w:val="24"/>
          <w:szCs w:val="24"/>
        </w:rPr>
        <w:t xml:space="preserve"> different</w:t>
      </w:r>
      <w:r w:rsidR="00C30B98" w:rsidRPr="0060162F">
        <w:rPr>
          <w:rFonts w:ascii="Times" w:hAnsi="Times" w:cs="Times"/>
          <w:sz w:val="24"/>
          <w:szCs w:val="24"/>
        </w:rPr>
        <w:t xml:space="preserve"> </w:t>
      </w:r>
      <w:r w:rsidR="008F4328">
        <w:rPr>
          <w:rFonts w:ascii="Times" w:hAnsi="Times" w:cs="Times"/>
          <w:sz w:val="24"/>
          <w:szCs w:val="24"/>
        </w:rPr>
        <w:t xml:space="preserve">years. We </w:t>
      </w:r>
      <w:r w:rsidR="00C30B98" w:rsidRPr="0060162F">
        <w:rPr>
          <w:rFonts w:ascii="Times" w:hAnsi="Times" w:cs="Times"/>
          <w:sz w:val="24"/>
          <w:szCs w:val="24"/>
        </w:rPr>
        <w:t xml:space="preserve">then evaluated </w:t>
      </w:r>
      <w:r w:rsidR="008F4328">
        <w:rPr>
          <w:rFonts w:ascii="Times" w:hAnsi="Times" w:cs="Times"/>
          <w:sz w:val="24"/>
          <w:szCs w:val="24"/>
        </w:rPr>
        <w:t xml:space="preserve">if and </w:t>
      </w:r>
      <w:r w:rsidR="00C30B98" w:rsidRPr="0060162F">
        <w:rPr>
          <w:rFonts w:ascii="Times" w:hAnsi="Times" w:cs="Times"/>
          <w:sz w:val="24"/>
          <w:szCs w:val="24"/>
        </w:rPr>
        <w:t>how countries changed in terms of their rankings</w:t>
      </w:r>
      <w:r w:rsidR="008F4328">
        <w:rPr>
          <w:rFonts w:ascii="Times" w:hAnsi="Times" w:cs="Times"/>
          <w:sz w:val="24"/>
          <w:szCs w:val="24"/>
        </w:rPr>
        <w:t xml:space="preserve"> between years</w:t>
      </w:r>
      <w:r w:rsidRPr="0060162F">
        <w:rPr>
          <w:rFonts w:ascii="Times" w:hAnsi="Times" w:cs="Times"/>
          <w:sz w:val="24"/>
          <w:szCs w:val="24"/>
        </w:rPr>
        <w:t xml:space="preserve">. </w:t>
      </w:r>
      <w:r w:rsidR="00C30B98" w:rsidRPr="0060162F">
        <w:rPr>
          <w:rFonts w:ascii="Times" w:hAnsi="Times" w:cs="Times"/>
          <w:sz w:val="24"/>
          <w:szCs w:val="24"/>
        </w:rPr>
        <w:t>Significant changes in ranking</w:t>
      </w:r>
      <w:r w:rsidR="008F4328">
        <w:rPr>
          <w:rFonts w:ascii="Times" w:hAnsi="Times" w:cs="Times"/>
          <w:sz w:val="24"/>
          <w:szCs w:val="24"/>
        </w:rPr>
        <w:t>s</w:t>
      </w:r>
      <w:r w:rsidR="00C30B98" w:rsidRPr="0060162F">
        <w:rPr>
          <w:rFonts w:ascii="Times" w:hAnsi="Times" w:cs="Times"/>
          <w:sz w:val="24"/>
          <w:szCs w:val="24"/>
        </w:rPr>
        <w:t xml:space="preserve"> </w:t>
      </w:r>
      <w:r w:rsidR="008F4328">
        <w:rPr>
          <w:rFonts w:ascii="Times" w:hAnsi="Times" w:cs="Times"/>
          <w:sz w:val="24"/>
          <w:szCs w:val="24"/>
        </w:rPr>
        <w:t xml:space="preserve">would </w:t>
      </w:r>
      <w:r w:rsidR="00C30B98" w:rsidRPr="0060162F">
        <w:rPr>
          <w:rFonts w:ascii="Times" w:hAnsi="Times" w:cs="Times"/>
          <w:sz w:val="24"/>
          <w:szCs w:val="24"/>
        </w:rPr>
        <w:t xml:space="preserve">mean that countries are </w:t>
      </w:r>
      <w:r w:rsidR="008F4328">
        <w:rPr>
          <w:rFonts w:ascii="Times" w:hAnsi="Times" w:cs="Times"/>
          <w:sz w:val="24"/>
          <w:szCs w:val="24"/>
        </w:rPr>
        <w:t xml:space="preserve">significantly “reshuffling” between years, or </w:t>
      </w:r>
      <w:r w:rsidR="00C30B98" w:rsidRPr="0060162F">
        <w:rPr>
          <w:rFonts w:ascii="Times" w:hAnsi="Times" w:cs="Times"/>
          <w:sz w:val="24"/>
          <w:szCs w:val="24"/>
        </w:rPr>
        <w:t xml:space="preserve">going through </w:t>
      </w:r>
      <w:r w:rsidR="008F4328">
        <w:rPr>
          <w:rFonts w:ascii="Times" w:hAnsi="Times" w:cs="Times"/>
          <w:sz w:val="24"/>
          <w:szCs w:val="24"/>
        </w:rPr>
        <w:t xml:space="preserve">essential </w:t>
      </w:r>
      <w:r w:rsidR="00C30B98" w:rsidRPr="0060162F">
        <w:rPr>
          <w:rFonts w:ascii="Times" w:hAnsi="Times" w:cs="Times"/>
          <w:sz w:val="24"/>
          <w:szCs w:val="24"/>
        </w:rPr>
        <w:t>changes that our analysis is unable to capture</w:t>
      </w:r>
      <w:r w:rsidR="005276BE" w:rsidRPr="0060162F">
        <w:rPr>
          <w:rFonts w:ascii="Times" w:hAnsi="Times" w:cs="Times"/>
          <w:sz w:val="24"/>
          <w:szCs w:val="24"/>
        </w:rPr>
        <w:t xml:space="preserve"> by examining just </w:t>
      </w:r>
      <w:r w:rsidR="00502FA0">
        <w:rPr>
          <w:rFonts w:ascii="Times" w:hAnsi="Times" w:cs="Times"/>
          <w:sz w:val="24"/>
          <w:szCs w:val="24"/>
        </w:rPr>
        <w:t>a single time</w:t>
      </w:r>
      <w:r w:rsidR="005276BE" w:rsidRPr="0060162F">
        <w:rPr>
          <w:rFonts w:ascii="Times" w:hAnsi="Times" w:cs="Times"/>
          <w:sz w:val="24"/>
          <w:szCs w:val="24"/>
        </w:rPr>
        <w:t xml:space="preserve"> period</w:t>
      </w:r>
      <w:r w:rsidR="00992123">
        <w:rPr>
          <w:rFonts w:ascii="Times" w:hAnsi="Times" w:cs="Times"/>
          <w:sz w:val="24"/>
          <w:szCs w:val="24"/>
        </w:rPr>
        <w:t>. If this were true, the validity of our main analysis would be suspect.</w:t>
      </w:r>
    </w:p>
    <w:p w14:paraId="36EFE648" w14:textId="77777777" w:rsidR="00CE06ED" w:rsidRPr="0060162F" w:rsidRDefault="00CE06ED" w:rsidP="001024B3">
      <w:pPr>
        <w:rPr>
          <w:rFonts w:ascii="Times" w:hAnsi="Times" w:cs="Times"/>
          <w:sz w:val="24"/>
          <w:szCs w:val="24"/>
        </w:rPr>
      </w:pPr>
    </w:p>
    <w:p w14:paraId="2C62300C" w14:textId="142AC276" w:rsidR="00FA0A41" w:rsidRPr="0060162F" w:rsidRDefault="00CE06ED" w:rsidP="001024B3">
      <w:pPr>
        <w:rPr>
          <w:rFonts w:ascii="Times" w:hAnsi="Times" w:cs="Times"/>
          <w:sz w:val="24"/>
          <w:szCs w:val="24"/>
        </w:rPr>
      </w:pPr>
      <w:r w:rsidRPr="0060162F">
        <w:rPr>
          <w:rFonts w:ascii="Times" w:hAnsi="Times" w:cs="Times"/>
          <w:sz w:val="24"/>
          <w:szCs w:val="24"/>
        </w:rPr>
        <w:t xml:space="preserve">Figure </w:t>
      </w:r>
      <w:r w:rsidR="008F4328">
        <w:rPr>
          <w:rFonts w:ascii="Times" w:hAnsi="Times" w:cs="Times"/>
          <w:sz w:val="24"/>
          <w:szCs w:val="24"/>
        </w:rPr>
        <w:t>A</w:t>
      </w:r>
      <w:r w:rsidRPr="0060162F">
        <w:rPr>
          <w:rFonts w:ascii="Times" w:hAnsi="Times" w:cs="Times"/>
          <w:sz w:val="24"/>
          <w:szCs w:val="24"/>
        </w:rPr>
        <w:t xml:space="preserve">1 </w:t>
      </w:r>
      <w:r w:rsidR="00B06194" w:rsidRPr="0060162F">
        <w:rPr>
          <w:rFonts w:ascii="Times" w:hAnsi="Times" w:cs="Times"/>
          <w:sz w:val="24"/>
          <w:szCs w:val="24"/>
        </w:rPr>
        <w:t>shows an</w:t>
      </w:r>
      <w:r w:rsidR="00C30B98" w:rsidRPr="0060162F">
        <w:rPr>
          <w:rFonts w:ascii="Times" w:hAnsi="Times" w:cs="Times"/>
          <w:sz w:val="24"/>
          <w:szCs w:val="24"/>
        </w:rPr>
        <w:t xml:space="preserve"> example of these comparisons </w:t>
      </w:r>
      <w:r w:rsidRPr="0060162F">
        <w:rPr>
          <w:rFonts w:ascii="Times" w:hAnsi="Times" w:cs="Times"/>
          <w:sz w:val="24"/>
          <w:szCs w:val="24"/>
        </w:rPr>
        <w:t>for year 2000 and 2011</w:t>
      </w:r>
      <w:r w:rsidR="00C30B98" w:rsidRPr="0060162F">
        <w:rPr>
          <w:rFonts w:ascii="Times" w:hAnsi="Times" w:cs="Times"/>
          <w:sz w:val="24"/>
          <w:szCs w:val="24"/>
        </w:rPr>
        <w:t>, with each panel reporting how countries have changed in their relative rankings for all of the economic metrics</w:t>
      </w:r>
      <w:r w:rsidR="00FA0A41" w:rsidRPr="0060162F">
        <w:rPr>
          <w:rFonts w:ascii="Times" w:hAnsi="Times" w:cs="Times"/>
          <w:sz w:val="24"/>
          <w:szCs w:val="24"/>
        </w:rPr>
        <w:t xml:space="preserve"> and the total economic opportunity score</w:t>
      </w:r>
      <w:r w:rsidR="005276BE" w:rsidRPr="0060162F">
        <w:rPr>
          <w:rFonts w:ascii="Times" w:hAnsi="Times" w:cs="Times"/>
          <w:sz w:val="24"/>
          <w:szCs w:val="24"/>
        </w:rPr>
        <w:t>. If a point</w:t>
      </w:r>
      <w:r w:rsidR="00C30B98" w:rsidRPr="0060162F">
        <w:rPr>
          <w:rFonts w:ascii="Times" w:hAnsi="Times" w:cs="Times"/>
          <w:sz w:val="24"/>
          <w:szCs w:val="24"/>
        </w:rPr>
        <w:t xml:space="preserve"> lie</w:t>
      </w:r>
      <w:r w:rsidR="005276BE" w:rsidRPr="0060162F">
        <w:rPr>
          <w:rFonts w:ascii="Times" w:hAnsi="Times" w:cs="Times"/>
          <w:sz w:val="24"/>
          <w:szCs w:val="24"/>
        </w:rPr>
        <w:t>s</w:t>
      </w:r>
      <w:r w:rsidR="00C30B98" w:rsidRPr="0060162F">
        <w:rPr>
          <w:rFonts w:ascii="Times" w:hAnsi="Times" w:cs="Times"/>
          <w:sz w:val="24"/>
          <w:szCs w:val="24"/>
        </w:rPr>
        <w:t xml:space="preserve"> on the green line, it mean</w:t>
      </w:r>
      <w:r w:rsidR="005276BE" w:rsidRPr="0060162F">
        <w:rPr>
          <w:rFonts w:ascii="Times" w:hAnsi="Times" w:cs="Times"/>
          <w:sz w:val="24"/>
          <w:szCs w:val="24"/>
        </w:rPr>
        <w:t>s</w:t>
      </w:r>
      <w:r w:rsidR="00C30B98" w:rsidRPr="0060162F">
        <w:rPr>
          <w:rFonts w:ascii="Times" w:hAnsi="Times" w:cs="Times"/>
          <w:sz w:val="24"/>
          <w:szCs w:val="24"/>
        </w:rPr>
        <w:t xml:space="preserve"> </w:t>
      </w:r>
      <w:r w:rsidR="00502FA0">
        <w:rPr>
          <w:rFonts w:ascii="Times" w:hAnsi="Times" w:cs="Times"/>
          <w:sz w:val="24"/>
          <w:szCs w:val="24"/>
        </w:rPr>
        <w:t xml:space="preserve">there was </w:t>
      </w:r>
      <w:r w:rsidR="005276BE" w:rsidRPr="0060162F">
        <w:rPr>
          <w:rFonts w:ascii="Times" w:hAnsi="Times" w:cs="Times"/>
          <w:sz w:val="24"/>
          <w:szCs w:val="24"/>
        </w:rPr>
        <w:t>no change in</w:t>
      </w:r>
      <w:r w:rsidR="00992123">
        <w:rPr>
          <w:rFonts w:ascii="Times" w:hAnsi="Times" w:cs="Times"/>
          <w:sz w:val="24"/>
          <w:szCs w:val="24"/>
        </w:rPr>
        <w:t xml:space="preserve"> that nation’s relative</w:t>
      </w:r>
      <w:r w:rsidR="005276BE" w:rsidRPr="0060162F">
        <w:rPr>
          <w:rFonts w:ascii="Times" w:hAnsi="Times" w:cs="Times"/>
          <w:sz w:val="24"/>
          <w:szCs w:val="24"/>
        </w:rPr>
        <w:t xml:space="preserve"> </w:t>
      </w:r>
      <w:r w:rsidR="00C30B98" w:rsidRPr="0060162F">
        <w:rPr>
          <w:rFonts w:ascii="Times" w:hAnsi="Times" w:cs="Times"/>
          <w:sz w:val="24"/>
          <w:szCs w:val="24"/>
        </w:rPr>
        <w:t xml:space="preserve">ranking </w:t>
      </w:r>
      <w:r w:rsidR="00502FA0">
        <w:rPr>
          <w:rFonts w:ascii="Times" w:hAnsi="Times" w:cs="Times"/>
          <w:sz w:val="24"/>
          <w:szCs w:val="24"/>
        </w:rPr>
        <w:t>between</w:t>
      </w:r>
      <w:r w:rsidR="00502FA0" w:rsidRPr="0060162F">
        <w:rPr>
          <w:rFonts w:ascii="Times" w:hAnsi="Times" w:cs="Times"/>
          <w:sz w:val="24"/>
          <w:szCs w:val="24"/>
        </w:rPr>
        <w:t xml:space="preserve"> </w:t>
      </w:r>
      <w:r w:rsidR="005276BE" w:rsidRPr="0060162F">
        <w:rPr>
          <w:rFonts w:ascii="Times" w:hAnsi="Times" w:cs="Times"/>
          <w:sz w:val="24"/>
          <w:szCs w:val="24"/>
        </w:rPr>
        <w:t xml:space="preserve">2000 </w:t>
      </w:r>
      <w:r w:rsidR="00502FA0">
        <w:rPr>
          <w:rFonts w:ascii="Times" w:hAnsi="Times" w:cs="Times"/>
          <w:sz w:val="24"/>
          <w:szCs w:val="24"/>
        </w:rPr>
        <w:t>and</w:t>
      </w:r>
      <w:r w:rsidR="00502FA0" w:rsidRPr="0060162F">
        <w:rPr>
          <w:rFonts w:ascii="Times" w:hAnsi="Times" w:cs="Times"/>
          <w:sz w:val="24"/>
          <w:szCs w:val="24"/>
        </w:rPr>
        <w:t xml:space="preserve"> </w:t>
      </w:r>
      <w:r w:rsidR="005276BE" w:rsidRPr="0060162F">
        <w:rPr>
          <w:rFonts w:ascii="Times" w:hAnsi="Times" w:cs="Times"/>
          <w:sz w:val="24"/>
          <w:szCs w:val="24"/>
        </w:rPr>
        <w:t>2011</w:t>
      </w:r>
      <w:r w:rsidR="00C30B98" w:rsidRPr="0060162F">
        <w:rPr>
          <w:rFonts w:ascii="Times" w:hAnsi="Times" w:cs="Times"/>
          <w:sz w:val="24"/>
          <w:szCs w:val="24"/>
        </w:rPr>
        <w:t xml:space="preserve">. Points above the green line imply that countries move up in </w:t>
      </w:r>
      <w:r w:rsidR="00FA0A41" w:rsidRPr="0060162F">
        <w:rPr>
          <w:rFonts w:ascii="Times" w:hAnsi="Times" w:cs="Times"/>
          <w:sz w:val="24"/>
          <w:szCs w:val="24"/>
        </w:rPr>
        <w:t xml:space="preserve">their </w:t>
      </w:r>
      <w:r w:rsidR="00C30B98" w:rsidRPr="0060162F">
        <w:rPr>
          <w:rFonts w:ascii="Times" w:hAnsi="Times" w:cs="Times"/>
          <w:sz w:val="24"/>
          <w:szCs w:val="24"/>
        </w:rPr>
        <w:t xml:space="preserve">ranking, while points below indicate drops. From the figure, we see that </w:t>
      </w:r>
      <w:r w:rsidR="00FA0A41" w:rsidRPr="0060162F">
        <w:rPr>
          <w:rFonts w:ascii="Times" w:hAnsi="Times" w:cs="Times"/>
          <w:sz w:val="24"/>
          <w:szCs w:val="24"/>
        </w:rPr>
        <w:t xml:space="preserve">while </w:t>
      </w:r>
      <w:r w:rsidR="00C30B98" w:rsidRPr="0060162F">
        <w:rPr>
          <w:rFonts w:ascii="Times" w:hAnsi="Times" w:cs="Times"/>
          <w:sz w:val="24"/>
          <w:szCs w:val="24"/>
        </w:rPr>
        <w:t>t</w:t>
      </w:r>
      <w:r w:rsidR="00B06194" w:rsidRPr="0060162F">
        <w:rPr>
          <w:rFonts w:ascii="Times" w:hAnsi="Times" w:cs="Times"/>
          <w:sz w:val="24"/>
          <w:szCs w:val="24"/>
        </w:rPr>
        <w:t>here is movement in the ranking</w:t>
      </w:r>
      <w:r w:rsidR="00FA0A41" w:rsidRPr="0060162F">
        <w:rPr>
          <w:rFonts w:ascii="Times" w:hAnsi="Times" w:cs="Times"/>
          <w:sz w:val="24"/>
          <w:szCs w:val="24"/>
        </w:rPr>
        <w:t>, many countries have a relatively stable position across both time periods.</w:t>
      </w:r>
      <w:r w:rsidR="007711A0" w:rsidRPr="0060162F">
        <w:rPr>
          <w:rFonts w:ascii="Times" w:hAnsi="Times" w:cs="Times"/>
          <w:sz w:val="24"/>
          <w:szCs w:val="24"/>
        </w:rPr>
        <w:t xml:space="preserve"> We can examine</w:t>
      </w:r>
      <w:r w:rsidR="00FA0A41" w:rsidRPr="0060162F">
        <w:rPr>
          <w:rFonts w:ascii="Times" w:hAnsi="Times" w:cs="Times"/>
          <w:sz w:val="24"/>
          <w:szCs w:val="24"/>
        </w:rPr>
        <w:t xml:space="preserve"> if both rankings are statistically different from each other by performing </w:t>
      </w:r>
      <w:r w:rsidR="007711A0" w:rsidRPr="0060162F">
        <w:rPr>
          <w:rFonts w:ascii="Times" w:hAnsi="Times" w:cs="Times"/>
          <w:sz w:val="24"/>
          <w:szCs w:val="24"/>
        </w:rPr>
        <w:t xml:space="preserve">a </w:t>
      </w:r>
      <w:r w:rsidR="00992123">
        <w:rPr>
          <w:rFonts w:ascii="Times" w:hAnsi="Times" w:cs="Times"/>
          <w:sz w:val="24"/>
          <w:szCs w:val="24"/>
        </w:rPr>
        <w:t>rank concordance test</w:t>
      </w:r>
      <w:r w:rsidR="00FA0A41" w:rsidRPr="0060162F">
        <w:rPr>
          <w:rFonts w:ascii="Times" w:hAnsi="Times" w:cs="Times"/>
          <w:sz w:val="24"/>
          <w:szCs w:val="24"/>
        </w:rPr>
        <w:t xml:space="preserve"> (</w:t>
      </w:r>
      <w:r w:rsidR="00992123">
        <w:rPr>
          <w:rFonts w:ascii="Times" w:hAnsi="Times" w:cs="Times"/>
          <w:sz w:val="24"/>
          <w:szCs w:val="24"/>
        </w:rPr>
        <w:t xml:space="preserve">Kendall’s W test; </w:t>
      </w:r>
      <w:r w:rsidR="00FA0A41" w:rsidRPr="0060162F">
        <w:rPr>
          <w:rFonts w:ascii="Times" w:hAnsi="Times" w:cs="Times"/>
          <w:sz w:val="24"/>
          <w:szCs w:val="24"/>
        </w:rPr>
        <w:t xml:space="preserve">Kendall 1955). </w:t>
      </w:r>
    </w:p>
    <w:p w14:paraId="4DDA18AC" w14:textId="77777777" w:rsidR="00FA0A41" w:rsidRPr="0060162F" w:rsidRDefault="00FA0A41" w:rsidP="001024B3">
      <w:pPr>
        <w:rPr>
          <w:rFonts w:ascii="Times" w:hAnsi="Times" w:cs="Times"/>
          <w:sz w:val="24"/>
          <w:szCs w:val="24"/>
        </w:rPr>
      </w:pPr>
    </w:p>
    <w:p w14:paraId="42F14FEE" w14:textId="7602685E" w:rsidR="007711A0" w:rsidRPr="0060162F" w:rsidRDefault="007711A0" w:rsidP="001024B3">
      <w:pPr>
        <w:rPr>
          <w:rFonts w:ascii="Times" w:hAnsi="Times" w:cs="Times"/>
          <w:sz w:val="24"/>
          <w:szCs w:val="24"/>
        </w:rPr>
      </w:pPr>
      <w:r w:rsidRPr="0060162F">
        <w:rPr>
          <w:rFonts w:ascii="Times" w:hAnsi="Times" w:cs="Times"/>
          <w:sz w:val="24"/>
          <w:szCs w:val="24"/>
        </w:rPr>
        <w:lastRenderedPageBreak/>
        <w:t xml:space="preserve">The results of </w:t>
      </w:r>
      <w:r w:rsidR="00B06194" w:rsidRPr="0060162F">
        <w:rPr>
          <w:rFonts w:ascii="Times" w:hAnsi="Times" w:cs="Times"/>
          <w:sz w:val="24"/>
          <w:szCs w:val="24"/>
        </w:rPr>
        <w:t>the concordance</w:t>
      </w:r>
      <w:r w:rsidRPr="0060162F">
        <w:rPr>
          <w:rFonts w:ascii="Times" w:hAnsi="Times" w:cs="Times"/>
          <w:sz w:val="24"/>
          <w:szCs w:val="24"/>
        </w:rPr>
        <w:t xml:space="preserve"> analysis are reported in Table </w:t>
      </w:r>
      <w:r w:rsidR="00992123">
        <w:rPr>
          <w:rFonts w:ascii="Times" w:hAnsi="Times" w:cs="Times"/>
          <w:sz w:val="24"/>
          <w:szCs w:val="24"/>
        </w:rPr>
        <w:t>A</w:t>
      </w:r>
      <w:r w:rsidR="00773AF8" w:rsidRPr="0060162F">
        <w:rPr>
          <w:rFonts w:ascii="Times" w:hAnsi="Times" w:cs="Times"/>
          <w:sz w:val="24"/>
          <w:szCs w:val="24"/>
        </w:rPr>
        <w:t xml:space="preserve">1. In particular, we compared metrics and scores for years 2000, 2005, and 2011. The table reports </w:t>
      </w:r>
      <w:r w:rsidR="00B06194" w:rsidRPr="0060162F">
        <w:rPr>
          <w:rFonts w:ascii="Times" w:hAnsi="Times" w:cs="Times"/>
          <w:sz w:val="24"/>
          <w:szCs w:val="24"/>
        </w:rPr>
        <w:t xml:space="preserve">the </w:t>
      </w:r>
      <w:r w:rsidR="00773AF8" w:rsidRPr="0060162F">
        <w:rPr>
          <w:rFonts w:ascii="Times" w:hAnsi="Times" w:cs="Times"/>
          <w:sz w:val="24"/>
          <w:szCs w:val="24"/>
        </w:rPr>
        <w:t>Kendall’s W</w:t>
      </w:r>
      <w:r w:rsidR="00B411E4" w:rsidRPr="0060162F">
        <w:rPr>
          <w:rFonts w:ascii="Times" w:hAnsi="Times" w:cs="Times"/>
          <w:sz w:val="24"/>
          <w:szCs w:val="24"/>
        </w:rPr>
        <w:t xml:space="preserve"> and the associated test for stati</w:t>
      </w:r>
      <w:r w:rsidR="00992123">
        <w:rPr>
          <w:rFonts w:ascii="Times" w:hAnsi="Times" w:cs="Times"/>
          <w:sz w:val="24"/>
          <w:szCs w:val="24"/>
        </w:rPr>
        <w:t>stical significance. The closer</w:t>
      </w:r>
      <w:r w:rsidR="00B411E4" w:rsidRPr="0060162F">
        <w:rPr>
          <w:rFonts w:ascii="Times" w:hAnsi="Times" w:cs="Times"/>
          <w:sz w:val="24"/>
          <w:szCs w:val="24"/>
        </w:rPr>
        <w:t xml:space="preserve"> the Kendall’s W</w:t>
      </w:r>
      <w:r w:rsidR="00992123">
        <w:rPr>
          <w:rFonts w:ascii="Times" w:hAnsi="Times" w:cs="Times"/>
          <w:sz w:val="24"/>
          <w:szCs w:val="24"/>
        </w:rPr>
        <w:t xml:space="preserve"> statistic</w:t>
      </w:r>
      <w:r w:rsidR="00B411E4" w:rsidRPr="0060162F">
        <w:rPr>
          <w:rFonts w:ascii="Times" w:hAnsi="Times" w:cs="Times"/>
          <w:sz w:val="24"/>
          <w:szCs w:val="24"/>
        </w:rPr>
        <w:t xml:space="preserve"> is to one, the more concordance or agreement there is among the two rankings. According to this analysis, all comparisons across periods and metrics show statistically significant concordance. In other words, across metrics and time periods, countries’ relative positions have remained consistent over </w:t>
      </w:r>
      <w:r w:rsidR="00A978E8" w:rsidRPr="0060162F">
        <w:rPr>
          <w:rFonts w:ascii="Times" w:hAnsi="Times" w:cs="Times"/>
          <w:sz w:val="24"/>
          <w:szCs w:val="24"/>
        </w:rPr>
        <w:t>the time</w:t>
      </w:r>
      <w:r w:rsidR="00B411E4" w:rsidRPr="0060162F">
        <w:rPr>
          <w:rFonts w:ascii="Times" w:hAnsi="Times" w:cs="Times"/>
          <w:sz w:val="24"/>
          <w:szCs w:val="24"/>
        </w:rPr>
        <w:t>.</w:t>
      </w:r>
    </w:p>
    <w:p w14:paraId="3E94484F" w14:textId="38B19CC5" w:rsidR="00FA0A41" w:rsidRPr="0060162F" w:rsidRDefault="00FA0A41" w:rsidP="001024B3">
      <w:pPr>
        <w:rPr>
          <w:rFonts w:ascii="Times" w:hAnsi="Times" w:cs="Times"/>
          <w:sz w:val="24"/>
          <w:szCs w:val="24"/>
        </w:rPr>
      </w:pPr>
    </w:p>
    <w:p w14:paraId="373534FB" w14:textId="093562BF" w:rsidR="00B06194" w:rsidRPr="0060162F" w:rsidRDefault="00992123" w:rsidP="001024B3">
      <w:pPr>
        <w:rPr>
          <w:rFonts w:ascii="Times" w:hAnsi="Times" w:cs="Times"/>
          <w:sz w:val="24"/>
          <w:szCs w:val="24"/>
        </w:rPr>
      </w:pPr>
      <w:r>
        <w:rPr>
          <w:rFonts w:ascii="Times" w:hAnsi="Times" w:cs="Times"/>
          <w:sz w:val="24"/>
          <w:szCs w:val="24"/>
        </w:rPr>
        <w:t>T</w:t>
      </w:r>
      <w:r w:rsidR="00A978E8" w:rsidRPr="0060162F">
        <w:rPr>
          <w:rFonts w:ascii="Times" w:hAnsi="Times" w:cs="Times"/>
          <w:sz w:val="24"/>
          <w:szCs w:val="24"/>
        </w:rPr>
        <w:t xml:space="preserve">hese results </w:t>
      </w:r>
      <w:r>
        <w:rPr>
          <w:rFonts w:ascii="Times" w:hAnsi="Times" w:cs="Times"/>
          <w:sz w:val="24"/>
          <w:szCs w:val="24"/>
        </w:rPr>
        <w:t>give further confidence to the robustness of our main, cross-sectional analysis using only 2011 data. A</w:t>
      </w:r>
      <w:r w:rsidR="00A978E8" w:rsidRPr="0060162F">
        <w:rPr>
          <w:rFonts w:ascii="Times" w:hAnsi="Times" w:cs="Times"/>
          <w:sz w:val="24"/>
          <w:szCs w:val="24"/>
        </w:rPr>
        <w:t xml:space="preserve">t least for the time periods evaluated, </w:t>
      </w:r>
      <w:r w:rsidR="00B06194" w:rsidRPr="0060162F">
        <w:rPr>
          <w:rFonts w:ascii="Times" w:hAnsi="Times" w:cs="Times"/>
          <w:sz w:val="24"/>
          <w:szCs w:val="24"/>
        </w:rPr>
        <w:t xml:space="preserve">the </w:t>
      </w:r>
      <w:r>
        <w:rPr>
          <w:rFonts w:ascii="Times" w:hAnsi="Times" w:cs="Times"/>
          <w:sz w:val="24"/>
          <w:szCs w:val="24"/>
        </w:rPr>
        <w:t xml:space="preserve">components of our </w:t>
      </w:r>
      <w:r w:rsidR="00B06194" w:rsidRPr="0060162F">
        <w:rPr>
          <w:rFonts w:ascii="Times" w:hAnsi="Times" w:cs="Times"/>
          <w:sz w:val="24"/>
          <w:szCs w:val="24"/>
        </w:rPr>
        <w:t xml:space="preserve">global </w:t>
      </w:r>
      <w:r w:rsidR="00A978E8" w:rsidRPr="0060162F">
        <w:rPr>
          <w:rFonts w:ascii="Times" w:hAnsi="Times" w:cs="Times"/>
          <w:sz w:val="24"/>
          <w:szCs w:val="24"/>
        </w:rPr>
        <w:t xml:space="preserve">economic opportunity </w:t>
      </w:r>
      <w:r>
        <w:rPr>
          <w:rFonts w:ascii="Times" w:hAnsi="Times" w:cs="Times"/>
          <w:sz w:val="24"/>
          <w:szCs w:val="24"/>
        </w:rPr>
        <w:t>metric have</w:t>
      </w:r>
      <w:r w:rsidR="00A978E8" w:rsidRPr="0060162F">
        <w:rPr>
          <w:rFonts w:ascii="Times" w:hAnsi="Times" w:cs="Times"/>
          <w:sz w:val="24"/>
          <w:szCs w:val="24"/>
        </w:rPr>
        <w:t xml:space="preserve"> remained statistically consistent. This property implies that our main results for </w:t>
      </w:r>
      <w:r w:rsidR="00B06194" w:rsidRPr="0060162F">
        <w:rPr>
          <w:rFonts w:ascii="Times" w:hAnsi="Times" w:cs="Times"/>
          <w:sz w:val="24"/>
          <w:szCs w:val="24"/>
        </w:rPr>
        <w:t>2011 are not a result of</w:t>
      </w:r>
      <w:r w:rsidR="00A978E8" w:rsidRPr="0060162F">
        <w:rPr>
          <w:rFonts w:ascii="Times" w:hAnsi="Times" w:cs="Times"/>
          <w:sz w:val="24"/>
          <w:szCs w:val="24"/>
        </w:rPr>
        <w:t xml:space="preserve"> sporadic measurement</w:t>
      </w:r>
      <w:r w:rsidR="00B06194" w:rsidRPr="0060162F">
        <w:rPr>
          <w:rFonts w:ascii="Times" w:hAnsi="Times" w:cs="Times"/>
          <w:sz w:val="24"/>
          <w:szCs w:val="24"/>
        </w:rPr>
        <w:t>s</w:t>
      </w:r>
      <w:r w:rsidR="00A978E8" w:rsidRPr="0060162F">
        <w:rPr>
          <w:rFonts w:ascii="Times" w:hAnsi="Times" w:cs="Times"/>
          <w:sz w:val="24"/>
          <w:szCs w:val="24"/>
        </w:rPr>
        <w:t xml:space="preserve">, but rather a state of the world that has had </w:t>
      </w:r>
      <w:r>
        <w:rPr>
          <w:rFonts w:ascii="Times" w:hAnsi="Times" w:cs="Times"/>
          <w:sz w:val="24"/>
          <w:szCs w:val="24"/>
        </w:rPr>
        <w:t>at least ten years of relative consistency.</w:t>
      </w:r>
    </w:p>
    <w:p w14:paraId="66116888" w14:textId="77777777" w:rsidR="00B06194" w:rsidRPr="0060162F" w:rsidRDefault="00B06194" w:rsidP="001024B3">
      <w:pPr>
        <w:rPr>
          <w:rFonts w:ascii="Times" w:hAnsi="Times" w:cs="Times"/>
          <w:sz w:val="24"/>
          <w:szCs w:val="24"/>
        </w:rPr>
      </w:pPr>
    </w:p>
    <w:p w14:paraId="77689621" w14:textId="5461DBC8" w:rsidR="001024B3" w:rsidRPr="0060162F" w:rsidRDefault="005276BE" w:rsidP="001024B3">
      <w:pPr>
        <w:rPr>
          <w:rFonts w:ascii="Times" w:hAnsi="Times" w:cs="Times"/>
          <w:sz w:val="24"/>
          <w:szCs w:val="24"/>
        </w:rPr>
      </w:pPr>
      <w:r w:rsidRPr="0060162F">
        <w:rPr>
          <w:rFonts w:ascii="Times" w:hAnsi="Times" w:cs="Times"/>
          <w:sz w:val="24"/>
          <w:szCs w:val="24"/>
        </w:rPr>
        <w:t xml:space="preserve">It would be ideal to expand this </w:t>
      </w:r>
      <w:r w:rsidR="00B06194" w:rsidRPr="0060162F">
        <w:rPr>
          <w:rFonts w:ascii="Times" w:hAnsi="Times" w:cs="Times"/>
          <w:sz w:val="24"/>
          <w:szCs w:val="24"/>
        </w:rPr>
        <w:t xml:space="preserve">analysis and insight </w:t>
      </w:r>
      <w:r w:rsidRPr="0060162F">
        <w:rPr>
          <w:rFonts w:ascii="Times" w:hAnsi="Times" w:cs="Times"/>
          <w:sz w:val="24"/>
          <w:szCs w:val="24"/>
        </w:rPr>
        <w:t>to the nutritional metrics. Unfortunately,</w:t>
      </w:r>
      <w:r w:rsidR="00941547">
        <w:rPr>
          <w:rFonts w:ascii="Times" w:hAnsi="Times" w:cs="Times"/>
          <w:sz w:val="24"/>
          <w:szCs w:val="24"/>
        </w:rPr>
        <w:t xml:space="preserve"> </w:t>
      </w:r>
      <w:r w:rsidRPr="0060162F">
        <w:rPr>
          <w:rFonts w:ascii="Times" w:hAnsi="Times" w:cs="Times"/>
          <w:sz w:val="24"/>
          <w:szCs w:val="24"/>
        </w:rPr>
        <w:t>data limitations</w:t>
      </w:r>
      <w:r w:rsidR="00941547">
        <w:rPr>
          <w:rFonts w:ascii="Times" w:hAnsi="Times" w:cs="Times"/>
          <w:sz w:val="24"/>
          <w:szCs w:val="24"/>
        </w:rPr>
        <w:t xml:space="preserve">—the same that prevented our main analysis from using a panel approach in the first place—do </w:t>
      </w:r>
      <w:r w:rsidRPr="0060162F">
        <w:rPr>
          <w:rFonts w:ascii="Times" w:hAnsi="Times" w:cs="Times"/>
          <w:sz w:val="24"/>
          <w:szCs w:val="24"/>
        </w:rPr>
        <w:t xml:space="preserve">not allow us to perform such </w:t>
      </w:r>
      <w:r w:rsidR="005232D0" w:rsidRPr="0060162F">
        <w:rPr>
          <w:rFonts w:ascii="Times" w:hAnsi="Times" w:cs="Times"/>
          <w:sz w:val="24"/>
          <w:szCs w:val="24"/>
        </w:rPr>
        <w:t>analysis and</w:t>
      </w:r>
      <w:r w:rsidRPr="0060162F">
        <w:rPr>
          <w:rFonts w:ascii="Times" w:hAnsi="Times" w:cs="Times"/>
          <w:sz w:val="24"/>
          <w:szCs w:val="24"/>
        </w:rPr>
        <w:t xml:space="preserve"> extrapolating these results would be inappropriate. </w:t>
      </w:r>
      <w:r w:rsidR="00B06194" w:rsidRPr="0060162F">
        <w:rPr>
          <w:rFonts w:ascii="Times" w:hAnsi="Times" w:cs="Times"/>
          <w:sz w:val="24"/>
          <w:szCs w:val="24"/>
        </w:rPr>
        <w:t>This approach, h</w:t>
      </w:r>
      <w:r w:rsidR="00E018B8" w:rsidRPr="0060162F">
        <w:rPr>
          <w:rFonts w:ascii="Times" w:hAnsi="Times" w:cs="Times"/>
          <w:sz w:val="24"/>
          <w:szCs w:val="24"/>
        </w:rPr>
        <w:t>owever, is straightforward</w:t>
      </w:r>
      <w:r w:rsidR="005232D0" w:rsidRPr="0060162F">
        <w:rPr>
          <w:rFonts w:ascii="Times" w:hAnsi="Times" w:cs="Times"/>
          <w:sz w:val="24"/>
          <w:szCs w:val="24"/>
        </w:rPr>
        <w:t>.</w:t>
      </w:r>
      <w:r w:rsidR="00E018B8" w:rsidRPr="0060162F">
        <w:rPr>
          <w:rFonts w:ascii="Times" w:hAnsi="Times" w:cs="Times"/>
          <w:sz w:val="24"/>
          <w:szCs w:val="24"/>
        </w:rPr>
        <w:t xml:space="preserve"> </w:t>
      </w:r>
      <w:r w:rsidR="005232D0" w:rsidRPr="0060162F">
        <w:rPr>
          <w:rFonts w:ascii="Times" w:hAnsi="Times" w:cs="Times"/>
          <w:sz w:val="24"/>
          <w:szCs w:val="24"/>
        </w:rPr>
        <w:t>I</w:t>
      </w:r>
      <w:r w:rsidR="00B06194" w:rsidRPr="0060162F">
        <w:rPr>
          <w:rFonts w:ascii="Times" w:hAnsi="Times" w:cs="Times"/>
          <w:sz w:val="24"/>
          <w:szCs w:val="24"/>
        </w:rPr>
        <w:t xml:space="preserve">f a richer dataset were to become available in the future, </w:t>
      </w:r>
      <w:r w:rsidR="005232D0" w:rsidRPr="0060162F">
        <w:rPr>
          <w:rFonts w:ascii="Times" w:hAnsi="Times" w:cs="Times"/>
          <w:sz w:val="24"/>
          <w:szCs w:val="24"/>
        </w:rPr>
        <w:t xml:space="preserve">the same methodology </w:t>
      </w:r>
      <w:r w:rsidR="00E018B8" w:rsidRPr="0060162F">
        <w:rPr>
          <w:rFonts w:ascii="Times" w:hAnsi="Times" w:cs="Times"/>
          <w:sz w:val="24"/>
          <w:szCs w:val="24"/>
        </w:rPr>
        <w:t xml:space="preserve">could be easily </w:t>
      </w:r>
      <w:r w:rsidR="005232D0" w:rsidRPr="0060162F">
        <w:rPr>
          <w:rFonts w:ascii="Times" w:hAnsi="Times" w:cs="Times"/>
          <w:sz w:val="24"/>
          <w:szCs w:val="24"/>
        </w:rPr>
        <w:t>applied</w:t>
      </w:r>
      <w:r w:rsidR="00E018B8" w:rsidRPr="0060162F">
        <w:rPr>
          <w:rFonts w:ascii="Times" w:hAnsi="Times" w:cs="Times"/>
          <w:sz w:val="24"/>
          <w:szCs w:val="24"/>
        </w:rPr>
        <w:t xml:space="preserve"> to all relevant variables in our metrics and opportunity scores.</w:t>
      </w:r>
    </w:p>
    <w:p w14:paraId="02546867" w14:textId="77777777" w:rsidR="001024B3" w:rsidRPr="0060162F" w:rsidRDefault="001024B3" w:rsidP="001024B3">
      <w:pPr>
        <w:rPr>
          <w:rFonts w:ascii="Times" w:hAnsi="Times" w:cs="Times"/>
          <w:sz w:val="24"/>
          <w:szCs w:val="24"/>
        </w:rPr>
      </w:pPr>
    </w:p>
    <w:p w14:paraId="7B35E6FF" w14:textId="77777777" w:rsidR="001024B3" w:rsidRPr="0060162F" w:rsidRDefault="001024B3" w:rsidP="001024B3">
      <w:pPr>
        <w:keepNext/>
        <w:jc w:val="center"/>
        <w:rPr>
          <w:rFonts w:ascii="Times" w:hAnsi="Times"/>
        </w:rPr>
      </w:pPr>
      <w:r w:rsidRPr="0060162F">
        <w:rPr>
          <w:rFonts w:ascii="Times" w:eastAsiaTheme="minorHAnsi" w:hAnsi="Times" w:cs="Helvetica"/>
          <w:noProof/>
          <w:color w:val="auto"/>
          <w:sz w:val="24"/>
          <w:szCs w:val="24"/>
        </w:rPr>
        <w:lastRenderedPageBreak/>
        <w:drawing>
          <wp:inline distT="0" distB="0" distL="0" distR="0" wp14:anchorId="2C1519FE" wp14:editId="131E6E3F">
            <wp:extent cx="5486400" cy="5602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602222"/>
                    </a:xfrm>
                    <a:prstGeom prst="rect">
                      <a:avLst/>
                    </a:prstGeom>
                    <a:noFill/>
                    <a:ln>
                      <a:noFill/>
                    </a:ln>
                  </pic:spPr>
                </pic:pic>
              </a:graphicData>
            </a:graphic>
          </wp:inline>
        </w:drawing>
      </w:r>
    </w:p>
    <w:p w14:paraId="5DEBAB97" w14:textId="19EEC28A" w:rsidR="001024B3" w:rsidRPr="0060162F" w:rsidRDefault="001024B3" w:rsidP="00FA0A41">
      <w:pPr>
        <w:pStyle w:val="Caption"/>
        <w:jc w:val="both"/>
        <w:rPr>
          <w:rFonts w:ascii="Times" w:hAnsi="Times"/>
        </w:rPr>
      </w:pPr>
      <w:r w:rsidRPr="0060162F">
        <w:rPr>
          <w:rFonts w:ascii="Times" w:hAnsi="Times"/>
        </w:rPr>
        <w:t xml:space="preserve">Figure </w:t>
      </w:r>
      <w:r w:rsidR="008F4328">
        <w:rPr>
          <w:rFonts w:ascii="Times" w:hAnsi="Times"/>
        </w:rPr>
        <w:t>A</w:t>
      </w:r>
      <w:r w:rsidR="00771FEF" w:rsidRPr="0060162F">
        <w:rPr>
          <w:rFonts w:ascii="Times" w:hAnsi="Times"/>
        </w:rPr>
        <w:fldChar w:fldCharType="begin"/>
      </w:r>
      <w:r w:rsidR="00771FEF" w:rsidRPr="0060162F">
        <w:rPr>
          <w:rFonts w:ascii="Times" w:hAnsi="Times"/>
        </w:rPr>
        <w:instrText xml:space="preserve"> SEQ Figure \* ARABIC </w:instrText>
      </w:r>
      <w:r w:rsidR="00771FEF" w:rsidRPr="0060162F">
        <w:rPr>
          <w:rFonts w:ascii="Times" w:hAnsi="Times"/>
        </w:rPr>
        <w:fldChar w:fldCharType="separate"/>
      </w:r>
      <w:r w:rsidR="002B50BC">
        <w:rPr>
          <w:rFonts w:ascii="Times" w:hAnsi="Times"/>
          <w:noProof/>
        </w:rPr>
        <w:t>1</w:t>
      </w:r>
      <w:r w:rsidR="00771FEF" w:rsidRPr="0060162F">
        <w:rPr>
          <w:rFonts w:ascii="Times" w:hAnsi="Times"/>
          <w:noProof/>
        </w:rPr>
        <w:fldChar w:fldCharType="end"/>
      </w:r>
      <w:r w:rsidRPr="0060162F">
        <w:rPr>
          <w:rFonts w:ascii="Times" w:hAnsi="Times"/>
        </w:rPr>
        <w:t xml:space="preserve">: Relative change in the economic opportunity score for all countries from 2000 to 2011. The </w:t>
      </w:r>
      <w:r w:rsidR="00941547">
        <w:rPr>
          <w:rFonts w:ascii="Times" w:hAnsi="Times"/>
        </w:rPr>
        <w:t xml:space="preserve">x </w:t>
      </w:r>
      <w:r w:rsidRPr="0060162F">
        <w:rPr>
          <w:rFonts w:ascii="Times" w:hAnsi="Times"/>
        </w:rPr>
        <w:t xml:space="preserve">axis </w:t>
      </w:r>
      <w:r w:rsidR="00941547">
        <w:rPr>
          <w:rFonts w:ascii="Times" w:hAnsi="Times"/>
        </w:rPr>
        <w:t>represents a country’s year 2000</w:t>
      </w:r>
      <w:r w:rsidRPr="0060162F">
        <w:rPr>
          <w:rFonts w:ascii="Times" w:hAnsi="Times"/>
        </w:rPr>
        <w:t xml:space="preserve"> </w:t>
      </w:r>
      <w:r w:rsidR="00941547">
        <w:rPr>
          <w:rFonts w:ascii="Times" w:hAnsi="Times"/>
        </w:rPr>
        <w:t>score</w:t>
      </w:r>
      <w:r w:rsidRPr="0060162F">
        <w:rPr>
          <w:rFonts w:ascii="Times" w:hAnsi="Times"/>
        </w:rPr>
        <w:t>, while the y axis shows it’s ra</w:t>
      </w:r>
      <w:r w:rsidR="00992123">
        <w:rPr>
          <w:rFonts w:ascii="Times" w:hAnsi="Times"/>
        </w:rPr>
        <w:t>n</w:t>
      </w:r>
      <w:r w:rsidRPr="0060162F">
        <w:rPr>
          <w:rFonts w:ascii="Times" w:hAnsi="Times"/>
        </w:rPr>
        <w:t>king in 2011. Each point denotes an individual country. The green</w:t>
      </w:r>
      <w:r w:rsidR="00927F2C" w:rsidRPr="0060162F">
        <w:rPr>
          <w:rFonts w:ascii="Times" w:hAnsi="Times"/>
        </w:rPr>
        <w:t xml:space="preserve"> dotted</w:t>
      </w:r>
      <w:r w:rsidRPr="0060162F">
        <w:rPr>
          <w:rFonts w:ascii="Times" w:hAnsi="Times"/>
        </w:rPr>
        <w:t xml:space="preserve"> line is the </w:t>
      </w:r>
      <w:r w:rsidR="00992123">
        <w:rPr>
          <w:rFonts w:ascii="Times" w:hAnsi="Times"/>
        </w:rPr>
        <w:t>1:1 line (along which a country’</w:t>
      </w:r>
      <w:r w:rsidR="00941547">
        <w:rPr>
          <w:rFonts w:ascii="Times" w:hAnsi="Times"/>
        </w:rPr>
        <w:t xml:space="preserve">s relative rank in 2000 </w:t>
      </w:r>
      <w:r w:rsidR="00992123">
        <w:rPr>
          <w:rFonts w:ascii="Times" w:hAnsi="Times"/>
        </w:rPr>
        <w:t xml:space="preserve">is equal to its rank in 2011), </w:t>
      </w:r>
      <w:r w:rsidR="00927F2C" w:rsidRPr="0060162F">
        <w:rPr>
          <w:rFonts w:ascii="Times" w:hAnsi="Times"/>
        </w:rPr>
        <w:t xml:space="preserve">while the blue </w:t>
      </w:r>
      <w:r w:rsidR="00992123">
        <w:rPr>
          <w:rFonts w:ascii="Times" w:hAnsi="Times"/>
        </w:rPr>
        <w:t>line</w:t>
      </w:r>
      <w:r w:rsidRPr="0060162F">
        <w:rPr>
          <w:rFonts w:ascii="Times" w:hAnsi="Times"/>
        </w:rPr>
        <w:t xml:space="preserve"> </w:t>
      </w:r>
      <w:r w:rsidR="00992123">
        <w:rPr>
          <w:rFonts w:ascii="Times" w:hAnsi="Times"/>
        </w:rPr>
        <w:t>denotes the best</w:t>
      </w:r>
      <w:r w:rsidRPr="0060162F">
        <w:rPr>
          <w:rFonts w:ascii="Times" w:hAnsi="Times"/>
        </w:rPr>
        <w:t xml:space="preserve"> linear fit across all observations.</w:t>
      </w:r>
      <w:r w:rsidR="00C30B98" w:rsidRPr="0060162F">
        <w:rPr>
          <w:rFonts w:ascii="Times" w:hAnsi="Times"/>
        </w:rPr>
        <w:t xml:space="preserve"> Each panel shows the analysis for a given economic metric.</w:t>
      </w:r>
    </w:p>
    <w:p w14:paraId="3522A070" w14:textId="74EC20B6" w:rsidR="00FA0A41" w:rsidRPr="0060162F" w:rsidRDefault="00FA0A41" w:rsidP="00FA0A41">
      <w:pPr>
        <w:rPr>
          <w:rFonts w:ascii="Times" w:hAnsi="Times"/>
        </w:rPr>
      </w:pPr>
    </w:p>
    <w:p w14:paraId="21AFDEE7" w14:textId="73071643" w:rsidR="00773AF8" w:rsidRPr="0060162F" w:rsidRDefault="00773AF8" w:rsidP="00FA0A41">
      <w:pPr>
        <w:rPr>
          <w:rFonts w:ascii="Times" w:hAnsi="Times"/>
        </w:rPr>
      </w:pPr>
    </w:p>
    <w:p w14:paraId="71EDFA14" w14:textId="519FC747" w:rsidR="00773AF8" w:rsidRPr="0060162F" w:rsidRDefault="00773AF8" w:rsidP="00FA0A41">
      <w:pPr>
        <w:rPr>
          <w:rFonts w:ascii="Times" w:hAnsi="Times"/>
        </w:rPr>
      </w:pPr>
    </w:p>
    <w:p w14:paraId="79ACCBED" w14:textId="75183AD5" w:rsidR="00773AF8" w:rsidRPr="0060162F" w:rsidRDefault="00773AF8" w:rsidP="00FA0A41">
      <w:pPr>
        <w:rPr>
          <w:rFonts w:ascii="Times" w:hAnsi="Times"/>
        </w:rPr>
      </w:pPr>
    </w:p>
    <w:p w14:paraId="3D95E169" w14:textId="39F53F81" w:rsidR="00773AF8" w:rsidRDefault="00773AF8" w:rsidP="00FA0A41">
      <w:pPr>
        <w:rPr>
          <w:rFonts w:ascii="Times" w:hAnsi="Times"/>
        </w:rPr>
      </w:pPr>
    </w:p>
    <w:p w14:paraId="1CA87FF0" w14:textId="77777777" w:rsidR="00992123" w:rsidRDefault="00992123" w:rsidP="00FA0A41">
      <w:pPr>
        <w:rPr>
          <w:rFonts w:ascii="Times" w:hAnsi="Times"/>
        </w:rPr>
      </w:pPr>
    </w:p>
    <w:p w14:paraId="0740E652" w14:textId="77777777" w:rsidR="00992123" w:rsidRDefault="00992123" w:rsidP="00FA0A41">
      <w:pPr>
        <w:rPr>
          <w:rFonts w:ascii="Times" w:hAnsi="Times"/>
        </w:rPr>
      </w:pPr>
    </w:p>
    <w:p w14:paraId="77A9F2AF" w14:textId="77777777" w:rsidR="00941547" w:rsidRPr="0060162F" w:rsidRDefault="00941547" w:rsidP="00FA0A41">
      <w:pPr>
        <w:rPr>
          <w:rFonts w:ascii="Times" w:hAnsi="Times"/>
        </w:rPr>
      </w:pPr>
    </w:p>
    <w:p w14:paraId="6F70FC05" w14:textId="0E29FB45" w:rsidR="00773AF8" w:rsidRPr="0060162F" w:rsidRDefault="00773AF8" w:rsidP="00773AF8">
      <w:pPr>
        <w:pStyle w:val="Caption"/>
        <w:keepNext/>
        <w:jc w:val="both"/>
        <w:rPr>
          <w:rFonts w:ascii="Times" w:hAnsi="Times"/>
        </w:rPr>
      </w:pPr>
      <w:r w:rsidRPr="0060162F">
        <w:rPr>
          <w:rFonts w:ascii="Times" w:hAnsi="Times"/>
        </w:rPr>
        <w:lastRenderedPageBreak/>
        <w:t xml:space="preserve">Table </w:t>
      </w:r>
      <w:r w:rsidR="008F4328">
        <w:rPr>
          <w:rFonts w:ascii="Times" w:hAnsi="Times"/>
        </w:rPr>
        <w:t>A</w:t>
      </w:r>
      <w:r w:rsidR="00771FEF" w:rsidRPr="0060162F">
        <w:rPr>
          <w:rFonts w:ascii="Times" w:hAnsi="Times"/>
        </w:rPr>
        <w:fldChar w:fldCharType="begin"/>
      </w:r>
      <w:r w:rsidR="00771FEF" w:rsidRPr="0060162F">
        <w:rPr>
          <w:rFonts w:ascii="Times" w:hAnsi="Times"/>
        </w:rPr>
        <w:instrText xml:space="preserve"> SEQ Table \* ARABIC </w:instrText>
      </w:r>
      <w:r w:rsidR="00771FEF" w:rsidRPr="0060162F">
        <w:rPr>
          <w:rFonts w:ascii="Times" w:hAnsi="Times"/>
        </w:rPr>
        <w:fldChar w:fldCharType="separate"/>
      </w:r>
      <w:r w:rsidR="002B50BC">
        <w:rPr>
          <w:rFonts w:ascii="Times" w:hAnsi="Times"/>
          <w:noProof/>
        </w:rPr>
        <w:t>1</w:t>
      </w:r>
      <w:r w:rsidR="00771FEF" w:rsidRPr="0060162F">
        <w:rPr>
          <w:rFonts w:ascii="Times" w:hAnsi="Times"/>
          <w:noProof/>
        </w:rPr>
        <w:fldChar w:fldCharType="end"/>
      </w:r>
      <w:r w:rsidRPr="0060162F">
        <w:rPr>
          <w:rFonts w:ascii="Times" w:hAnsi="Times"/>
        </w:rPr>
        <w:t xml:space="preserve">: Kendall’s </w:t>
      </w:r>
      <w:r w:rsidR="00992123">
        <w:rPr>
          <w:rFonts w:ascii="Times" w:hAnsi="Times"/>
        </w:rPr>
        <w:t>W</w:t>
      </w:r>
      <w:r w:rsidRPr="0060162F">
        <w:rPr>
          <w:rFonts w:ascii="Times" w:hAnsi="Times"/>
        </w:rPr>
        <w:t xml:space="preserve"> test for </w:t>
      </w:r>
      <w:r w:rsidR="00992123">
        <w:rPr>
          <w:rFonts w:ascii="Times" w:hAnsi="Times"/>
        </w:rPr>
        <w:t xml:space="preserve">rank </w:t>
      </w:r>
      <w:r w:rsidRPr="0060162F">
        <w:rPr>
          <w:rFonts w:ascii="Times" w:hAnsi="Times"/>
        </w:rPr>
        <w:t>concordance across economic opportunity metrics and scores</w:t>
      </w:r>
      <w:r w:rsidR="00941547">
        <w:rPr>
          <w:rFonts w:ascii="Times" w:hAnsi="Times"/>
        </w:rPr>
        <w:t>, between pairs of data years</w:t>
      </w:r>
      <w:r w:rsidRPr="0060162F">
        <w:rPr>
          <w:rFonts w:ascii="Times" w:hAnsi="Times"/>
        </w:rPr>
        <w:t xml:space="preserve">. Kendall’s W </w:t>
      </w:r>
      <w:r w:rsidR="00941547">
        <w:rPr>
          <w:rFonts w:ascii="Times" w:hAnsi="Times"/>
        </w:rPr>
        <w:t xml:space="preserve">statistic </w:t>
      </w:r>
      <w:r w:rsidRPr="0060162F">
        <w:rPr>
          <w:rFonts w:ascii="Times" w:hAnsi="Times"/>
        </w:rPr>
        <w:t xml:space="preserve">ranges from zero to one, with one </w:t>
      </w:r>
      <w:r w:rsidR="00941547">
        <w:rPr>
          <w:rFonts w:ascii="Times" w:hAnsi="Times"/>
        </w:rPr>
        <w:t xml:space="preserve">indicating </w:t>
      </w:r>
      <w:r w:rsidRPr="0060162F">
        <w:rPr>
          <w:rFonts w:ascii="Times" w:hAnsi="Times"/>
        </w:rPr>
        <w:t xml:space="preserve">complete concordance and zero being complete </w:t>
      </w:r>
      <w:r w:rsidR="00941547">
        <w:rPr>
          <w:rFonts w:ascii="Times" w:hAnsi="Times"/>
        </w:rPr>
        <w:t>disagreement</w:t>
      </w:r>
      <w:r w:rsidRPr="0060162F">
        <w:rPr>
          <w:rFonts w:ascii="Times" w:hAnsi="Times"/>
        </w:rPr>
        <w:t>. Significant P-values indicate concordance.</w:t>
      </w:r>
    </w:p>
    <w:tbl>
      <w:tblPr>
        <w:tblW w:w="9386" w:type="dxa"/>
        <w:tblInd w:w="-30" w:type="dxa"/>
        <w:tblLayout w:type="fixed"/>
        <w:tblCellMar>
          <w:left w:w="30" w:type="dxa"/>
          <w:right w:w="30" w:type="dxa"/>
        </w:tblCellMar>
        <w:tblLook w:val="0000" w:firstRow="0" w:lastRow="0" w:firstColumn="0" w:lastColumn="0" w:noHBand="0" w:noVBand="0"/>
      </w:tblPr>
      <w:tblGrid>
        <w:gridCol w:w="2123"/>
        <w:gridCol w:w="1210"/>
        <w:gridCol w:w="1211"/>
        <w:gridCol w:w="1210"/>
        <w:gridCol w:w="1211"/>
        <w:gridCol w:w="1210"/>
        <w:gridCol w:w="1211"/>
      </w:tblGrid>
      <w:tr w:rsidR="00773AF8" w:rsidRPr="0060162F" w14:paraId="48D6310B" w14:textId="77777777" w:rsidTr="00F8638B">
        <w:trPr>
          <w:trHeight w:val="329"/>
        </w:trPr>
        <w:tc>
          <w:tcPr>
            <w:tcW w:w="2123" w:type="dxa"/>
            <w:tcBorders>
              <w:top w:val="nil"/>
              <w:left w:val="nil"/>
              <w:bottom w:val="nil"/>
              <w:right w:val="nil"/>
            </w:tcBorders>
          </w:tcPr>
          <w:p w14:paraId="0FF05854" w14:textId="77777777" w:rsidR="00773AF8" w:rsidRPr="0060162F" w:rsidRDefault="00773AF8">
            <w:pPr>
              <w:autoSpaceDE w:val="0"/>
              <w:autoSpaceDN w:val="0"/>
              <w:adjustRightInd w:val="0"/>
              <w:spacing w:line="240" w:lineRule="auto"/>
              <w:jc w:val="right"/>
              <w:rPr>
                <w:rFonts w:ascii="Times" w:eastAsiaTheme="minorHAnsi" w:hAnsi="Times" w:cs="Calibri"/>
                <w:sz w:val="20"/>
                <w:szCs w:val="20"/>
              </w:rPr>
            </w:pPr>
          </w:p>
        </w:tc>
        <w:tc>
          <w:tcPr>
            <w:tcW w:w="2421" w:type="dxa"/>
            <w:gridSpan w:val="2"/>
            <w:tcBorders>
              <w:top w:val="nil"/>
              <w:left w:val="nil"/>
              <w:bottom w:val="single" w:sz="12" w:space="0" w:color="auto"/>
              <w:right w:val="nil"/>
            </w:tcBorders>
          </w:tcPr>
          <w:p w14:paraId="127959AC"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2000-2005</w:t>
            </w:r>
          </w:p>
        </w:tc>
        <w:tc>
          <w:tcPr>
            <w:tcW w:w="2421" w:type="dxa"/>
            <w:gridSpan w:val="2"/>
            <w:tcBorders>
              <w:top w:val="nil"/>
              <w:left w:val="nil"/>
              <w:bottom w:val="single" w:sz="12" w:space="0" w:color="auto"/>
              <w:right w:val="nil"/>
            </w:tcBorders>
          </w:tcPr>
          <w:p w14:paraId="2FE7D4E7"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2000-2011</w:t>
            </w:r>
          </w:p>
        </w:tc>
        <w:tc>
          <w:tcPr>
            <w:tcW w:w="2421" w:type="dxa"/>
            <w:gridSpan w:val="2"/>
            <w:tcBorders>
              <w:top w:val="nil"/>
              <w:left w:val="nil"/>
              <w:bottom w:val="single" w:sz="12" w:space="0" w:color="auto"/>
              <w:right w:val="nil"/>
            </w:tcBorders>
          </w:tcPr>
          <w:p w14:paraId="766DC0BA"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2005-2011</w:t>
            </w:r>
          </w:p>
        </w:tc>
      </w:tr>
      <w:tr w:rsidR="00773AF8" w:rsidRPr="0060162F" w14:paraId="052798A5" w14:textId="77777777" w:rsidTr="00F8638B">
        <w:trPr>
          <w:trHeight w:val="329"/>
        </w:trPr>
        <w:tc>
          <w:tcPr>
            <w:tcW w:w="2123" w:type="dxa"/>
            <w:tcBorders>
              <w:top w:val="nil"/>
              <w:left w:val="nil"/>
              <w:bottom w:val="double" w:sz="6" w:space="0" w:color="auto"/>
              <w:right w:val="nil"/>
            </w:tcBorders>
          </w:tcPr>
          <w:p w14:paraId="5C245A2C" w14:textId="77777777" w:rsidR="00773AF8" w:rsidRPr="0060162F" w:rsidRDefault="00773AF8">
            <w:pPr>
              <w:autoSpaceDE w:val="0"/>
              <w:autoSpaceDN w:val="0"/>
              <w:adjustRightInd w:val="0"/>
              <w:spacing w:line="240" w:lineRule="auto"/>
              <w:rPr>
                <w:rFonts w:ascii="Times" w:eastAsiaTheme="minorHAnsi" w:hAnsi="Times" w:cs="Calibri"/>
                <w:b/>
                <w:bCs/>
                <w:sz w:val="20"/>
                <w:szCs w:val="20"/>
              </w:rPr>
            </w:pPr>
            <w:r w:rsidRPr="0060162F">
              <w:rPr>
                <w:rFonts w:ascii="Times" w:eastAsiaTheme="minorHAnsi" w:hAnsi="Times" w:cs="Calibri"/>
                <w:b/>
                <w:bCs/>
                <w:sz w:val="20"/>
                <w:szCs w:val="20"/>
              </w:rPr>
              <w:t>Item</w:t>
            </w:r>
          </w:p>
        </w:tc>
        <w:tc>
          <w:tcPr>
            <w:tcW w:w="1210" w:type="dxa"/>
            <w:tcBorders>
              <w:top w:val="nil"/>
              <w:left w:val="nil"/>
              <w:bottom w:val="double" w:sz="6" w:space="0" w:color="auto"/>
              <w:right w:val="nil"/>
            </w:tcBorders>
          </w:tcPr>
          <w:p w14:paraId="79A42864"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Kendall's W</w:t>
            </w:r>
          </w:p>
        </w:tc>
        <w:tc>
          <w:tcPr>
            <w:tcW w:w="1210" w:type="dxa"/>
            <w:tcBorders>
              <w:top w:val="nil"/>
              <w:left w:val="nil"/>
              <w:bottom w:val="double" w:sz="6" w:space="0" w:color="auto"/>
              <w:right w:val="nil"/>
            </w:tcBorders>
          </w:tcPr>
          <w:p w14:paraId="29AE7F70"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P-value</w:t>
            </w:r>
          </w:p>
        </w:tc>
        <w:tc>
          <w:tcPr>
            <w:tcW w:w="1210" w:type="dxa"/>
            <w:tcBorders>
              <w:top w:val="nil"/>
              <w:left w:val="nil"/>
              <w:bottom w:val="double" w:sz="6" w:space="0" w:color="auto"/>
              <w:right w:val="nil"/>
            </w:tcBorders>
          </w:tcPr>
          <w:p w14:paraId="265BAFF3"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Kendall's W</w:t>
            </w:r>
          </w:p>
        </w:tc>
        <w:tc>
          <w:tcPr>
            <w:tcW w:w="1210" w:type="dxa"/>
            <w:tcBorders>
              <w:top w:val="nil"/>
              <w:left w:val="nil"/>
              <w:bottom w:val="double" w:sz="6" w:space="0" w:color="auto"/>
              <w:right w:val="nil"/>
            </w:tcBorders>
          </w:tcPr>
          <w:p w14:paraId="2679C2F6"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P-value</w:t>
            </w:r>
          </w:p>
        </w:tc>
        <w:tc>
          <w:tcPr>
            <w:tcW w:w="1210" w:type="dxa"/>
            <w:tcBorders>
              <w:top w:val="nil"/>
              <w:left w:val="nil"/>
              <w:bottom w:val="double" w:sz="6" w:space="0" w:color="auto"/>
              <w:right w:val="nil"/>
            </w:tcBorders>
          </w:tcPr>
          <w:p w14:paraId="28392E5C"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Kendall's W</w:t>
            </w:r>
          </w:p>
        </w:tc>
        <w:tc>
          <w:tcPr>
            <w:tcW w:w="1210" w:type="dxa"/>
            <w:tcBorders>
              <w:top w:val="nil"/>
              <w:left w:val="nil"/>
              <w:bottom w:val="double" w:sz="6" w:space="0" w:color="auto"/>
              <w:right w:val="nil"/>
            </w:tcBorders>
          </w:tcPr>
          <w:p w14:paraId="34B454D7" w14:textId="77777777" w:rsidR="00773AF8" w:rsidRPr="0060162F" w:rsidRDefault="00773AF8">
            <w:pPr>
              <w:autoSpaceDE w:val="0"/>
              <w:autoSpaceDN w:val="0"/>
              <w:adjustRightInd w:val="0"/>
              <w:spacing w:line="240" w:lineRule="auto"/>
              <w:jc w:val="center"/>
              <w:rPr>
                <w:rFonts w:ascii="Times" w:eastAsiaTheme="minorHAnsi" w:hAnsi="Times" w:cs="Calibri"/>
                <w:b/>
                <w:bCs/>
                <w:sz w:val="20"/>
                <w:szCs w:val="20"/>
              </w:rPr>
            </w:pPr>
            <w:r w:rsidRPr="0060162F">
              <w:rPr>
                <w:rFonts w:ascii="Times" w:eastAsiaTheme="minorHAnsi" w:hAnsi="Times" w:cs="Calibri"/>
                <w:b/>
                <w:bCs/>
                <w:sz w:val="20"/>
                <w:szCs w:val="20"/>
              </w:rPr>
              <w:t>P-value</w:t>
            </w:r>
          </w:p>
        </w:tc>
      </w:tr>
      <w:tr w:rsidR="00773AF8" w:rsidRPr="0060162F" w14:paraId="6EA69257" w14:textId="77777777" w:rsidTr="00F8638B">
        <w:trPr>
          <w:trHeight w:val="329"/>
        </w:trPr>
        <w:tc>
          <w:tcPr>
            <w:tcW w:w="2123" w:type="dxa"/>
            <w:tcBorders>
              <w:top w:val="double" w:sz="6" w:space="0" w:color="auto"/>
              <w:left w:val="nil"/>
              <w:bottom w:val="nil"/>
              <w:right w:val="nil"/>
            </w:tcBorders>
          </w:tcPr>
          <w:p w14:paraId="5B17B1EE"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GDP per capita</w:t>
            </w:r>
          </w:p>
        </w:tc>
        <w:tc>
          <w:tcPr>
            <w:tcW w:w="1210" w:type="dxa"/>
            <w:tcBorders>
              <w:top w:val="double" w:sz="6" w:space="0" w:color="auto"/>
              <w:left w:val="nil"/>
              <w:bottom w:val="nil"/>
              <w:right w:val="nil"/>
            </w:tcBorders>
          </w:tcPr>
          <w:p w14:paraId="3711D5F2"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0.994</w:t>
            </w:r>
          </w:p>
        </w:tc>
        <w:tc>
          <w:tcPr>
            <w:tcW w:w="1210" w:type="dxa"/>
            <w:tcBorders>
              <w:top w:val="double" w:sz="6" w:space="0" w:color="auto"/>
              <w:left w:val="nil"/>
              <w:bottom w:val="nil"/>
              <w:right w:val="nil"/>
            </w:tcBorders>
          </w:tcPr>
          <w:p w14:paraId="424980A0"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2.88E-09</w:t>
            </w:r>
          </w:p>
        </w:tc>
        <w:tc>
          <w:tcPr>
            <w:tcW w:w="1210" w:type="dxa"/>
            <w:tcBorders>
              <w:top w:val="double" w:sz="6" w:space="0" w:color="auto"/>
              <w:left w:val="nil"/>
              <w:bottom w:val="nil"/>
              <w:right w:val="nil"/>
            </w:tcBorders>
          </w:tcPr>
          <w:p w14:paraId="18D8608E"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0.983</w:t>
            </w:r>
          </w:p>
        </w:tc>
        <w:tc>
          <w:tcPr>
            <w:tcW w:w="1210" w:type="dxa"/>
            <w:tcBorders>
              <w:top w:val="double" w:sz="6" w:space="0" w:color="auto"/>
              <w:left w:val="nil"/>
              <w:bottom w:val="nil"/>
              <w:right w:val="nil"/>
            </w:tcBorders>
          </w:tcPr>
          <w:p w14:paraId="3FFCE6AD"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5.43E-09</w:t>
            </w:r>
          </w:p>
        </w:tc>
        <w:tc>
          <w:tcPr>
            <w:tcW w:w="1210" w:type="dxa"/>
            <w:tcBorders>
              <w:top w:val="double" w:sz="6" w:space="0" w:color="auto"/>
              <w:left w:val="nil"/>
              <w:bottom w:val="nil"/>
              <w:right w:val="nil"/>
            </w:tcBorders>
          </w:tcPr>
          <w:p w14:paraId="642A5270"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0.991</w:t>
            </w:r>
          </w:p>
        </w:tc>
        <w:tc>
          <w:tcPr>
            <w:tcW w:w="1210" w:type="dxa"/>
            <w:tcBorders>
              <w:top w:val="double" w:sz="6" w:space="0" w:color="auto"/>
              <w:left w:val="nil"/>
              <w:bottom w:val="nil"/>
              <w:right w:val="nil"/>
            </w:tcBorders>
          </w:tcPr>
          <w:p w14:paraId="46A9797D"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3.52E-09</w:t>
            </w:r>
          </w:p>
        </w:tc>
      </w:tr>
      <w:tr w:rsidR="00773AF8" w:rsidRPr="0060162F" w14:paraId="1A54795B" w14:textId="77777777" w:rsidTr="00F8638B">
        <w:trPr>
          <w:trHeight w:val="308"/>
        </w:trPr>
        <w:tc>
          <w:tcPr>
            <w:tcW w:w="2123" w:type="dxa"/>
            <w:tcBorders>
              <w:top w:val="nil"/>
              <w:left w:val="nil"/>
              <w:bottom w:val="nil"/>
              <w:right w:val="nil"/>
            </w:tcBorders>
          </w:tcPr>
          <w:p w14:paraId="0748FCF5"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Production Ratio</w:t>
            </w:r>
          </w:p>
        </w:tc>
        <w:tc>
          <w:tcPr>
            <w:tcW w:w="1210" w:type="dxa"/>
            <w:tcBorders>
              <w:top w:val="nil"/>
              <w:left w:val="nil"/>
              <w:bottom w:val="nil"/>
              <w:right w:val="nil"/>
            </w:tcBorders>
          </w:tcPr>
          <w:p w14:paraId="161D0578"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0.942</w:t>
            </w:r>
          </w:p>
        </w:tc>
        <w:tc>
          <w:tcPr>
            <w:tcW w:w="1210" w:type="dxa"/>
            <w:tcBorders>
              <w:top w:val="nil"/>
              <w:left w:val="nil"/>
              <w:bottom w:val="nil"/>
              <w:right w:val="nil"/>
            </w:tcBorders>
          </w:tcPr>
          <w:p w14:paraId="7267847D"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7.10E-07</w:t>
            </w:r>
          </w:p>
        </w:tc>
        <w:tc>
          <w:tcPr>
            <w:tcW w:w="1210" w:type="dxa"/>
            <w:tcBorders>
              <w:top w:val="nil"/>
              <w:left w:val="nil"/>
              <w:bottom w:val="nil"/>
              <w:right w:val="nil"/>
            </w:tcBorders>
          </w:tcPr>
          <w:p w14:paraId="08529C96"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0.931</w:t>
            </w:r>
          </w:p>
        </w:tc>
        <w:tc>
          <w:tcPr>
            <w:tcW w:w="1210" w:type="dxa"/>
            <w:tcBorders>
              <w:top w:val="nil"/>
              <w:left w:val="nil"/>
              <w:bottom w:val="nil"/>
              <w:right w:val="nil"/>
            </w:tcBorders>
          </w:tcPr>
          <w:p w14:paraId="644DCCA1"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1.15E-06</w:t>
            </w:r>
          </w:p>
        </w:tc>
        <w:tc>
          <w:tcPr>
            <w:tcW w:w="1210" w:type="dxa"/>
            <w:tcBorders>
              <w:top w:val="nil"/>
              <w:left w:val="nil"/>
              <w:bottom w:val="nil"/>
              <w:right w:val="nil"/>
            </w:tcBorders>
          </w:tcPr>
          <w:p w14:paraId="17B027CA"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0.965</w:t>
            </w:r>
          </w:p>
        </w:tc>
        <w:tc>
          <w:tcPr>
            <w:tcW w:w="1210" w:type="dxa"/>
            <w:tcBorders>
              <w:top w:val="nil"/>
              <w:left w:val="nil"/>
              <w:bottom w:val="nil"/>
              <w:right w:val="nil"/>
            </w:tcBorders>
          </w:tcPr>
          <w:p w14:paraId="5BF3280E"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2.56E-07</w:t>
            </w:r>
          </w:p>
        </w:tc>
      </w:tr>
      <w:tr w:rsidR="00773AF8" w:rsidRPr="0060162F" w14:paraId="731B2E27" w14:textId="77777777" w:rsidTr="00F8638B">
        <w:trPr>
          <w:trHeight w:val="308"/>
        </w:trPr>
        <w:tc>
          <w:tcPr>
            <w:tcW w:w="2123" w:type="dxa"/>
            <w:tcBorders>
              <w:top w:val="nil"/>
              <w:left w:val="nil"/>
              <w:bottom w:val="nil"/>
              <w:right w:val="nil"/>
            </w:tcBorders>
          </w:tcPr>
          <w:p w14:paraId="35C04A7C"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Trade Balance (Q)</w:t>
            </w:r>
          </w:p>
        </w:tc>
        <w:tc>
          <w:tcPr>
            <w:tcW w:w="1210" w:type="dxa"/>
            <w:tcBorders>
              <w:top w:val="nil"/>
              <w:left w:val="nil"/>
              <w:bottom w:val="nil"/>
              <w:right w:val="nil"/>
            </w:tcBorders>
          </w:tcPr>
          <w:p w14:paraId="2CF65A41"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0.948</w:t>
            </w:r>
          </w:p>
        </w:tc>
        <w:tc>
          <w:tcPr>
            <w:tcW w:w="1210" w:type="dxa"/>
            <w:tcBorders>
              <w:top w:val="nil"/>
              <w:left w:val="nil"/>
              <w:bottom w:val="nil"/>
              <w:right w:val="nil"/>
            </w:tcBorders>
          </w:tcPr>
          <w:p w14:paraId="01F135FA"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2.24E-08</w:t>
            </w:r>
          </w:p>
        </w:tc>
        <w:tc>
          <w:tcPr>
            <w:tcW w:w="1210" w:type="dxa"/>
            <w:tcBorders>
              <w:top w:val="nil"/>
              <w:left w:val="nil"/>
              <w:bottom w:val="nil"/>
              <w:right w:val="nil"/>
            </w:tcBorders>
          </w:tcPr>
          <w:p w14:paraId="1DB05A71"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0.948</w:t>
            </w:r>
          </w:p>
        </w:tc>
        <w:tc>
          <w:tcPr>
            <w:tcW w:w="1210" w:type="dxa"/>
            <w:tcBorders>
              <w:top w:val="nil"/>
              <w:left w:val="nil"/>
              <w:bottom w:val="nil"/>
              <w:right w:val="nil"/>
            </w:tcBorders>
          </w:tcPr>
          <w:p w14:paraId="118A5163"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2.27E-08</w:t>
            </w:r>
          </w:p>
        </w:tc>
        <w:tc>
          <w:tcPr>
            <w:tcW w:w="1210" w:type="dxa"/>
            <w:tcBorders>
              <w:top w:val="nil"/>
              <w:left w:val="nil"/>
              <w:bottom w:val="nil"/>
              <w:right w:val="nil"/>
            </w:tcBorders>
          </w:tcPr>
          <w:p w14:paraId="0260ED27"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0.954</w:t>
            </w:r>
          </w:p>
        </w:tc>
        <w:tc>
          <w:tcPr>
            <w:tcW w:w="1210" w:type="dxa"/>
            <w:tcBorders>
              <w:top w:val="nil"/>
              <w:left w:val="nil"/>
              <w:bottom w:val="nil"/>
              <w:right w:val="nil"/>
            </w:tcBorders>
          </w:tcPr>
          <w:p w14:paraId="5B76AEC2"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1.56E-08</w:t>
            </w:r>
          </w:p>
        </w:tc>
      </w:tr>
      <w:tr w:rsidR="00773AF8" w:rsidRPr="0060162F" w14:paraId="7F168F10" w14:textId="77777777" w:rsidTr="00F8638B">
        <w:trPr>
          <w:trHeight w:val="308"/>
        </w:trPr>
        <w:tc>
          <w:tcPr>
            <w:tcW w:w="2123" w:type="dxa"/>
            <w:tcBorders>
              <w:top w:val="nil"/>
              <w:left w:val="nil"/>
              <w:bottom w:val="nil"/>
              <w:right w:val="nil"/>
            </w:tcBorders>
          </w:tcPr>
          <w:p w14:paraId="74C691AA"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Trade Balance (V)</w:t>
            </w:r>
          </w:p>
        </w:tc>
        <w:tc>
          <w:tcPr>
            <w:tcW w:w="1210" w:type="dxa"/>
            <w:tcBorders>
              <w:top w:val="nil"/>
              <w:left w:val="nil"/>
              <w:bottom w:val="nil"/>
              <w:right w:val="nil"/>
            </w:tcBorders>
          </w:tcPr>
          <w:p w14:paraId="00CF1E93"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0.969</w:t>
            </w:r>
          </w:p>
        </w:tc>
        <w:tc>
          <w:tcPr>
            <w:tcW w:w="1210" w:type="dxa"/>
            <w:tcBorders>
              <w:top w:val="nil"/>
              <w:left w:val="nil"/>
              <w:bottom w:val="nil"/>
              <w:right w:val="nil"/>
            </w:tcBorders>
          </w:tcPr>
          <w:p w14:paraId="24D48B9A"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6.94E-09</w:t>
            </w:r>
          </w:p>
        </w:tc>
        <w:tc>
          <w:tcPr>
            <w:tcW w:w="1210" w:type="dxa"/>
            <w:tcBorders>
              <w:top w:val="nil"/>
              <w:left w:val="nil"/>
              <w:bottom w:val="nil"/>
              <w:right w:val="nil"/>
            </w:tcBorders>
          </w:tcPr>
          <w:p w14:paraId="08FC4E25"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0.944</w:t>
            </w:r>
          </w:p>
        </w:tc>
        <w:tc>
          <w:tcPr>
            <w:tcW w:w="1210" w:type="dxa"/>
            <w:tcBorders>
              <w:top w:val="nil"/>
              <w:left w:val="nil"/>
              <w:bottom w:val="nil"/>
              <w:right w:val="nil"/>
            </w:tcBorders>
          </w:tcPr>
          <w:p w14:paraId="524E8D16"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2.78E-08</w:t>
            </w:r>
          </w:p>
        </w:tc>
        <w:tc>
          <w:tcPr>
            <w:tcW w:w="1210" w:type="dxa"/>
            <w:tcBorders>
              <w:top w:val="nil"/>
              <w:left w:val="nil"/>
              <w:bottom w:val="nil"/>
              <w:right w:val="nil"/>
            </w:tcBorders>
          </w:tcPr>
          <w:p w14:paraId="2A876A8F"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0.958</w:t>
            </w:r>
          </w:p>
        </w:tc>
        <w:tc>
          <w:tcPr>
            <w:tcW w:w="1210" w:type="dxa"/>
            <w:tcBorders>
              <w:top w:val="nil"/>
              <w:left w:val="nil"/>
              <w:bottom w:val="nil"/>
              <w:right w:val="nil"/>
            </w:tcBorders>
          </w:tcPr>
          <w:p w14:paraId="280FBEC7"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1.28E-08</w:t>
            </w:r>
          </w:p>
        </w:tc>
      </w:tr>
      <w:tr w:rsidR="00773AF8" w:rsidRPr="0060162F" w14:paraId="7D1132EE" w14:textId="77777777" w:rsidTr="00F8638B">
        <w:trPr>
          <w:trHeight w:val="308"/>
        </w:trPr>
        <w:tc>
          <w:tcPr>
            <w:tcW w:w="2123" w:type="dxa"/>
            <w:tcBorders>
              <w:top w:val="nil"/>
              <w:left w:val="nil"/>
              <w:bottom w:val="single" w:sz="6" w:space="0" w:color="auto"/>
              <w:right w:val="nil"/>
            </w:tcBorders>
          </w:tcPr>
          <w:p w14:paraId="1F7B508D"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Willingness to Pay</w:t>
            </w:r>
          </w:p>
        </w:tc>
        <w:tc>
          <w:tcPr>
            <w:tcW w:w="1210" w:type="dxa"/>
            <w:tcBorders>
              <w:top w:val="nil"/>
              <w:left w:val="nil"/>
              <w:bottom w:val="single" w:sz="6" w:space="0" w:color="auto"/>
              <w:right w:val="nil"/>
            </w:tcBorders>
          </w:tcPr>
          <w:p w14:paraId="58CDEEE3"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0.953</w:t>
            </w:r>
          </w:p>
        </w:tc>
        <w:tc>
          <w:tcPr>
            <w:tcW w:w="1210" w:type="dxa"/>
            <w:tcBorders>
              <w:top w:val="nil"/>
              <w:left w:val="nil"/>
              <w:bottom w:val="single" w:sz="6" w:space="0" w:color="auto"/>
              <w:right w:val="nil"/>
            </w:tcBorders>
          </w:tcPr>
          <w:p w14:paraId="6F52671C"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2.85E-08</w:t>
            </w:r>
          </w:p>
        </w:tc>
        <w:tc>
          <w:tcPr>
            <w:tcW w:w="1210" w:type="dxa"/>
            <w:tcBorders>
              <w:top w:val="nil"/>
              <w:left w:val="nil"/>
              <w:bottom w:val="single" w:sz="6" w:space="0" w:color="auto"/>
              <w:right w:val="nil"/>
            </w:tcBorders>
          </w:tcPr>
          <w:p w14:paraId="474A858C"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0.906</w:t>
            </w:r>
          </w:p>
        </w:tc>
        <w:tc>
          <w:tcPr>
            <w:tcW w:w="1210" w:type="dxa"/>
            <w:tcBorders>
              <w:top w:val="nil"/>
              <w:left w:val="nil"/>
              <w:bottom w:val="single" w:sz="6" w:space="0" w:color="auto"/>
              <w:right w:val="nil"/>
            </w:tcBorders>
          </w:tcPr>
          <w:p w14:paraId="10F226C0"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3.55E-07</w:t>
            </w:r>
          </w:p>
        </w:tc>
        <w:tc>
          <w:tcPr>
            <w:tcW w:w="1210" w:type="dxa"/>
            <w:tcBorders>
              <w:top w:val="nil"/>
              <w:left w:val="nil"/>
              <w:bottom w:val="single" w:sz="6" w:space="0" w:color="auto"/>
              <w:right w:val="nil"/>
            </w:tcBorders>
          </w:tcPr>
          <w:p w14:paraId="34C553E4"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0.953</w:t>
            </w:r>
          </w:p>
        </w:tc>
        <w:tc>
          <w:tcPr>
            <w:tcW w:w="1210" w:type="dxa"/>
            <w:tcBorders>
              <w:top w:val="nil"/>
              <w:left w:val="nil"/>
              <w:bottom w:val="single" w:sz="6" w:space="0" w:color="auto"/>
              <w:right w:val="nil"/>
            </w:tcBorders>
          </w:tcPr>
          <w:p w14:paraId="113017E4"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2.93E-08</w:t>
            </w:r>
          </w:p>
        </w:tc>
      </w:tr>
      <w:tr w:rsidR="00773AF8" w:rsidRPr="0060162F" w14:paraId="609411D1" w14:textId="77777777" w:rsidTr="00F8638B">
        <w:trPr>
          <w:trHeight w:val="329"/>
        </w:trPr>
        <w:tc>
          <w:tcPr>
            <w:tcW w:w="2123" w:type="dxa"/>
            <w:tcBorders>
              <w:top w:val="single" w:sz="6" w:space="0" w:color="auto"/>
              <w:left w:val="nil"/>
              <w:bottom w:val="single" w:sz="12" w:space="0" w:color="auto"/>
              <w:right w:val="nil"/>
            </w:tcBorders>
          </w:tcPr>
          <w:p w14:paraId="17DBE201" w14:textId="77777777" w:rsidR="00773AF8" w:rsidRPr="0060162F" w:rsidRDefault="00773AF8">
            <w:pPr>
              <w:autoSpaceDE w:val="0"/>
              <w:autoSpaceDN w:val="0"/>
              <w:adjustRightInd w:val="0"/>
              <w:spacing w:line="240" w:lineRule="auto"/>
              <w:rPr>
                <w:rFonts w:ascii="Times" w:eastAsiaTheme="minorHAnsi" w:hAnsi="Times" w:cs="Calibri"/>
                <w:sz w:val="20"/>
                <w:szCs w:val="20"/>
              </w:rPr>
            </w:pPr>
            <w:r w:rsidRPr="0060162F">
              <w:rPr>
                <w:rFonts w:ascii="Times" w:eastAsiaTheme="minorHAnsi" w:hAnsi="Times" w:cs="Calibri"/>
                <w:sz w:val="20"/>
                <w:szCs w:val="20"/>
              </w:rPr>
              <w:t>Economic opportunity</w:t>
            </w:r>
          </w:p>
        </w:tc>
        <w:tc>
          <w:tcPr>
            <w:tcW w:w="1210" w:type="dxa"/>
            <w:tcBorders>
              <w:top w:val="single" w:sz="6" w:space="0" w:color="auto"/>
              <w:left w:val="nil"/>
              <w:bottom w:val="single" w:sz="12" w:space="0" w:color="auto"/>
              <w:right w:val="nil"/>
            </w:tcBorders>
          </w:tcPr>
          <w:p w14:paraId="6979F87B"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0.945</w:t>
            </w:r>
          </w:p>
        </w:tc>
        <w:tc>
          <w:tcPr>
            <w:tcW w:w="1210" w:type="dxa"/>
            <w:tcBorders>
              <w:top w:val="single" w:sz="6" w:space="0" w:color="auto"/>
              <w:left w:val="nil"/>
              <w:bottom w:val="single" w:sz="12" w:space="0" w:color="auto"/>
              <w:right w:val="nil"/>
            </w:tcBorders>
          </w:tcPr>
          <w:p w14:paraId="073E88C3"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2.34E-08</w:t>
            </w:r>
          </w:p>
        </w:tc>
        <w:tc>
          <w:tcPr>
            <w:tcW w:w="1210" w:type="dxa"/>
            <w:tcBorders>
              <w:top w:val="single" w:sz="6" w:space="0" w:color="auto"/>
              <w:left w:val="nil"/>
              <w:bottom w:val="single" w:sz="12" w:space="0" w:color="auto"/>
              <w:right w:val="nil"/>
            </w:tcBorders>
          </w:tcPr>
          <w:p w14:paraId="051160E8"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0.938</w:t>
            </w:r>
          </w:p>
        </w:tc>
        <w:tc>
          <w:tcPr>
            <w:tcW w:w="1210" w:type="dxa"/>
            <w:tcBorders>
              <w:top w:val="single" w:sz="6" w:space="0" w:color="auto"/>
              <w:left w:val="nil"/>
              <w:bottom w:val="single" w:sz="12" w:space="0" w:color="auto"/>
              <w:right w:val="nil"/>
            </w:tcBorders>
          </w:tcPr>
          <w:p w14:paraId="06BF6360"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3.55E-08</w:t>
            </w:r>
          </w:p>
        </w:tc>
        <w:tc>
          <w:tcPr>
            <w:tcW w:w="1210" w:type="dxa"/>
            <w:tcBorders>
              <w:top w:val="single" w:sz="6" w:space="0" w:color="auto"/>
              <w:left w:val="nil"/>
              <w:bottom w:val="single" w:sz="12" w:space="0" w:color="auto"/>
              <w:right w:val="nil"/>
            </w:tcBorders>
          </w:tcPr>
          <w:p w14:paraId="77540B1A"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0.925</w:t>
            </w:r>
          </w:p>
        </w:tc>
        <w:tc>
          <w:tcPr>
            <w:tcW w:w="1210" w:type="dxa"/>
            <w:tcBorders>
              <w:top w:val="single" w:sz="6" w:space="0" w:color="auto"/>
              <w:left w:val="nil"/>
              <w:bottom w:val="single" w:sz="12" w:space="0" w:color="auto"/>
              <w:right w:val="nil"/>
            </w:tcBorders>
          </w:tcPr>
          <w:p w14:paraId="6E3ACB3F" w14:textId="77777777" w:rsidR="00773AF8" w:rsidRPr="0060162F" w:rsidRDefault="00773AF8">
            <w:pPr>
              <w:autoSpaceDE w:val="0"/>
              <w:autoSpaceDN w:val="0"/>
              <w:adjustRightInd w:val="0"/>
              <w:spacing w:line="240" w:lineRule="auto"/>
              <w:jc w:val="center"/>
              <w:rPr>
                <w:rFonts w:ascii="Times" w:eastAsiaTheme="minorHAnsi" w:hAnsi="Times" w:cs="Calibri"/>
                <w:sz w:val="20"/>
                <w:szCs w:val="20"/>
              </w:rPr>
            </w:pPr>
            <w:r w:rsidRPr="0060162F">
              <w:rPr>
                <w:rFonts w:ascii="Times" w:eastAsiaTheme="minorHAnsi" w:hAnsi="Times" w:cs="Calibri"/>
                <w:sz w:val="20"/>
                <w:szCs w:val="20"/>
              </w:rPr>
              <w:t>7.18E-08</w:t>
            </w:r>
          </w:p>
        </w:tc>
      </w:tr>
    </w:tbl>
    <w:p w14:paraId="0C71C7B3" w14:textId="59245145" w:rsidR="00FA0A41" w:rsidRPr="0060162F" w:rsidRDefault="00FA0A41" w:rsidP="00FA0A41">
      <w:pPr>
        <w:rPr>
          <w:rFonts w:ascii="Times" w:hAnsi="Times"/>
        </w:rPr>
      </w:pPr>
    </w:p>
    <w:p w14:paraId="614EAF36" w14:textId="22A4A115" w:rsidR="005276BE" w:rsidRPr="0060162F" w:rsidRDefault="005276BE" w:rsidP="00FA0A41">
      <w:pPr>
        <w:rPr>
          <w:rFonts w:ascii="Times" w:hAnsi="Times"/>
        </w:rPr>
      </w:pPr>
    </w:p>
    <w:p w14:paraId="2827EFF9" w14:textId="156E44AE" w:rsidR="005276BE" w:rsidRPr="0060162F" w:rsidRDefault="00AA5385" w:rsidP="005276BE">
      <w:pPr>
        <w:spacing w:line="360" w:lineRule="auto"/>
        <w:rPr>
          <w:rFonts w:ascii="Times" w:hAnsi="Times" w:cs="Times"/>
          <w:b/>
          <w:i/>
          <w:sz w:val="24"/>
          <w:szCs w:val="24"/>
        </w:rPr>
      </w:pPr>
      <w:r>
        <w:rPr>
          <w:rFonts w:ascii="Times" w:hAnsi="Times" w:cs="Times"/>
          <w:b/>
          <w:i/>
          <w:sz w:val="24"/>
          <w:szCs w:val="24"/>
        </w:rPr>
        <w:t>Seafood</w:t>
      </w:r>
      <w:r w:rsidR="005276BE" w:rsidRPr="0060162F">
        <w:rPr>
          <w:rFonts w:ascii="Times" w:hAnsi="Times" w:cs="Times"/>
          <w:b/>
          <w:i/>
          <w:sz w:val="24"/>
          <w:szCs w:val="24"/>
        </w:rPr>
        <w:t xml:space="preserve"> reliance </w:t>
      </w:r>
      <w:r>
        <w:rPr>
          <w:rFonts w:ascii="Times" w:hAnsi="Times" w:cs="Times"/>
          <w:b/>
          <w:i/>
          <w:sz w:val="24"/>
          <w:szCs w:val="24"/>
        </w:rPr>
        <w:t>versus seafood</w:t>
      </w:r>
      <w:r w:rsidR="005276BE" w:rsidRPr="0060162F">
        <w:rPr>
          <w:rFonts w:ascii="Times" w:hAnsi="Times" w:cs="Times"/>
          <w:b/>
          <w:i/>
          <w:sz w:val="24"/>
          <w:szCs w:val="24"/>
        </w:rPr>
        <w:t xml:space="preserve"> preference </w:t>
      </w:r>
    </w:p>
    <w:p w14:paraId="4D2FE2F5" w14:textId="64D547F7" w:rsidR="0014041A" w:rsidRPr="0060162F" w:rsidRDefault="00AA5385" w:rsidP="005276BE">
      <w:pPr>
        <w:rPr>
          <w:rFonts w:ascii="Times" w:hAnsi="Times" w:cs="Times"/>
          <w:sz w:val="24"/>
          <w:szCs w:val="24"/>
        </w:rPr>
      </w:pPr>
      <w:r>
        <w:rPr>
          <w:rFonts w:ascii="Times" w:hAnsi="Times" w:cs="Times"/>
          <w:sz w:val="24"/>
          <w:szCs w:val="24"/>
        </w:rPr>
        <w:t>A second</w:t>
      </w:r>
      <w:r w:rsidR="005276BE" w:rsidRPr="0060162F">
        <w:rPr>
          <w:rFonts w:ascii="Times" w:hAnsi="Times" w:cs="Times"/>
          <w:sz w:val="24"/>
          <w:szCs w:val="24"/>
        </w:rPr>
        <w:t xml:space="preserve"> limitation</w:t>
      </w:r>
      <w:r>
        <w:rPr>
          <w:rFonts w:ascii="Times" w:hAnsi="Times" w:cs="Times"/>
          <w:sz w:val="24"/>
          <w:szCs w:val="24"/>
        </w:rPr>
        <w:t xml:space="preserve"> of our main analysis</w:t>
      </w:r>
      <w:r w:rsidR="005276BE" w:rsidRPr="0060162F">
        <w:rPr>
          <w:rFonts w:ascii="Times" w:hAnsi="Times" w:cs="Times"/>
          <w:sz w:val="24"/>
          <w:szCs w:val="24"/>
        </w:rPr>
        <w:t xml:space="preserve"> relates to the difficulty of differentiating</w:t>
      </w:r>
      <w:r w:rsidR="008518CD" w:rsidRPr="0060162F">
        <w:rPr>
          <w:rFonts w:ascii="Times" w:hAnsi="Times" w:cs="Times"/>
          <w:sz w:val="24"/>
          <w:szCs w:val="24"/>
        </w:rPr>
        <w:t xml:space="preserve"> </w:t>
      </w:r>
      <w:r w:rsidR="00502FA0">
        <w:rPr>
          <w:rFonts w:ascii="Times" w:hAnsi="Times" w:cs="Times"/>
          <w:sz w:val="24"/>
          <w:szCs w:val="24"/>
        </w:rPr>
        <w:t>between</w:t>
      </w:r>
      <w:r w:rsidR="00502FA0" w:rsidRPr="0060162F">
        <w:rPr>
          <w:rFonts w:ascii="Times" w:hAnsi="Times" w:cs="Times"/>
          <w:sz w:val="24"/>
          <w:szCs w:val="24"/>
        </w:rPr>
        <w:t xml:space="preserve"> </w:t>
      </w:r>
      <w:r w:rsidR="005276BE" w:rsidRPr="0060162F">
        <w:rPr>
          <w:rFonts w:ascii="Times" w:hAnsi="Times" w:cs="Times"/>
          <w:sz w:val="24"/>
          <w:szCs w:val="24"/>
        </w:rPr>
        <w:t xml:space="preserve">pure reliance on seafood and </w:t>
      </w:r>
      <w:r w:rsidR="008518CD" w:rsidRPr="0060162F">
        <w:rPr>
          <w:rFonts w:ascii="Times" w:hAnsi="Times" w:cs="Times"/>
          <w:sz w:val="24"/>
          <w:szCs w:val="24"/>
        </w:rPr>
        <w:t>seafood</w:t>
      </w:r>
      <w:r w:rsidR="00502FA0">
        <w:rPr>
          <w:rFonts w:ascii="Times" w:hAnsi="Times" w:cs="Times"/>
          <w:sz w:val="24"/>
          <w:szCs w:val="24"/>
        </w:rPr>
        <w:t xml:space="preserve"> preferences</w:t>
      </w:r>
      <w:r>
        <w:rPr>
          <w:rFonts w:ascii="Times" w:hAnsi="Times" w:cs="Times"/>
          <w:sz w:val="24"/>
          <w:szCs w:val="24"/>
        </w:rPr>
        <w:t xml:space="preserve"> within a nation</w:t>
      </w:r>
      <w:r w:rsidR="005276BE" w:rsidRPr="0060162F">
        <w:rPr>
          <w:rFonts w:ascii="Times" w:hAnsi="Times" w:cs="Times"/>
          <w:sz w:val="24"/>
          <w:szCs w:val="24"/>
        </w:rPr>
        <w:t xml:space="preserve">. </w:t>
      </w:r>
      <w:r w:rsidR="00BB589C">
        <w:rPr>
          <w:rFonts w:ascii="Times" w:hAnsi="Times" w:cs="Times"/>
          <w:sz w:val="24"/>
          <w:szCs w:val="24"/>
        </w:rPr>
        <w:t>T</w:t>
      </w:r>
      <w:r w:rsidR="00BB589C" w:rsidRPr="0060162F">
        <w:rPr>
          <w:rFonts w:ascii="Times" w:hAnsi="Times" w:cs="Times"/>
          <w:sz w:val="24"/>
          <w:szCs w:val="24"/>
        </w:rPr>
        <w:t xml:space="preserve">his problem </w:t>
      </w:r>
      <w:r w:rsidR="00BB589C">
        <w:rPr>
          <w:rFonts w:ascii="Times" w:hAnsi="Times" w:cs="Times"/>
          <w:sz w:val="24"/>
          <w:szCs w:val="24"/>
        </w:rPr>
        <w:t>arises from the fact that our data source for the seafood reliance metrics (GeNUS) simply models revealed diets, and does not distinguish between necessity</w:t>
      </w:r>
      <w:r w:rsidR="00EC63AF">
        <w:rPr>
          <w:rFonts w:ascii="Times" w:hAnsi="Times" w:cs="Times"/>
          <w:sz w:val="24"/>
          <w:szCs w:val="24"/>
        </w:rPr>
        <w:t xml:space="preserve"> </w:t>
      </w:r>
      <w:r w:rsidR="00BB589C">
        <w:rPr>
          <w:rFonts w:ascii="Times" w:hAnsi="Times" w:cs="Times"/>
          <w:sz w:val="24"/>
          <w:szCs w:val="24"/>
        </w:rPr>
        <w:t>(availability) and choice</w:t>
      </w:r>
      <w:r w:rsidR="00BB589C" w:rsidRPr="0060162F">
        <w:rPr>
          <w:rFonts w:ascii="Times" w:hAnsi="Times" w:cs="Times"/>
          <w:sz w:val="24"/>
          <w:szCs w:val="24"/>
        </w:rPr>
        <w:t>.</w:t>
      </w:r>
      <w:r w:rsidR="00BB589C">
        <w:rPr>
          <w:rFonts w:ascii="Times" w:hAnsi="Times" w:cs="Times"/>
          <w:sz w:val="24"/>
          <w:szCs w:val="24"/>
        </w:rPr>
        <w:t xml:space="preserve"> If reliance and preference are indeed intertwined, the interpretation of final</w:t>
      </w:r>
      <w:r w:rsidR="0014041A" w:rsidRPr="0060162F">
        <w:rPr>
          <w:rFonts w:ascii="Times" w:hAnsi="Times" w:cs="Times"/>
          <w:sz w:val="24"/>
          <w:szCs w:val="24"/>
        </w:rPr>
        <w:t xml:space="preserve"> mariculture o</w:t>
      </w:r>
      <w:r w:rsidR="00502FA0">
        <w:rPr>
          <w:rFonts w:ascii="Times" w:hAnsi="Times" w:cs="Times"/>
          <w:sz w:val="24"/>
          <w:szCs w:val="24"/>
        </w:rPr>
        <w:t>p</w:t>
      </w:r>
      <w:r w:rsidR="0014041A" w:rsidRPr="0060162F">
        <w:rPr>
          <w:rFonts w:ascii="Times" w:hAnsi="Times" w:cs="Times"/>
          <w:sz w:val="24"/>
          <w:szCs w:val="24"/>
        </w:rPr>
        <w:t>portunity score</w:t>
      </w:r>
      <w:r w:rsidR="00BB589C">
        <w:rPr>
          <w:rFonts w:ascii="Times" w:hAnsi="Times" w:cs="Times"/>
          <w:sz w:val="24"/>
          <w:szCs w:val="24"/>
        </w:rPr>
        <w:t xml:space="preserve">s becomes more </w:t>
      </w:r>
      <w:r w:rsidR="00EC63AF">
        <w:rPr>
          <w:rFonts w:ascii="Times" w:hAnsi="Times" w:cs="Times"/>
          <w:sz w:val="24"/>
          <w:szCs w:val="24"/>
        </w:rPr>
        <w:t>nuanced</w:t>
      </w:r>
      <w:r w:rsidR="007959CC" w:rsidRPr="0060162F">
        <w:rPr>
          <w:rFonts w:ascii="Times" w:hAnsi="Times" w:cs="Times"/>
          <w:sz w:val="24"/>
          <w:szCs w:val="24"/>
        </w:rPr>
        <w:t xml:space="preserve">. </w:t>
      </w:r>
    </w:p>
    <w:p w14:paraId="686BA460" w14:textId="77777777" w:rsidR="0014041A" w:rsidRPr="0060162F" w:rsidRDefault="0014041A" w:rsidP="005276BE">
      <w:pPr>
        <w:rPr>
          <w:rFonts w:ascii="Times" w:hAnsi="Times" w:cs="Times"/>
          <w:sz w:val="24"/>
          <w:szCs w:val="24"/>
        </w:rPr>
      </w:pPr>
    </w:p>
    <w:p w14:paraId="39DB37FB" w14:textId="673028B4" w:rsidR="0014041A" w:rsidRPr="0060162F" w:rsidRDefault="00F41076" w:rsidP="005276BE">
      <w:pPr>
        <w:rPr>
          <w:rFonts w:ascii="Times" w:hAnsi="Times" w:cs="Times"/>
          <w:sz w:val="24"/>
          <w:szCs w:val="24"/>
        </w:rPr>
      </w:pPr>
      <w:r>
        <w:rPr>
          <w:rFonts w:ascii="Times" w:hAnsi="Times" w:cs="Times"/>
          <w:sz w:val="24"/>
          <w:szCs w:val="24"/>
        </w:rPr>
        <w:t>To further examine this potential effect</w:t>
      </w:r>
      <w:r w:rsidR="00B93D42" w:rsidRPr="0060162F">
        <w:rPr>
          <w:rFonts w:ascii="Times" w:hAnsi="Times" w:cs="Times"/>
          <w:sz w:val="24"/>
          <w:szCs w:val="24"/>
        </w:rPr>
        <w:t xml:space="preserve">, we </w:t>
      </w:r>
      <w:r w:rsidR="005232D0" w:rsidRPr="0060162F">
        <w:rPr>
          <w:rFonts w:ascii="Times" w:hAnsi="Times" w:cs="Times"/>
          <w:sz w:val="24"/>
          <w:szCs w:val="24"/>
        </w:rPr>
        <w:t xml:space="preserve">explored two </w:t>
      </w:r>
      <w:r w:rsidR="0014482C" w:rsidRPr="0060162F">
        <w:rPr>
          <w:rFonts w:ascii="Times" w:hAnsi="Times" w:cs="Times"/>
          <w:sz w:val="24"/>
          <w:szCs w:val="24"/>
        </w:rPr>
        <w:t xml:space="preserve">dimensions </w:t>
      </w:r>
      <w:r w:rsidR="0014041A" w:rsidRPr="0060162F">
        <w:rPr>
          <w:rFonts w:ascii="Times" w:hAnsi="Times" w:cs="Times"/>
          <w:sz w:val="24"/>
          <w:szCs w:val="24"/>
        </w:rPr>
        <w:t>of the</w:t>
      </w:r>
      <w:r w:rsidR="001D1350">
        <w:rPr>
          <w:rFonts w:ascii="Times" w:hAnsi="Times" w:cs="Times"/>
          <w:sz w:val="24"/>
          <w:szCs w:val="24"/>
        </w:rPr>
        <w:t xml:space="preserve"> countries in our sample</w:t>
      </w:r>
      <w:r w:rsidR="0014482C" w:rsidRPr="0060162F">
        <w:rPr>
          <w:rFonts w:ascii="Times" w:hAnsi="Times" w:cs="Times"/>
          <w:sz w:val="24"/>
          <w:szCs w:val="24"/>
        </w:rPr>
        <w:t xml:space="preserve">: </w:t>
      </w:r>
      <w:r w:rsidR="00B93D42" w:rsidRPr="0060162F">
        <w:rPr>
          <w:rFonts w:ascii="Times" w:hAnsi="Times" w:cs="Times"/>
          <w:sz w:val="24"/>
          <w:szCs w:val="24"/>
        </w:rPr>
        <w:t xml:space="preserve">i) geographic </w:t>
      </w:r>
      <w:r w:rsidR="0014482C" w:rsidRPr="0060162F">
        <w:rPr>
          <w:rFonts w:ascii="Times" w:hAnsi="Times" w:cs="Times"/>
          <w:sz w:val="24"/>
          <w:szCs w:val="24"/>
        </w:rPr>
        <w:t>characteristics</w:t>
      </w:r>
      <w:r w:rsidR="00B93D42" w:rsidRPr="0060162F">
        <w:rPr>
          <w:rFonts w:ascii="Times" w:hAnsi="Times" w:cs="Times"/>
          <w:sz w:val="24"/>
          <w:szCs w:val="24"/>
        </w:rPr>
        <w:t xml:space="preserve">, and ii) income level. The </w:t>
      </w:r>
      <w:r w:rsidR="007959CC" w:rsidRPr="0060162F">
        <w:rPr>
          <w:rFonts w:ascii="Times" w:hAnsi="Times" w:cs="Times"/>
          <w:sz w:val="24"/>
          <w:szCs w:val="24"/>
        </w:rPr>
        <w:t>first refinement</w:t>
      </w:r>
      <w:r w:rsidR="00B93D42" w:rsidRPr="0060162F">
        <w:rPr>
          <w:rFonts w:ascii="Times" w:hAnsi="Times" w:cs="Times"/>
          <w:sz w:val="24"/>
          <w:szCs w:val="24"/>
        </w:rPr>
        <w:t xml:space="preserve"> </w:t>
      </w:r>
      <w:r w:rsidR="0014041A" w:rsidRPr="0060162F">
        <w:rPr>
          <w:rFonts w:ascii="Times" w:hAnsi="Times" w:cs="Times"/>
          <w:sz w:val="24"/>
          <w:szCs w:val="24"/>
        </w:rPr>
        <w:t xml:space="preserve">establishes </w:t>
      </w:r>
      <w:r w:rsidR="007959CC" w:rsidRPr="0060162F">
        <w:rPr>
          <w:rFonts w:ascii="Times" w:hAnsi="Times" w:cs="Times"/>
          <w:sz w:val="24"/>
          <w:szCs w:val="24"/>
        </w:rPr>
        <w:t>if countries</w:t>
      </w:r>
      <w:r w:rsidR="00B93D42" w:rsidRPr="0060162F">
        <w:rPr>
          <w:rFonts w:ascii="Times" w:hAnsi="Times" w:cs="Times"/>
          <w:sz w:val="24"/>
          <w:szCs w:val="24"/>
        </w:rPr>
        <w:t xml:space="preserve"> are island</w:t>
      </w:r>
      <w:r w:rsidR="0014482C" w:rsidRPr="0060162F">
        <w:rPr>
          <w:rFonts w:ascii="Times" w:hAnsi="Times" w:cs="Times"/>
          <w:sz w:val="24"/>
          <w:szCs w:val="24"/>
        </w:rPr>
        <w:t>s</w:t>
      </w:r>
      <w:r w:rsidR="00B93D42" w:rsidRPr="0060162F">
        <w:rPr>
          <w:rFonts w:ascii="Times" w:hAnsi="Times" w:cs="Times"/>
          <w:sz w:val="24"/>
          <w:szCs w:val="24"/>
        </w:rPr>
        <w:t xml:space="preserve"> or continental nations</w:t>
      </w:r>
      <w:r w:rsidR="0014482C" w:rsidRPr="0060162F">
        <w:rPr>
          <w:rFonts w:ascii="Times" w:hAnsi="Times" w:cs="Times"/>
          <w:sz w:val="24"/>
          <w:szCs w:val="24"/>
        </w:rPr>
        <w:t xml:space="preserve">. One of the </w:t>
      </w:r>
      <w:r w:rsidR="007959CC" w:rsidRPr="0060162F">
        <w:rPr>
          <w:rFonts w:ascii="Times" w:hAnsi="Times" w:cs="Times"/>
          <w:sz w:val="24"/>
          <w:szCs w:val="24"/>
        </w:rPr>
        <w:t>patterns observed in our</w:t>
      </w:r>
      <w:r w:rsidR="0014482C" w:rsidRPr="0060162F">
        <w:rPr>
          <w:rFonts w:ascii="Times" w:hAnsi="Times" w:cs="Times"/>
          <w:sz w:val="24"/>
          <w:szCs w:val="24"/>
        </w:rPr>
        <w:t xml:space="preserve"> </w:t>
      </w:r>
      <w:r>
        <w:rPr>
          <w:rFonts w:ascii="Times" w:hAnsi="Times" w:cs="Times"/>
          <w:sz w:val="24"/>
          <w:szCs w:val="24"/>
        </w:rPr>
        <w:t xml:space="preserve">main </w:t>
      </w:r>
      <w:r w:rsidR="0014482C" w:rsidRPr="0060162F">
        <w:rPr>
          <w:rFonts w:ascii="Times" w:hAnsi="Times" w:cs="Times"/>
          <w:sz w:val="24"/>
          <w:szCs w:val="24"/>
        </w:rPr>
        <w:t>results is that island nations show a consistent</w:t>
      </w:r>
      <w:r w:rsidR="007959CC" w:rsidRPr="0060162F">
        <w:rPr>
          <w:rFonts w:ascii="Times" w:hAnsi="Times" w:cs="Times"/>
          <w:sz w:val="24"/>
          <w:szCs w:val="24"/>
        </w:rPr>
        <w:t>ly</w:t>
      </w:r>
      <w:r w:rsidR="0014482C" w:rsidRPr="0060162F">
        <w:rPr>
          <w:rFonts w:ascii="Times" w:hAnsi="Times" w:cs="Times"/>
          <w:sz w:val="24"/>
          <w:szCs w:val="24"/>
        </w:rPr>
        <w:t xml:space="preserve"> higher </w:t>
      </w:r>
      <w:r w:rsidR="001D1350">
        <w:rPr>
          <w:rFonts w:ascii="Times" w:hAnsi="Times" w:cs="Times"/>
          <w:sz w:val="24"/>
          <w:szCs w:val="24"/>
        </w:rPr>
        <w:t xml:space="preserve">overall </w:t>
      </w:r>
      <w:r w:rsidR="0014482C" w:rsidRPr="0060162F">
        <w:rPr>
          <w:rFonts w:ascii="Times" w:hAnsi="Times" w:cs="Times"/>
          <w:sz w:val="24"/>
          <w:szCs w:val="24"/>
        </w:rPr>
        <w:t>mariculture potential. It is possibl</w:t>
      </w:r>
      <w:r w:rsidR="007959CC" w:rsidRPr="0060162F">
        <w:rPr>
          <w:rFonts w:ascii="Times" w:hAnsi="Times" w:cs="Times"/>
          <w:sz w:val="24"/>
          <w:szCs w:val="24"/>
        </w:rPr>
        <w:t>e that this result could be mostly</w:t>
      </w:r>
      <w:r w:rsidR="0014482C" w:rsidRPr="0060162F">
        <w:rPr>
          <w:rFonts w:ascii="Times" w:hAnsi="Times" w:cs="Times"/>
          <w:sz w:val="24"/>
          <w:szCs w:val="24"/>
        </w:rPr>
        <w:t xml:space="preserve"> driven by </w:t>
      </w:r>
      <w:r w:rsidR="007959CC" w:rsidRPr="0060162F">
        <w:rPr>
          <w:rFonts w:ascii="Times" w:hAnsi="Times" w:cs="Times"/>
          <w:sz w:val="24"/>
          <w:szCs w:val="24"/>
        </w:rPr>
        <w:t>seafood reliance</w:t>
      </w:r>
      <w:r w:rsidR="000A2830">
        <w:rPr>
          <w:rFonts w:ascii="Times" w:hAnsi="Times" w:cs="Times"/>
          <w:sz w:val="24"/>
          <w:szCs w:val="24"/>
        </w:rPr>
        <w:t xml:space="preserve"> (and/or seafood preference)</w:t>
      </w:r>
      <w:r w:rsidR="007959CC" w:rsidRPr="0060162F">
        <w:rPr>
          <w:rFonts w:ascii="Times" w:hAnsi="Times" w:cs="Times"/>
          <w:sz w:val="24"/>
          <w:szCs w:val="24"/>
        </w:rPr>
        <w:t xml:space="preserve">, </w:t>
      </w:r>
      <w:r w:rsidR="001D1350">
        <w:rPr>
          <w:rFonts w:ascii="Times" w:hAnsi="Times" w:cs="Times"/>
          <w:sz w:val="24"/>
          <w:szCs w:val="24"/>
        </w:rPr>
        <w:t>and</w:t>
      </w:r>
      <w:r w:rsidR="007959CC" w:rsidRPr="0060162F">
        <w:rPr>
          <w:rFonts w:ascii="Times" w:hAnsi="Times" w:cs="Times"/>
          <w:sz w:val="24"/>
          <w:szCs w:val="24"/>
        </w:rPr>
        <w:t xml:space="preserve"> breaking down the analysis </w:t>
      </w:r>
      <w:r w:rsidR="001D1350">
        <w:rPr>
          <w:rFonts w:ascii="Times" w:hAnsi="Times" w:cs="Times"/>
          <w:sz w:val="24"/>
          <w:szCs w:val="24"/>
        </w:rPr>
        <w:t xml:space="preserve">in this manner should allow us to parse out </w:t>
      </w:r>
      <w:r w:rsidR="003D1AC8">
        <w:rPr>
          <w:rFonts w:ascii="Times" w:hAnsi="Times" w:cs="Times"/>
          <w:sz w:val="24"/>
          <w:szCs w:val="24"/>
        </w:rPr>
        <w:t>the influence of the seafood reliance versus nutritional and economic scores on the overall higher mariculture opportunity scores of island nations</w:t>
      </w:r>
      <w:r w:rsidR="007959CC" w:rsidRPr="0060162F">
        <w:rPr>
          <w:rFonts w:ascii="Times" w:hAnsi="Times" w:cs="Times"/>
          <w:sz w:val="24"/>
          <w:szCs w:val="24"/>
        </w:rPr>
        <w:t xml:space="preserve">. </w:t>
      </w:r>
    </w:p>
    <w:p w14:paraId="49612F5C" w14:textId="0554E1DA" w:rsidR="0014041A" w:rsidRPr="0060162F" w:rsidRDefault="0014041A" w:rsidP="005276BE">
      <w:pPr>
        <w:rPr>
          <w:rFonts w:ascii="Times" w:hAnsi="Times" w:cs="Times"/>
          <w:sz w:val="24"/>
          <w:szCs w:val="24"/>
        </w:rPr>
      </w:pPr>
    </w:p>
    <w:p w14:paraId="1CE26E5F" w14:textId="3AE35BCB" w:rsidR="0014379B" w:rsidRPr="0060162F" w:rsidRDefault="0014379B" w:rsidP="0014379B">
      <w:pPr>
        <w:rPr>
          <w:rFonts w:ascii="Times" w:hAnsi="Times" w:cs="Times"/>
          <w:sz w:val="24"/>
          <w:szCs w:val="24"/>
        </w:rPr>
      </w:pPr>
      <w:r w:rsidRPr="0060162F">
        <w:rPr>
          <w:rFonts w:ascii="Times" w:hAnsi="Times" w:cs="Times"/>
          <w:sz w:val="24"/>
          <w:szCs w:val="24"/>
        </w:rPr>
        <w:t xml:space="preserve">Figure </w:t>
      </w:r>
      <w:r w:rsidR="008F4328">
        <w:rPr>
          <w:rFonts w:ascii="Times" w:hAnsi="Times" w:cs="Times"/>
          <w:sz w:val="24"/>
          <w:szCs w:val="24"/>
        </w:rPr>
        <w:t>A</w:t>
      </w:r>
      <w:r w:rsidRPr="0060162F">
        <w:rPr>
          <w:rFonts w:ascii="Times" w:hAnsi="Times" w:cs="Times"/>
          <w:sz w:val="24"/>
          <w:szCs w:val="24"/>
        </w:rPr>
        <w:t xml:space="preserve">2 reports the results of imposing this first refinement on analysis. Note from the figure that island nations, regardless of their seafood reliance score, show consistently higher economic and nutritional opportunities. Continental countries on the other hand, show a higher degree of dispersion, with most of them having more economic than nutritional opportunity. These patterns highlight the observation that island nations, which naturally rely more on seafood, also present a consistent high nutritional and economic opportunity. It is expected then, that these nations would be able to capture most of the benefits of mariculture development, both </w:t>
      </w:r>
      <w:r w:rsidR="00BA4EBB" w:rsidRPr="0060162F">
        <w:rPr>
          <w:rFonts w:ascii="Times" w:hAnsi="Times" w:cs="Times"/>
          <w:sz w:val="24"/>
          <w:szCs w:val="24"/>
        </w:rPr>
        <w:t>in terms of nutrition and economic opportunity</w:t>
      </w:r>
      <w:r w:rsidRPr="0060162F">
        <w:rPr>
          <w:rFonts w:ascii="Times" w:hAnsi="Times" w:cs="Times"/>
          <w:sz w:val="24"/>
          <w:szCs w:val="24"/>
        </w:rPr>
        <w:t>.</w:t>
      </w:r>
    </w:p>
    <w:p w14:paraId="53D1F2B6" w14:textId="5CF1A2D3" w:rsidR="0014041A" w:rsidRPr="0060162F" w:rsidRDefault="0014041A" w:rsidP="005276BE">
      <w:pPr>
        <w:rPr>
          <w:rFonts w:ascii="Times" w:hAnsi="Times" w:cs="Times"/>
          <w:sz w:val="24"/>
          <w:szCs w:val="24"/>
        </w:rPr>
      </w:pPr>
    </w:p>
    <w:p w14:paraId="203BBE10" w14:textId="68FA74A9" w:rsidR="00312C9D" w:rsidRPr="0060162F" w:rsidRDefault="0014379B" w:rsidP="00312C9D">
      <w:pPr>
        <w:keepNext/>
        <w:autoSpaceDE w:val="0"/>
        <w:autoSpaceDN w:val="0"/>
        <w:adjustRightInd w:val="0"/>
        <w:spacing w:line="240" w:lineRule="auto"/>
        <w:jc w:val="center"/>
        <w:rPr>
          <w:rFonts w:ascii="Times" w:hAnsi="Times"/>
        </w:rPr>
      </w:pPr>
      <w:r w:rsidRPr="0060162F">
        <w:rPr>
          <w:rFonts w:ascii="Times" w:eastAsiaTheme="minorHAnsi" w:hAnsi="Times" w:cs="Helvetica"/>
          <w:noProof/>
          <w:color w:val="auto"/>
          <w:sz w:val="24"/>
          <w:szCs w:val="24"/>
        </w:rPr>
        <w:lastRenderedPageBreak/>
        <w:t xml:space="preserve"> </w:t>
      </w:r>
      <w:r w:rsidRPr="0060162F">
        <w:rPr>
          <w:rFonts w:ascii="Times" w:eastAsiaTheme="minorHAnsi" w:hAnsi="Times" w:cs="Helvetica"/>
          <w:noProof/>
          <w:color w:val="auto"/>
          <w:sz w:val="24"/>
          <w:szCs w:val="24"/>
        </w:rPr>
        <w:drawing>
          <wp:inline distT="0" distB="0" distL="0" distR="0" wp14:anchorId="7C48E5EC" wp14:editId="13A9825A">
            <wp:extent cx="5486400" cy="3546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46904"/>
                    </a:xfrm>
                    <a:prstGeom prst="rect">
                      <a:avLst/>
                    </a:prstGeom>
                    <a:noFill/>
                    <a:ln>
                      <a:noFill/>
                    </a:ln>
                  </pic:spPr>
                </pic:pic>
              </a:graphicData>
            </a:graphic>
          </wp:inline>
        </w:drawing>
      </w:r>
    </w:p>
    <w:p w14:paraId="70F2CF87" w14:textId="04EB2D4E" w:rsidR="00312C9D" w:rsidRPr="002F0EB7" w:rsidRDefault="00312C9D" w:rsidP="002F0EB7">
      <w:pPr>
        <w:rPr>
          <w:rFonts w:ascii="Helvetica" w:hAnsi="Helvetica" w:cs="Helvetica"/>
          <w:i/>
          <w:color w:val="333333"/>
          <w:sz w:val="18"/>
          <w:szCs w:val="18"/>
          <w:shd w:val="clear" w:color="auto" w:fill="FDFDFD"/>
        </w:rPr>
      </w:pPr>
      <w:r w:rsidRPr="002F0EB7">
        <w:rPr>
          <w:rFonts w:ascii="Times" w:hAnsi="Times"/>
          <w:i/>
          <w:sz w:val="18"/>
          <w:szCs w:val="18"/>
        </w:rPr>
        <w:t xml:space="preserve">Figure </w:t>
      </w:r>
      <w:r w:rsidR="008F4328" w:rsidRPr="002F0EB7">
        <w:rPr>
          <w:rFonts w:ascii="Times" w:hAnsi="Times"/>
          <w:i/>
          <w:sz w:val="18"/>
          <w:szCs w:val="18"/>
        </w:rPr>
        <w:t>A</w:t>
      </w:r>
      <w:r w:rsidR="00771FEF" w:rsidRPr="002F0EB7">
        <w:rPr>
          <w:rFonts w:ascii="Times" w:hAnsi="Times"/>
          <w:i/>
          <w:sz w:val="18"/>
          <w:szCs w:val="18"/>
        </w:rPr>
        <w:fldChar w:fldCharType="begin"/>
      </w:r>
      <w:r w:rsidR="00771FEF" w:rsidRPr="002F0EB7">
        <w:rPr>
          <w:rFonts w:ascii="Times" w:hAnsi="Times"/>
          <w:i/>
          <w:sz w:val="18"/>
          <w:szCs w:val="18"/>
        </w:rPr>
        <w:instrText xml:space="preserve"> SEQ Figure \* ARABIC </w:instrText>
      </w:r>
      <w:r w:rsidR="00771FEF" w:rsidRPr="002F0EB7">
        <w:rPr>
          <w:rFonts w:ascii="Times" w:hAnsi="Times"/>
          <w:i/>
          <w:sz w:val="18"/>
          <w:szCs w:val="18"/>
        </w:rPr>
        <w:fldChar w:fldCharType="separate"/>
      </w:r>
      <w:r w:rsidR="002B50BC" w:rsidRPr="002F0EB7">
        <w:rPr>
          <w:rFonts w:ascii="Times" w:hAnsi="Times"/>
          <w:i/>
          <w:noProof/>
          <w:sz w:val="18"/>
          <w:szCs w:val="18"/>
        </w:rPr>
        <w:t>2</w:t>
      </w:r>
      <w:r w:rsidR="00771FEF" w:rsidRPr="002F0EB7">
        <w:rPr>
          <w:rFonts w:ascii="Times" w:hAnsi="Times"/>
          <w:i/>
          <w:noProof/>
          <w:sz w:val="18"/>
          <w:szCs w:val="18"/>
        </w:rPr>
        <w:fldChar w:fldCharType="end"/>
      </w:r>
      <w:r w:rsidRPr="002F0EB7">
        <w:rPr>
          <w:rFonts w:ascii="Times" w:hAnsi="Times"/>
          <w:i/>
          <w:sz w:val="18"/>
          <w:szCs w:val="18"/>
        </w:rPr>
        <w:t xml:space="preserve">: </w:t>
      </w:r>
      <w:r w:rsidR="002F0EB7" w:rsidRPr="002F0EB7">
        <w:rPr>
          <w:rFonts w:ascii="Times" w:hAnsi="Times" w:cs="Times"/>
          <w:i/>
          <w:color w:val="333333"/>
          <w:sz w:val="18"/>
          <w:szCs w:val="18"/>
          <w:shd w:val="clear" w:color="auto" w:fill="FDFDFD"/>
        </w:rPr>
        <w:t>Results of global analysis of nutritional opportunity, seafood reliance, and economic opportunity</w:t>
      </w:r>
      <w:r w:rsidR="002F0EB7">
        <w:rPr>
          <w:rFonts w:ascii="Times" w:hAnsi="Times" w:cs="Times"/>
          <w:i/>
          <w:color w:val="333333"/>
          <w:sz w:val="18"/>
          <w:szCs w:val="18"/>
          <w:shd w:val="clear" w:color="auto" w:fill="FDFDFD"/>
        </w:rPr>
        <w:t>, for continental (left panel) and island (right panel) nations</w:t>
      </w:r>
      <w:r w:rsidR="002F0EB7" w:rsidRPr="002F0EB7">
        <w:rPr>
          <w:rFonts w:ascii="Times" w:hAnsi="Times" w:cs="Times"/>
          <w:i/>
          <w:color w:val="333333"/>
          <w:sz w:val="18"/>
          <w:szCs w:val="18"/>
          <w:shd w:val="clear" w:color="auto" w:fill="FDFDFD"/>
        </w:rPr>
        <w:t>. Individual countries (n=117) scatter along economic and nutritional opportunity scores on the x and y axes, respectively, where each point indicates the performance of a given country. Scores are scaled from zero to one (see Methods</w:t>
      </w:r>
      <w:r w:rsidR="000A2830">
        <w:rPr>
          <w:rFonts w:ascii="Times" w:hAnsi="Times" w:cs="Times"/>
          <w:i/>
          <w:color w:val="333333"/>
          <w:sz w:val="18"/>
          <w:szCs w:val="18"/>
          <w:shd w:val="clear" w:color="auto" w:fill="FDFDFD"/>
        </w:rPr>
        <w:t>, main text</w:t>
      </w:r>
      <w:r w:rsidR="002F0EB7" w:rsidRPr="002F0EB7">
        <w:rPr>
          <w:rFonts w:ascii="Times" w:hAnsi="Times" w:cs="Times"/>
          <w:i/>
          <w:color w:val="333333"/>
          <w:sz w:val="18"/>
          <w:szCs w:val="18"/>
          <w:shd w:val="clear" w:color="auto" w:fill="FDFDFD"/>
        </w:rPr>
        <w:t>), such that countries in the upper right quadrant have both a high economic and nutritional opportunity for mariculture development. Size and opacity of country points scale with each country’s seafood reliance score, while color indicates</w:t>
      </w:r>
      <w:r w:rsidR="002F0EB7">
        <w:rPr>
          <w:rFonts w:ascii="Times" w:hAnsi="Times" w:cs="Times"/>
          <w:i/>
          <w:color w:val="333333"/>
          <w:sz w:val="18"/>
          <w:szCs w:val="18"/>
          <w:shd w:val="clear" w:color="auto" w:fill="FDFDFD"/>
        </w:rPr>
        <w:t xml:space="preserve"> a country’s geographic region.</w:t>
      </w:r>
    </w:p>
    <w:p w14:paraId="436673F2" w14:textId="77777777" w:rsidR="001D1350" w:rsidRPr="001D1350" w:rsidRDefault="001D1350" w:rsidP="001D1350"/>
    <w:p w14:paraId="4636F50A" w14:textId="0EF5F56F" w:rsidR="00BA4EBB" w:rsidRPr="0060162F" w:rsidRDefault="003D1AC8" w:rsidP="0040663A">
      <w:pPr>
        <w:rPr>
          <w:rFonts w:ascii="Times" w:hAnsi="Times" w:cs="Times"/>
          <w:sz w:val="24"/>
          <w:szCs w:val="24"/>
        </w:rPr>
      </w:pPr>
      <w:r>
        <w:rPr>
          <w:rFonts w:ascii="Times" w:hAnsi="Times"/>
          <w:sz w:val="24"/>
          <w:szCs w:val="24"/>
        </w:rPr>
        <w:t>The</w:t>
      </w:r>
      <w:r w:rsidR="00BA4EBB" w:rsidRPr="0060162F">
        <w:rPr>
          <w:rFonts w:ascii="Times" w:hAnsi="Times"/>
          <w:sz w:val="24"/>
          <w:szCs w:val="24"/>
        </w:rPr>
        <w:t xml:space="preserve"> second refinement explores how </w:t>
      </w:r>
      <w:r>
        <w:rPr>
          <w:rFonts w:ascii="Times" w:hAnsi="Times"/>
          <w:sz w:val="24"/>
          <w:szCs w:val="24"/>
        </w:rPr>
        <w:t xml:space="preserve">nations’ </w:t>
      </w:r>
      <w:r w:rsidR="00BA4EBB" w:rsidRPr="0060162F">
        <w:rPr>
          <w:rFonts w:ascii="Times" w:hAnsi="Times"/>
          <w:sz w:val="24"/>
          <w:szCs w:val="24"/>
        </w:rPr>
        <w:t xml:space="preserve">income levels affect the results for all of our metrics of interest. </w:t>
      </w:r>
      <w:r w:rsidR="006C1B76" w:rsidRPr="0060162F">
        <w:rPr>
          <w:rFonts w:ascii="Times" w:hAnsi="Times"/>
          <w:sz w:val="24"/>
          <w:szCs w:val="24"/>
        </w:rPr>
        <w:t xml:space="preserve">This problem is especially relevant for our reliance metric. </w:t>
      </w:r>
      <w:r w:rsidR="00BA4EBB" w:rsidRPr="0060162F">
        <w:rPr>
          <w:rFonts w:ascii="Times" w:hAnsi="Times"/>
          <w:sz w:val="24"/>
          <w:szCs w:val="24"/>
        </w:rPr>
        <w:t xml:space="preserve">It could be argued that </w:t>
      </w:r>
      <w:r w:rsidR="0040663A" w:rsidRPr="0060162F">
        <w:rPr>
          <w:rFonts w:ascii="Times" w:hAnsi="Times"/>
          <w:sz w:val="24"/>
          <w:szCs w:val="24"/>
        </w:rPr>
        <w:t>rich countries do not necessarily rely on seafood, but rather choose their level of consumption</w:t>
      </w:r>
      <w:r>
        <w:rPr>
          <w:rFonts w:ascii="Times" w:hAnsi="Times"/>
          <w:sz w:val="24"/>
          <w:szCs w:val="24"/>
        </w:rPr>
        <w:t>, and these countries could bias overall results through their seafood preference rather than reliance</w:t>
      </w:r>
      <w:r w:rsidR="0040663A" w:rsidRPr="0060162F">
        <w:rPr>
          <w:rFonts w:ascii="Times" w:hAnsi="Times"/>
          <w:sz w:val="24"/>
          <w:szCs w:val="24"/>
        </w:rPr>
        <w:t xml:space="preserve">. To </w:t>
      </w:r>
      <w:r w:rsidR="006C1B76" w:rsidRPr="0060162F">
        <w:rPr>
          <w:rFonts w:ascii="Times" w:hAnsi="Times"/>
          <w:sz w:val="24"/>
          <w:szCs w:val="24"/>
        </w:rPr>
        <w:t>shed some light on the general distribution of our scores</w:t>
      </w:r>
      <w:r>
        <w:rPr>
          <w:rFonts w:ascii="Times" w:hAnsi="Times"/>
          <w:sz w:val="24"/>
          <w:szCs w:val="24"/>
        </w:rPr>
        <w:t>,</w:t>
      </w:r>
      <w:r w:rsidR="006C1B76" w:rsidRPr="0060162F">
        <w:rPr>
          <w:rFonts w:ascii="Times" w:hAnsi="Times"/>
          <w:sz w:val="24"/>
          <w:szCs w:val="24"/>
        </w:rPr>
        <w:t xml:space="preserve"> </w:t>
      </w:r>
      <w:r w:rsidR="0040663A" w:rsidRPr="0060162F">
        <w:rPr>
          <w:rFonts w:ascii="Times" w:hAnsi="Times"/>
          <w:sz w:val="24"/>
          <w:szCs w:val="24"/>
        </w:rPr>
        <w:t xml:space="preserve">we split the analysis by income </w:t>
      </w:r>
      <w:r w:rsidR="003F2C64" w:rsidRPr="0060162F">
        <w:rPr>
          <w:rFonts w:ascii="Times" w:hAnsi="Times"/>
          <w:sz w:val="24"/>
          <w:szCs w:val="24"/>
        </w:rPr>
        <w:t>lev</w:t>
      </w:r>
      <w:r>
        <w:rPr>
          <w:rFonts w:ascii="Times" w:hAnsi="Times"/>
          <w:sz w:val="24"/>
          <w:szCs w:val="24"/>
        </w:rPr>
        <w:t>el as defined by the World Bank (a metric external to our other, included economic variables)</w:t>
      </w:r>
      <w:r w:rsidR="003F2C64" w:rsidRPr="0060162F">
        <w:rPr>
          <w:rFonts w:ascii="Times" w:hAnsi="Times"/>
          <w:sz w:val="24"/>
          <w:szCs w:val="24"/>
        </w:rPr>
        <w:t xml:space="preserve"> </w:t>
      </w:r>
      <w:r>
        <w:rPr>
          <w:rFonts w:ascii="Times" w:hAnsi="Times"/>
          <w:sz w:val="24"/>
          <w:szCs w:val="24"/>
        </w:rPr>
        <w:t>to</w:t>
      </w:r>
      <w:r w:rsidR="003F2C64" w:rsidRPr="0060162F">
        <w:rPr>
          <w:rFonts w:ascii="Times" w:hAnsi="Times"/>
          <w:sz w:val="24"/>
          <w:szCs w:val="24"/>
        </w:rPr>
        <w:t xml:space="preserve"> </w:t>
      </w:r>
      <w:r w:rsidR="0040663A" w:rsidRPr="0060162F">
        <w:rPr>
          <w:rFonts w:ascii="Times" w:hAnsi="Times"/>
          <w:sz w:val="24"/>
          <w:szCs w:val="24"/>
        </w:rPr>
        <w:t>establish how our main observations and conclusions change under</w:t>
      </w:r>
      <w:r>
        <w:rPr>
          <w:rFonts w:ascii="Times" w:hAnsi="Times"/>
          <w:sz w:val="24"/>
          <w:szCs w:val="24"/>
        </w:rPr>
        <w:t xml:space="preserve"> this new perspective.</w:t>
      </w:r>
    </w:p>
    <w:p w14:paraId="456369C2" w14:textId="77777777" w:rsidR="00BA4EBB" w:rsidRPr="0060162F" w:rsidRDefault="00BA4EBB" w:rsidP="00BA4EBB">
      <w:pPr>
        <w:rPr>
          <w:rFonts w:ascii="Times" w:hAnsi="Times" w:cs="Times"/>
          <w:sz w:val="24"/>
          <w:szCs w:val="24"/>
        </w:rPr>
      </w:pPr>
    </w:p>
    <w:p w14:paraId="36CC9D59" w14:textId="257F1909" w:rsidR="00ED5E7E" w:rsidRPr="0060162F" w:rsidRDefault="00BA4EBB" w:rsidP="00BA4EBB">
      <w:pPr>
        <w:rPr>
          <w:rFonts w:ascii="Times" w:hAnsi="Times" w:cs="Times"/>
          <w:sz w:val="24"/>
          <w:szCs w:val="24"/>
        </w:rPr>
      </w:pPr>
      <w:r w:rsidRPr="0060162F">
        <w:rPr>
          <w:rFonts w:ascii="Times" w:hAnsi="Times" w:cs="Times"/>
          <w:sz w:val="24"/>
          <w:szCs w:val="24"/>
        </w:rPr>
        <w:t>Figure</w:t>
      </w:r>
      <w:r w:rsidR="0040663A" w:rsidRPr="0060162F">
        <w:rPr>
          <w:rFonts w:ascii="Times" w:hAnsi="Times" w:cs="Times"/>
          <w:sz w:val="24"/>
          <w:szCs w:val="24"/>
        </w:rPr>
        <w:t xml:space="preserve"> </w:t>
      </w:r>
      <w:r w:rsidR="008F4328">
        <w:rPr>
          <w:rFonts w:ascii="Times" w:hAnsi="Times" w:cs="Times"/>
          <w:sz w:val="24"/>
          <w:szCs w:val="24"/>
        </w:rPr>
        <w:t>A</w:t>
      </w:r>
      <w:r w:rsidR="0040663A" w:rsidRPr="0060162F">
        <w:rPr>
          <w:rFonts w:ascii="Times" w:hAnsi="Times" w:cs="Times"/>
          <w:sz w:val="24"/>
          <w:szCs w:val="24"/>
        </w:rPr>
        <w:t xml:space="preserve">3 </w:t>
      </w:r>
      <w:r w:rsidR="00145AD6" w:rsidRPr="0060162F">
        <w:rPr>
          <w:rFonts w:ascii="Times" w:hAnsi="Times" w:cs="Times"/>
          <w:sz w:val="24"/>
          <w:szCs w:val="24"/>
        </w:rPr>
        <w:t xml:space="preserve">shows </w:t>
      </w:r>
      <w:r w:rsidRPr="0060162F">
        <w:rPr>
          <w:rFonts w:ascii="Times" w:hAnsi="Times" w:cs="Times"/>
          <w:sz w:val="24"/>
          <w:szCs w:val="24"/>
        </w:rPr>
        <w:t>the results of imposing this</w:t>
      </w:r>
      <w:r w:rsidR="00145AD6" w:rsidRPr="0060162F">
        <w:rPr>
          <w:rFonts w:ascii="Times" w:hAnsi="Times" w:cs="Times"/>
          <w:sz w:val="24"/>
          <w:szCs w:val="24"/>
        </w:rPr>
        <w:t xml:space="preserve"> second </w:t>
      </w:r>
      <w:r w:rsidRPr="0060162F">
        <w:rPr>
          <w:rFonts w:ascii="Times" w:hAnsi="Times" w:cs="Times"/>
          <w:sz w:val="24"/>
          <w:szCs w:val="24"/>
        </w:rPr>
        <w:t xml:space="preserve">refinement. </w:t>
      </w:r>
      <w:r w:rsidR="00196503">
        <w:rPr>
          <w:rFonts w:ascii="Times" w:hAnsi="Times" w:cs="Times"/>
          <w:sz w:val="24"/>
          <w:szCs w:val="24"/>
        </w:rPr>
        <w:t>Figure A3A</w:t>
      </w:r>
      <w:r w:rsidR="00ED5E7E" w:rsidRPr="0060162F">
        <w:rPr>
          <w:rFonts w:ascii="Times" w:hAnsi="Times" w:cs="Times"/>
          <w:sz w:val="24"/>
          <w:szCs w:val="24"/>
        </w:rPr>
        <w:t xml:space="preserve"> shows how the overall score of mariculture opportunity depends on income level. </w:t>
      </w:r>
      <w:r w:rsidR="00F41076">
        <w:rPr>
          <w:rFonts w:ascii="Times" w:hAnsi="Times" w:cs="Times"/>
          <w:sz w:val="24"/>
          <w:szCs w:val="24"/>
        </w:rPr>
        <w:t>T</w:t>
      </w:r>
      <w:r w:rsidR="00ED5E7E" w:rsidRPr="0060162F">
        <w:rPr>
          <w:rFonts w:ascii="Times" w:hAnsi="Times" w:cs="Times"/>
          <w:sz w:val="24"/>
          <w:szCs w:val="24"/>
        </w:rPr>
        <w:t>he distribution</w:t>
      </w:r>
      <w:r w:rsidR="00E37E6E" w:rsidRPr="0060162F">
        <w:rPr>
          <w:rFonts w:ascii="Times" w:hAnsi="Times" w:cs="Times"/>
          <w:sz w:val="24"/>
          <w:szCs w:val="24"/>
        </w:rPr>
        <w:t xml:space="preserve"> of countries is fairly </w:t>
      </w:r>
      <w:r w:rsidR="00141510" w:rsidRPr="0060162F">
        <w:rPr>
          <w:rFonts w:ascii="Times" w:hAnsi="Times" w:cs="Times"/>
          <w:sz w:val="24"/>
          <w:szCs w:val="24"/>
        </w:rPr>
        <w:t xml:space="preserve">stable across groups, and the post-hoc </w:t>
      </w:r>
      <w:r w:rsidR="00196503">
        <w:rPr>
          <w:rFonts w:ascii="Times" w:hAnsi="Times" w:cs="Times"/>
          <w:sz w:val="24"/>
          <w:szCs w:val="24"/>
        </w:rPr>
        <w:t xml:space="preserve">Tukey </w:t>
      </w:r>
      <w:r w:rsidR="00E37E6E" w:rsidRPr="0060162F">
        <w:rPr>
          <w:rFonts w:ascii="Times" w:hAnsi="Times" w:cs="Times"/>
          <w:sz w:val="24"/>
          <w:szCs w:val="24"/>
        </w:rPr>
        <w:t>test</w:t>
      </w:r>
      <w:r w:rsidR="00141510" w:rsidRPr="0060162F">
        <w:rPr>
          <w:rFonts w:ascii="Times" w:hAnsi="Times" w:cs="Times"/>
          <w:sz w:val="24"/>
          <w:szCs w:val="24"/>
        </w:rPr>
        <w:t xml:space="preserve"> shows no statistically significant differences across income levels</w:t>
      </w:r>
      <w:r w:rsidR="00E37E6E" w:rsidRPr="0060162F">
        <w:rPr>
          <w:rFonts w:ascii="Times" w:hAnsi="Times" w:cs="Times"/>
          <w:sz w:val="24"/>
          <w:szCs w:val="24"/>
        </w:rPr>
        <w:t xml:space="preserve"> (Shaffer 1995).</w:t>
      </w:r>
      <w:r w:rsidR="00141510" w:rsidRPr="0060162F">
        <w:rPr>
          <w:rFonts w:ascii="Times" w:hAnsi="Times" w:cs="Times"/>
          <w:sz w:val="24"/>
          <w:szCs w:val="24"/>
        </w:rPr>
        <w:t xml:space="preserve"> </w:t>
      </w:r>
      <w:r w:rsidR="00196503">
        <w:rPr>
          <w:rFonts w:ascii="Times" w:hAnsi="Times" w:cs="Times"/>
          <w:sz w:val="24"/>
          <w:szCs w:val="24"/>
        </w:rPr>
        <w:t>Figure A3</w:t>
      </w:r>
      <w:r w:rsidR="00141510" w:rsidRPr="0060162F">
        <w:rPr>
          <w:rFonts w:ascii="Times" w:hAnsi="Times" w:cs="Times"/>
          <w:sz w:val="24"/>
          <w:szCs w:val="24"/>
        </w:rPr>
        <w:t>B</w:t>
      </w:r>
      <w:r w:rsidR="00806359">
        <w:rPr>
          <w:rFonts w:ascii="Times" w:hAnsi="Times" w:cs="Times"/>
          <w:sz w:val="24"/>
          <w:szCs w:val="24"/>
        </w:rPr>
        <w:t>,</w:t>
      </w:r>
      <w:r w:rsidR="00141510" w:rsidRPr="0060162F">
        <w:rPr>
          <w:rFonts w:ascii="Times" w:hAnsi="Times" w:cs="Times"/>
          <w:sz w:val="24"/>
          <w:szCs w:val="24"/>
        </w:rPr>
        <w:t xml:space="preserve"> on the other hand</w:t>
      </w:r>
      <w:r w:rsidR="00806359">
        <w:rPr>
          <w:rFonts w:ascii="Times" w:hAnsi="Times" w:cs="Times"/>
          <w:sz w:val="24"/>
          <w:szCs w:val="24"/>
        </w:rPr>
        <w:t>,</w:t>
      </w:r>
      <w:r w:rsidR="00141510" w:rsidRPr="0060162F">
        <w:rPr>
          <w:rFonts w:ascii="Times" w:hAnsi="Times" w:cs="Times"/>
          <w:sz w:val="24"/>
          <w:szCs w:val="24"/>
        </w:rPr>
        <w:t xml:space="preserve"> shows the distribution of </w:t>
      </w:r>
      <w:r w:rsidR="00196503">
        <w:rPr>
          <w:rFonts w:ascii="Times" w:hAnsi="Times" w:cs="Times"/>
          <w:sz w:val="24"/>
          <w:szCs w:val="24"/>
        </w:rPr>
        <w:t xml:space="preserve">final </w:t>
      </w:r>
      <w:r w:rsidR="00141510" w:rsidRPr="0060162F">
        <w:rPr>
          <w:rFonts w:ascii="Times" w:hAnsi="Times" w:cs="Times"/>
          <w:sz w:val="24"/>
          <w:szCs w:val="24"/>
        </w:rPr>
        <w:t>nutritional opportunity score</w:t>
      </w:r>
      <w:r w:rsidR="00196503">
        <w:rPr>
          <w:rFonts w:ascii="Times" w:hAnsi="Times" w:cs="Times"/>
          <w:sz w:val="24"/>
          <w:szCs w:val="24"/>
        </w:rPr>
        <w:t xml:space="preserve"> across income groups</w:t>
      </w:r>
      <w:r w:rsidR="00141510" w:rsidRPr="0060162F">
        <w:rPr>
          <w:rFonts w:ascii="Times" w:hAnsi="Times" w:cs="Times"/>
          <w:sz w:val="24"/>
          <w:szCs w:val="24"/>
        </w:rPr>
        <w:t xml:space="preserve">. As expected, low </w:t>
      </w:r>
      <w:r w:rsidR="006C1B76" w:rsidRPr="0060162F">
        <w:rPr>
          <w:rFonts w:ascii="Times" w:hAnsi="Times" w:cs="Times"/>
          <w:sz w:val="24"/>
          <w:szCs w:val="24"/>
        </w:rPr>
        <w:t>income countries show a</w:t>
      </w:r>
      <w:r w:rsidR="00141510" w:rsidRPr="0060162F">
        <w:rPr>
          <w:rFonts w:ascii="Times" w:hAnsi="Times" w:cs="Times"/>
          <w:sz w:val="24"/>
          <w:szCs w:val="24"/>
        </w:rPr>
        <w:t xml:space="preserve"> statistically higher mean than </w:t>
      </w:r>
      <w:r w:rsidR="00196503">
        <w:rPr>
          <w:rFonts w:ascii="Times" w:hAnsi="Times" w:cs="Times"/>
          <w:sz w:val="24"/>
          <w:szCs w:val="24"/>
        </w:rPr>
        <w:t>the high-income group</w:t>
      </w:r>
      <w:r w:rsidR="006C1B76" w:rsidRPr="0060162F">
        <w:rPr>
          <w:rFonts w:ascii="Times" w:hAnsi="Times" w:cs="Times"/>
          <w:sz w:val="24"/>
          <w:szCs w:val="24"/>
        </w:rPr>
        <w:t>, while lower- middle and upper-middle</w:t>
      </w:r>
      <w:r w:rsidR="00196503">
        <w:rPr>
          <w:rFonts w:ascii="Times" w:hAnsi="Times" w:cs="Times"/>
          <w:sz w:val="24"/>
          <w:szCs w:val="24"/>
        </w:rPr>
        <w:t xml:space="preserve"> countries</w:t>
      </w:r>
      <w:r w:rsidR="006C1B76" w:rsidRPr="0060162F">
        <w:rPr>
          <w:rFonts w:ascii="Times" w:hAnsi="Times" w:cs="Times"/>
          <w:sz w:val="24"/>
          <w:szCs w:val="24"/>
        </w:rPr>
        <w:t xml:space="preserve"> are non-differentiable from each other</w:t>
      </w:r>
      <w:r w:rsidR="00196503">
        <w:rPr>
          <w:rFonts w:ascii="Times" w:hAnsi="Times" w:cs="Times"/>
          <w:sz w:val="24"/>
          <w:szCs w:val="24"/>
        </w:rPr>
        <w:t xml:space="preserve"> and from either low or high income nations</w:t>
      </w:r>
      <w:r w:rsidR="006C1B76" w:rsidRPr="0060162F">
        <w:rPr>
          <w:rFonts w:ascii="Times" w:hAnsi="Times" w:cs="Times"/>
          <w:sz w:val="24"/>
          <w:szCs w:val="24"/>
        </w:rPr>
        <w:t xml:space="preserve">. This result is </w:t>
      </w:r>
      <w:r w:rsidR="00196503">
        <w:rPr>
          <w:rFonts w:ascii="Times" w:hAnsi="Times" w:cs="Times"/>
          <w:sz w:val="24"/>
          <w:szCs w:val="24"/>
        </w:rPr>
        <w:t>relatively intuitive:</w:t>
      </w:r>
      <w:r w:rsidR="006C1B76" w:rsidRPr="0060162F">
        <w:rPr>
          <w:rFonts w:ascii="Times" w:hAnsi="Times" w:cs="Times"/>
          <w:sz w:val="24"/>
          <w:szCs w:val="24"/>
        </w:rPr>
        <w:t xml:space="preserve"> as countries increase their income levels, their </w:t>
      </w:r>
      <w:r w:rsidR="006C1B76" w:rsidRPr="0060162F">
        <w:rPr>
          <w:rFonts w:ascii="Times" w:hAnsi="Times" w:cs="Times"/>
          <w:sz w:val="24"/>
          <w:szCs w:val="24"/>
        </w:rPr>
        <w:lastRenderedPageBreak/>
        <w:t>population is able to cover their nutritional needs and thus have a low opportunity along that dimension.</w:t>
      </w:r>
      <w:r w:rsidR="00F41076">
        <w:rPr>
          <w:rFonts w:ascii="Times" w:hAnsi="Times" w:cs="Times"/>
          <w:sz w:val="24"/>
          <w:szCs w:val="24"/>
        </w:rPr>
        <w:t xml:space="preserve"> There is also no significant difference in economic opportunity score between income groups (Fig. A3C). Many countries have an economic opportunity to develop mariculture, regardless of current income.</w:t>
      </w:r>
    </w:p>
    <w:p w14:paraId="5F24951E" w14:textId="1979941D" w:rsidR="006C1B76" w:rsidRPr="0060162F" w:rsidRDefault="006C1B76" w:rsidP="00BA4EBB">
      <w:pPr>
        <w:rPr>
          <w:rFonts w:ascii="Times" w:hAnsi="Times" w:cs="Times"/>
          <w:sz w:val="24"/>
          <w:szCs w:val="24"/>
        </w:rPr>
      </w:pPr>
    </w:p>
    <w:p w14:paraId="00AFB0AA" w14:textId="4FBB4C19" w:rsidR="00312C9D" w:rsidRPr="0060162F" w:rsidRDefault="00F41076" w:rsidP="005276BE">
      <w:pPr>
        <w:rPr>
          <w:rFonts w:ascii="Times" w:hAnsi="Times" w:cs="Times"/>
          <w:sz w:val="24"/>
          <w:szCs w:val="24"/>
        </w:rPr>
      </w:pPr>
      <w:r>
        <w:rPr>
          <w:rFonts w:ascii="Times" w:hAnsi="Times" w:cs="Times"/>
          <w:sz w:val="24"/>
          <w:szCs w:val="24"/>
        </w:rPr>
        <w:t>Fig. A3D</w:t>
      </w:r>
      <w:r w:rsidR="006C1B76" w:rsidRPr="0060162F">
        <w:rPr>
          <w:rFonts w:ascii="Times" w:hAnsi="Times" w:cs="Times"/>
          <w:sz w:val="24"/>
          <w:szCs w:val="24"/>
        </w:rPr>
        <w:t xml:space="preserve"> shows the exercise for our seafood reliance score. T</w:t>
      </w:r>
      <w:r w:rsidR="003F2C64" w:rsidRPr="0060162F">
        <w:rPr>
          <w:rFonts w:ascii="Times" w:hAnsi="Times" w:cs="Times"/>
          <w:sz w:val="24"/>
          <w:szCs w:val="24"/>
        </w:rPr>
        <w:t>his</w:t>
      </w:r>
      <w:r w:rsidR="006C1B76" w:rsidRPr="0060162F">
        <w:rPr>
          <w:rFonts w:ascii="Times" w:hAnsi="Times" w:cs="Times"/>
          <w:sz w:val="24"/>
          <w:szCs w:val="24"/>
        </w:rPr>
        <w:t xml:space="preserve"> analysis shows no statistically significant</w:t>
      </w:r>
      <w:r w:rsidR="003F2C64" w:rsidRPr="0060162F">
        <w:rPr>
          <w:rFonts w:ascii="Times" w:hAnsi="Times" w:cs="Times"/>
          <w:sz w:val="24"/>
          <w:szCs w:val="24"/>
        </w:rPr>
        <w:t xml:space="preserve"> differences between means for all groups, except for the high income </w:t>
      </w:r>
      <w:r w:rsidR="001F5766" w:rsidRPr="0060162F">
        <w:rPr>
          <w:rFonts w:ascii="Times" w:hAnsi="Times" w:cs="Times"/>
          <w:sz w:val="24"/>
          <w:szCs w:val="24"/>
        </w:rPr>
        <w:t>group</w:t>
      </w:r>
      <w:r w:rsidR="003F2C64" w:rsidRPr="0060162F">
        <w:rPr>
          <w:rFonts w:ascii="Times" w:hAnsi="Times" w:cs="Times"/>
          <w:sz w:val="24"/>
          <w:szCs w:val="24"/>
        </w:rPr>
        <w:t xml:space="preserve">. </w:t>
      </w:r>
      <w:r>
        <w:rPr>
          <w:rFonts w:ascii="Times" w:hAnsi="Times" w:cs="Times"/>
          <w:sz w:val="24"/>
          <w:szCs w:val="24"/>
        </w:rPr>
        <w:t>S</w:t>
      </w:r>
      <w:r w:rsidR="001F5766" w:rsidRPr="0060162F">
        <w:rPr>
          <w:rFonts w:ascii="Times" w:hAnsi="Times" w:cs="Times"/>
          <w:sz w:val="24"/>
          <w:szCs w:val="24"/>
        </w:rPr>
        <w:t>eafood</w:t>
      </w:r>
      <w:r w:rsidR="003F2C64" w:rsidRPr="0060162F">
        <w:rPr>
          <w:rFonts w:ascii="Times" w:hAnsi="Times" w:cs="Times"/>
          <w:sz w:val="24"/>
          <w:szCs w:val="24"/>
        </w:rPr>
        <w:t xml:space="preserve"> reliance seems to be skewed toward richer countries, </w:t>
      </w:r>
      <w:r w:rsidR="00196503">
        <w:rPr>
          <w:rFonts w:ascii="Times" w:hAnsi="Times" w:cs="Times"/>
          <w:sz w:val="24"/>
          <w:szCs w:val="24"/>
        </w:rPr>
        <w:t>indicating a potential influence of seafood preference (a choice to eat seafood) rather than pure dietary</w:t>
      </w:r>
      <w:r w:rsidR="003921B1">
        <w:rPr>
          <w:rFonts w:ascii="Times" w:hAnsi="Times" w:cs="Times"/>
          <w:sz w:val="24"/>
          <w:szCs w:val="24"/>
        </w:rPr>
        <w:t xml:space="preserve"> reliance, on our main results.</w:t>
      </w:r>
    </w:p>
    <w:p w14:paraId="7982E3EF" w14:textId="77777777" w:rsidR="00BA4EBB" w:rsidRPr="0060162F" w:rsidRDefault="00BA4EBB" w:rsidP="005276BE">
      <w:pPr>
        <w:rPr>
          <w:rFonts w:ascii="Times" w:hAnsi="Times"/>
        </w:rPr>
      </w:pPr>
    </w:p>
    <w:p w14:paraId="6BDB87AF" w14:textId="4EDFBB4D" w:rsidR="0037272A" w:rsidRPr="0060162F" w:rsidRDefault="003E1444" w:rsidP="0037272A">
      <w:pPr>
        <w:keepNext/>
        <w:autoSpaceDE w:val="0"/>
        <w:autoSpaceDN w:val="0"/>
        <w:adjustRightInd w:val="0"/>
        <w:spacing w:line="240" w:lineRule="auto"/>
        <w:rPr>
          <w:rFonts w:ascii="Times" w:hAnsi="Times"/>
        </w:rPr>
      </w:pPr>
      <w:r>
        <w:rPr>
          <w:rFonts w:ascii="Times" w:eastAsiaTheme="minorHAnsi" w:hAnsi="Times" w:cs="Helvetica"/>
          <w:noProof/>
          <w:color w:val="auto"/>
          <w:sz w:val="24"/>
          <w:szCs w:val="24"/>
        </w:rPr>
        <w:drawing>
          <wp:inline distT="0" distB="0" distL="0" distR="0" wp14:anchorId="0D3D16F9" wp14:editId="7FBCC87D">
            <wp:extent cx="5943599" cy="36576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s_by_income_group_all.png"/>
                    <pic:cNvPicPr/>
                  </pic:nvPicPr>
                  <pic:blipFill>
                    <a:blip r:embed="rId8">
                      <a:extLst>
                        <a:ext uri="{28A0092B-C50C-407E-A947-70E740481C1C}">
                          <a14:useLocalDpi xmlns:a14="http://schemas.microsoft.com/office/drawing/2010/main" val="0"/>
                        </a:ext>
                      </a:extLst>
                    </a:blip>
                    <a:stretch>
                      <a:fillRect/>
                    </a:stretch>
                  </pic:blipFill>
                  <pic:spPr>
                    <a:xfrm>
                      <a:off x="0" y="0"/>
                      <a:ext cx="5943599" cy="3657600"/>
                    </a:xfrm>
                    <a:prstGeom prst="rect">
                      <a:avLst/>
                    </a:prstGeom>
                  </pic:spPr>
                </pic:pic>
              </a:graphicData>
            </a:graphic>
          </wp:inline>
        </w:drawing>
      </w:r>
    </w:p>
    <w:p w14:paraId="702E10B3" w14:textId="25F8F2EC" w:rsidR="002A6931" w:rsidRPr="0060162F" w:rsidRDefault="0037272A" w:rsidP="0037272A">
      <w:pPr>
        <w:pStyle w:val="Caption"/>
        <w:rPr>
          <w:rFonts w:ascii="Times" w:eastAsiaTheme="minorHAnsi" w:hAnsi="Times" w:cs="Helvetica"/>
          <w:color w:val="auto"/>
          <w:sz w:val="24"/>
          <w:szCs w:val="24"/>
        </w:rPr>
      </w:pPr>
      <w:r w:rsidRPr="0060162F">
        <w:rPr>
          <w:rFonts w:ascii="Times" w:hAnsi="Times"/>
        </w:rPr>
        <w:t xml:space="preserve">Figure </w:t>
      </w:r>
      <w:r w:rsidR="008F4328">
        <w:rPr>
          <w:rFonts w:ascii="Times" w:hAnsi="Times"/>
        </w:rPr>
        <w:t>A</w:t>
      </w:r>
      <w:r w:rsidRPr="0060162F">
        <w:rPr>
          <w:rFonts w:ascii="Times" w:hAnsi="Times"/>
        </w:rPr>
        <w:fldChar w:fldCharType="begin"/>
      </w:r>
      <w:r w:rsidRPr="0060162F">
        <w:rPr>
          <w:rFonts w:ascii="Times" w:hAnsi="Times"/>
        </w:rPr>
        <w:instrText xml:space="preserve"> SEQ Figure \* ARABIC </w:instrText>
      </w:r>
      <w:r w:rsidRPr="0060162F">
        <w:rPr>
          <w:rFonts w:ascii="Times" w:hAnsi="Times"/>
        </w:rPr>
        <w:fldChar w:fldCharType="separate"/>
      </w:r>
      <w:r w:rsidR="002B50BC">
        <w:rPr>
          <w:rFonts w:ascii="Times" w:hAnsi="Times"/>
          <w:noProof/>
        </w:rPr>
        <w:t>3</w:t>
      </w:r>
      <w:r w:rsidRPr="0060162F">
        <w:rPr>
          <w:rFonts w:ascii="Times" w:hAnsi="Times"/>
        </w:rPr>
        <w:fldChar w:fldCharType="end"/>
      </w:r>
      <w:r w:rsidRPr="0060162F">
        <w:rPr>
          <w:rFonts w:ascii="Times" w:hAnsi="Times"/>
        </w:rPr>
        <w:t>: Distribution of opportunity scores as a function income level</w:t>
      </w:r>
      <w:r w:rsidR="003E1444">
        <w:rPr>
          <w:rFonts w:ascii="Times" w:hAnsi="Times"/>
        </w:rPr>
        <w:t xml:space="preserve"> as defined by the World Bank</w:t>
      </w:r>
      <w:r w:rsidRPr="0060162F">
        <w:rPr>
          <w:rFonts w:ascii="Times" w:hAnsi="Times"/>
        </w:rPr>
        <w:t xml:space="preserve">. </w:t>
      </w:r>
      <w:r w:rsidR="00BA4EBB" w:rsidRPr="0060162F">
        <w:rPr>
          <w:rFonts w:ascii="Times" w:hAnsi="Times"/>
        </w:rPr>
        <w:t xml:space="preserve">A) </w:t>
      </w:r>
      <w:r w:rsidR="00196503">
        <w:rPr>
          <w:rFonts w:ascii="Times" w:hAnsi="Times"/>
        </w:rPr>
        <w:t>mariculture opportunity;</w:t>
      </w:r>
      <w:r w:rsidR="00BA4EBB" w:rsidRPr="0060162F">
        <w:rPr>
          <w:rFonts w:ascii="Times" w:hAnsi="Times"/>
        </w:rPr>
        <w:t xml:space="preserve"> B) nutrition opportunity</w:t>
      </w:r>
      <w:r w:rsidR="00196503">
        <w:rPr>
          <w:rFonts w:ascii="Times" w:hAnsi="Times"/>
        </w:rPr>
        <w:t>;</w:t>
      </w:r>
      <w:r w:rsidR="00BA4EBB" w:rsidRPr="0060162F">
        <w:rPr>
          <w:rFonts w:ascii="Times" w:hAnsi="Times"/>
        </w:rPr>
        <w:t xml:space="preserve"> C) seafood reliance</w:t>
      </w:r>
      <w:r w:rsidR="00BB589C">
        <w:rPr>
          <w:rFonts w:ascii="Times" w:hAnsi="Times"/>
        </w:rPr>
        <w:t>; and D) economic opportunity</w:t>
      </w:r>
      <w:r w:rsidR="003921B1">
        <w:rPr>
          <w:rFonts w:ascii="Times" w:hAnsi="Times"/>
        </w:rPr>
        <w:t xml:space="preserve"> score distributions</w:t>
      </w:r>
      <w:r w:rsidR="00BA4EBB" w:rsidRPr="0060162F">
        <w:rPr>
          <w:rFonts w:ascii="Times" w:hAnsi="Times"/>
        </w:rPr>
        <w:t xml:space="preserve">. Letters below each box are the </w:t>
      </w:r>
      <w:r w:rsidR="004B28C0" w:rsidRPr="0060162F">
        <w:rPr>
          <w:rFonts w:ascii="Times" w:hAnsi="Times"/>
        </w:rPr>
        <w:t xml:space="preserve">ANOVA </w:t>
      </w:r>
      <w:r w:rsidR="00BA4EBB" w:rsidRPr="0060162F">
        <w:rPr>
          <w:rFonts w:ascii="Times" w:hAnsi="Times"/>
        </w:rPr>
        <w:t>group differences after</w:t>
      </w:r>
      <w:r w:rsidR="004B28C0" w:rsidRPr="0060162F">
        <w:rPr>
          <w:rFonts w:ascii="Times" w:hAnsi="Times"/>
        </w:rPr>
        <w:t xml:space="preserve"> post-hoc</w:t>
      </w:r>
      <w:r w:rsidR="00196503">
        <w:rPr>
          <w:rFonts w:ascii="Times" w:hAnsi="Times"/>
        </w:rPr>
        <w:t xml:space="preserve"> Tukey HSD test.</w:t>
      </w:r>
    </w:p>
    <w:p w14:paraId="6CE2AEA2" w14:textId="0190C5D2" w:rsidR="0037272A" w:rsidRDefault="00F41076" w:rsidP="00AD10BE">
      <w:pPr>
        <w:autoSpaceDE w:val="0"/>
        <w:autoSpaceDN w:val="0"/>
        <w:adjustRightInd w:val="0"/>
        <w:rPr>
          <w:rFonts w:ascii="Times" w:hAnsi="Times" w:cs="Times"/>
          <w:sz w:val="24"/>
          <w:szCs w:val="24"/>
        </w:rPr>
      </w:pPr>
      <w:r>
        <w:rPr>
          <w:rFonts w:ascii="Times" w:hAnsi="Times" w:cs="Times"/>
          <w:sz w:val="24"/>
          <w:szCs w:val="24"/>
        </w:rPr>
        <w:t>T</w:t>
      </w:r>
      <w:r w:rsidR="005C6363">
        <w:rPr>
          <w:rFonts w:ascii="Times" w:hAnsi="Times" w:cs="Times"/>
          <w:sz w:val="24"/>
          <w:szCs w:val="24"/>
        </w:rPr>
        <w:t>his observation suggests that our reliance metric is likely capturing a combination of seafood availability, accessibility, and preference</w:t>
      </w:r>
      <w:r w:rsidR="00764EF7">
        <w:rPr>
          <w:rFonts w:ascii="Times" w:hAnsi="Times" w:cs="Times"/>
          <w:sz w:val="24"/>
          <w:szCs w:val="24"/>
        </w:rPr>
        <w:t xml:space="preserve">, </w:t>
      </w:r>
      <w:r w:rsidR="00AD10BE">
        <w:rPr>
          <w:rFonts w:ascii="Times" w:hAnsi="Times" w:cs="Times"/>
          <w:sz w:val="24"/>
          <w:szCs w:val="24"/>
        </w:rPr>
        <w:t>effects which are not separable in our data</w:t>
      </w:r>
      <w:r w:rsidR="00D72C99">
        <w:rPr>
          <w:rFonts w:ascii="Times" w:hAnsi="Times" w:cs="Times"/>
          <w:sz w:val="24"/>
          <w:szCs w:val="24"/>
        </w:rPr>
        <w:t>, suggesting two additions to our interpretation of our main results</w:t>
      </w:r>
      <w:r w:rsidR="005C6363">
        <w:rPr>
          <w:rFonts w:ascii="Times" w:hAnsi="Times" w:cs="Times"/>
          <w:sz w:val="24"/>
          <w:szCs w:val="24"/>
        </w:rPr>
        <w:t xml:space="preserve">. </w:t>
      </w:r>
      <w:r w:rsidR="00D72C99">
        <w:rPr>
          <w:rFonts w:ascii="Times" w:hAnsi="Times" w:cs="Times"/>
          <w:sz w:val="24"/>
          <w:szCs w:val="24"/>
        </w:rPr>
        <w:t>First, a</w:t>
      </w:r>
      <w:r w:rsidR="005C6363">
        <w:rPr>
          <w:rFonts w:ascii="Times" w:hAnsi="Times" w:cs="Times"/>
          <w:sz w:val="24"/>
          <w:szCs w:val="24"/>
        </w:rPr>
        <w:t>lthough an equal component in our overall mariculture opportunity score</w:t>
      </w:r>
      <w:r w:rsidR="0088161C">
        <w:rPr>
          <w:rFonts w:ascii="Times" w:hAnsi="Times" w:cs="Times"/>
          <w:sz w:val="24"/>
          <w:szCs w:val="24"/>
        </w:rPr>
        <w:t>, reliance can also be viewed as a secondary filter in interpretation; that is, we endeavor to identify countries with high economic and nutritional opportunity,</w:t>
      </w:r>
      <w:r w:rsidR="00AD10BE">
        <w:rPr>
          <w:rFonts w:ascii="Times" w:hAnsi="Times" w:cs="Times"/>
          <w:sz w:val="24"/>
          <w:szCs w:val="24"/>
        </w:rPr>
        <w:t xml:space="preserve"> and within that set of nations</w:t>
      </w:r>
      <w:r w:rsidR="0088161C">
        <w:rPr>
          <w:rFonts w:ascii="Times" w:hAnsi="Times" w:cs="Times"/>
          <w:sz w:val="24"/>
          <w:szCs w:val="24"/>
        </w:rPr>
        <w:t xml:space="preserve"> existing presence of s</w:t>
      </w:r>
      <w:r w:rsidR="005F33D6">
        <w:rPr>
          <w:rFonts w:ascii="Times" w:hAnsi="Times" w:cs="Times"/>
          <w:sz w:val="24"/>
          <w:szCs w:val="24"/>
        </w:rPr>
        <w:t>eafood in the diet will only bolster that opportunity</w:t>
      </w:r>
      <w:r w:rsidR="0088161C">
        <w:rPr>
          <w:rFonts w:ascii="Times" w:hAnsi="Times" w:cs="Times"/>
          <w:sz w:val="24"/>
          <w:szCs w:val="24"/>
        </w:rPr>
        <w:t xml:space="preserve">. </w:t>
      </w:r>
      <w:r w:rsidR="00D72C99">
        <w:rPr>
          <w:rFonts w:ascii="Times" w:hAnsi="Times" w:cs="Times"/>
          <w:sz w:val="24"/>
          <w:szCs w:val="24"/>
        </w:rPr>
        <w:t>Secondly</w:t>
      </w:r>
      <w:r w:rsidR="005F33D6">
        <w:rPr>
          <w:rFonts w:ascii="Times" w:hAnsi="Times" w:cs="Times"/>
          <w:sz w:val="24"/>
          <w:szCs w:val="24"/>
        </w:rPr>
        <w:t>, the observed relationship in Figure</w:t>
      </w:r>
      <w:r>
        <w:rPr>
          <w:rFonts w:ascii="Times" w:hAnsi="Times" w:cs="Times"/>
          <w:sz w:val="24"/>
          <w:szCs w:val="24"/>
        </w:rPr>
        <w:t xml:space="preserve"> A3D</w:t>
      </w:r>
      <w:r w:rsidR="005F33D6">
        <w:rPr>
          <w:rFonts w:ascii="Times" w:hAnsi="Times" w:cs="Times"/>
          <w:sz w:val="24"/>
          <w:szCs w:val="24"/>
        </w:rPr>
        <w:t xml:space="preserve"> suggests a positive link between development (measured as increased per capita income) and seafood preference. So, </w:t>
      </w:r>
      <w:r w:rsidR="00AD10BE">
        <w:rPr>
          <w:rFonts w:ascii="Times" w:hAnsi="Times" w:cs="Times"/>
          <w:sz w:val="24"/>
          <w:szCs w:val="24"/>
        </w:rPr>
        <w:t>for</w:t>
      </w:r>
      <w:r w:rsidR="004B28C0" w:rsidRPr="0060162F">
        <w:rPr>
          <w:rFonts w:ascii="Times" w:hAnsi="Times" w:cs="Times"/>
          <w:sz w:val="24"/>
          <w:szCs w:val="24"/>
        </w:rPr>
        <w:t xml:space="preserve"> </w:t>
      </w:r>
      <w:r w:rsidR="001F5766" w:rsidRPr="0060162F">
        <w:rPr>
          <w:rFonts w:ascii="Times" w:hAnsi="Times" w:cs="Times"/>
          <w:sz w:val="24"/>
          <w:szCs w:val="24"/>
        </w:rPr>
        <w:t xml:space="preserve">low income countries </w:t>
      </w:r>
      <w:r w:rsidR="00D72C99">
        <w:rPr>
          <w:rFonts w:ascii="Times" w:hAnsi="Times" w:cs="Times"/>
          <w:sz w:val="24"/>
          <w:szCs w:val="24"/>
        </w:rPr>
        <w:t xml:space="preserve">(which </w:t>
      </w:r>
      <w:r w:rsidR="001F5766" w:rsidRPr="0060162F">
        <w:rPr>
          <w:rFonts w:ascii="Times" w:hAnsi="Times" w:cs="Times"/>
          <w:sz w:val="24"/>
          <w:szCs w:val="24"/>
        </w:rPr>
        <w:t>show a significant</w:t>
      </w:r>
      <w:r w:rsidR="007C7C62" w:rsidRPr="0060162F">
        <w:rPr>
          <w:rFonts w:ascii="Times" w:hAnsi="Times" w:cs="Times"/>
          <w:sz w:val="24"/>
          <w:szCs w:val="24"/>
        </w:rPr>
        <w:t>ly higher</w:t>
      </w:r>
      <w:r w:rsidR="001F5766" w:rsidRPr="0060162F">
        <w:rPr>
          <w:rFonts w:ascii="Times" w:hAnsi="Times" w:cs="Times"/>
          <w:sz w:val="24"/>
          <w:szCs w:val="24"/>
        </w:rPr>
        <w:t xml:space="preserve"> </w:t>
      </w:r>
      <w:r w:rsidR="00AD10BE">
        <w:rPr>
          <w:rFonts w:ascii="Times" w:hAnsi="Times" w:cs="Times"/>
          <w:sz w:val="24"/>
          <w:szCs w:val="24"/>
        </w:rPr>
        <w:t xml:space="preserve">relative </w:t>
      </w:r>
      <w:r w:rsidR="001F5766" w:rsidRPr="0060162F">
        <w:rPr>
          <w:rFonts w:ascii="Times" w:hAnsi="Times" w:cs="Times"/>
          <w:sz w:val="24"/>
          <w:szCs w:val="24"/>
        </w:rPr>
        <w:t>nutriti</w:t>
      </w:r>
      <w:r w:rsidR="007D1E53" w:rsidRPr="0060162F">
        <w:rPr>
          <w:rFonts w:ascii="Times" w:hAnsi="Times" w:cs="Times"/>
          <w:sz w:val="24"/>
          <w:szCs w:val="24"/>
        </w:rPr>
        <w:t>onal opportunity</w:t>
      </w:r>
      <w:r w:rsidR="00D72C99">
        <w:rPr>
          <w:rFonts w:ascii="Times" w:hAnsi="Times" w:cs="Times"/>
          <w:sz w:val="24"/>
          <w:szCs w:val="24"/>
        </w:rPr>
        <w:t>)</w:t>
      </w:r>
      <w:r w:rsidR="004B28C0" w:rsidRPr="0060162F">
        <w:rPr>
          <w:rFonts w:ascii="Times" w:hAnsi="Times" w:cs="Times"/>
          <w:sz w:val="24"/>
          <w:szCs w:val="24"/>
        </w:rPr>
        <w:t>, it is possible that increases in local production</w:t>
      </w:r>
      <w:r w:rsidR="00AD10BE">
        <w:rPr>
          <w:rFonts w:ascii="Times" w:hAnsi="Times" w:cs="Times"/>
          <w:sz w:val="24"/>
          <w:szCs w:val="24"/>
        </w:rPr>
        <w:t xml:space="preserve"> will</w:t>
      </w:r>
      <w:r w:rsidR="004B28C0" w:rsidRPr="0060162F">
        <w:rPr>
          <w:rFonts w:ascii="Times" w:hAnsi="Times" w:cs="Times"/>
          <w:sz w:val="24"/>
          <w:szCs w:val="24"/>
        </w:rPr>
        <w:t xml:space="preserve"> result in higher seafood intake despite </w:t>
      </w:r>
      <w:r w:rsidR="00AD10BE">
        <w:rPr>
          <w:rFonts w:ascii="Times" w:hAnsi="Times" w:cs="Times"/>
          <w:sz w:val="24"/>
          <w:szCs w:val="24"/>
        </w:rPr>
        <w:t xml:space="preserve">having </w:t>
      </w:r>
      <w:r w:rsidR="00AD10BE">
        <w:rPr>
          <w:rFonts w:ascii="Times" w:hAnsi="Times" w:cs="Times"/>
          <w:sz w:val="24"/>
          <w:szCs w:val="24"/>
        </w:rPr>
        <w:lastRenderedPageBreak/>
        <w:t>low reliance as of 2011</w:t>
      </w:r>
      <w:r w:rsidR="00D72C99">
        <w:rPr>
          <w:rFonts w:ascii="Times" w:hAnsi="Times" w:cs="Times"/>
          <w:sz w:val="24"/>
          <w:szCs w:val="24"/>
        </w:rPr>
        <w:t>. This is further (although correlative) evidence that capturing nutritional and economic benefits could be positively reinforcing efforts</w:t>
      </w:r>
      <w:bookmarkStart w:id="0" w:name="_GoBack"/>
      <w:bookmarkEnd w:id="0"/>
      <w:r w:rsidR="00AD10BE">
        <w:rPr>
          <w:rFonts w:ascii="Times" w:hAnsi="Times" w:cs="Times"/>
          <w:sz w:val="24"/>
          <w:szCs w:val="24"/>
        </w:rPr>
        <w:t>.</w:t>
      </w:r>
    </w:p>
    <w:p w14:paraId="50596C6B" w14:textId="77777777" w:rsidR="00F41076" w:rsidRPr="00AD10BE" w:rsidRDefault="00F41076" w:rsidP="00AD10BE">
      <w:pPr>
        <w:autoSpaceDE w:val="0"/>
        <w:autoSpaceDN w:val="0"/>
        <w:adjustRightInd w:val="0"/>
        <w:rPr>
          <w:rFonts w:ascii="Times" w:hAnsi="Times" w:cs="Times"/>
          <w:sz w:val="24"/>
          <w:szCs w:val="24"/>
        </w:rPr>
      </w:pPr>
    </w:p>
    <w:p w14:paraId="5D08D790" w14:textId="617828B3" w:rsidR="007E2DF9" w:rsidRPr="0060162F" w:rsidRDefault="002B50BC" w:rsidP="007E2DF9">
      <w:pPr>
        <w:spacing w:line="360" w:lineRule="auto"/>
        <w:rPr>
          <w:rFonts w:ascii="Times" w:hAnsi="Times" w:cs="Times"/>
          <w:b/>
          <w:i/>
          <w:sz w:val="24"/>
          <w:szCs w:val="24"/>
        </w:rPr>
      </w:pPr>
      <w:r>
        <w:rPr>
          <w:rFonts w:ascii="Times" w:hAnsi="Times" w:cs="Times"/>
          <w:b/>
          <w:i/>
          <w:sz w:val="24"/>
          <w:szCs w:val="24"/>
        </w:rPr>
        <w:t>Sensitivity analyse</w:t>
      </w:r>
      <w:r w:rsidR="00990B17" w:rsidRPr="0060162F">
        <w:rPr>
          <w:rFonts w:ascii="Times" w:hAnsi="Times" w:cs="Times"/>
          <w:b/>
          <w:i/>
          <w:sz w:val="24"/>
          <w:szCs w:val="24"/>
        </w:rPr>
        <w:t>s</w:t>
      </w:r>
      <w:r w:rsidR="007E2DF9" w:rsidRPr="0060162F">
        <w:rPr>
          <w:rFonts w:ascii="Times" w:hAnsi="Times" w:cs="Times"/>
          <w:b/>
          <w:i/>
          <w:sz w:val="24"/>
          <w:szCs w:val="24"/>
        </w:rPr>
        <w:t xml:space="preserve"> </w:t>
      </w:r>
    </w:p>
    <w:p w14:paraId="01359FF1" w14:textId="3E76144A" w:rsidR="002B50BC" w:rsidRDefault="00990B17" w:rsidP="002A6931">
      <w:pPr>
        <w:autoSpaceDE w:val="0"/>
        <w:autoSpaceDN w:val="0"/>
        <w:adjustRightInd w:val="0"/>
        <w:spacing w:line="240" w:lineRule="auto"/>
        <w:rPr>
          <w:rFonts w:ascii="Times" w:hAnsi="Times" w:cs="Times"/>
          <w:sz w:val="24"/>
          <w:szCs w:val="24"/>
        </w:rPr>
      </w:pPr>
      <w:r w:rsidRPr="0060162F">
        <w:rPr>
          <w:rFonts w:ascii="Times" w:hAnsi="Times" w:cs="Times"/>
          <w:sz w:val="24"/>
          <w:szCs w:val="24"/>
        </w:rPr>
        <w:t>To further evaluate the robustness of our results, we have also conducted a series of sensitivity analyses</w:t>
      </w:r>
      <w:r w:rsidR="00806359">
        <w:rPr>
          <w:rFonts w:ascii="Times" w:hAnsi="Times" w:cs="Times"/>
          <w:sz w:val="24"/>
          <w:szCs w:val="24"/>
        </w:rPr>
        <w:t xml:space="preserve"> to determine the s</w:t>
      </w:r>
      <w:r w:rsidRPr="0060162F">
        <w:rPr>
          <w:rFonts w:ascii="Times" w:hAnsi="Times" w:cs="Times"/>
          <w:sz w:val="24"/>
          <w:szCs w:val="24"/>
        </w:rPr>
        <w:t>ensitivity of final mariculture opportunity scores to relative zero to one rescaling of individual metrics.</w:t>
      </w:r>
      <w:r w:rsidR="002B50BC">
        <w:rPr>
          <w:rFonts w:ascii="Times" w:hAnsi="Times" w:cs="Times"/>
          <w:sz w:val="24"/>
          <w:szCs w:val="24"/>
        </w:rPr>
        <w:t xml:space="preserve"> </w:t>
      </w:r>
      <w:r w:rsidR="00164910" w:rsidRPr="0060162F">
        <w:rPr>
          <w:rFonts w:ascii="Times" w:hAnsi="Times" w:cs="Times"/>
          <w:sz w:val="24"/>
          <w:szCs w:val="24"/>
        </w:rPr>
        <w:t xml:space="preserve">Table </w:t>
      </w:r>
      <w:r w:rsidR="008F4328">
        <w:rPr>
          <w:rFonts w:ascii="Times" w:hAnsi="Times" w:cs="Times"/>
          <w:sz w:val="24"/>
          <w:szCs w:val="24"/>
        </w:rPr>
        <w:t>A</w:t>
      </w:r>
      <w:r w:rsidR="00164910" w:rsidRPr="0060162F">
        <w:rPr>
          <w:rFonts w:ascii="Times" w:hAnsi="Times" w:cs="Times"/>
          <w:sz w:val="24"/>
          <w:szCs w:val="24"/>
        </w:rPr>
        <w:t xml:space="preserve">2 shows </w:t>
      </w:r>
      <w:r w:rsidR="00771FEF" w:rsidRPr="0060162F">
        <w:rPr>
          <w:rFonts w:ascii="Times" w:hAnsi="Times" w:cs="Times"/>
          <w:sz w:val="24"/>
          <w:szCs w:val="24"/>
        </w:rPr>
        <w:t>a sensitivity anal</w:t>
      </w:r>
      <w:r w:rsidR="00AD10BE">
        <w:rPr>
          <w:rFonts w:ascii="Times" w:hAnsi="Times" w:cs="Times"/>
          <w:sz w:val="24"/>
          <w:szCs w:val="24"/>
        </w:rPr>
        <w:t>ysis for the normalizing decile (80</w:t>
      </w:r>
      <w:r w:rsidR="00AD10BE" w:rsidRPr="00AD10BE">
        <w:rPr>
          <w:rFonts w:ascii="Times" w:hAnsi="Times" w:cs="Times"/>
          <w:sz w:val="24"/>
          <w:szCs w:val="24"/>
          <w:vertAlign w:val="superscript"/>
        </w:rPr>
        <w:t>th</w:t>
      </w:r>
      <w:r w:rsidR="00AD10BE">
        <w:rPr>
          <w:rFonts w:ascii="Times" w:hAnsi="Times" w:cs="Times"/>
          <w:sz w:val="24"/>
          <w:szCs w:val="24"/>
        </w:rPr>
        <w:t>, 90</w:t>
      </w:r>
      <w:r w:rsidR="00AD10BE" w:rsidRPr="00AD10BE">
        <w:rPr>
          <w:rFonts w:ascii="Times" w:hAnsi="Times" w:cs="Times"/>
          <w:sz w:val="24"/>
          <w:szCs w:val="24"/>
          <w:vertAlign w:val="superscript"/>
        </w:rPr>
        <w:t>th</w:t>
      </w:r>
      <w:r w:rsidR="00AD10BE">
        <w:rPr>
          <w:rFonts w:ascii="Times" w:hAnsi="Times" w:cs="Times"/>
          <w:sz w:val="24"/>
          <w:szCs w:val="24"/>
        </w:rPr>
        <w:t xml:space="preserve"> or 100</w:t>
      </w:r>
      <w:r w:rsidR="00AD10BE" w:rsidRPr="00AD10BE">
        <w:rPr>
          <w:rFonts w:ascii="Times" w:hAnsi="Times" w:cs="Times"/>
          <w:sz w:val="24"/>
          <w:szCs w:val="24"/>
          <w:vertAlign w:val="superscript"/>
        </w:rPr>
        <w:t>th</w:t>
      </w:r>
      <w:r w:rsidR="00AD10BE">
        <w:rPr>
          <w:rFonts w:ascii="Times" w:hAnsi="Times" w:cs="Times"/>
          <w:sz w:val="24"/>
          <w:szCs w:val="24"/>
        </w:rPr>
        <w:t xml:space="preserve"> percentile used for normalization of metrics). Importantly, the rankings produced from these different normalization choices were significantly concordant, as mentioned in the main text.</w:t>
      </w:r>
      <w:r w:rsidR="002B50BC">
        <w:rPr>
          <w:rFonts w:ascii="Times" w:hAnsi="Times" w:cs="Times"/>
          <w:sz w:val="24"/>
          <w:szCs w:val="24"/>
        </w:rPr>
        <w:t xml:space="preserve"> </w:t>
      </w:r>
      <w:r w:rsidR="00AD10BE">
        <w:rPr>
          <w:rFonts w:ascii="Times" w:hAnsi="Times" w:cs="Times"/>
          <w:sz w:val="24"/>
          <w:szCs w:val="24"/>
        </w:rPr>
        <w:t xml:space="preserve">Finally, </w:t>
      </w:r>
      <w:r w:rsidR="002B50BC">
        <w:rPr>
          <w:rFonts w:ascii="Times" w:hAnsi="Times" w:cs="Times"/>
          <w:sz w:val="24"/>
          <w:szCs w:val="24"/>
        </w:rPr>
        <w:t xml:space="preserve">Table </w:t>
      </w:r>
      <w:r w:rsidR="008F4328">
        <w:rPr>
          <w:rFonts w:ascii="Times" w:hAnsi="Times" w:cs="Times"/>
          <w:sz w:val="24"/>
          <w:szCs w:val="24"/>
        </w:rPr>
        <w:t>A</w:t>
      </w:r>
      <w:r w:rsidR="00007D79">
        <w:rPr>
          <w:rFonts w:ascii="Times" w:hAnsi="Times" w:cs="Times"/>
          <w:sz w:val="24"/>
          <w:szCs w:val="24"/>
        </w:rPr>
        <w:t xml:space="preserve">3 shows the sensitivity of </w:t>
      </w:r>
      <w:r w:rsidR="00AD10BE">
        <w:rPr>
          <w:rFonts w:ascii="Times" w:hAnsi="Times" w:cs="Times"/>
          <w:sz w:val="24"/>
          <w:szCs w:val="24"/>
        </w:rPr>
        <w:t>overall</w:t>
      </w:r>
      <w:r w:rsidR="00007D79">
        <w:rPr>
          <w:rFonts w:ascii="Times" w:hAnsi="Times" w:cs="Times"/>
          <w:sz w:val="24"/>
          <w:szCs w:val="24"/>
        </w:rPr>
        <w:t xml:space="preserve"> </w:t>
      </w:r>
      <w:r w:rsidR="00AD10BE">
        <w:rPr>
          <w:rFonts w:ascii="Times" w:hAnsi="Times" w:cs="Times"/>
          <w:sz w:val="24"/>
          <w:szCs w:val="24"/>
        </w:rPr>
        <w:t xml:space="preserve">opportunity </w:t>
      </w:r>
      <w:r w:rsidR="00007D79">
        <w:rPr>
          <w:rFonts w:ascii="Times" w:hAnsi="Times" w:cs="Times"/>
          <w:sz w:val="24"/>
          <w:szCs w:val="24"/>
        </w:rPr>
        <w:t>scores to the removal of individual metrics.</w:t>
      </w:r>
    </w:p>
    <w:p w14:paraId="67AB26ED" w14:textId="77777777" w:rsidR="002B50BC" w:rsidRPr="0060162F" w:rsidRDefault="002B50BC" w:rsidP="002A6931">
      <w:pPr>
        <w:autoSpaceDE w:val="0"/>
        <w:autoSpaceDN w:val="0"/>
        <w:adjustRightInd w:val="0"/>
        <w:spacing w:line="240" w:lineRule="auto"/>
        <w:rPr>
          <w:rFonts w:ascii="Times" w:hAnsi="Times" w:cs="Times"/>
          <w:sz w:val="24"/>
          <w:szCs w:val="24"/>
        </w:rPr>
      </w:pPr>
    </w:p>
    <w:p w14:paraId="45C44E6E" w14:textId="2871217E" w:rsidR="00990B17" w:rsidRPr="0060162F" w:rsidRDefault="00990B17" w:rsidP="00990B17">
      <w:pPr>
        <w:pStyle w:val="Caption"/>
        <w:keepNext/>
        <w:jc w:val="both"/>
        <w:rPr>
          <w:rFonts w:ascii="Times" w:hAnsi="Times"/>
        </w:rPr>
      </w:pPr>
      <w:r w:rsidRPr="0060162F">
        <w:rPr>
          <w:rFonts w:ascii="Times" w:hAnsi="Times"/>
        </w:rPr>
        <w:t xml:space="preserve">Table </w:t>
      </w:r>
      <w:r w:rsidR="008F4328">
        <w:rPr>
          <w:rFonts w:ascii="Times" w:hAnsi="Times"/>
        </w:rPr>
        <w:t>A</w:t>
      </w:r>
      <w:r w:rsidRPr="0060162F">
        <w:rPr>
          <w:rFonts w:ascii="Times" w:hAnsi="Times"/>
        </w:rPr>
        <w:fldChar w:fldCharType="begin"/>
      </w:r>
      <w:r w:rsidRPr="0060162F">
        <w:rPr>
          <w:rFonts w:ascii="Times" w:hAnsi="Times"/>
        </w:rPr>
        <w:instrText xml:space="preserve"> SEQ Table \* ARABIC </w:instrText>
      </w:r>
      <w:r w:rsidRPr="0060162F">
        <w:rPr>
          <w:rFonts w:ascii="Times" w:hAnsi="Times"/>
        </w:rPr>
        <w:fldChar w:fldCharType="separate"/>
      </w:r>
      <w:r w:rsidR="002B50BC">
        <w:rPr>
          <w:rFonts w:ascii="Times" w:hAnsi="Times"/>
          <w:noProof/>
        </w:rPr>
        <w:t>2</w:t>
      </w:r>
      <w:r w:rsidRPr="0060162F">
        <w:rPr>
          <w:rFonts w:ascii="Times" w:hAnsi="Times"/>
        </w:rPr>
        <w:fldChar w:fldCharType="end"/>
      </w:r>
      <w:r w:rsidRPr="0060162F">
        <w:rPr>
          <w:rFonts w:ascii="Times" w:hAnsi="Times"/>
        </w:rPr>
        <w:t>: Sensitivity of final mariculture opportunity scores to relative zero to one rescaling of individual metr</w:t>
      </w:r>
      <w:r w:rsidR="00164910" w:rsidRPr="0060162F">
        <w:rPr>
          <w:rFonts w:ascii="Times" w:hAnsi="Times"/>
        </w:rPr>
        <w:t>i</w:t>
      </w:r>
      <w:r w:rsidRPr="0060162F">
        <w:rPr>
          <w:rFonts w:ascii="Times" w:hAnsi="Times"/>
        </w:rPr>
        <w:t xml:space="preserve">cs. Top </w:t>
      </w:r>
      <w:r w:rsidR="00164910" w:rsidRPr="0060162F">
        <w:rPr>
          <w:rFonts w:ascii="Times" w:hAnsi="Times"/>
        </w:rPr>
        <w:t xml:space="preserve">10 and bottom 10 countries shown for each choice of rescaling. Overall concordance between the rankings produced by the three scaling choices was high and significant (Kendall’s W 0.925; p&lt;&lt;0.05). </w:t>
      </w:r>
    </w:p>
    <w:tbl>
      <w:tblPr>
        <w:tblW w:w="9301" w:type="dxa"/>
        <w:jc w:val="center"/>
        <w:tblLook w:val="04A0" w:firstRow="1" w:lastRow="0" w:firstColumn="1" w:lastColumn="0" w:noHBand="0" w:noVBand="1"/>
      </w:tblPr>
      <w:tblGrid>
        <w:gridCol w:w="2860"/>
        <w:gridCol w:w="2145"/>
        <w:gridCol w:w="2151"/>
        <w:gridCol w:w="2145"/>
      </w:tblGrid>
      <w:tr w:rsidR="0060162F" w:rsidRPr="0060162F" w14:paraId="0B9F2EE9" w14:textId="77777777" w:rsidTr="00007D79">
        <w:trPr>
          <w:trHeight w:val="340"/>
          <w:jc w:val="center"/>
        </w:trPr>
        <w:tc>
          <w:tcPr>
            <w:tcW w:w="2860" w:type="dxa"/>
            <w:tcBorders>
              <w:top w:val="nil"/>
              <w:left w:val="nil"/>
              <w:bottom w:val="nil"/>
              <w:right w:val="nil"/>
            </w:tcBorders>
            <w:shd w:val="clear" w:color="auto" w:fill="auto"/>
            <w:noWrap/>
            <w:vAlign w:val="bottom"/>
            <w:hideMark/>
          </w:tcPr>
          <w:p w14:paraId="7D75A258" w14:textId="77777777" w:rsidR="0060162F" w:rsidRPr="0060162F" w:rsidRDefault="0060162F" w:rsidP="0060162F">
            <w:pPr>
              <w:spacing w:line="240" w:lineRule="auto"/>
              <w:rPr>
                <w:rFonts w:ascii="Times" w:eastAsia="Times New Roman" w:hAnsi="Times" w:cs="Times New Roman"/>
                <w:color w:val="auto"/>
                <w:sz w:val="20"/>
                <w:szCs w:val="20"/>
              </w:rPr>
            </w:pPr>
          </w:p>
        </w:tc>
        <w:tc>
          <w:tcPr>
            <w:tcW w:w="6441" w:type="dxa"/>
            <w:gridSpan w:val="3"/>
            <w:tcBorders>
              <w:top w:val="nil"/>
              <w:left w:val="nil"/>
              <w:bottom w:val="single" w:sz="8" w:space="0" w:color="auto"/>
              <w:right w:val="nil"/>
            </w:tcBorders>
            <w:shd w:val="clear" w:color="auto" w:fill="auto"/>
            <w:noWrap/>
            <w:vAlign w:val="bottom"/>
            <w:hideMark/>
          </w:tcPr>
          <w:p w14:paraId="24E1F5CB" w14:textId="2ACE0C0C"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 xml:space="preserve">Normalization Threshold </w:t>
            </w:r>
          </w:p>
        </w:tc>
      </w:tr>
      <w:tr w:rsidR="0060162F" w:rsidRPr="0060162F" w14:paraId="37A64954" w14:textId="77777777" w:rsidTr="00007D79">
        <w:trPr>
          <w:trHeight w:val="340"/>
          <w:jc w:val="center"/>
        </w:trPr>
        <w:tc>
          <w:tcPr>
            <w:tcW w:w="2860" w:type="dxa"/>
            <w:tcBorders>
              <w:top w:val="nil"/>
              <w:left w:val="nil"/>
              <w:bottom w:val="double" w:sz="6" w:space="0" w:color="auto"/>
              <w:right w:val="nil"/>
            </w:tcBorders>
            <w:shd w:val="clear" w:color="auto" w:fill="auto"/>
            <w:noWrap/>
            <w:vAlign w:val="center"/>
            <w:hideMark/>
          </w:tcPr>
          <w:p w14:paraId="74D76307" w14:textId="3DB0DF6F"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 xml:space="preserve">Final Opportunity </w:t>
            </w:r>
            <w:r w:rsidRPr="0060162F">
              <w:rPr>
                <w:rFonts w:ascii="Times" w:eastAsia="Times New Roman" w:hAnsi="Times" w:cs="Calibri"/>
                <w:b/>
                <w:bCs/>
                <w:sz w:val="20"/>
                <w:szCs w:val="20"/>
              </w:rPr>
              <w:br/>
              <w:t>Score Rank</w:t>
            </w:r>
          </w:p>
        </w:tc>
        <w:tc>
          <w:tcPr>
            <w:tcW w:w="2145" w:type="dxa"/>
            <w:tcBorders>
              <w:top w:val="single" w:sz="12" w:space="0" w:color="auto"/>
              <w:left w:val="nil"/>
              <w:bottom w:val="double" w:sz="6" w:space="0" w:color="auto"/>
              <w:right w:val="nil"/>
            </w:tcBorders>
            <w:shd w:val="clear" w:color="auto" w:fill="auto"/>
            <w:noWrap/>
            <w:vAlign w:val="center"/>
            <w:hideMark/>
          </w:tcPr>
          <w:p w14:paraId="05FF0134" w14:textId="77777777" w:rsidR="0060162F" w:rsidRPr="0060162F" w:rsidRDefault="0060162F" w:rsidP="0060162F">
            <w:pPr>
              <w:spacing w:line="240" w:lineRule="auto"/>
              <w:rPr>
                <w:rFonts w:ascii="Times" w:eastAsia="Times New Roman" w:hAnsi="Times" w:cs="Calibri"/>
                <w:b/>
                <w:bCs/>
                <w:sz w:val="20"/>
                <w:szCs w:val="20"/>
              </w:rPr>
            </w:pPr>
            <w:r w:rsidRPr="0060162F">
              <w:rPr>
                <w:rFonts w:ascii="Times" w:eastAsia="Times New Roman" w:hAnsi="Times" w:cs="Calibri"/>
                <w:b/>
                <w:bCs/>
                <w:sz w:val="20"/>
                <w:szCs w:val="20"/>
              </w:rPr>
              <w:t>Simple</w:t>
            </w:r>
          </w:p>
        </w:tc>
        <w:tc>
          <w:tcPr>
            <w:tcW w:w="2151" w:type="dxa"/>
            <w:tcBorders>
              <w:top w:val="single" w:sz="12" w:space="0" w:color="auto"/>
              <w:left w:val="nil"/>
              <w:bottom w:val="double" w:sz="6" w:space="0" w:color="auto"/>
              <w:right w:val="nil"/>
            </w:tcBorders>
            <w:shd w:val="clear" w:color="auto" w:fill="auto"/>
            <w:noWrap/>
            <w:vAlign w:val="center"/>
            <w:hideMark/>
          </w:tcPr>
          <w:p w14:paraId="22DDCC88" w14:textId="77777777" w:rsidR="0060162F" w:rsidRPr="0060162F" w:rsidRDefault="0060162F" w:rsidP="0060162F">
            <w:pPr>
              <w:spacing w:line="240" w:lineRule="auto"/>
              <w:rPr>
                <w:rFonts w:ascii="Times" w:eastAsia="Times New Roman" w:hAnsi="Times" w:cs="Calibri"/>
                <w:b/>
                <w:bCs/>
                <w:sz w:val="20"/>
                <w:szCs w:val="20"/>
              </w:rPr>
            </w:pPr>
            <w:r w:rsidRPr="0060162F">
              <w:rPr>
                <w:rFonts w:ascii="Times" w:eastAsia="Times New Roman" w:hAnsi="Times" w:cs="Calibri"/>
                <w:b/>
                <w:bCs/>
                <w:sz w:val="20"/>
                <w:szCs w:val="20"/>
              </w:rPr>
              <w:t>90</w:t>
            </w:r>
            <w:r w:rsidRPr="0060162F">
              <w:rPr>
                <w:rFonts w:ascii="Times" w:eastAsia="Times New Roman" w:hAnsi="Times" w:cs="Calibri"/>
                <w:b/>
                <w:bCs/>
                <w:sz w:val="20"/>
                <w:szCs w:val="20"/>
                <w:vertAlign w:val="superscript"/>
              </w:rPr>
              <w:t>th</w:t>
            </w:r>
            <w:r w:rsidRPr="0060162F">
              <w:rPr>
                <w:rFonts w:ascii="Times" w:eastAsia="Times New Roman" w:hAnsi="Times" w:cs="Calibri"/>
                <w:b/>
                <w:bCs/>
                <w:sz w:val="20"/>
                <w:szCs w:val="20"/>
              </w:rPr>
              <w:t xml:space="preserve"> percentile</w:t>
            </w:r>
          </w:p>
        </w:tc>
        <w:tc>
          <w:tcPr>
            <w:tcW w:w="2145" w:type="dxa"/>
            <w:tcBorders>
              <w:top w:val="single" w:sz="12" w:space="0" w:color="auto"/>
              <w:left w:val="nil"/>
              <w:bottom w:val="double" w:sz="6" w:space="0" w:color="auto"/>
              <w:right w:val="nil"/>
            </w:tcBorders>
            <w:shd w:val="clear" w:color="auto" w:fill="auto"/>
            <w:noWrap/>
            <w:vAlign w:val="center"/>
            <w:hideMark/>
          </w:tcPr>
          <w:p w14:paraId="31FC506E" w14:textId="77777777" w:rsidR="0060162F" w:rsidRPr="0060162F" w:rsidRDefault="0060162F" w:rsidP="0060162F">
            <w:pPr>
              <w:spacing w:line="240" w:lineRule="auto"/>
              <w:rPr>
                <w:rFonts w:ascii="Times" w:eastAsia="Times New Roman" w:hAnsi="Times" w:cs="Calibri"/>
                <w:b/>
                <w:bCs/>
                <w:sz w:val="20"/>
                <w:szCs w:val="20"/>
              </w:rPr>
            </w:pPr>
            <w:r w:rsidRPr="0060162F">
              <w:rPr>
                <w:rFonts w:ascii="Times" w:eastAsia="Times New Roman" w:hAnsi="Times" w:cs="Calibri"/>
                <w:b/>
                <w:bCs/>
                <w:sz w:val="20"/>
                <w:szCs w:val="20"/>
              </w:rPr>
              <w:t>80</w:t>
            </w:r>
            <w:r w:rsidRPr="0060162F">
              <w:rPr>
                <w:rFonts w:ascii="Times" w:eastAsia="Times New Roman" w:hAnsi="Times" w:cs="Calibri"/>
                <w:b/>
                <w:bCs/>
                <w:sz w:val="20"/>
                <w:szCs w:val="20"/>
                <w:vertAlign w:val="superscript"/>
              </w:rPr>
              <w:t>th</w:t>
            </w:r>
            <w:r w:rsidRPr="0060162F">
              <w:rPr>
                <w:rFonts w:ascii="Times" w:eastAsia="Times New Roman" w:hAnsi="Times" w:cs="Calibri"/>
                <w:b/>
                <w:bCs/>
                <w:sz w:val="20"/>
                <w:szCs w:val="20"/>
              </w:rPr>
              <w:t xml:space="preserve"> percentile</w:t>
            </w:r>
          </w:p>
        </w:tc>
      </w:tr>
      <w:tr w:rsidR="0060162F" w:rsidRPr="0060162F" w14:paraId="5D6EAB7D" w14:textId="77777777" w:rsidTr="00007D79">
        <w:trPr>
          <w:trHeight w:val="340"/>
          <w:jc w:val="center"/>
        </w:trPr>
        <w:tc>
          <w:tcPr>
            <w:tcW w:w="2860" w:type="dxa"/>
            <w:tcBorders>
              <w:top w:val="nil"/>
              <w:left w:val="nil"/>
              <w:bottom w:val="nil"/>
              <w:right w:val="nil"/>
            </w:tcBorders>
            <w:shd w:val="clear" w:color="auto" w:fill="auto"/>
            <w:noWrap/>
            <w:vAlign w:val="center"/>
            <w:hideMark/>
          </w:tcPr>
          <w:p w14:paraId="0157EC4B"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w:t>
            </w:r>
          </w:p>
        </w:tc>
        <w:tc>
          <w:tcPr>
            <w:tcW w:w="2145" w:type="dxa"/>
            <w:tcBorders>
              <w:top w:val="nil"/>
              <w:left w:val="nil"/>
              <w:bottom w:val="nil"/>
              <w:right w:val="nil"/>
            </w:tcBorders>
            <w:shd w:val="clear" w:color="auto" w:fill="auto"/>
            <w:noWrap/>
            <w:vAlign w:val="center"/>
            <w:hideMark/>
          </w:tcPr>
          <w:p w14:paraId="2510A56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Maldives</w:t>
            </w:r>
          </w:p>
        </w:tc>
        <w:tc>
          <w:tcPr>
            <w:tcW w:w="2151" w:type="dxa"/>
            <w:tcBorders>
              <w:top w:val="nil"/>
              <w:left w:val="nil"/>
              <w:bottom w:val="nil"/>
              <w:right w:val="nil"/>
            </w:tcBorders>
            <w:shd w:val="clear" w:color="auto" w:fill="auto"/>
            <w:noWrap/>
            <w:vAlign w:val="center"/>
            <w:hideMark/>
          </w:tcPr>
          <w:p w14:paraId="0AA5538F"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Lucia</w:t>
            </w:r>
          </w:p>
        </w:tc>
        <w:tc>
          <w:tcPr>
            <w:tcW w:w="2145" w:type="dxa"/>
            <w:tcBorders>
              <w:top w:val="nil"/>
              <w:left w:val="nil"/>
              <w:bottom w:val="nil"/>
              <w:right w:val="nil"/>
            </w:tcBorders>
            <w:shd w:val="clear" w:color="auto" w:fill="auto"/>
            <w:noWrap/>
            <w:vAlign w:val="center"/>
            <w:hideMark/>
          </w:tcPr>
          <w:p w14:paraId="0383415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Lucia</w:t>
            </w:r>
          </w:p>
        </w:tc>
      </w:tr>
      <w:tr w:rsidR="0060162F" w:rsidRPr="0060162F" w14:paraId="7D9BE464"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79B5CCC9"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2</w:t>
            </w:r>
          </w:p>
        </w:tc>
        <w:tc>
          <w:tcPr>
            <w:tcW w:w="2145" w:type="dxa"/>
            <w:tcBorders>
              <w:top w:val="nil"/>
              <w:left w:val="nil"/>
              <w:bottom w:val="nil"/>
              <w:right w:val="nil"/>
            </w:tcBorders>
            <w:shd w:val="clear" w:color="auto" w:fill="auto"/>
            <w:noWrap/>
            <w:vAlign w:val="center"/>
            <w:hideMark/>
          </w:tcPr>
          <w:p w14:paraId="4E7E329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Kitts and Nevis</w:t>
            </w:r>
          </w:p>
        </w:tc>
        <w:tc>
          <w:tcPr>
            <w:tcW w:w="2151" w:type="dxa"/>
            <w:tcBorders>
              <w:top w:val="nil"/>
              <w:left w:val="nil"/>
              <w:bottom w:val="nil"/>
              <w:right w:val="nil"/>
            </w:tcBorders>
            <w:shd w:val="clear" w:color="auto" w:fill="auto"/>
            <w:noWrap/>
            <w:vAlign w:val="center"/>
            <w:hideMark/>
          </w:tcPr>
          <w:p w14:paraId="5A683A40"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Kitts and Nevis</w:t>
            </w:r>
          </w:p>
        </w:tc>
        <w:tc>
          <w:tcPr>
            <w:tcW w:w="2145" w:type="dxa"/>
            <w:tcBorders>
              <w:top w:val="nil"/>
              <w:left w:val="nil"/>
              <w:bottom w:val="nil"/>
              <w:right w:val="nil"/>
            </w:tcBorders>
            <w:shd w:val="clear" w:color="auto" w:fill="auto"/>
            <w:noWrap/>
            <w:vAlign w:val="center"/>
            <w:hideMark/>
          </w:tcPr>
          <w:p w14:paraId="6B8F9033"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Kitts and Nevis</w:t>
            </w:r>
          </w:p>
        </w:tc>
      </w:tr>
      <w:tr w:rsidR="0060162F" w:rsidRPr="0060162F" w14:paraId="63690817"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6095D7DF"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3</w:t>
            </w:r>
          </w:p>
        </w:tc>
        <w:tc>
          <w:tcPr>
            <w:tcW w:w="2145" w:type="dxa"/>
            <w:tcBorders>
              <w:top w:val="nil"/>
              <w:left w:val="nil"/>
              <w:bottom w:val="nil"/>
              <w:right w:val="nil"/>
            </w:tcBorders>
            <w:shd w:val="clear" w:color="auto" w:fill="auto"/>
            <w:noWrap/>
            <w:vAlign w:val="center"/>
            <w:hideMark/>
          </w:tcPr>
          <w:p w14:paraId="6F87767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Saint Lucia</w:t>
            </w:r>
          </w:p>
        </w:tc>
        <w:tc>
          <w:tcPr>
            <w:tcW w:w="2151" w:type="dxa"/>
            <w:tcBorders>
              <w:top w:val="nil"/>
              <w:left w:val="nil"/>
              <w:bottom w:val="nil"/>
              <w:right w:val="nil"/>
            </w:tcBorders>
            <w:shd w:val="clear" w:color="auto" w:fill="auto"/>
            <w:noWrap/>
            <w:vAlign w:val="center"/>
            <w:hideMark/>
          </w:tcPr>
          <w:p w14:paraId="3AD918D0"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Grenada</w:t>
            </w:r>
          </w:p>
        </w:tc>
        <w:tc>
          <w:tcPr>
            <w:tcW w:w="2145" w:type="dxa"/>
            <w:tcBorders>
              <w:top w:val="nil"/>
              <w:left w:val="nil"/>
              <w:bottom w:val="nil"/>
              <w:right w:val="nil"/>
            </w:tcBorders>
            <w:shd w:val="clear" w:color="auto" w:fill="auto"/>
            <w:noWrap/>
            <w:vAlign w:val="center"/>
            <w:hideMark/>
          </w:tcPr>
          <w:p w14:paraId="3599AC0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Grenada</w:t>
            </w:r>
          </w:p>
        </w:tc>
      </w:tr>
      <w:tr w:rsidR="0060162F" w:rsidRPr="0060162F" w14:paraId="4171F357"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4F68571C"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4</w:t>
            </w:r>
          </w:p>
        </w:tc>
        <w:tc>
          <w:tcPr>
            <w:tcW w:w="2145" w:type="dxa"/>
            <w:tcBorders>
              <w:top w:val="nil"/>
              <w:left w:val="nil"/>
              <w:bottom w:val="nil"/>
              <w:right w:val="nil"/>
            </w:tcBorders>
            <w:shd w:val="clear" w:color="auto" w:fill="auto"/>
            <w:noWrap/>
            <w:vAlign w:val="center"/>
            <w:hideMark/>
          </w:tcPr>
          <w:p w14:paraId="70E2B79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Grenada</w:t>
            </w:r>
          </w:p>
        </w:tc>
        <w:tc>
          <w:tcPr>
            <w:tcW w:w="2151" w:type="dxa"/>
            <w:tcBorders>
              <w:top w:val="nil"/>
              <w:left w:val="nil"/>
              <w:bottom w:val="nil"/>
              <w:right w:val="nil"/>
            </w:tcBorders>
            <w:shd w:val="clear" w:color="auto" w:fill="auto"/>
            <w:noWrap/>
            <w:vAlign w:val="center"/>
            <w:hideMark/>
          </w:tcPr>
          <w:p w14:paraId="44A9332E"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Sri Lanka</w:t>
            </w:r>
          </w:p>
        </w:tc>
        <w:tc>
          <w:tcPr>
            <w:tcW w:w="2145" w:type="dxa"/>
            <w:tcBorders>
              <w:top w:val="nil"/>
              <w:left w:val="nil"/>
              <w:bottom w:val="nil"/>
              <w:right w:val="nil"/>
            </w:tcBorders>
            <w:shd w:val="clear" w:color="auto" w:fill="auto"/>
            <w:noWrap/>
            <w:vAlign w:val="center"/>
            <w:hideMark/>
          </w:tcPr>
          <w:p w14:paraId="2A1D4F24"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Sri Lanka</w:t>
            </w:r>
          </w:p>
        </w:tc>
      </w:tr>
      <w:tr w:rsidR="0060162F" w:rsidRPr="0060162F" w14:paraId="19D276CA"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4B913396"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5</w:t>
            </w:r>
          </w:p>
        </w:tc>
        <w:tc>
          <w:tcPr>
            <w:tcW w:w="2145" w:type="dxa"/>
            <w:tcBorders>
              <w:top w:val="nil"/>
              <w:left w:val="nil"/>
              <w:bottom w:val="nil"/>
              <w:right w:val="nil"/>
            </w:tcBorders>
            <w:shd w:val="clear" w:color="auto" w:fill="auto"/>
            <w:noWrap/>
            <w:vAlign w:val="center"/>
            <w:hideMark/>
          </w:tcPr>
          <w:p w14:paraId="1C74D950"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Sri Lanka</w:t>
            </w:r>
          </w:p>
        </w:tc>
        <w:tc>
          <w:tcPr>
            <w:tcW w:w="2151" w:type="dxa"/>
            <w:tcBorders>
              <w:top w:val="nil"/>
              <w:left w:val="nil"/>
              <w:bottom w:val="nil"/>
              <w:right w:val="nil"/>
            </w:tcBorders>
            <w:shd w:val="clear" w:color="auto" w:fill="auto"/>
            <w:noWrap/>
            <w:vAlign w:val="center"/>
            <w:hideMark/>
          </w:tcPr>
          <w:p w14:paraId="49C1810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Malaysia</w:t>
            </w:r>
          </w:p>
        </w:tc>
        <w:tc>
          <w:tcPr>
            <w:tcW w:w="2145" w:type="dxa"/>
            <w:tcBorders>
              <w:top w:val="nil"/>
              <w:left w:val="nil"/>
              <w:bottom w:val="nil"/>
              <w:right w:val="nil"/>
            </w:tcBorders>
            <w:shd w:val="clear" w:color="auto" w:fill="auto"/>
            <w:noWrap/>
            <w:vAlign w:val="center"/>
            <w:hideMark/>
          </w:tcPr>
          <w:p w14:paraId="1F80589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Bahamas</w:t>
            </w:r>
          </w:p>
        </w:tc>
      </w:tr>
      <w:tr w:rsidR="0060162F" w:rsidRPr="0060162F" w14:paraId="66593057"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3A23DB21"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6</w:t>
            </w:r>
          </w:p>
        </w:tc>
        <w:tc>
          <w:tcPr>
            <w:tcW w:w="2145" w:type="dxa"/>
            <w:tcBorders>
              <w:top w:val="nil"/>
              <w:left w:val="nil"/>
              <w:bottom w:val="nil"/>
              <w:right w:val="nil"/>
            </w:tcBorders>
            <w:shd w:val="clear" w:color="auto" w:fill="auto"/>
            <w:noWrap/>
            <w:vAlign w:val="center"/>
            <w:hideMark/>
          </w:tcPr>
          <w:p w14:paraId="0C9A603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Bahamas</w:t>
            </w:r>
          </w:p>
        </w:tc>
        <w:tc>
          <w:tcPr>
            <w:tcW w:w="2151" w:type="dxa"/>
            <w:tcBorders>
              <w:top w:val="nil"/>
              <w:left w:val="nil"/>
              <w:bottom w:val="nil"/>
              <w:right w:val="nil"/>
            </w:tcBorders>
            <w:shd w:val="clear" w:color="auto" w:fill="auto"/>
            <w:noWrap/>
            <w:vAlign w:val="center"/>
            <w:hideMark/>
          </w:tcPr>
          <w:p w14:paraId="196A3F6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French Polynesia</w:t>
            </w:r>
          </w:p>
        </w:tc>
        <w:tc>
          <w:tcPr>
            <w:tcW w:w="2145" w:type="dxa"/>
            <w:tcBorders>
              <w:top w:val="nil"/>
              <w:left w:val="nil"/>
              <w:bottom w:val="nil"/>
              <w:right w:val="nil"/>
            </w:tcBorders>
            <w:shd w:val="clear" w:color="auto" w:fill="auto"/>
            <w:noWrap/>
            <w:vAlign w:val="center"/>
            <w:hideMark/>
          </w:tcPr>
          <w:p w14:paraId="1C0E297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Barbados</w:t>
            </w:r>
          </w:p>
        </w:tc>
      </w:tr>
      <w:tr w:rsidR="0060162F" w:rsidRPr="0060162F" w14:paraId="31956533"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06A05459"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7</w:t>
            </w:r>
          </w:p>
        </w:tc>
        <w:tc>
          <w:tcPr>
            <w:tcW w:w="2145" w:type="dxa"/>
            <w:tcBorders>
              <w:top w:val="nil"/>
              <w:left w:val="nil"/>
              <w:bottom w:val="nil"/>
              <w:right w:val="nil"/>
            </w:tcBorders>
            <w:shd w:val="clear" w:color="auto" w:fill="auto"/>
            <w:noWrap/>
            <w:vAlign w:val="center"/>
            <w:hideMark/>
          </w:tcPr>
          <w:p w14:paraId="4FD08C8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Malaysia</w:t>
            </w:r>
          </w:p>
        </w:tc>
        <w:tc>
          <w:tcPr>
            <w:tcW w:w="2151" w:type="dxa"/>
            <w:tcBorders>
              <w:top w:val="nil"/>
              <w:left w:val="nil"/>
              <w:bottom w:val="nil"/>
              <w:right w:val="nil"/>
            </w:tcBorders>
            <w:shd w:val="clear" w:color="auto" w:fill="auto"/>
            <w:noWrap/>
            <w:vAlign w:val="center"/>
            <w:hideMark/>
          </w:tcPr>
          <w:p w14:paraId="0EAC3213"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Bahamas</w:t>
            </w:r>
          </w:p>
        </w:tc>
        <w:tc>
          <w:tcPr>
            <w:tcW w:w="2145" w:type="dxa"/>
            <w:tcBorders>
              <w:top w:val="nil"/>
              <w:left w:val="nil"/>
              <w:bottom w:val="nil"/>
              <w:right w:val="nil"/>
            </w:tcBorders>
            <w:shd w:val="clear" w:color="auto" w:fill="auto"/>
            <w:noWrap/>
            <w:vAlign w:val="center"/>
            <w:hideMark/>
          </w:tcPr>
          <w:p w14:paraId="7F09AF42"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Jamaica</w:t>
            </w:r>
          </w:p>
        </w:tc>
      </w:tr>
      <w:tr w:rsidR="0060162F" w:rsidRPr="0060162F" w14:paraId="5E47306A"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4B58107F"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8</w:t>
            </w:r>
          </w:p>
        </w:tc>
        <w:tc>
          <w:tcPr>
            <w:tcW w:w="2145" w:type="dxa"/>
            <w:tcBorders>
              <w:top w:val="nil"/>
              <w:left w:val="nil"/>
              <w:bottom w:val="nil"/>
              <w:right w:val="nil"/>
            </w:tcBorders>
            <w:shd w:val="clear" w:color="auto" w:fill="auto"/>
            <w:noWrap/>
            <w:vAlign w:val="center"/>
            <w:hideMark/>
          </w:tcPr>
          <w:p w14:paraId="0C7DB01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French Polynesia</w:t>
            </w:r>
          </w:p>
        </w:tc>
        <w:tc>
          <w:tcPr>
            <w:tcW w:w="2151" w:type="dxa"/>
            <w:tcBorders>
              <w:top w:val="nil"/>
              <w:left w:val="nil"/>
              <w:bottom w:val="nil"/>
              <w:right w:val="nil"/>
            </w:tcBorders>
            <w:shd w:val="clear" w:color="auto" w:fill="auto"/>
            <w:noWrap/>
            <w:vAlign w:val="center"/>
            <w:hideMark/>
          </w:tcPr>
          <w:p w14:paraId="4CD9B8B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Barbados</w:t>
            </w:r>
          </w:p>
        </w:tc>
        <w:tc>
          <w:tcPr>
            <w:tcW w:w="2145" w:type="dxa"/>
            <w:tcBorders>
              <w:top w:val="nil"/>
              <w:left w:val="nil"/>
              <w:bottom w:val="nil"/>
              <w:right w:val="nil"/>
            </w:tcBorders>
            <w:shd w:val="clear" w:color="auto" w:fill="auto"/>
            <w:noWrap/>
            <w:vAlign w:val="center"/>
            <w:hideMark/>
          </w:tcPr>
          <w:p w14:paraId="579084E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Malaysia</w:t>
            </w:r>
          </w:p>
        </w:tc>
      </w:tr>
      <w:tr w:rsidR="0060162F" w:rsidRPr="0060162F" w14:paraId="0A609B99" w14:textId="77777777" w:rsidTr="004E1497">
        <w:trPr>
          <w:trHeight w:val="320"/>
          <w:jc w:val="center"/>
        </w:trPr>
        <w:tc>
          <w:tcPr>
            <w:tcW w:w="2860" w:type="dxa"/>
            <w:tcBorders>
              <w:top w:val="nil"/>
              <w:left w:val="nil"/>
              <w:right w:val="nil"/>
            </w:tcBorders>
            <w:shd w:val="clear" w:color="auto" w:fill="auto"/>
            <w:noWrap/>
            <w:vAlign w:val="center"/>
            <w:hideMark/>
          </w:tcPr>
          <w:p w14:paraId="6C192992"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9</w:t>
            </w:r>
          </w:p>
        </w:tc>
        <w:tc>
          <w:tcPr>
            <w:tcW w:w="2145" w:type="dxa"/>
            <w:tcBorders>
              <w:top w:val="nil"/>
              <w:left w:val="nil"/>
              <w:right w:val="nil"/>
            </w:tcBorders>
            <w:shd w:val="clear" w:color="auto" w:fill="auto"/>
            <w:noWrap/>
            <w:vAlign w:val="center"/>
            <w:hideMark/>
          </w:tcPr>
          <w:p w14:paraId="1C5CC8C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Libya</w:t>
            </w:r>
          </w:p>
        </w:tc>
        <w:tc>
          <w:tcPr>
            <w:tcW w:w="2151" w:type="dxa"/>
            <w:tcBorders>
              <w:top w:val="nil"/>
              <w:left w:val="nil"/>
              <w:right w:val="nil"/>
            </w:tcBorders>
            <w:shd w:val="clear" w:color="auto" w:fill="auto"/>
            <w:noWrap/>
            <w:vAlign w:val="center"/>
            <w:hideMark/>
          </w:tcPr>
          <w:p w14:paraId="2E8FC5E0"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Antigua and Barbuda</w:t>
            </w:r>
          </w:p>
        </w:tc>
        <w:tc>
          <w:tcPr>
            <w:tcW w:w="2145" w:type="dxa"/>
            <w:tcBorders>
              <w:top w:val="nil"/>
              <w:left w:val="nil"/>
              <w:right w:val="nil"/>
            </w:tcBorders>
            <w:shd w:val="clear" w:color="auto" w:fill="auto"/>
            <w:noWrap/>
            <w:vAlign w:val="center"/>
            <w:hideMark/>
          </w:tcPr>
          <w:p w14:paraId="5CA6E9B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Thailand</w:t>
            </w:r>
          </w:p>
        </w:tc>
      </w:tr>
      <w:tr w:rsidR="0060162F" w:rsidRPr="0060162F" w14:paraId="009BF378" w14:textId="77777777" w:rsidTr="004E1497">
        <w:trPr>
          <w:trHeight w:val="320"/>
          <w:jc w:val="center"/>
        </w:trPr>
        <w:tc>
          <w:tcPr>
            <w:tcW w:w="2860" w:type="dxa"/>
            <w:tcBorders>
              <w:top w:val="nil"/>
              <w:left w:val="nil"/>
              <w:bottom w:val="single" w:sz="4" w:space="0" w:color="auto"/>
              <w:right w:val="nil"/>
            </w:tcBorders>
            <w:shd w:val="clear" w:color="auto" w:fill="auto"/>
            <w:noWrap/>
            <w:vAlign w:val="center"/>
            <w:hideMark/>
          </w:tcPr>
          <w:p w14:paraId="373E0411"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10</w:t>
            </w:r>
          </w:p>
        </w:tc>
        <w:tc>
          <w:tcPr>
            <w:tcW w:w="2145" w:type="dxa"/>
            <w:tcBorders>
              <w:top w:val="nil"/>
              <w:left w:val="nil"/>
              <w:bottom w:val="single" w:sz="4" w:space="0" w:color="auto"/>
              <w:right w:val="nil"/>
            </w:tcBorders>
            <w:shd w:val="clear" w:color="auto" w:fill="auto"/>
            <w:noWrap/>
            <w:vAlign w:val="center"/>
            <w:hideMark/>
          </w:tcPr>
          <w:p w14:paraId="612EBE97"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New Caledonia</w:t>
            </w:r>
          </w:p>
        </w:tc>
        <w:tc>
          <w:tcPr>
            <w:tcW w:w="2151" w:type="dxa"/>
            <w:tcBorders>
              <w:top w:val="nil"/>
              <w:left w:val="nil"/>
              <w:bottom w:val="single" w:sz="4" w:space="0" w:color="auto"/>
              <w:right w:val="nil"/>
            </w:tcBorders>
            <w:shd w:val="clear" w:color="auto" w:fill="auto"/>
            <w:noWrap/>
            <w:vAlign w:val="center"/>
            <w:hideMark/>
          </w:tcPr>
          <w:p w14:paraId="59528C7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New Caledonia</w:t>
            </w:r>
          </w:p>
        </w:tc>
        <w:tc>
          <w:tcPr>
            <w:tcW w:w="2145" w:type="dxa"/>
            <w:tcBorders>
              <w:top w:val="nil"/>
              <w:left w:val="nil"/>
              <w:bottom w:val="single" w:sz="4" w:space="0" w:color="auto"/>
              <w:right w:val="nil"/>
            </w:tcBorders>
            <w:shd w:val="clear" w:color="auto" w:fill="auto"/>
            <w:noWrap/>
            <w:vAlign w:val="center"/>
            <w:hideMark/>
          </w:tcPr>
          <w:p w14:paraId="4EE34A08"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French Polynesia</w:t>
            </w:r>
          </w:p>
        </w:tc>
      </w:tr>
      <w:tr w:rsidR="0060162F" w:rsidRPr="0060162F" w14:paraId="5D6749F7" w14:textId="77777777" w:rsidTr="004E1497">
        <w:trPr>
          <w:trHeight w:val="320"/>
          <w:jc w:val="center"/>
        </w:trPr>
        <w:tc>
          <w:tcPr>
            <w:tcW w:w="2860" w:type="dxa"/>
            <w:tcBorders>
              <w:top w:val="single" w:sz="4" w:space="0" w:color="auto"/>
              <w:left w:val="nil"/>
              <w:bottom w:val="nil"/>
              <w:right w:val="nil"/>
            </w:tcBorders>
            <w:shd w:val="clear" w:color="auto" w:fill="auto"/>
            <w:noWrap/>
            <w:vAlign w:val="center"/>
            <w:hideMark/>
          </w:tcPr>
          <w:p w14:paraId="79D7FEE8"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108</w:t>
            </w:r>
          </w:p>
        </w:tc>
        <w:tc>
          <w:tcPr>
            <w:tcW w:w="2145" w:type="dxa"/>
            <w:tcBorders>
              <w:top w:val="single" w:sz="4" w:space="0" w:color="auto"/>
              <w:left w:val="nil"/>
              <w:bottom w:val="nil"/>
              <w:right w:val="nil"/>
            </w:tcBorders>
            <w:shd w:val="clear" w:color="auto" w:fill="auto"/>
            <w:noWrap/>
            <w:vAlign w:val="center"/>
            <w:hideMark/>
          </w:tcPr>
          <w:p w14:paraId="6E5B12F3"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Honduras</w:t>
            </w:r>
          </w:p>
        </w:tc>
        <w:tc>
          <w:tcPr>
            <w:tcW w:w="2151" w:type="dxa"/>
            <w:tcBorders>
              <w:top w:val="single" w:sz="4" w:space="0" w:color="auto"/>
              <w:left w:val="nil"/>
              <w:bottom w:val="nil"/>
              <w:right w:val="nil"/>
            </w:tcBorders>
            <w:shd w:val="clear" w:color="auto" w:fill="auto"/>
            <w:noWrap/>
            <w:vAlign w:val="center"/>
            <w:hideMark/>
          </w:tcPr>
          <w:p w14:paraId="36F2E5A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Iran</w:t>
            </w:r>
          </w:p>
        </w:tc>
        <w:tc>
          <w:tcPr>
            <w:tcW w:w="2145" w:type="dxa"/>
            <w:tcBorders>
              <w:top w:val="single" w:sz="4" w:space="0" w:color="auto"/>
              <w:left w:val="nil"/>
              <w:bottom w:val="nil"/>
              <w:right w:val="nil"/>
            </w:tcBorders>
            <w:shd w:val="clear" w:color="auto" w:fill="auto"/>
            <w:noWrap/>
            <w:vAlign w:val="center"/>
            <w:hideMark/>
          </w:tcPr>
          <w:p w14:paraId="1F60BE0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Pakistan</w:t>
            </w:r>
          </w:p>
        </w:tc>
      </w:tr>
      <w:tr w:rsidR="0060162F" w:rsidRPr="0060162F" w14:paraId="32C811BF"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5E8D7BBE"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109</w:t>
            </w:r>
          </w:p>
        </w:tc>
        <w:tc>
          <w:tcPr>
            <w:tcW w:w="2145" w:type="dxa"/>
            <w:tcBorders>
              <w:top w:val="nil"/>
              <w:left w:val="nil"/>
              <w:bottom w:val="nil"/>
              <w:right w:val="nil"/>
            </w:tcBorders>
            <w:shd w:val="clear" w:color="auto" w:fill="auto"/>
            <w:noWrap/>
            <w:vAlign w:val="center"/>
            <w:hideMark/>
          </w:tcPr>
          <w:p w14:paraId="74D1214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Uruguay</w:t>
            </w:r>
          </w:p>
        </w:tc>
        <w:tc>
          <w:tcPr>
            <w:tcW w:w="2151" w:type="dxa"/>
            <w:tcBorders>
              <w:top w:val="nil"/>
              <w:left w:val="nil"/>
              <w:bottom w:val="nil"/>
              <w:right w:val="nil"/>
            </w:tcBorders>
            <w:shd w:val="clear" w:color="auto" w:fill="auto"/>
            <w:noWrap/>
            <w:vAlign w:val="center"/>
            <w:hideMark/>
          </w:tcPr>
          <w:p w14:paraId="15F5B6C6"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Brazil</w:t>
            </w:r>
          </w:p>
        </w:tc>
        <w:tc>
          <w:tcPr>
            <w:tcW w:w="2145" w:type="dxa"/>
            <w:tcBorders>
              <w:top w:val="nil"/>
              <w:left w:val="nil"/>
              <w:bottom w:val="nil"/>
              <w:right w:val="nil"/>
            </w:tcBorders>
            <w:shd w:val="clear" w:color="auto" w:fill="auto"/>
            <w:noWrap/>
            <w:vAlign w:val="center"/>
            <w:hideMark/>
          </w:tcPr>
          <w:p w14:paraId="0E717CA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Cuba</w:t>
            </w:r>
          </w:p>
        </w:tc>
      </w:tr>
      <w:tr w:rsidR="0060162F" w:rsidRPr="0060162F" w14:paraId="030545DC"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405DA8A0"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110</w:t>
            </w:r>
          </w:p>
        </w:tc>
        <w:tc>
          <w:tcPr>
            <w:tcW w:w="2145" w:type="dxa"/>
            <w:tcBorders>
              <w:top w:val="nil"/>
              <w:left w:val="nil"/>
              <w:bottom w:val="nil"/>
              <w:right w:val="nil"/>
            </w:tcBorders>
            <w:shd w:val="clear" w:color="auto" w:fill="auto"/>
            <w:noWrap/>
            <w:vAlign w:val="center"/>
            <w:hideMark/>
          </w:tcPr>
          <w:p w14:paraId="641ACC9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Brazil</w:t>
            </w:r>
          </w:p>
        </w:tc>
        <w:tc>
          <w:tcPr>
            <w:tcW w:w="2151" w:type="dxa"/>
            <w:tcBorders>
              <w:top w:val="nil"/>
              <w:left w:val="nil"/>
              <w:bottom w:val="nil"/>
              <w:right w:val="nil"/>
            </w:tcBorders>
            <w:shd w:val="clear" w:color="auto" w:fill="auto"/>
            <w:noWrap/>
            <w:vAlign w:val="center"/>
            <w:hideMark/>
          </w:tcPr>
          <w:p w14:paraId="73281EE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Cuba</w:t>
            </w:r>
          </w:p>
        </w:tc>
        <w:tc>
          <w:tcPr>
            <w:tcW w:w="2145" w:type="dxa"/>
            <w:tcBorders>
              <w:top w:val="nil"/>
              <w:left w:val="nil"/>
              <w:bottom w:val="nil"/>
              <w:right w:val="nil"/>
            </w:tcBorders>
            <w:shd w:val="clear" w:color="auto" w:fill="auto"/>
            <w:noWrap/>
            <w:vAlign w:val="center"/>
            <w:hideMark/>
          </w:tcPr>
          <w:p w14:paraId="6536D138"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Turkey</w:t>
            </w:r>
          </w:p>
        </w:tc>
      </w:tr>
      <w:tr w:rsidR="0060162F" w:rsidRPr="0060162F" w14:paraId="2A7391A6"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7C55CDB4"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111</w:t>
            </w:r>
          </w:p>
        </w:tc>
        <w:tc>
          <w:tcPr>
            <w:tcW w:w="2145" w:type="dxa"/>
            <w:tcBorders>
              <w:top w:val="nil"/>
              <w:left w:val="nil"/>
              <w:bottom w:val="nil"/>
              <w:right w:val="nil"/>
            </w:tcBorders>
            <w:shd w:val="clear" w:color="auto" w:fill="auto"/>
            <w:noWrap/>
            <w:vAlign w:val="center"/>
            <w:hideMark/>
          </w:tcPr>
          <w:p w14:paraId="02C168DC"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Costa Rica</w:t>
            </w:r>
          </w:p>
        </w:tc>
        <w:tc>
          <w:tcPr>
            <w:tcW w:w="2151" w:type="dxa"/>
            <w:tcBorders>
              <w:top w:val="nil"/>
              <w:left w:val="nil"/>
              <w:bottom w:val="nil"/>
              <w:right w:val="nil"/>
            </w:tcBorders>
            <w:shd w:val="clear" w:color="auto" w:fill="auto"/>
            <w:noWrap/>
            <w:vAlign w:val="center"/>
            <w:hideMark/>
          </w:tcPr>
          <w:p w14:paraId="50E06AB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Nicaragua</w:t>
            </w:r>
          </w:p>
        </w:tc>
        <w:tc>
          <w:tcPr>
            <w:tcW w:w="2145" w:type="dxa"/>
            <w:tcBorders>
              <w:top w:val="nil"/>
              <w:left w:val="nil"/>
              <w:bottom w:val="nil"/>
              <w:right w:val="nil"/>
            </w:tcBorders>
            <w:shd w:val="clear" w:color="auto" w:fill="auto"/>
            <w:noWrap/>
            <w:vAlign w:val="center"/>
            <w:hideMark/>
          </w:tcPr>
          <w:p w14:paraId="4C6A70B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Mexico</w:t>
            </w:r>
          </w:p>
        </w:tc>
      </w:tr>
      <w:tr w:rsidR="0060162F" w:rsidRPr="0060162F" w14:paraId="187DFFF9"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2EA74D5F"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112</w:t>
            </w:r>
          </w:p>
        </w:tc>
        <w:tc>
          <w:tcPr>
            <w:tcW w:w="2145" w:type="dxa"/>
            <w:tcBorders>
              <w:top w:val="nil"/>
              <w:left w:val="nil"/>
              <w:bottom w:val="nil"/>
              <w:right w:val="nil"/>
            </w:tcBorders>
            <w:shd w:val="clear" w:color="auto" w:fill="auto"/>
            <w:noWrap/>
            <w:vAlign w:val="center"/>
            <w:hideMark/>
          </w:tcPr>
          <w:p w14:paraId="634FF49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Argentina</w:t>
            </w:r>
          </w:p>
        </w:tc>
        <w:tc>
          <w:tcPr>
            <w:tcW w:w="2151" w:type="dxa"/>
            <w:tcBorders>
              <w:top w:val="nil"/>
              <w:left w:val="nil"/>
              <w:bottom w:val="nil"/>
              <w:right w:val="nil"/>
            </w:tcBorders>
            <w:shd w:val="clear" w:color="auto" w:fill="auto"/>
            <w:noWrap/>
            <w:vAlign w:val="center"/>
            <w:hideMark/>
          </w:tcPr>
          <w:p w14:paraId="0D678F8A"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Mexico</w:t>
            </w:r>
          </w:p>
        </w:tc>
        <w:tc>
          <w:tcPr>
            <w:tcW w:w="2145" w:type="dxa"/>
            <w:tcBorders>
              <w:top w:val="nil"/>
              <w:left w:val="nil"/>
              <w:bottom w:val="nil"/>
              <w:right w:val="nil"/>
            </w:tcBorders>
            <w:shd w:val="clear" w:color="auto" w:fill="auto"/>
            <w:noWrap/>
            <w:vAlign w:val="center"/>
            <w:hideMark/>
          </w:tcPr>
          <w:p w14:paraId="58FA6192"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Brazil</w:t>
            </w:r>
          </w:p>
        </w:tc>
      </w:tr>
      <w:tr w:rsidR="0060162F" w:rsidRPr="0060162F" w14:paraId="3315E647"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34D1B672"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113</w:t>
            </w:r>
          </w:p>
        </w:tc>
        <w:tc>
          <w:tcPr>
            <w:tcW w:w="2145" w:type="dxa"/>
            <w:tcBorders>
              <w:top w:val="nil"/>
              <w:left w:val="nil"/>
              <w:bottom w:val="nil"/>
              <w:right w:val="nil"/>
            </w:tcBorders>
            <w:shd w:val="clear" w:color="auto" w:fill="auto"/>
            <w:noWrap/>
            <w:vAlign w:val="center"/>
            <w:hideMark/>
          </w:tcPr>
          <w:p w14:paraId="6C50F5B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United States</w:t>
            </w:r>
          </w:p>
        </w:tc>
        <w:tc>
          <w:tcPr>
            <w:tcW w:w="2151" w:type="dxa"/>
            <w:tcBorders>
              <w:top w:val="nil"/>
              <w:left w:val="nil"/>
              <w:bottom w:val="nil"/>
              <w:right w:val="nil"/>
            </w:tcBorders>
            <w:shd w:val="clear" w:color="auto" w:fill="auto"/>
            <w:noWrap/>
            <w:vAlign w:val="center"/>
            <w:hideMark/>
          </w:tcPr>
          <w:p w14:paraId="78EFB0E4"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Chile</w:t>
            </w:r>
          </w:p>
        </w:tc>
        <w:tc>
          <w:tcPr>
            <w:tcW w:w="2145" w:type="dxa"/>
            <w:tcBorders>
              <w:top w:val="nil"/>
              <w:left w:val="nil"/>
              <w:bottom w:val="nil"/>
              <w:right w:val="nil"/>
            </w:tcBorders>
            <w:shd w:val="clear" w:color="auto" w:fill="auto"/>
            <w:noWrap/>
            <w:vAlign w:val="center"/>
            <w:hideMark/>
          </w:tcPr>
          <w:p w14:paraId="1E62103E"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Chile</w:t>
            </w:r>
          </w:p>
        </w:tc>
      </w:tr>
      <w:tr w:rsidR="0060162F" w:rsidRPr="0060162F" w14:paraId="514058B1"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6A2FFDC5"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114</w:t>
            </w:r>
          </w:p>
        </w:tc>
        <w:tc>
          <w:tcPr>
            <w:tcW w:w="2145" w:type="dxa"/>
            <w:tcBorders>
              <w:top w:val="nil"/>
              <w:left w:val="nil"/>
              <w:bottom w:val="nil"/>
              <w:right w:val="nil"/>
            </w:tcBorders>
            <w:shd w:val="clear" w:color="auto" w:fill="auto"/>
            <w:noWrap/>
            <w:vAlign w:val="center"/>
            <w:hideMark/>
          </w:tcPr>
          <w:p w14:paraId="4E274F73"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Kuwait</w:t>
            </w:r>
          </w:p>
        </w:tc>
        <w:tc>
          <w:tcPr>
            <w:tcW w:w="2151" w:type="dxa"/>
            <w:tcBorders>
              <w:top w:val="nil"/>
              <w:left w:val="nil"/>
              <w:bottom w:val="nil"/>
              <w:right w:val="nil"/>
            </w:tcBorders>
            <w:shd w:val="clear" w:color="auto" w:fill="auto"/>
            <w:noWrap/>
            <w:vAlign w:val="center"/>
            <w:hideMark/>
          </w:tcPr>
          <w:p w14:paraId="551FC34C"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Pakistan</w:t>
            </w:r>
          </w:p>
        </w:tc>
        <w:tc>
          <w:tcPr>
            <w:tcW w:w="2145" w:type="dxa"/>
            <w:tcBorders>
              <w:top w:val="nil"/>
              <w:left w:val="nil"/>
              <w:bottom w:val="nil"/>
              <w:right w:val="nil"/>
            </w:tcBorders>
            <w:shd w:val="clear" w:color="auto" w:fill="auto"/>
            <w:noWrap/>
            <w:vAlign w:val="center"/>
            <w:hideMark/>
          </w:tcPr>
          <w:p w14:paraId="3E94104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Honduras</w:t>
            </w:r>
          </w:p>
        </w:tc>
      </w:tr>
      <w:tr w:rsidR="0060162F" w:rsidRPr="0060162F" w14:paraId="701B6ED3"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2C97584B"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115</w:t>
            </w:r>
          </w:p>
        </w:tc>
        <w:tc>
          <w:tcPr>
            <w:tcW w:w="2145" w:type="dxa"/>
            <w:tcBorders>
              <w:top w:val="nil"/>
              <w:left w:val="nil"/>
              <w:bottom w:val="nil"/>
              <w:right w:val="nil"/>
            </w:tcBorders>
            <w:shd w:val="clear" w:color="auto" w:fill="auto"/>
            <w:noWrap/>
            <w:vAlign w:val="center"/>
            <w:hideMark/>
          </w:tcPr>
          <w:p w14:paraId="4522EE7E"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Turkey</w:t>
            </w:r>
          </w:p>
        </w:tc>
        <w:tc>
          <w:tcPr>
            <w:tcW w:w="2151" w:type="dxa"/>
            <w:tcBorders>
              <w:top w:val="nil"/>
              <w:left w:val="nil"/>
              <w:bottom w:val="nil"/>
              <w:right w:val="nil"/>
            </w:tcBorders>
            <w:shd w:val="clear" w:color="auto" w:fill="auto"/>
            <w:noWrap/>
            <w:vAlign w:val="center"/>
            <w:hideMark/>
          </w:tcPr>
          <w:p w14:paraId="682428EB"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Turkey</w:t>
            </w:r>
          </w:p>
        </w:tc>
        <w:tc>
          <w:tcPr>
            <w:tcW w:w="2145" w:type="dxa"/>
            <w:tcBorders>
              <w:top w:val="nil"/>
              <w:left w:val="nil"/>
              <w:bottom w:val="nil"/>
              <w:right w:val="nil"/>
            </w:tcBorders>
            <w:shd w:val="clear" w:color="auto" w:fill="auto"/>
            <w:noWrap/>
            <w:vAlign w:val="center"/>
            <w:hideMark/>
          </w:tcPr>
          <w:p w14:paraId="4E42B4B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Nicaragua</w:t>
            </w:r>
          </w:p>
        </w:tc>
      </w:tr>
      <w:tr w:rsidR="0060162F" w:rsidRPr="0060162F" w14:paraId="00A316F3" w14:textId="77777777" w:rsidTr="00007D79">
        <w:trPr>
          <w:trHeight w:val="320"/>
          <w:jc w:val="center"/>
        </w:trPr>
        <w:tc>
          <w:tcPr>
            <w:tcW w:w="2860" w:type="dxa"/>
            <w:tcBorders>
              <w:top w:val="nil"/>
              <w:left w:val="nil"/>
              <w:bottom w:val="nil"/>
              <w:right w:val="nil"/>
            </w:tcBorders>
            <w:shd w:val="clear" w:color="auto" w:fill="auto"/>
            <w:noWrap/>
            <w:vAlign w:val="center"/>
            <w:hideMark/>
          </w:tcPr>
          <w:p w14:paraId="67778425"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116</w:t>
            </w:r>
          </w:p>
        </w:tc>
        <w:tc>
          <w:tcPr>
            <w:tcW w:w="2145" w:type="dxa"/>
            <w:tcBorders>
              <w:top w:val="nil"/>
              <w:left w:val="nil"/>
              <w:bottom w:val="nil"/>
              <w:right w:val="nil"/>
            </w:tcBorders>
            <w:shd w:val="clear" w:color="auto" w:fill="auto"/>
            <w:noWrap/>
            <w:vAlign w:val="center"/>
            <w:hideMark/>
          </w:tcPr>
          <w:p w14:paraId="6F156411"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Mexico</w:t>
            </w:r>
          </w:p>
        </w:tc>
        <w:tc>
          <w:tcPr>
            <w:tcW w:w="2151" w:type="dxa"/>
            <w:tcBorders>
              <w:top w:val="nil"/>
              <w:left w:val="nil"/>
              <w:bottom w:val="nil"/>
              <w:right w:val="nil"/>
            </w:tcBorders>
            <w:shd w:val="clear" w:color="auto" w:fill="auto"/>
            <w:noWrap/>
            <w:vAlign w:val="center"/>
            <w:hideMark/>
          </w:tcPr>
          <w:p w14:paraId="22ACDE35"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Mauritania</w:t>
            </w:r>
          </w:p>
        </w:tc>
        <w:tc>
          <w:tcPr>
            <w:tcW w:w="2145" w:type="dxa"/>
            <w:tcBorders>
              <w:top w:val="nil"/>
              <w:left w:val="nil"/>
              <w:bottom w:val="nil"/>
              <w:right w:val="nil"/>
            </w:tcBorders>
            <w:shd w:val="clear" w:color="auto" w:fill="auto"/>
            <w:noWrap/>
            <w:vAlign w:val="center"/>
            <w:hideMark/>
          </w:tcPr>
          <w:p w14:paraId="5CD55ECF"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Mauritania</w:t>
            </w:r>
          </w:p>
        </w:tc>
      </w:tr>
      <w:tr w:rsidR="0060162F" w:rsidRPr="0060162F" w14:paraId="5977EC14" w14:textId="77777777" w:rsidTr="00007D79">
        <w:trPr>
          <w:trHeight w:val="340"/>
          <w:jc w:val="center"/>
        </w:trPr>
        <w:tc>
          <w:tcPr>
            <w:tcW w:w="2860" w:type="dxa"/>
            <w:tcBorders>
              <w:top w:val="nil"/>
              <w:left w:val="nil"/>
              <w:bottom w:val="single" w:sz="18" w:space="0" w:color="auto"/>
              <w:right w:val="nil"/>
            </w:tcBorders>
            <w:shd w:val="clear" w:color="auto" w:fill="auto"/>
            <w:noWrap/>
            <w:vAlign w:val="center"/>
            <w:hideMark/>
          </w:tcPr>
          <w:p w14:paraId="0BB42366" w14:textId="77777777" w:rsidR="0060162F" w:rsidRPr="0060162F" w:rsidRDefault="0060162F" w:rsidP="0060162F">
            <w:pPr>
              <w:spacing w:line="240" w:lineRule="auto"/>
              <w:jc w:val="center"/>
              <w:rPr>
                <w:rFonts w:ascii="Times" w:eastAsia="Times New Roman" w:hAnsi="Times" w:cs="Calibri"/>
                <w:b/>
                <w:bCs/>
                <w:sz w:val="20"/>
                <w:szCs w:val="20"/>
              </w:rPr>
            </w:pPr>
            <w:r w:rsidRPr="0060162F">
              <w:rPr>
                <w:rFonts w:ascii="Times" w:eastAsia="Times New Roman" w:hAnsi="Times" w:cs="Calibri"/>
                <w:b/>
                <w:bCs/>
                <w:sz w:val="20"/>
                <w:szCs w:val="20"/>
              </w:rPr>
              <w:t>117</w:t>
            </w:r>
          </w:p>
        </w:tc>
        <w:tc>
          <w:tcPr>
            <w:tcW w:w="2145" w:type="dxa"/>
            <w:tcBorders>
              <w:top w:val="nil"/>
              <w:left w:val="nil"/>
              <w:bottom w:val="single" w:sz="18" w:space="0" w:color="auto"/>
              <w:right w:val="nil"/>
            </w:tcBorders>
            <w:shd w:val="clear" w:color="auto" w:fill="auto"/>
            <w:noWrap/>
            <w:vAlign w:val="center"/>
            <w:hideMark/>
          </w:tcPr>
          <w:p w14:paraId="18BEBF99"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Mauritania</w:t>
            </w:r>
          </w:p>
        </w:tc>
        <w:tc>
          <w:tcPr>
            <w:tcW w:w="2151" w:type="dxa"/>
            <w:tcBorders>
              <w:top w:val="nil"/>
              <w:left w:val="nil"/>
              <w:bottom w:val="single" w:sz="18" w:space="0" w:color="auto"/>
              <w:right w:val="nil"/>
            </w:tcBorders>
            <w:shd w:val="clear" w:color="auto" w:fill="auto"/>
            <w:noWrap/>
            <w:vAlign w:val="center"/>
            <w:hideMark/>
          </w:tcPr>
          <w:p w14:paraId="68C910C2"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Argentina</w:t>
            </w:r>
          </w:p>
        </w:tc>
        <w:tc>
          <w:tcPr>
            <w:tcW w:w="2145" w:type="dxa"/>
            <w:tcBorders>
              <w:top w:val="nil"/>
              <w:left w:val="nil"/>
              <w:bottom w:val="single" w:sz="18" w:space="0" w:color="auto"/>
              <w:right w:val="nil"/>
            </w:tcBorders>
            <w:shd w:val="clear" w:color="auto" w:fill="auto"/>
            <w:noWrap/>
            <w:vAlign w:val="center"/>
            <w:hideMark/>
          </w:tcPr>
          <w:p w14:paraId="0494BF34" w14:textId="77777777" w:rsidR="0060162F" w:rsidRPr="0060162F" w:rsidRDefault="0060162F" w:rsidP="0060162F">
            <w:pPr>
              <w:spacing w:line="240" w:lineRule="auto"/>
              <w:rPr>
                <w:rFonts w:ascii="Times" w:eastAsia="Times New Roman" w:hAnsi="Times" w:cs="Calibri"/>
                <w:sz w:val="20"/>
                <w:szCs w:val="20"/>
              </w:rPr>
            </w:pPr>
            <w:r w:rsidRPr="0060162F">
              <w:rPr>
                <w:rFonts w:ascii="Times" w:eastAsia="Times New Roman" w:hAnsi="Times" w:cs="Calibri"/>
                <w:sz w:val="20"/>
                <w:szCs w:val="20"/>
              </w:rPr>
              <w:t>Argentina </w:t>
            </w:r>
          </w:p>
        </w:tc>
      </w:tr>
    </w:tbl>
    <w:p w14:paraId="191CFE43" w14:textId="77777777" w:rsidR="00990B17" w:rsidRPr="0060162F" w:rsidRDefault="00990B17" w:rsidP="002A6931">
      <w:pPr>
        <w:autoSpaceDE w:val="0"/>
        <w:autoSpaceDN w:val="0"/>
        <w:adjustRightInd w:val="0"/>
        <w:spacing w:line="240" w:lineRule="auto"/>
        <w:rPr>
          <w:rFonts w:ascii="Times" w:hAnsi="Times" w:cs="Times"/>
          <w:sz w:val="24"/>
          <w:szCs w:val="24"/>
        </w:rPr>
      </w:pPr>
    </w:p>
    <w:p w14:paraId="4C3721A6" w14:textId="5004212C" w:rsidR="006C04E4" w:rsidRDefault="006C04E4">
      <w:pPr>
        <w:spacing w:line="240" w:lineRule="auto"/>
        <w:rPr>
          <w:rFonts w:ascii="Times" w:hAnsi="Times" w:cs="Times"/>
          <w:sz w:val="24"/>
          <w:szCs w:val="24"/>
        </w:rPr>
        <w:sectPr w:rsidR="006C04E4" w:rsidSect="00CE2D46">
          <w:pgSz w:w="12240" w:h="15840"/>
          <w:pgMar w:top="1440" w:right="1440" w:bottom="1440" w:left="1440" w:header="720" w:footer="720" w:gutter="0"/>
          <w:cols w:space="720"/>
          <w:docGrid w:linePitch="360"/>
        </w:sectPr>
      </w:pPr>
    </w:p>
    <w:p w14:paraId="279CB7D6" w14:textId="171EB338" w:rsidR="002B50BC" w:rsidRPr="00E8464E" w:rsidRDefault="002B50BC" w:rsidP="00007D79">
      <w:pPr>
        <w:pStyle w:val="Caption"/>
        <w:keepNext/>
        <w:jc w:val="both"/>
        <w:rPr>
          <w:rFonts w:ascii="Times" w:hAnsi="Times"/>
        </w:rPr>
      </w:pPr>
      <w:r w:rsidRPr="00E8464E">
        <w:rPr>
          <w:rFonts w:ascii="Times" w:hAnsi="Times"/>
        </w:rPr>
        <w:lastRenderedPageBreak/>
        <w:t xml:space="preserve">Table </w:t>
      </w:r>
      <w:r w:rsidR="008F4328">
        <w:rPr>
          <w:rFonts w:ascii="Times" w:hAnsi="Times"/>
        </w:rPr>
        <w:t>A</w:t>
      </w:r>
      <w:r w:rsidRPr="00E8464E">
        <w:rPr>
          <w:rFonts w:ascii="Times" w:hAnsi="Times"/>
        </w:rPr>
        <w:fldChar w:fldCharType="begin"/>
      </w:r>
      <w:r w:rsidRPr="00E8464E">
        <w:rPr>
          <w:rFonts w:ascii="Times" w:hAnsi="Times"/>
        </w:rPr>
        <w:instrText xml:space="preserve"> SEQ Table \* ARABIC </w:instrText>
      </w:r>
      <w:r w:rsidRPr="00E8464E">
        <w:rPr>
          <w:rFonts w:ascii="Times" w:hAnsi="Times"/>
        </w:rPr>
        <w:fldChar w:fldCharType="separate"/>
      </w:r>
      <w:r w:rsidRPr="00E8464E">
        <w:rPr>
          <w:rFonts w:ascii="Times" w:hAnsi="Times"/>
          <w:noProof/>
        </w:rPr>
        <w:t>3</w:t>
      </w:r>
      <w:r w:rsidRPr="00E8464E">
        <w:rPr>
          <w:rFonts w:ascii="Times" w:hAnsi="Times"/>
        </w:rPr>
        <w:fldChar w:fldCharType="end"/>
      </w:r>
      <w:r w:rsidRPr="00E8464E">
        <w:rPr>
          <w:rFonts w:ascii="Times" w:hAnsi="Times"/>
        </w:rPr>
        <w:t xml:space="preserve">: </w:t>
      </w:r>
      <w:r w:rsidR="00007D79" w:rsidRPr="00E8464E">
        <w:rPr>
          <w:rFonts w:ascii="Times" w:hAnsi="Times"/>
        </w:rPr>
        <w:t>Results of sensitivity analysis investigating the impact of the exclusion of individual variables on opportunity scores. Numbers represent the mean change in economic opportunity, nutritional opportunity, and seafood reliance scores, as well as overall mariculture opportunity score across countries (columns) when the global analysis is re-run without each variable (rows). Standard deviations are in parentheses.</w:t>
      </w:r>
    </w:p>
    <w:tbl>
      <w:tblPr>
        <w:tblW w:w="11700" w:type="dxa"/>
        <w:jc w:val="center"/>
        <w:tblLook w:val="04A0" w:firstRow="1" w:lastRow="0" w:firstColumn="1" w:lastColumn="0" w:noHBand="0" w:noVBand="1"/>
      </w:tblPr>
      <w:tblGrid>
        <w:gridCol w:w="1300"/>
        <w:gridCol w:w="1300"/>
        <w:gridCol w:w="1300"/>
        <w:gridCol w:w="1300"/>
        <w:gridCol w:w="1300"/>
        <w:gridCol w:w="1300"/>
        <w:gridCol w:w="1300"/>
        <w:gridCol w:w="1300"/>
        <w:gridCol w:w="1300"/>
      </w:tblGrid>
      <w:tr w:rsidR="006C04E4" w:rsidRPr="006C04E4" w14:paraId="2D0225A1" w14:textId="77777777" w:rsidTr="00007D79">
        <w:trPr>
          <w:trHeight w:val="340"/>
          <w:jc w:val="center"/>
        </w:trPr>
        <w:tc>
          <w:tcPr>
            <w:tcW w:w="1300" w:type="dxa"/>
            <w:tcBorders>
              <w:top w:val="nil"/>
              <w:left w:val="nil"/>
              <w:bottom w:val="nil"/>
              <w:right w:val="nil"/>
            </w:tcBorders>
            <w:shd w:val="clear" w:color="auto" w:fill="auto"/>
            <w:noWrap/>
            <w:vAlign w:val="bottom"/>
            <w:hideMark/>
          </w:tcPr>
          <w:p w14:paraId="3032CA0D"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2600" w:type="dxa"/>
            <w:gridSpan w:val="2"/>
            <w:tcBorders>
              <w:top w:val="nil"/>
              <w:left w:val="nil"/>
              <w:bottom w:val="single" w:sz="8" w:space="0" w:color="auto"/>
              <w:right w:val="nil"/>
            </w:tcBorders>
            <w:shd w:val="clear" w:color="auto" w:fill="auto"/>
            <w:noWrap/>
            <w:vAlign w:val="bottom"/>
            <w:hideMark/>
          </w:tcPr>
          <w:p w14:paraId="277E1803"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Mean Change</w:t>
            </w:r>
          </w:p>
        </w:tc>
        <w:tc>
          <w:tcPr>
            <w:tcW w:w="1300" w:type="dxa"/>
            <w:tcBorders>
              <w:top w:val="nil"/>
              <w:left w:val="nil"/>
              <w:bottom w:val="nil"/>
              <w:right w:val="nil"/>
            </w:tcBorders>
            <w:shd w:val="clear" w:color="auto" w:fill="auto"/>
            <w:noWrap/>
            <w:vAlign w:val="bottom"/>
            <w:hideMark/>
          </w:tcPr>
          <w:p w14:paraId="2B6BE2EA" w14:textId="77777777" w:rsidR="006C04E4" w:rsidRPr="006C04E4" w:rsidRDefault="006C04E4" w:rsidP="006C04E4">
            <w:pPr>
              <w:spacing w:line="240" w:lineRule="auto"/>
              <w:jc w:val="center"/>
              <w:rPr>
                <w:rFonts w:ascii="Times" w:eastAsia="Times New Roman" w:hAnsi="Times" w:cs="Calibri"/>
                <w:b/>
                <w:bCs/>
                <w:sz w:val="20"/>
                <w:szCs w:val="20"/>
              </w:rPr>
            </w:pPr>
          </w:p>
        </w:tc>
        <w:tc>
          <w:tcPr>
            <w:tcW w:w="2600" w:type="dxa"/>
            <w:gridSpan w:val="2"/>
            <w:tcBorders>
              <w:top w:val="nil"/>
              <w:left w:val="nil"/>
              <w:bottom w:val="single" w:sz="8" w:space="0" w:color="auto"/>
              <w:right w:val="nil"/>
            </w:tcBorders>
            <w:shd w:val="clear" w:color="auto" w:fill="auto"/>
            <w:noWrap/>
            <w:vAlign w:val="bottom"/>
            <w:hideMark/>
          </w:tcPr>
          <w:p w14:paraId="64ECEAD8"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Mean Change</w:t>
            </w:r>
          </w:p>
        </w:tc>
        <w:tc>
          <w:tcPr>
            <w:tcW w:w="1300" w:type="dxa"/>
            <w:tcBorders>
              <w:top w:val="nil"/>
              <w:left w:val="nil"/>
              <w:bottom w:val="nil"/>
              <w:right w:val="nil"/>
            </w:tcBorders>
            <w:shd w:val="clear" w:color="auto" w:fill="auto"/>
            <w:noWrap/>
            <w:vAlign w:val="bottom"/>
            <w:hideMark/>
          </w:tcPr>
          <w:p w14:paraId="6FFA5761" w14:textId="77777777" w:rsidR="006C04E4" w:rsidRPr="006C04E4" w:rsidRDefault="006C04E4" w:rsidP="006C04E4">
            <w:pPr>
              <w:spacing w:line="240" w:lineRule="auto"/>
              <w:jc w:val="center"/>
              <w:rPr>
                <w:rFonts w:ascii="Times" w:eastAsia="Times New Roman" w:hAnsi="Times" w:cs="Calibri"/>
                <w:b/>
                <w:bCs/>
                <w:sz w:val="20"/>
                <w:szCs w:val="20"/>
              </w:rPr>
            </w:pPr>
          </w:p>
        </w:tc>
        <w:tc>
          <w:tcPr>
            <w:tcW w:w="2600" w:type="dxa"/>
            <w:gridSpan w:val="2"/>
            <w:tcBorders>
              <w:top w:val="nil"/>
              <w:left w:val="nil"/>
              <w:bottom w:val="single" w:sz="8" w:space="0" w:color="auto"/>
              <w:right w:val="nil"/>
            </w:tcBorders>
            <w:shd w:val="clear" w:color="auto" w:fill="auto"/>
            <w:noWrap/>
            <w:vAlign w:val="bottom"/>
            <w:hideMark/>
          </w:tcPr>
          <w:p w14:paraId="71F70831"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Mean Change</w:t>
            </w:r>
          </w:p>
        </w:tc>
      </w:tr>
      <w:tr w:rsidR="006C04E4" w:rsidRPr="006C04E4" w14:paraId="56D162CF" w14:textId="77777777" w:rsidTr="00007D79">
        <w:trPr>
          <w:trHeight w:val="580"/>
          <w:jc w:val="center"/>
        </w:trPr>
        <w:tc>
          <w:tcPr>
            <w:tcW w:w="1300" w:type="dxa"/>
            <w:tcBorders>
              <w:top w:val="nil"/>
              <w:left w:val="nil"/>
              <w:bottom w:val="double" w:sz="6" w:space="0" w:color="auto"/>
              <w:right w:val="nil"/>
            </w:tcBorders>
            <w:shd w:val="clear" w:color="auto" w:fill="auto"/>
            <w:vAlign w:val="center"/>
            <w:hideMark/>
          </w:tcPr>
          <w:p w14:paraId="466A65A2" w14:textId="77777777" w:rsidR="006C04E4" w:rsidRPr="006C04E4" w:rsidRDefault="006C04E4" w:rsidP="006C04E4">
            <w:pPr>
              <w:spacing w:line="240" w:lineRule="auto"/>
              <w:rPr>
                <w:rFonts w:ascii="Times" w:eastAsia="Times New Roman" w:hAnsi="Times" w:cs="Calibri"/>
                <w:b/>
                <w:bCs/>
                <w:sz w:val="20"/>
                <w:szCs w:val="20"/>
              </w:rPr>
            </w:pPr>
            <w:r w:rsidRPr="006C04E4">
              <w:rPr>
                <w:rFonts w:ascii="Times" w:eastAsia="Times New Roman" w:hAnsi="Times" w:cs="Calibri"/>
                <w:b/>
                <w:bCs/>
                <w:sz w:val="20"/>
                <w:szCs w:val="20"/>
              </w:rPr>
              <w:t>Variable removed</w:t>
            </w:r>
          </w:p>
        </w:tc>
        <w:tc>
          <w:tcPr>
            <w:tcW w:w="1300" w:type="dxa"/>
            <w:tcBorders>
              <w:top w:val="single" w:sz="18" w:space="0" w:color="auto"/>
              <w:left w:val="nil"/>
              <w:bottom w:val="double" w:sz="6" w:space="0" w:color="auto"/>
              <w:right w:val="nil"/>
            </w:tcBorders>
            <w:shd w:val="clear" w:color="auto" w:fill="auto"/>
            <w:vAlign w:val="center"/>
            <w:hideMark/>
          </w:tcPr>
          <w:p w14:paraId="7AC9D103"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Nutrition opportunity</w:t>
            </w:r>
          </w:p>
        </w:tc>
        <w:tc>
          <w:tcPr>
            <w:tcW w:w="1300" w:type="dxa"/>
            <w:tcBorders>
              <w:top w:val="single" w:sz="18" w:space="0" w:color="auto"/>
              <w:left w:val="nil"/>
              <w:bottom w:val="double" w:sz="6" w:space="0" w:color="auto"/>
              <w:right w:val="nil"/>
            </w:tcBorders>
            <w:shd w:val="clear" w:color="auto" w:fill="auto"/>
            <w:vAlign w:val="center"/>
            <w:hideMark/>
          </w:tcPr>
          <w:p w14:paraId="2B646623"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Mariculture opportunity</w:t>
            </w:r>
          </w:p>
        </w:tc>
        <w:tc>
          <w:tcPr>
            <w:tcW w:w="1300" w:type="dxa"/>
            <w:tcBorders>
              <w:top w:val="nil"/>
              <w:left w:val="nil"/>
              <w:bottom w:val="double" w:sz="6" w:space="0" w:color="auto"/>
              <w:right w:val="nil"/>
            </w:tcBorders>
            <w:shd w:val="clear" w:color="auto" w:fill="auto"/>
            <w:vAlign w:val="center"/>
            <w:hideMark/>
          </w:tcPr>
          <w:p w14:paraId="45AF24E8" w14:textId="77777777" w:rsidR="006C04E4" w:rsidRPr="006C04E4" w:rsidRDefault="006C04E4" w:rsidP="006C04E4">
            <w:pPr>
              <w:spacing w:line="240" w:lineRule="auto"/>
              <w:rPr>
                <w:rFonts w:ascii="Times" w:eastAsia="Times New Roman" w:hAnsi="Times" w:cs="Calibri"/>
                <w:b/>
                <w:bCs/>
                <w:sz w:val="20"/>
                <w:szCs w:val="20"/>
              </w:rPr>
            </w:pPr>
            <w:r w:rsidRPr="006C04E4">
              <w:rPr>
                <w:rFonts w:ascii="Times" w:eastAsia="Times New Roman" w:hAnsi="Times" w:cs="Calibri"/>
                <w:b/>
                <w:bCs/>
                <w:sz w:val="20"/>
                <w:szCs w:val="20"/>
              </w:rPr>
              <w:t>Variable removed</w:t>
            </w:r>
          </w:p>
        </w:tc>
        <w:tc>
          <w:tcPr>
            <w:tcW w:w="1300" w:type="dxa"/>
            <w:tcBorders>
              <w:top w:val="single" w:sz="18" w:space="0" w:color="auto"/>
              <w:left w:val="nil"/>
              <w:bottom w:val="double" w:sz="6" w:space="0" w:color="auto"/>
              <w:right w:val="nil"/>
            </w:tcBorders>
            <w:shd w:val="clear" w:color="auto" w:fill="auto"/>
            <w:vAlign w:val="center"/>
            <w:hideMark/>
          </w:tcPr>
          <w:p w14:paraId="6B27AA1A"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Seafood reliance</w:t>
            </w:r>
          </w:p>
        </w:tc>
        <w:tc>
          <w:tcPr>
            <w:tcW w:w="1300" w:type="dxa"/>
            <w:tcBorders>
              <w:top w:val="single" w:sz="18" w:space="0" w:color="auto"/>
              <w:left w:val="nil"/>
              <w:bottom w:val="double" w:sz="6" w:space="0" w:color="auto"/>
              <w:right w:val="nil"/>
            </w:tcBorders>
            <w:shd w:val="clear" w:color="auto" w:fill="auto"/>
            <w:vAlign w:val="center"/>
            <w:hideMark/>
          </w:tcPr>
          <w:p w14:paraId="6BB58EC5"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Mariculture opportunity</w:t>
            </w:r>
          </w:p>
        </w:tc>
        <w:tc>
          <w:tcPr>
            <w:tcW w:w="1300" w:type="dxa"/>
            <w:tcBorders>
              <w:top w:val="nil"/>
              <w:left w:val="nil"/>
              <w:bottom w:val="double" w:sz="6" w:space="0" w:color="auto"/>
              <w:right w:val="nil"/>
            </w:tcBorders>
            <w:shd w:val="clear" w:color="auto" w:fill="auto"/>
            <w:vAlign w:val="center"/>
            <w:hideMark/>
          </w:tcPr>
          <w:p w14:paraId="2F3307FD" w14:textId="77777777" w:rsidR="006C04E4" w:rsidRPr="006C04E4" w:rsidRDefault="006C04E4" w:rsidP="006C04E4">
            <w:pPr>
              <w:spacing w:line="240" w:lineRule="auto"/>
              <w:rPr>
                <w:rFonts w:ascii="Times" w:eastAsia="Times New Roman" w:hAnsi="Times" w:cs="Calibri"/>
                <w:b/>
                <w:bCs/>
                <w:sz w:val="20"/>
                <w:szCs w:val="20"/>
              </w:rPr>
            </w:pPr>
            <w:r w:rsidRPr="006C04E4">
              <w:rPr>
                <w:rFonts w:ascii="Times" w:eastAsia="Times New Roman" w:hAnsi="Times" w:cs="Calibri"/>
                <w:b/>
                <w:bCs/>
                <w:sz w:val="20"/>
                <w:szCs w:val="20"/>
              </w:rPr>
              <w:t>Variable removed</w:t>
            </w:r>
          </w:p>
        </w:tc>
        <w:tc>
          <w:tcPr>
            <w:tcW w:w="1300" w:type="dxa"/>
            <w:tcBorders>
              <w:top w:val="single" w:sz="18" w:space="0" w:color="auto"/>
              <w:left w:val="nil"/>
              <w:bottom w:val="double" w:sz="6" w:space="0" w:color="auto"/>
              <w:right w:val="nil"/>
            </w:tcBorders>
            <w:shd w:val="clear" w:color="auto" w:fill="auto"/>
            <w:vAlign w:val="center"/>
            <w:hideMark/>
          </w:tcPr>
          <w:p w14:paraId="53C64874"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Economic opportunity</w:t>
            </w:r>
          </w:p>
        </w:tc>
        <w:tc>
          <w:tcPr>
            <w:tcW w:w="1300" w:type="dxa"/>
            <w:tcBorders>
              <w:top w:val="single" w:sz="18" w:space="0" w:color="auto"/>
              <w:left w:val="nil"/>
              <w:bottom w:val="double" w:sz="6" w:space="0" w:color="auto"/>
              <w:right w:val="nil"/>
            </w:tcBorders>
            <w:shd w:val="clear" w:color="auto" w:fill="auto"/>
            <w:vAlign w:val="center"/>
            <w:hideMark/>
          </w:tcPr>
          <w:p w14:paraId="78D67848" w14:textId="77777777" w:rsidR="006C04E4" w:rsidRPr="006C04E4" w:rsidRDefault="006C04E4" w:rsidP="006C04E4">
            <w:pPr>
              <w:spacing w:line="240" w:lineRule="auto"/>
              <w:jc w:val="center"/>
              <w:rPr>
                <w:rFonts w:ascii="Times" w:eastAsia="Times New Roman" w:hAnsi="Times" w:cs="Calibri"/>
                <w:b/>
                <w:bCs/>
                <w:sz w:val="20"/>
                <w:szCs w:val="20"/>
              </w:rPr>
            </w:pPr>
            <w:r w:rsidRPr="006C04E4">
              <w:rPr>
                <w:rFonts w:ascii="Times" w:eastAsia="Times New Roman" w:hAnsi="Times" w:cs="Calibri"/>
                <w:b/>
                <w:bCs/>
                <w:sz w:val="20"/>
                <w:szCs w:val="20"/>
              </w:rPr>
              <w:t>Mariculture opportunity</w:t>
            </w:r>
          </w:p>
        </w:tc>
      </w:tr>
      <w:tr w:rsidR="006C04E4" w:rsidRPr="006C04E4" w14:paraId="44A0C7E7" w14:textId="77777777" w:rsidTr="00007D79">
        <w:trPr>
          <w:trHeight w:val="340"/>
          <w:jc w:val="center"/>
        </w:trPr>
        <w:tc>
          <w:tcPr>
            <w:tcW w:w="1300" w:type="dxa"/>
            <w:vMerge w:val="restart"/>
            <w:tcBorders>
              <w:top w:val="nil"/>
              <w:left w:val="nil"/>
              <w:bottom w:val="nil"/>
              <w:right w:val="nil"/>
            </w:tcBorders>
            <w:shd w:val="clear" w:color="auto" w:fill="auto"/>
            <w:hideMark/>
          </w:tcPr>
          <w:p w14:paraId="39C87465"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Energy adequacy</w:t>
            </w:r>
          </w:p>
        </w:tc>
        <w:tc>
          <w:tcPr>
            <w:tcW w:w="1300" w:type="dxa"/>
            <w:tcBorders>
              <w:top w:val="nil"/>
              <w:left w:val="nil"/>
              <w:bottom w:val="nil"/>
              <w:right w:val="nil"/>
            </w:tcBorders>
            <w:shd w:val="clear" w:color="auto" w:fill="auto"/>
            <w:hideMark/>
          </w:tcPr>
          <w:p w14:paraId="5A260E52"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0.002</w:t>
            </w:r>
          </w:p>
        </w:tc>
        <w:tc>
          <w:tcPr>
            <w:tcW w:w="1300" w:type="dxa"/>
            <w:tcBorders>
              <w:top w:val="nil"/>
              <w:left w:val="nil"/>
              <w:bottom w:val="nil"/>
              <w:right w:val="nil"/>
            </w:tcBorders>
            <w:shd w:val="clear" w:color="auto" w:fill="auto"/>
            <w:hideMark/>
          </w:tcPr>
          <w:p w14:paraId="01005282"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vMerge w:val="restart"/>
            <w:tcBorders>
              <w:top w:val="nil"/>
              <w:left w:val="nil"/>
              <w:bottom w:val="nil"/>
              <w:right w:val="nil"/>
            </w:tcBorders>
            <w:shd w:val="clear" w:color="auto" w:fill="auto"/>
            <w:hideMark/>
          </w:tcPr>
          <w:p w14:paraId="0469FC3A"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Calories</w:t>
            </w:r>
          </w:p>
        </w:tc>
        <w:tc>
          <w:tcPr>
            <w:tcW w:w="1300" w:type="dxa"/>
            <w:tcBorders>
              <w:top w:val="nil"/>
              <w:left w:val="nil"/>
              <w:bottom w:val="nil"/>
              <w:right w:val="nil"/>
            </w:tcBorders>
            <w:shd w:val="clear" w:color="auto" w:fill="auto"/>
            <w:hideMark/>
          </w:tcPr>
          <w:p w14:paraId="70FDFCFC"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-0.005</w:t>
            </w:r>
          </w:p>
        </w:tc>
        <w:tc>
          <w:tcPr>
            <w:tcW w:w="1300" w:type="dxa"/>
            <w:tcBorders>
              <w:top w:val="nil"/>
              <w:left w:val="nil"/>
              <w:bottom w:val="nil"/>
              <w:right w:val="nil"/>
            </w:tcBorders>
            <w:shd w:val="clear" w:color="auto" w:fill="auto"/>
            <w:hideMark/>
          </w:tcPr>
          <w:p w14:paraId="5ADF328F"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-0.002</w:t>
            </w:r>
          </w:p>
        </w:tc>
        <w:tc>
          <w:tcPr>
            <w:tcW w:w="1300" w:type="dxa"/>
            <w:vMerge w:val="restart"/>
            <w:tcBorders>
              <w:top w:val="nil"/>
              <w:left w:val="nil"/>
              <w:bottom w:val="nil"/>
              <w:right w:val="nil"/>
            </w:tcBorders>
            <w:shd w:val="clear" w:color="auto" w:fill="auto"/>
            <w:hideMark/>
          </w:tcPr>
          <w:p w14:paraId="3FA37ED3"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Production ratio</w:t>
            </w:r>
          </w:p>
        </w:tc>
        <w:tc>
          <w:tcPr>
            <w:tcW w:w="1300" w:type="dxa"/>
            <w:tcBorders>
              <w:top w:val="nil"/>
              <w:left w:val="nil"/>
              <w:bottom w:val="nil"/>
              <w:right w:val="nil"/>
            </w:tcBorders>
            <w:shd w:val="clear" w:color="auto" w:fill="auto"/>
            <w:hideMark/>
          </w:tcPr>
          <w:p w14:paraId="7E454D8C"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-0.012</w:t>
            </w:r>
          </w:p>
        </w:tc>
        <w:tc>
          <w:tcPr>
            <w:tcW w:w="1300" w:type="dxa"/>
            <w:tcBorders>
              <w:top w:val="nil"/>
              <w:left w:val="nil"/>
              <w:bottom w:val="nil"/>
              <w:right w:val="nil"/>
            </w:tcBorders>
            <w:shd w:val="clear" w:color="auto" w:fill="auto"/>
            <w:hideMark/>
          </w:tcPr>
          <w:p w14:paraId="43BCFF73"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-0.004</w:t>
            </w:r>
          </w:p>
        </w:tc>
      </w:tr>
      <w:tr w:rsidR="006C04E4" w:rsidRPr="006C04E4" w14:paraId="26EE2DE1" w14:textId="77777777" w:rsidTr="00007D79">
        <w:trPr>
          <w:trHeight w:val="320"/>
          <w:jc w:val="center"/>
        </w:trPr>
        <w:tc>
          <w:tcPr>
            <w:tcW w:w="1300" w:type="dxa"/>
            <w:vMerge/>
            <w:tcBorders>
              <w:top w:val="nil"/>
              <w:left w:val="nil"/>
              <w:bottom w:val="nil"/>
              <w:right w:val="nil"/>
            </w:tcBorders>
            <w:vAlign w:val="center"/>
            <w:hideMark/>
          </w:tcPr>
          <w:p w14:paraId="6721BCB0"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145088A0" w14:textId="4C2089FC"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0.03</w:t>
            </w:r>
            <w:r w:rsidRPr="002B50BC">
              <w:rPr>
                <w:rFonts w:ascii="Times" w:eastAsia="Times New Roman" w:hAnsi="Times" w:cs="Times New Roman"/>
                <w:sz w:val="20"/>
                <w:szCs w:val="20"/>
              </w:rPr>
              <w:t>0)</w:t>
            </w:r>
          </w:p>
        </w:tc>
        <w:tc>
          <w:tcPr>
            <w:tcW w:w="1300" w:type="dxa"/>
            <w:tcBorders>
              <w:top w:val="nil"/>
              <w:left w:val="nil"/>
              <w:bottom w:val="nil"/>
              <w:right w:val="nil"/>
            </w:tcBorders>
            <w:shd w:val="clear" w:color="auto" w:fill="auto"/>
            <w:hideMark/>
          </w:tcPr>
          <w:p w14:paraId="7096300C" w14:textId="15C38CCB"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w:t>
            </w:r>
            <w:r w:rsidRPr="002B50BC">
              <w:rPr>
                <w:rFonts w:ascii="Times" w:eastAsia="Times New Roman" w:hAnsi="Times" w:cs="Times New Roman"/>
                <w:sz w:val="20"/>
                <w:szCs w:val="20"/>
              </w:rPr>
              <w:t>0)</w:t>
            </w:r>
          </w:p>
        </w:tc>
        <w:tc>
          <w:tcPr>
            <w:tcW w:w="1300" w:type="dxa"/>
            <w:vMerge/>
            <w:tcBorders>
              <w:top w:val="nil"/>
              <w:left w:val="nil"/>
              <w:bottom w:val="nil"/>
              <w:right w:val="nil"/>
            </w:tcBorders>
            <w:vAlign w:val="center"/>
            <w:hideMark/>
          </w:tcPr>
          <w:p w14:paraId="4CBE38F7"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389C3845" w14:textId="5715B951"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0.013</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5C276F0E" w14:textId="4E7AB97A"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0.004</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6FDC4A91"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71259EC0" w14:textId="5464514F"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0.084</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4B48122D" w14:textId="420B6C7A"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0.028</w:t>
            </w:r>
            <w:r w:rsidRPr="002B50BC">
              <w:rPr>
                <w:rFonts w:ascii="Times" w:eastAsia="Times New Roman" w:hAnsi="Times" w:cs="Times New Roman"/>
                <w:sz w:val="20"/>
                <w:szCs w:val="20"/>
              </w:rPr>
              <w:t>)</w:t>
            </w:r>
          </w:p>
        </w:tc>
      </w:tr>
      <w:tr w:rsidR="006C04E4" w:rsidRPr="006C04E4" w14:paraId="5E8D1D7B" w14:textId="77777777" w:rsidTr="00007D79">
        <w:trPr>
          <w:trHeight w:val="320"/>
          <w:jc w:val="center"/>
        </w:trPr>
        <w:tc>
          <w:tcPr>
            <w:tcW w:w="1300" w:type="dxa"/>
            <w:tcBorders>
              <w:top w:val="nil"/>
              <w:left w:val="nil"/>
              <w:bottom w:val="nil"/>
              <w:right w:val="nil"/>
            </w:tcBorders>
            <w:shd w:val="clear" w:color="auto" w:fill="auto"/>
            <w:hideMark/>
          </w:tcPr>
          <w:p w14:paraId="1A62C8F0"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AC35B81"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139A462C"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2082C573"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3DDA0D9"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78707706"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0D932B5A"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61F2CD12"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3AB22047"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r>
      <w:tr w:rsidR="006C04E4" w:rsidRPr="006C04E4" w14:paraId="77D4C92C" w14:textId="77777777" w:rsidTr="00007D79">
        <w:trPr>
          <w:trHeight w:val="320"/>
          <w:jc w:val="center"/>
        </w:trPr>
        <w:tc>
          <w:tcPr>
            <w:tcW w:w="1300" w:type="dxa"/>
            <w:vMerge w:val="restart"/>
            <w:tcBorders>
              <w:top w:val="nil"/>
              <w:left w:val="nil"/>
              <w:bottom w:val="nil"/>
              <w:right w:val="nil"/>
            </w:tcBorders>
            <w:shd w:val="clear" w:color="auto" w:fill="auto"/>
            <w:hideMark/>
          </w:tcPr>
          <w:p w14:paraId="66B0E1C8"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Protein</w:t>
            </w:r>
          </w:p>
        </w:tc>
        <w:tc>
          <w:tcPr>
            <w:tcW w:w="1300" w:type="dxa"/>
            <w:tcBorders>
              <w:top w:val="nil"/>
              <w:left w:val="nil"/>
              <w:bottom w:val="nil"/>
              <w:right w:val="nil"/>
            </w:tcBorders>
            <w:shd w:val="clear" w:color="auto" w:fill="auto"/>
            <w:hideMark/>
          </w:tcPr>
          <w:p w14:paraId="2AD2974A"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0.003</w:t>
            </w:r>
          </w:p>
        </w:tc>
        <w:tc>
          <w:tcPr>
            <w:tcW w:w="1300" w:type="dxa"/>
            <w:tcBorders>
              <w:top w:val="nil"/>
              <w:left w:val="nil"/>
              <w:bottom w:val="nil"/>
              <w:right w:val="nil"/>
            </w:tcBorders>
            <w:shd w:val="clear" w:color="auto" w:fill="auto"/>
            <w:hideMark/>
          </w:tcPr>
          <w:p w14:paraId="6C02BF5B"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vMerge w:val="restart"/>
            <w:tcBorders>
              <w:top w:val="nil"/>
              <w:left w:val="nil"/>
              <w:bottom w:val="nil"/>
              <w:right w:val="nil"/>
            </w:tcBorders>
            <w:shd w:val="clear" w:color="auto" w:fill="auto"/>
            <w:hideMark/>
          </w:tcPr>
          <w:p w14:paraId="4073FF38"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protein</w:t>
            </w:r>
          </w:p>
        </w:tc>
        <w:tc>
          <w:tcPr>
            <w:tcW w:w="1300" w:type="dxa"/>
            <w:tcBorders>
              <w:top w:val="nil"/>
              <w:left w:val="nil"/>
              <w:bottom w:val="nil"/>
              <w:right w:val="nil"/>
            </w:tcBorders>
            <w:shd w:val="clear" w:color="auto" w:fill="auto"/>
            <w:hideMark/>
          </w:tcPr>
          <w:p w14:paraId="3D12D63E"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-0.003</w:t>
            </w:r>
          </w:p>
        </w:tc>
        <w:tc>
          <w:tcPr>
            <w:tcW w:w="1300" w:type="dxa"/>
            <w:tcBorders>
              <w:top w:val="nil"/>
              <w:left w:val="nil"/>
              <w:bottom w:val="nil"/>
              <w:right w:val="nil"/>
            </w:tcBorders>
            <w:shd w:val="clear" w:color="auto" w:fill="auto"/>
            <w:hideMark/>
          </w:tcPr>
          <w:p w14:paraId="16B1ECA1"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vMerge w:val="restart"/>
            <w:tcBorders>
              <w:top w:val="nil"/>
              <w:left w:val="nil"/>
              <w:bottom w:val="nil"/>
              <w:right w:val="nil"/>
            </w:tcBorders>
            <w:shd w:val="clear" w:color="auto" w:fill="auto"/>
            <w:hideMark/>
          </w:tcPr>
          <w:p w14:paraId="42CFA9BD"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Trade balance (Q)</w:t>
            </w:r>
          </w:p>
        </w:tc>
        <w:tc>
          <w:tcPr>
            <w:tcW w:w="1300" w:type="dxa"/>
            <w:tcBorders>
              <w:top w:val="nil"/>
              <w:left w:val="nil"/>
              <w:bottom w:val="nil"/>
              <w:right w:val="nil"/>
            </w:tcBorders>
            <w:shd w:val="clear" w:color="auto" w:fill="auto"/>
            <w:hideMark/>
          </w:tcPr>
          <w:p w14:paraId="33AF9BEA"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-0.013</w:t>
            </w:r>
          </w:p>
        </w:tc>
        <w:tc>
          <w:tcPr>
            <w:tcW w:w="1300" w:type="dxa"/>
            <w:tcBorders>
              <w:top w:val="nil"/>
              <w:left w:val="nil"/>
              <w:bottom w:val="nil"/>
              <w:right w:val="nil"/>
            </w:tcBorders>
            <w:shd w:val="clear" w:color="auto" w:fill="auto"/>
            <w:hideMark/>
          </w:tcPr>
          <w:p w14:paraId="72FD3B31"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-0.004</w:t>
            </w:r>
          </w:p>
        </w:tc>
      </w:tr>
      <w:tr w:rsidR="006C04E4" w:rsidRPr="006C04E4" w14:paraId="5ABE58AE" w14:textId="77777777" w:rsidTr="00007D79">
        <w:trPr>
          <w:trHeight w:val="320"/>
          <w:jc w:val="center"/>
        </w:trPr>
        <w:tc>
          <w:tcPr>
            <w:tcW w:w="1300" w:type="dxa"/>
            <w:vMerge/>
            <w:tcBorders>
              <w:top w:val="nil"/>
              <w:left w:val="nil"/>
              <w:bottom w:val="nil"/>
              <w:right w:val="nil"/>
            </w:tcBorders>
            <w:vAlign w:val="center"/>
            <w:hideMark/>
          </w:tcPr>
          <w:p w14:paraId="39369F49"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7F89888F" w14:textId="64156C60"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0.041</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5A48DC5F" w14:textId="476CDFDB"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0.014</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383AFD42"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4A129129" w14:textId="77733256"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0.018</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4557B6F9" w14:textId="38A9359E"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0.006</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51134992"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6BFA3B15" w14:textId="4E3D5B8F"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0.065</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79B974AF" w14:textId="4B4D5ED5"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0.022</w:t>
            </w:r>
            <w:r w:rsidRPr="002B50BC">
              <w:rPr>
                <w:rFonts w:ascii="Times" w:eastAsia="Times New Roman" w:hAnsi="Times" w:cs="Times New Roman"/>
                <w:sz w:val="20"/>
                <w:szCs w:val="20"/>
              </w:rPr>
              <w:t>)</w:t>
            </w:r>
          </w:p>
        </w:tc>
      </w:tr>
      <w:tr w:rsidR="006C04E4" w:rsidRPr="006C04E4" w14:paraId="63FE14CC" w14:textId="77777777" w:rsidTr="00007D79">
        <w:trPr>
          <w:trHeight w:val="320"/>
          <w:jc w:val="center"/>
        </w:trPr>
        <w:tc>
          <w:tcPr>
            <w:tcW w:w="1300" w:type="dxa"/>
            <w:tcBorders>
              <w:top w:val="nil"/>
              <w:left w:val="nil"/>
              <w:bottom w:val="nil"/>
              <w:right w:val="nil"/>
            </w:tcBorders>
            <w:shd w:val="clear" w:color="auto" w:fill="auto"/>
            <w:hideMark/>
          </w:tcPr>
          <w:p w14:paraId="535CF5D5"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304FD86D"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022EA498"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26D0A46"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3C2FFBF8"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17E23017"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B5B9169"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62E645AE"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370C0A90"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r>
      <w:tr w:rsidR="006C04E4" w:rsidRPr="006C04E4" w14:paraId="7AF4FAE1" w14:textId="77777777" w:rsidTr="00007D79">
        <w:trPr>
          <w:trHeight w:val="320"/>
          <w:jc w:val="center"/>
        </w:trPr>
        <w:tc>
          <w:tcPr>
            <w:tcW w:w="1300" w:type="dxa"/>
            <w:vMerge w:val="restart"/>
            <w:tcBorders>
              <w:top w:val="nil"/>
              <w:left w:val="nil"/>
              <w:bottom w:val="nil"/>
              <w:right w:val="nil"/>
            </w:tcBorders>
            <w:shd w:val="clear" w:color="auto" w:fill="auto"/>
            <w:hideMark/>
          </w:tcPr>
          <w:p w14:paraId="2570B1D3"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Fatty acids</w:t>
            </w:r>
          </w:p>
        </w:tc>
        <w:tc>
          <w:tcPr>
            <w:tcW w:w="1300" w:type="dxa"/>
            <w:tcBorders>
              <w:top w:val="nil"/>
              <w:left w:val="nil"/>
              <w:bottom w:val="nil"/>
              <w:right w:val="nil"/>
            </w:tcBorders>
            <w:shd w:val="clear" w:color="auto" w:fill="auto"/>
            <w:hideMark/>
          </w:tcPr>
          <w:p w14:paraId="6F62ABB7"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-0.035</w:t>
            </w:r>
          </w:p>
        </w:tc>
        <w:tc>
          <w:tcPr>
            <w:tcW w:w="1300" w:type="dxa"/>
            <w:tcBorders>
              <w:top w:val="nil"/>
              <w:left w:val="nil"/>
              <w:bottom w:val="nil"/>
              <w:right w:val="nil"/>
            </w:tcBorders>
            <w:shd w:val="clear" w:color="auto" w:fill="auto"/>
            <w:hideMark/>
          </w:tcPr>
          <w:p w14:paraId="376270EF"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-0.012</w:t>
            </w:r>
          </w:p>
        </w:tc>
        <w:tc>
          <w:tcPr>
            <w:tcW w:w="1300" w:type="dxa"/>
            <w:vMerge w:val="restart"/>
            <w:tcBorders>
              <w:top w:val="nil"/>
              <w:left w:val="nil"/>
              <w:bottom w:val="nil"/>
              <w:right w:val="nil"/>
            </w:tcBorders>
            <w:shd w:val="clear" w:color="auto" w:fill="auto"/>
            <w:hideMark/>
          </w:tcPr>
          <w:p w14:paraId="56935890"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PUFAs</w:t>
            </w:r>
          </w:p>
        </w:tc>
        <w:tc>
          <w:tcPr>
            <w:tcW w:w="1300" w:type="dxa"/>
            <w:tcBorders>
              <w:top w:val="nil"/>
              <w:left w:val="nil"/>
              <w:bottom w:val="nil"/>
              <w:right w:val="nil"/>
            </w:tcBorders>
            <w:shd w:val="clear" w:color="auto" w:fill="auto"/>
            <w:hideMark/>
          </w:tcPr>
          <w:p w14:paraId="6DB9810C"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tcBorders>
              <w:top w:val="nil"/>
              <w:left w:val="nil"/>
              <w:bottom w:val="nil"/>
              <w:right w:val="nil"/>
            </w:tcBorders>
            <w:shd w:val="clear" w:color="auto" w:fill="auto"/>
            <w:hideMark/>
          </w:tcPr>
          <w:p w14:paraId="0098A96B" w14:textId="5DB333D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w:t>
            </w:r>
            <w:r w:rsidRPr="002B50BC">
              <w:rPr>
                <w:rFonts w:ascii="Times" w:eastAsia="Times New Roman" w:hAnsi="Times" w:cs="Times New Roman"/>
                <w:sz w:val="20"/>
                <w:szCs w:val="20"/>
              </w:rPr>
              <w:t>.000</w:t>
            </w:r>
          </w:p>
        </w:tc>
        <w:tc>
          <w:tcPr>
            <w:tcW w:w="1300" w:type="dxa"/>
            <w:vMerge w:val="restart"/>
            <w:tcBorders>
              <w:top w:val="nil"/>
              <w:left w:val="nil"/>
              <w:bottom w:val="nil"/>
              <w:right w:val="nil"/>
            </w:tcBorders>
            <w:shd w:val="clear" w:color="auto" w:fill="auto"/>
            <w:hideMark/>
          </w:tcPr>
          <w:p w14:paraId="7BA80B51"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Trade balance (V)</w:t>
            </w:r>
          </w:p>
        </w:tc>
        <w:tc>
          <w:tcPr>
            <w:tcW w:w="1300" w:type="dxa"/>
            <w:tcBorders>
              <w:top w:val="nil"/>
              <w:left w:val="nil"/>
              <w:bottom w:val="nil"/>
              <w:right w:val="nil"/>
            </w:tcBorders>
            <w:shd w:val="clear" w:color="auto" w:fill="auto"/>
            <w:hideMark/>
          </w:tcPr>
          <w:p w14:paraId="78C70B06"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-0.012</w:t>
            </w:r>
          </w:p>
        </w:tc>
        <w:tc>
          <w:tcPr>
            <w:tcW w:w="1300" w:type="dxa"/>
            <w:tcBorders>
              <w:top w:val="nil"/>
              <w:left w:val="nil"/>
              <w:bottom w:val="nil"/>
              <w:right w:val="nil"/>
            </w:tcBorders>
            <w:shd w:val="clear" w:color="auto" w:fill="auto"/>
            <w:hideMark/>
          </w:tcPr>
          <w:p w14:paraId="06FEE071"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-0.004</w:t>
            </w:r>
          </w:p>
        </w:tc>
      </w:tr>
      <w:tr w:rsidR="006C04E4" w:rsidRPr="006C04E4" w14:paraId="3F3A0295" w14:textId="77777777" w:rsidTr="00007D79">
        <w:trPr>
          <w:trHeight w:val="320"/>
          <w:jc w:val="center"/>
        </w:trPr>
        <w:tc>
          <w:tcPr>
            <w:tcW w:w="1300" w:type="dxa"/>
            <w:vMerge/>
            <w:tcBorders>
              <w:top w:val="nil"/>
              <w:left w:val="nil"/>
              <w:bottom w:val="nil"/>
              <w:right w:val="nil"/>
            </w:tcBorders>
            <w:vAlign w:val="center"/>
            <w:hideMark/>
          </w:tcPr>
          <w:p w14:paraId="234993E8"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8BC0305" w14:textId="24EB88C0"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0.061</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3FCCCB8E" w14:textId="214D2A79"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w:t>
            </w:r>
            <w:r w:rsidRPr="002B50BC">
              <w:rPr>
                <w:rFonts w:ascii="Times" w:eastAsia="Times New Roman" w:hAnsi="Times" w:cs="Times New Roman"/>
                <w:sz w:val="20"/>
                <w:szCs w:val="20"/>
              </w:rPr>
              <w:t>0)</w:t>
            </w:r>
          </w:p>
        </w:tc>
        <w:tc>
          <w:tcPr>
            <w:tcW w:w="1300" w:type="dxa"/>
            <w:vMerge/>
            <w:tcBorders>
              <w:top w:val="nil"/>
              <w:left w:val="nil"/>
              <w:bottom w:val="nil"/>
              <w:right w:val="nil"/>
            </w:tcBorders>
            <w:vAlign w:val="center"/>
            <w:hideMark/>
          </w:tcPr>
          <w:p w14:paraId="2EA9E047"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460DC787" w14:textId="195F0C40"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0.028</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19AC67AD" w14:textId="3ED89AD1"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0.009</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06122554"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012EB3F4" w14:textId="22EE549E"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0.066</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77BA4019" w14:textId="723BFB66"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0.022</w:t>
            </w:r>
            <w:r w:rsidRPr="002B50BC">
              <w:rPr>
                <w:rFonts w:ascii="Times" w:eastAsia="Times New Roman" w:hAnsi="Times" w:cs="Times New Roman"/>
                <w:sz w:val="20"/>
                <w:szCs w:val="20"/>
              </w:rPr>
              <w:t>)</w:t>
            </w:r>
          </w:p>
        </w:tc>
      </w:tr>
      <w:tr w:rsidR="006C04E4" w:rsidRPr="006C04E4" w14:paraId="0DFF64BD" w14:textId="77777777" w:rsidTr="00007D79">
        <w:trPr>
          <w:trHeight w:val="320"/>
          <w:jc w:val="center"/>
        </w:trPr>
        <w:tc>
          <w:tcPr>
            <w:tcW w:w="1300" w:type="dxa"/>
            <w:tcBorders>
              <w:top w:val="nil"/>
              <w:left w:val="nil"/>
              <w:bottom w:val="nil"/>
              <w:right w:val="nil"/>
            </w:tcBorders>
            <w:shd w:val="clear" w:color="auto" w:fill="auto"/>
            <w:hideMark/>
          </w:tcPr>
          <w:p w14:paraId="2F81EB1E"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2625A156"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0CAB2601"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1CDDABF6"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7F1ACDA9"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4250CFAB"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313BB5F4"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AC01B85"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16EC9AE8"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r>
      <w:tr w:rsidR="006C04E4" w:rsidRPr="006C04E4" w14:paraId="428885FF" w14:textId="77777777" w:rsidTr="00007D79">
        <w:trPr>
          <w:trHeight w:val="320"/>
          <w:jc w:val="center"/>
        </w:trPr>
        <w:tc>
          <w:tcPr>
            <w:tcW w:w="1300" w:type="dxa"/>
            <w:vMerge w:val="restart"/>
            <w:tcBorders>
              <w:top w:val="nil"/>
              <w:left w:val="nil"/>
              <w:bottom w:val="nil"/>
              <w:right w:val="nil"/>
            </w:tcBorders>
            <w:shd w:val="clear" w:color="auto" w:fill="auto"/>
            <w:hideMark/>
          </w:tcPr>
          <w:p w14:paraId="19C871D1"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Vitamin A</w:t>
            </w:r>
          </w:p>
        </w:tc>
        <w:tc>
          <w:tcPr>
            <w:tcW w:w="1300" w:type="dxa"/>
            <w:tcBorders>
              <w:top w:val="nil"/>
              <w:left w:val="nil"/>
              <w:bottom w:val="nil"/>
              <w:right w:val="nil"/>
            </w:tcBorders>
            <w:shd w:val="clear" w:color="auto" w:fill="auto"/>
            <w:hideMark/>
          </w:tcPr>
          <w:p w14:paraId="39C31985"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-0.025</w:t>
            </w:r>
          </w:p>
        </w:tc>
        <w:tc>
          <w:tcPr>
            <w:tcW w:w="1300" w:type="dxa"/>
            <w:tcBorders>
              <w:top w:val="nil"/>
              <w:left w:val="nil"/>
              <w:bottom w:val="nil"/>
              <w:right w:val="nil"/>
            </w:tcBorders>
            <w:shd w:val="clear" w:color="auto" w:fill="auto"/>
            <w:hideMark/>
          </w:tcPr>
          <w:p w14:paraId="0CB6DECF"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-0.008</w:t>
            </w:r>
          </w:p>
        </w:tc>
        <w:tc>
          <w:tcPr>
            <w:tcW w:w="1300" w:type="dxa"/>
            <w:vMerge w:val="restart"/>
            <w:tcBorders>
              <w:top w:val="nil"/>
              <w:left w:val="nil"/>
              <w:bottom w:val="nil"/>
              <w:right w:val="nil"/>
            </w:tcBorders>
            <w:shd w:val="clear" w:color="auto" w:fill="auto"/>
            <w:hideMark/>
          </w:tcPr>
          <w:p w14:paraId="5E8E565B"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vitamin A</w:t>
            </w:r>
          </w:p>
        </w:tc>
        <w:tc>
          <w:tcPr>
            <w:tcW w:w="1300" w:type="dxa"/>
            <w:tcBorders>
              <w:top w:val="nil"/>
              <w:left w:val="nil"/>
              <w:bottom w:val="nil"/>
              <w:right w:val="nil"/>
            </w:tcBorders>
            <w:shd w:val="clear" w:color="auto" w:fill="auto"/>
            <w:hideMark/>
          </w:tcPr>
          <w:p w14:paraId="1593D2E1"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0.008</w:t>
            </w:r>
          </w:p>
        </w:tc>
        <w:tc>
          <w:tcPr>
            <w:tcW w:w="1300" w:type="dxa"/>
            <w:tcBorders>
              <w:top w:val="nil"/>
              <w:left w:val="nil"/>
              <w:bottom w:val="nil"/>
              <w:right w:val="nil"/>
            </w:tcBorders>
            <w:shd w:val="clear" w:color="auto" w:fill="auto"/>
            <w:hideMark/>
          </w:tcPr>
          <w:p w14:paraId="630DB1D7"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0.003</w:t>
            </w:r>
          </w:p>
        </w:tc>
        <w:tc>
          <w:tcPr>
            <w:tcW w:w="1300" w:type="dxa"/>
            <w:vMerge w:val="restart"/>
            <w:tcBorders>
              <w:top w:val="nil"/>
              <w:left w:val="nil"/>
              <w:bottom w:val="nil"/>
              <w:right w:val="nil"/>
            </w:tcBorders>
            <w:shd w:val="clear" w:color="auto" w:fill="auto"/>
            <w:hideMark/>
          </w:tcPr>
          <w:p w14:paraId="1F6C7679"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Willingness to pay</w:t>
            </w:r>
          </w:p>
        </w:tc>
        <w:tc>
          <w:tcPr>
            <w:tcW w:w="1300" w:type="dxa"/>
            <w:tcBorders>
              <w:top w:val="nil"/>
              <w:left w:val="nil"/>
              <w:bottom w:val="nil"/>
              <w:right w:val="nil"/>
            </w:tcBorders>
            <w:shd w:val="clear" w:color="auto" w:fill="auto"/>
            <w:hideMark/>
          </w:tcPr>
          <w:p w14:paraId="1F09D2FB"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0.012</w:t>
            </w:r>
          </w:p>
        </w:tc>
        <w:tc>
          <w:tcPr>
            <w:tcW w:w="1300" w:type="dxa"/>
            <w:tcBorders>
              <w:top w:val="nil"/>
              <w:left w:val="nil"/>
              <w:bottom w:val="nil"/>
              <w:right w:val="nil"/>
            </w:tcBorders>
            <w:shd w:val="clear" w:color="auto" w:fill="auto"/>
            <w:hideMark/>
          </w:tcPr>
          <w:p w14:paraId="56EFA48C"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0.004</w:t>
            </w:r>
          </w:p>
        </w:tc>
      </w:tr>
      <w:tr w:rsidR="006C04E4" w:rsidRPr="006C04E4" w14:paraId="31799C78" w14:textId="77777777" w:rsidTr="00007D79">
        <w:trPr>
          <w:trHeight w:val="320"/>
          <w:jc w:val="center"/>
        </w:trPr>
        <w:tc>
          <w:tcPr>
            <w:tcW w:w="1300" w:type="dxa"/>
            <w:vMerge/>
            <w:tcBorders>
              <w:top w:val="nil"/>
              <w:left w:val="nil"/>
              <w:bottom w:val="nil"/>
              <w:right w:val="nil"/>
            </w:tcBorders>
            <w:vAlign w:val="center"/>
            <w:hideMark/>
          </w:tcPr>
          <w:p w14:paraId="0A895A23"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253A3AA" w14:textId="7AE9FA79"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0.081</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6DBA9E60" w14:textId="1CE99103"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0.027</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2B5ABF1D"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3628749" w14:textId="6E65A23A"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0.036</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05ECEDDD" w14:textId="323DA426"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0.012</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6D6DF1CD"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2DE2405B" w14:textId="2C30F8CE"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0.077</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5BCBB8B3" w14:textId="02287916"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0.026</w:t>
            </w:r>
            <w:r w:rsidRPr="002B50BC">
              <w:rPr>
                <w:rFonts w:ascii="Times" w:eastAsia="Times New Roman" w:hAnsi="Times" w:cs="Times New Roman"/>
                <w:sz w:val="20"/>
                <w:szCs w:val="20"/>
              </w:rPr>
              <w:t>)</w:t>
            </w:r>
          </w:p>
        </w:tc>
      </w:tr>
      <w:tr w:rsidR="006C04E4" w:rsidRPr="006C04E4" w14:paraId="5938E032" w14:textId="77777777" w:rsidTr="00007D79">
        <w:trPr>
          <w:trHeight w:val="320"/>
          <w:jc w:val="center"/>
        </w:trPr>
        <w:tc>
          <w:tcPr>
            <w:tcW w:w="1300" w:type="dxa"/>
            <w:tcBorders>
              <w:top w:val="nil"/>
              <w:left w:val="nil"/>
              <w:bottom w:val="nil"/>
              <w:right w:val="nil"/>
            </w:tcBorders>
            <w:shd w:val="clear" w:color="auto" w:fill="auto"/>
            <w:hideMark/>
          </w:tcPr>
          <w:p w14:paraId="21748196"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0D9C10BE"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373AF3CF"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6BA81B2C"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2B27520F"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1E83D2A8"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42353C44"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0F55D040"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6A22EF07"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r>
      <w:tr w:rsidR="006C04E4" w:rsidRPr="006C04E4" w14:paraId="0FB0B040" w14:textId="77777777" w:rsidTr="00007D79">
        <w:trPr>
          <w:trHeight w:val="320"/>
          <w:jc w:val="center"/>
        </w:trPr>
        <w:tc>
          <w:tcPr>
            <w:tcW w:w="1300" w:type="dxa"/>
            <w:vMerge w:val="restart"/>
            <w:tcBorders>
              <w:top w:val="nil"/>
              <w:left w:val="nil"/>
              <w:bottom w:val="nil"/>
              <w:right w:val="nil"/>
            </w:tcBorders>
            <w:shd w:val="clear" w:color="auto" w:fill="auto"/>
            <w:hideMark/>
          </w:tcPr>
          <w:p w14:paraId="75FDB348"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Zinc</w:t>
            </w:r>
          </w:p>
        </w:tc>
        <w:tc>
          <w:tcPr>
            <w:tcW w:w="1300" w:type="dxa"/>
            <w:tcBorders>
              <w:top w:val="nil"/>
              <w:left w:val="nil"/>
              <w:bottom w:val="nil"/>
              <w:right w:val="nil"/>
            </w:tcBorders>
            <w:shd w:val="clear" w:color="auto" w:fill="auto"/>
            <w:hideMark/>
          </w:tcPr>
          <w:p w14:paraId="20D3B82F"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-0.005</w:t>
            </w:r>
          </w:p>
        </w:tc>
        <w:tc>
          <w:tcPr>
            <w:tcW w:w="1300" w:type="dxa"/>
            <w:tcBorders>
              <w:top w:val="nil"/>
              <w:left w:val="nil"/>
              <w:bottom w:val="nil"/>
              <w:right w:val="nil"/>
            </w:tcBorders>
            <w:shd w:val="clear" w:color="auto" w:fill="auto"/>
            <w:hideMark/>
          </w:tcPr>
          <w:p w14:paraId="754DB39F"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-0.002</w:t>
            </w:r>
          </w:p>
        </w:tc>
        <w:tc>
          <w:tcPr>
            <w:tcW w:w="1300" w:type="dxa"/>
            <w:vMerge w:val="restart"/>
            <w:tcBorders>
              <w:top w:val="nil"/>
              <w:left w:val="nil"/>
              <w:bottom w:val="nil"/>
              <w:right w:val="nil"/>
            </w:tcBorders>
            <w:shd w:val="clear" w:color="auto" w:fill="auto"/>
            <w:hideMark/>
          </w:tcPr>
          <w:p w14:paraId="40F0BEB7"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zinc</w:t>
            </w:r>
          </w:p>
        </w:tc>
        <w:tc>
          <w:tcPr>
            <w:tcW w:w="1300" w:type="dxa"/>
            <w:tcBorders>
              <w:top w:val="nil"/>
              <w:left w:val="nil"/>
              <w:bottom w:val="nil"/>
              <w:right w:val="nil"/>
            </w:tcBorders>
            <w:shd w:val="clear" w:color="auto" w:fill="auto"/>
            <w:hideMark/>
          </w:tcPr>
          <w:p w14:paraId="6ED1584E"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tcBorders>
              <w:top w:val="nil"/>
              <w:left w:val="nil"/>
              <w:bottom w:val="nil"/>
              <w:right w:val="nil"/>
            </w:tcBorders>
            <w:shd w:val="clear" w:color="auto" w:fill="auto"/>
            <w:hideMark/>
          </w:tcPr>
          <w:p w14:paraId="7035A2C4" w14:textId="1DFF72BD"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w:t>
            </w:r>
            <w:r w:rsidRPr="002B50BC">
              <w:rPr>
                <w:rFonts w:ascii="Times" w:eastAsia="Times New Roman" w:hAnsi="Times" w:cs="Times New Roman"/>
                <w:sz w:val="20"/>
                <w:szCs w:val="20"/>
              </w:rPr>
              <w:t>.000</w:t>
            </w:r>
          </w:p>
        </w:tc>
        <w:tc>
          <w:tcPr>
            <w:tcW w:w="1300" w:type="dxa"/>
            <w:vMerge w:val="restart"/>
            <w:tcBorders>
              <w:top w:val="nil"/>
              <w:left w:val="nil"/>
              <w:bottom w:val="nil"/>
              <w:right w:val="nil"/>
            </w:tcBorders>
            <w:shd w:val="clear" w:color="auto" w:fill="auto"/>
            <w:hideMark/>
          </w:tcPr>
          <w:p w14:paraId="54B231E9"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GDP per capita</w:t>
            </w:r>
          </w:p>
        </w:tc>
        <w:tc>
          <w:tcPr>
            <w:tcW w:w="1300" w:type="dxa"/>
            <w:tcBorders>
              <w:top w:val="nil"/>
              <w:left w:val="nil"/>
              <w:bottom w:val="nil"/>
              <w:right w:val="nil"/>
            </w:tcBorders>
            <w:shd w:val="clear" w:color="auto" w:fill="auto"/>
            <w:hideMark/>
          </w:tcPr>
          <w:p w14:paraId="5331A976"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0.025</w:t>
            </w:r>
          </w:p>
        </w:tc>
        <w:tc>
          <w:tcPr>
            <w:tcW w:w="1300" w:type="dxa"/>
            <w:tcBorders>
              <w:top w:val="nil"/>
              <w:left w:val="nil"/>
              <w:bottom w:val="nil"/>
              <w:right w:val="nil"/>
            </w:tcBorders>
            <w:shd w:val="clear" w:color="auto" w:fill="auto"/>
            <w:hideMark/>
          </w:tcPr>
          <w:p w14:paraId="333EEA56"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0.008</w:t>
            </w:r>
          </w:p>
        </w:tc>
      </w:tr>
      <w:tr w:rsidR="006C04E4" w:rsidRPr="006C04E4" w14:paraId="3743C23C" w14:textId="77777777" w:rsidTr="00007D79">
        <w:trPr>
          <w:trHeight w:val="320"/>
          <w:jc w:val="center"/>
        </w:trPr>
        <w:tc>
          <w:tcPr>
            <w:tcW w:w="1300" w:type="dxa"/>
            <w:vMerge/>
            <w:tcBorders>
              <w:top w:val="nil"/>
              <w:left w:val="nil"/>
              <w:bottom w:val="nil"/>
              <w:right w:val="nil"/>
            </w:tcBorders>
            <w:vAlign w:val="center"/>
            <w:hideMark/>
          </w:tcPr>
          <w:p w14:paraId="086633E9"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3E22F03" w14:textId="7D3AF428"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0.038</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273256DD" w14:textId="798C7821"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0.013</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513B2EC8"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667E87F8" w14:textId="4C0D8700"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0.022</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1F3322B7" w14:textId="46571D3E"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0.007</w:t>
            </w:r>
            <w:r w:rsidRPr="002B50BC">
              <w:rPr>
                <w:rFonts w:ascii="Times" w:eastAsia="Times New Roman" w:hAnsi="Times" w:cs="Times New Roman"/>
                <w:sz w:val="20"/>
                <w:szCs w:val="20"/>
              </w:rPr>
              <w:t>)</w:t>
            </w:r>
          </w:p>
        </w:tc>
        <w:tc>
          <w:tcPr>
            <w:tcW w:w="1300" w:type="dxa"/>
            <w:vMerge/>
            <w:tcBorders>
              <w:top w:val="nil"/>
              <w:left w:val="nil"/>
              <w:bottom w:val="nil"/>
              <w:right w:val="nil"/>
            </w:tcBorders>
            <w:vAlign w:val="center"/>
            <w:hideMark/>
          </w:tcPr>
          <w:p w14:paraId="07C7965C"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0EDFECAA" w14:textId="6DC5D4A5"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0.098</w:t>
            </w:r>
            <w:r w:rsidRPr="002B50BC">
              <w:rPr>
                <w:rFonts w:ascii="Times" w:eastAsia="Times New Roman" w:hAnsi="Times" w:cs="Times New Roman"/>
                <w:sz w:val="20"/>
                <w:szCs w:val="20"/>
              </w:rPr>
              <w:t>)</w:t>
            </w:r>
          </w:p>
        </w:tc>
        <w:tc>
          <w:tcPr>
            <w:tcW w:w="1300" w:type="dxa"/>
            <w:tcBorders>
              <w:top w:val="nil"/>
              <w:left w:val="nil"/>
              <w:bottom w:val="nil"/>
              <w:right w:val="nil"/>
            </w:tcBorders>
            <w:shd w:val="clear" w:color="auto" w:fill="auto"/>
            <w:hideMark/>
          </w:tcPr>
          <w:p w14:paraId="3F86F3CC" w14:textId="65B9EC60"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0.033</w:t>
            </w:r>
            <w:r w:rsidRPr="002B50BC">
              <w:rPr>
                <w:rFonts w:ascii="Times" w:eastAsia="Times New Roman" w:hAnsi="Times" w:cs="Times New Roman"/>
                <w:sz w:val="20"/>
                <w:szCs w:val="20"/>
              </w:rPr>
              <w:t>)</w:t>
            </w:r>
          </w:p>
        </w:tc>
      </w:tr>
      <w:tr w:rsidR="006C04E4" w:rsidRPr="006C04E4" w14:paraId="7C7A26A0" w14:textId="77777777" w:rsidTr="00007D79">
        <w:trPr>
          <w:trHeight w:val="320"/>
          <w:jc w:val="center"/>
        </w:trPr>
        <w:tc>
          <w:tcPr>
            <w:tcW w:w="1300" w:type="dxa"/>
            <w:tcBorders>
              <w:top w:val="nil"/>
              <w:left w:val="nil"/>
              <w:bottom w:val="nil"/>
              <w:right w:val="nil"/>
            </w:tcBorders>
            <w:shd w:val="clear" w:color="auto" w:fill="auto"/>
            <w:hideMark/>
          </w:tcPr>
          <w:p w14:paraId="3D7F4B91"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hideMark/>
          </w:tcPr>
          <w:p w14:paraId="5782D65C"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1667BB6"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63A4CB5C"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441A64E2"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439D117C"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7BB4A4A6"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5C1D7601"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hideMark/>
          </w:tcPr>
          <w:p w14:paraId="7144EE62" w14:textId="77777777" w:rsidR="006C04E4" w:rsidRPr="006C04E4" w:rsidRDefault="006C04E4" w:rsidP="006C04E4">
            <w:pPr>
              <w:spacing w:line="240" w:lineRule="auto"/>
              <w:jc w:val="center"/>
              <w:rPr>
                <w:rFonts w:ascii="Times" w:eastAsia="Times New Roman" w:hAnsi="Times" w:cs="Times New Roman"/>
                <w:color w:val="auto"/>
                <w:sz w:val="20"/>
                <w:szCs w:val="20"/>
              </w:rPr>
            </w:pPr>
          </w:p>
        </w:tc>
      </w:tr>
      <w:tr w:rsidR="006C04E4" w:rsidRPr="006C04E4" w14:paraId="6B485511" w14:textId="77777777" w:rsidTr="00007D79">
        <w:trPr>
          <w:trHeight w:val="320"/>
          <w:jc w:val="center"/>
        </w:trPr>
        <w:tc>
          <w:tcPr>
            <w:tcW w:w="1300" w:type="dxa"/>
            <w:vMerge w:val="restart"/>
            <w:tcBorders>
              <w:top w:val="nil"/>
              <w:left w:val="nil"/>
              <w:bottom w:val="single" w:sz="8" w:space="0" w:color="000000"/>
              <w:right w:val="nil"/>
            </w:tcBorders>
            <w:shd w:val="clear" w:color="auto" w:fill="auto"/>
            <w:hideMark/>
          </w:tcPr>
          <w:p w14:paraId="7528C03B"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Iron</w:t>
            </w:r>
          </w:p>
        </w:tc>
        <w:tc>
          <w:tcPr>
            <w:tcW w:w="1300" w:type="dxa"/>
            <w:tcBorders>
              <w:top w:val="nil"/>
              <w:left w:val="nil"/>
              <w:bottom w:val="nil"/>
              <w:right w:val="nil"/>
            </w:tcBorders>
            <w:shd w:val="clear" w:color="auto" w:fill="auto"/>
            <w:hideMark/>
          </w:tcPr>
          <w:p w14:paraId="37639E3B"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-0.014</w:t>
            </w:r>
          </w:p>
        </w:tc>
        <w:tc>
          <w:tcPr>
            <w:tcW w:w="1300" w:type="dxa"/>
            <w:tcBorders>
              <w:top w:val="nil"/>
              <w:left w:val="nil"/>
              <w:bottom w:val="nil"/>
              <w:right w:val="nil"/>
            </w:tcBorders>
            <w:shd w:val="clear" w:color="auto" w:fill="auto"/>
            <w:hideMark/>
          </w:tcPr>
          <w:p w14:paraId="03BA0E96"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-0.005</w:t>
            </w:r>
          </w:p>
        </w:tc>
        <w:tc>
          <w:tcPr>
            <w:tcW w:w="1300" w:type="dxa"/>
            <w:vMerge w:val="restart"/>
            <w:tcBorders>
              <w:top w:val="nil"/>
              <w:left w:val="nil"/>
              <w:bottom w:val="single" w:sz="8" w:space="0" w:color="000000"/>
              <w:right w:val="nil"/>
            </w:tcBorders>
            <w:shd w:val="clear" w:color="auto" w:fill="auto"/>
            <w:hideMark/>
          </w:tcPr>
          <w:p w14:paraId="13CE391B"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Times New Roman"/>
                <w:sz w:val="20"/>
                <w:szCs w:val="20"/>
              </w:rPr>
              <w:t>Seafood iron</w:t>
            </w:r>
          </w:p>
        </w:tc>
        <w:tc>
          <w:tcPr>
            <w:tcW w:w="1300" w:type="dxa"/>
            <w:tcBorders>
              <w:top w:val="nil"/>
              <w:left w:val="nil"/>
              <w:bottom w:val="nil"/>
              <w:right w:val="nil"/>
            </w:tcBorders>
            <w:shd w:val="clear" w:color="auto" w:fill="auto"/>
            <w:hideMark/>
          </w:tcPr>
          <w:p w14:paraId="69718584"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-0.002</w:t>
            </w:r>
          </w:p>
        </w:tc>
        <w:tc>
          <w:tcPr>
            <w:tcW w:w="1300" w:type="dxa"/>
            <w:tcBorders>
              <w:top w:val="nil"/>
              <w:left w:val="nil"/>
              <w:bottom w:val="nil"/>
              <w:right w:val="nil"/>
            </w:tcBorders>
            <w:shd w:val="clear" w:color="auto" w:fill="auto"/>
            <w:hideMark/>
          </w:tcPr>
          <w:p w14:paraId="431C0872" w14:textId="77777777" w:rsidR="006C04E4" w:rsidRPr="006C04E4" w:rsidRDefault="006C04E4" w:rsidP="006C04E4">
            <w:pPr>
              <w:spacing w:line="240" w:lineRule="auto"/>
              <w:jc w:val="center"/>
              <w:rPr>
                <w:rFonts w:ascii="Times" w:eastAsia="Times New Roman" w:hAnsi="Times" w:cs="Calibri"/>
                <w:sz w:val="20"/>
                <w:szCs w:val="20"/>
              </w:rPr>
            </w:pPr>
            <w:r w:rsidRPr="006C04E4">
              <w:rPr>
                <w:rFonts w:ascii="Times" w:eastAsia="Times New Roman" w:hAnsi="Times" w:cs="Times New Roman"/>
                <w:sz w:val="20"/>
                <w:szCs w:val="20"/>
              </w:rPr>
              <w:t>-0.001</w:t>
            </w:r>
          </w:p>
        </w:tc>
        <w:tc>
          <w:tcPr>
            <w:tcW w:w="1300" w:type="dxa"/>
            <w:tcBorders>
              <w:top w:val="nil"/>
              <w:left w:val="nil"/>
              <w:bottom w:val="nil"/>
              <w:right w:val="nil"/>
            </w:tcBorders>
            <w:shd w:val="clear" w:color="auto" w:fill="auto"/>
            <w:noWrap/>
            <w:hideMark/>
          </w:tcPr>
          <w:p w14:paraId="257CE20B" w14:textId="77777777" w:rsidR="006C04E4" w:rsidRPr="006C04E4" w:rsidRDefault="006C04E4" w:rsidP="006C04E4">
            <w:pPr>
              <w:spacing w:line="240" w:lineRule="auto"/>
              <w:jc w:val="center"/>
              <w:rPr>
                <w:rFonts w:ascii="Times" w:eastAsia="Times New Roman" w:hAnsi="Times" w:cs="Calibri"/>
                <w:sz w:val="20"/>
                <w:szCs w:val="20"/>
              </w:rPr>
            </w:pPr>
          </w:p>
        </w:tc>
        <w:tc>
          <w:tcPr>
            <w:tcW w:w="1300" w:type="dxa"/>
            <w:tcBorders>
              <w:top w:val="nil"/>
              <w:left w:val="nil"/>
              <w:bottom w:val="nil"/>
              <w:right w:val="nil"/>
            </w:tcBorders>
            <w:shd w:val="clear" w:color="auto" w:fill="auto"/>
            <w:noWrap/>
            <w:hideMark/>
          </w:tcPr>
          <w:p w14:paraId="42F897AA" w14:textId="77777777" w:rsidR="006C04E4" w:rsidRPr="006C04E4" w:rsidRDefault="006C04E4" w:rsidP="006C04E4">
            <w:pPr>
              <w:spacing w:line="240" w:lineRule="auto"/>
              <w:rPr>
                <w:rFonts w:ascii="Times" w:eastAsia="Times New Roman" w:hAnsi="Times" w:cs="Times New Roman"/>
                <w:color w:val="auto"/>
                <w:sz w:val="20"/>
                <w:szCs w:val="20"/>
              </w:rPr>
            </w:pPr>
          </w:p>
        </w:tc>
        <w:tc>
          <w:tcPr>
            <w:tcW w:w="1300" w:type="dxa"/>
            <w:tcBorders>
              <w:top w:val="nil"/>
              <w:left w:val="nil"/>
              <w:bottom w:val="nil"/>
              <w:right w:val="nil"/>
            </w:tcBorders>
            <w:shd w:val="clear" w:color="auto" w:fill="auto"/>
            <w:noWrap/>
            <w:hideMark/>
          </w:tcPr>
          <w:p w14:paraId="55DF1C2A" w14:textId="77777777" w:rsidR="006C04E4" w:rsidRPr="006C04E4" w:rsidRDefault="006C04E4" w:rsidP="006C04E4">
            <w:pPr>
              <w:spacing w:line="240" w:lineRule="auto"/>
              <w:rPr>
                <w:rFonts w:ascii="Times" w:eastAsia="Times New Roman" w:hAnsi="Times" w:cs="Times New Roman"/>
                <w:color w:val="auto"/>
                <w:sz w:val="20"/>
                <w:szCs w:val="20"/>
              </w:rPr>
            </w:pPr>
          </w:p>
        </w:tc>
      </w:tr>
      <w:tr w:rsidR="006C04E4" w:rsidRPr="006C04E4" w14:paraId="1AAA6FFF" w14:textId="77777777" w:rsidTr="00007D79">
        <w:trPr>
          <w:trHeight w:val="340"/>
          <w:jc w:val="center"/>
        </w:trPr>
        <w:tc>
          <w:tcPr>
            <w:tcW w:w="1300" w:type="dxa"/>
            <w:vMerge/>
            <w:tcBorders>
              <w:top w:val="nil"/>
              <w:left w:val="nil"/>
              <w:bottom w:val="single" w:sz="18" w:space="0" w:color="auto"/>
              <w:right w:val="nil"/>
            </w:tcBorders>
            <w:vAlign w:val="center"/>
            <w:hideMark/>
          </w:tcPr>
          <w:p w14:paraId="50F456E6"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single" w:sz="18" w:space="0" w:color="auto"/>
              <w:right w:val="nil"/>
            </w:tcBorders>
            <w:shd w:val="clear" w:color="auto" w:fill="auto"/>
            <w:hideMark/>
          </w:tcPr>
          <w:p w14:paraId="48B69AC8" w14:textId="59B59AA4"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0.065</w:t>
            </w:r>
            <w:r w:rsidRPr="002B50BC">
              <w:rPr>
                <w:rFonts w:ascii="Times" w:eastAsia="Times New Roman" w:hAnsi="Times" w:cs="Times New Roman"/>
                <w:sz w:val="20"/>
                <w:szCs w:val="20"/>
              </w:rPr>
              <w:t>)</w:t>
            </w:r>
          </w:p>
        </w:tc>
        <w:tc>
          <w:tcPr>
            <w:tcW w:w="1300" w:type="dxa"/>
            <w:tcBorders>
              <w:top w:val="nil"/>
              <w:left w:val="nil"/>
              <w:bottom w:val="single" w:sz="18" w:space="0" w:color="auto"/>
              <w:right w:val="nil"/>
            </w:tcBorders>
            <w:shd w:val="clear" w:color="auto" w:fill="auto"/>
            <w:hideMark/>
          </w:tcPr>
          <w:p w14:paraId="205CD3B5" w14:textId="0578777C"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0.022</w:t>
            </w:r>
            <w:r w:rsidRPr="002B50BC">
              <w:rPr>
                <w:rFonts w:ascii="Times" w:eastAsia="Times New Roman" w:hAnsi="Times" w:cs="Times New Roman"/>
                <w:sz w:val="20"/>
                <w:szCs w:val="20"/>
              </w:rPr>
              <w:t>)</w:t>
            </w:r>
          </w:p>
        </w:tc>
        <w:tc>
          <w:tcPr>
            <w:tcW w:w="1300" w:type="dxa"/>
            <w:vMerge/>
            <w:tcBorders>
              <w:top w:val="nil"/>
              <w:left w:val="nil"/>
              <w:bottom w:val="single" w:sz="18" w:space="0" w:color="auto"/>
              <w:right w:val="nil"/>
            </w:tcBorders>
            <w:vAlign w:val="center"/>
            <w:hideMark/>
          </w:tcPr>
          <w:p w14:paraId="2432938F" w14:textId="77777777" w:rsidR="006C04E4" w:rsidRPr="006C04E4" w:rsidRDefault="006C04E4" w:rsidP="006C04E4">
            <w:pPr>
              <w:spacing w:line="240" w:lineRule="auto"/>
              <w:rPr>
                <w:rFonts w:ascii="Times" w:eastAsia="Times New Roman" w:hAnsi="Times" w:cs="Calibri"/>
                <w:sz w:val="20"/>
                <w:szCs w:val="20"/>
              </w:rPr>
            </w:pPr>
          </w:p>
        </w:tc>
        <w:tc>
          <w:tcPr>
            <w:tcW w:w="1300" w:type="dxa"/>
            <w:tcBorders>
              <w:top w:val="nil"/>
              <w:left w:val="nil"/>
              <w:bottom w:val="single" w:sz="18" w:space="0" w:color="auto"/>
              <w:right w:val="nil"/>
            </w:tcBorders>
            <w:shd w:val="clear" w:color="auto" w:fill="auto"/>
            <w:hideMark/>
          </w:tcPr>
          <w:p w14:paraId="43538F65" w14:textId="31A9B872"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0.027</w:t>
            </w:r>
            <w:r w:rsidRPr="002B50BC">
              <w:rPr>
                <w:rFonts w:ascii="Times" w:eastAsia="Times New Roman" w:hAnsi="Times" w:cs="Times New Roman"/>
                <w:sz w:val="20"/>
                <w:szCs w:val="20"/>
              </w:rPr>
              <w:t>)</w:t>
            </w:r>
          </w:p>
        </w:tc>
        <w:tc>
          <w:tcPr>
            <w:tcW w:w="1300" w:type="dxa"/>
            <w:tcBorders>
              <w:top w:val="nil"/>
              <w:left w:val="nil"/>
              <w:bottom w:val="single" w:sz="18" w:space="0" w:color="auto"/>
              <w:right w:val="nil"/>
            </w:tcBorders>
            <w:shd w:val="clear" w:color="auto" w:fill="auto"/>
            <w:hideMark/>
          </w:tcPr>
          <w:p w14:paraId="77B0E33D" w14:textId="6A5ACE4C" w:rsidR="006C04E4" w:rsidRPr="006C04E4" w:rsidRDefault="006C04E4" w:rsidP="006C04E4">
            <w:pPr>
              <w:spacing w:line="240" w:lineRule="auto"/>
              <w:jc w:val="center"/>
              <w:rPr>
                <w:rFonts w:ascii="Times" w:eastAsia="Times New Roman" w:hAnsi="Times" w:cs="Calibri"/>
                <w:sz w:val="20"/>
                <w:szCs w:val="20"/>
              </w:rPr>
            </w:pPr>
            <w:r w:rsidRPr="002B50BC">
              <w:rPr>
                <w:rFonts w:ascii="Times" w:eastAsia="Times New Roman" w:hAnsi="Times" w:cs="Times New Roman"/>
                <w:sz w:val="20"/>
                <w:szCs w:val="20"/>
              </w:rPr>
              <w:t>(</w:t>
            </w:r>
            <w:r w:rsidRPr="006C04E4">
              <w:rPr>
                <w:rFonts w:ascii="Times" w:eastAsia="Times New Roman" w:hAnsi="Times" w:cs="Times New Roman"/>
                <w:sz w:val="20"/>
                <w:szCs w:val="20"/>
              </w:rPr>
              <w:t>0.009</w:t>
            </w:r>
            <w:r w:rsidRPr="002B50BC">
              <w:rPr>
                <w:rFonts w:ascii="Times" w:eastAsia="Times New Roman" w:hAnsi="Times" w:cs="Times New Roman"/>
                <w:sz w:val="20"/>
                <w:szCs w:val="20"/>
              </w:rPr>
              <w:t>)</w:t>
            </w:r>
          </w:p>
        </w:tc>
        <w:tc>
          <w:tcPr>
            <w:tcW w:w="1300" w:type="dxa"/>
            <w:tcBorders>
              <w:top w:val="nil"/>
              <w:left w:val="nil"/>
              <w:bottom w:val="single" w:sz="18" w:space="0" w:color="auto"/>
              <w:right w:val="nil"/>
            </w:tcBorders>
            <w:shd w:val="clear" w:color="auto" w:fill="auto"/>
            <w:noWrap/>
            <w:hideMark/>
          </w:tcPr>
          <w:p w14:paraId="580A9B49"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Calibri"/>
                <w:sz w:val="20"/>
                <w:szCs w:val="20"/>
              </w:rPr>
              <w:t> </w:t>
            </w:r>
          </w:p>
        </w:tc>
        <w:tc>
          <w:tcPr>
            <w:tcW w:w="1300" w:type="dxa"/>
            <w:tcBorders>
              <w:top w:val="nil"/>
              <w:left w:val="nil"/>
              <w:bottom w:val="single" w:sz="18" w:space="0" w:color="auto"/>
              <w:right w:val="nil"/>
            </w:tcBorders>
            <w:shd w:val="clear" w:color="auto" w:fill="auto"/>
            <w:noWrap/>
            <w:hideMark/>
          </w:tcPr>
          <w:p w14:paraId="29F430BD"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Calibri"/>
                <w:sz w:val="20"/>
                <w:szCs w:val="20"/>
              </w:rPr>
              <w:t> </w:t>
            </w:r>
          </w:p>
        </w:tc>
        <w:tc>
          <w:tcPr>
            <w:tcW w:w="1300" w:type="dxa"/>
            <w:tcBorders>
              <w:top w:val="nil"/>
              <w:left w:val="nil"/>
              <w:bottom w:val="single" w:sz="18" w:space="0" w:color="auto"/>
              <w:right w:val="nil"/>
            </w:tcBorders>
            <w:shd w:val="clear" w:color="auto" w:fill="auto"/>
            <w:noWrap/>
            <w:hideMark/>
          </w:tcPr>
          <w:p w14:paraId="17FE87BF" w14:textId="77777777" w:rsidR="006C04E4" w:rsidRPr="006C04E4" w:rsidRDefault="006C04E4" w:rsidP="006C04E4">
            <w:pPr>
              <w:spacing w:line="240" w:lineRule="auto"/>
              <w:rPr>
                <w:rFonts w:ascii="Times" w:eastAsia="Times New Roman" w:hAnsi="Times" w:cs="Calibri"/>
                <w:sz w:val="20"/>
                <w:szCs w:val="20"/>
              </w:rPr>
            </w:pPr>
            <w:r w:rsidRPr="006C04E4">
              <w:rPr>
                <w:rFonts w:ascii="Times" w:eastAsia="Times New Roman" w:hAnsi="Times" w:cs="Calibri"/>
                <w:sz w:val="20"/>
                <w:szCs w:val="20"/>
              </w:rPr>
              <w:t> </w:t>
            </w:r>
          </w:p>
        </w:tc>
      </w:tr>
    </w:tbl>
    <w:p w14:paraId="0A553802" w14:textId="77777777" w:rsidR="002A6931" w:rsidRDefault="002A6931" w:rsidP="005276BE">
      <w:pPr>
        <w:rPr>
          <w:rFonts w:ascii="Times" w:hAnsi="Times" w:cs="Times"/>
          <w:sz w:val="24"/>
          <w:szCs w:val="24"/>
        </w:rPr>
      </w:pPr>
    </w:p>
    <w:p w14:paraId="2C7CB843" w14:textId="13C0938B" w:rsidR="008F4328" w:rsidRDefault="008F4328" w:rsidP="008F4328">
      <w:pPr>
        <w:spacing w:line="360" w:lineRule="auto"/>
        <w:rPr>
          <w:rFonts w:ascii="Times" w:hAnsi="Times" w:cs="Times"/>
          <w:b/>
          <w:i/>
          <w:sz w:val="24"/>
          <w:szCs w:val="24"/>
        </w:rPr>
      </w:pPr>
      <w:r>
        <w:rPr>
          <w:rFonts w:ascii="Times" w:hAnsi="Times" w:cs="Times"/>
          <w:b/>
          <w:i/>
          <w:sz w:val="24"/>
          <w:szCs w:val="24"/>
        </w:rPr>
        <w:t>References</w:t>
      </w:r>
    </w:p>
    <w:p w14:paraId="1E85F2CE" w14:textId="3C127635" w:rsidR="008F4328" w:rsidRDefault="008F4328" w:rsidP="008F4328">
      <w:pPr>
        <w:spacing w:line="360" w:lineRule="auto"/>
        <w:rPr>
          <w:color w:val="333333"/>
          <w:sz w:val="21"/>
          <w:szCs w:val="21"/>
          <w:shd w:val="clear" w:color="auto" w:fill="FFFFFF"/>
        </w:rPr>
      </w:pPr>
      <w:r>
        <w:rPr>
          <w:color w:val="333333"/>
          <w:sz w:val="21"/>
          <w:szCs w:val="21"/>
          <w:shd w:val="clear" w:color="auto" w:fill="FFFFFF"/>
        </w:rPr>
        <w:t>Kendall, M. G. (1955). Rank correlation methods (2nd ed.). Oxford, England: Hafner Publishing Co.</w:t>
      </w:r>
    </w:p>
    <w:p w14:paraId="6E60D4B6" w14:textId="3DF09423" w:rsidR="00196503" w:rsidRPr="008F4328" w:rsidRDefault="00196503" w:rsidP="008F4328">
      <w:pPr>
        <w:spacing w:line="360" w:lineRule="auto"/>
        <w:rPr>
          <w:rFonts w:ascii="Times" w:hAnsi="Times" w:cs="Times"/>
          <w:sz w:val="24"/>
          <w:szCs w:val="24"/>
        </w:rPr>
      </w:pPr>
      <w:r w:rsidRPr="00E37E6E">
        <w:rPr>
          <w:rFonts w:eastAsia="Times New Roman"/>
          <w:color w:val="222222"/>
          <w:sz w:val="20"/>
          <w:szCs w:val="20"/>
          <w:shd w:val="clear" w:color="auto" w:fill="FFFFFF"/>
        </w:rPr>
        <w:t xml:space="preserve">Shaffer, </w:t>
      </w:r>
      <w:r>
        <w:rPr>
          <w:rFonts w:eastAsia="Times New Roman"/>
          <w:color w:val="222222"/>
          <w:sz w:val="20"/>
          <w:szCs w:val="20"/>
          <w:shd w:val="clear" w:color="auto" w:fill="FFFFFF"/>
        </w:rPr>
        <w:t>J. P</w:t>
      </w:r>
      <w:r w:rsidRPr="00E37E6E">
        <w:rPr>
          <w:rFonts w:eastAsia="Times New Roman"/>
          <w:color w:val="222222"/>
          <w:sz w:val="20"/>
          <w:szCs w:val="20"/>
          <w:shd w:val="clear" w:color="auto" w:fill="FFFFFF"/>
        </w:rPr>
        <w:t>.</w:t>
      </w:r>
      <w:r>
        <w:rPr>
          <w:rFonts w:eastAsia="Times New Roman"/>
          <w:color w:val="222222"/>
          <w:sz w:val="20"/>
          <w:szCs w:val="20"/>
          <w:shd w:val="clear" w:color="auto" w:fill="FFFFFF"/>
        </w:rPr>
        <w:t xml:space="preserve"> (1995).</w:t>
      </w:r>
      <w:r w:rsidRPr="00E37E6E">
        <w:rPr>
          <w:rFonts w:eastAsia="Times New Roman"/>
          <w:color w:val="222222"/>
          <w:sz w:val="20"/>
          <w:szCs w:val="20"/>
          <w:shd w:val="clear" w:color="auto" w:fill="FFFFFF"/>
        </w:rPr>
        <w:t xml:space="preserve"> "Multiple hypothesis testing." </w:t>
      </w:r>
      <w:r>
        <w:rPr>
          <w:rFonts w:eastAsia="Times New Roman"/>
          <w:i/>
          <w:iCs/>
          <w:color w:val="222222"/>
          <w:sz w:val="20"/>
          <w:szCs w:val="20"/>
        </w:rPr>
        <w:t>Annual R</w:t>
      </w:r>
      <w:r w:rsidRPr="00E37E6E">
        <w:rPr>
          <w:rFonts w:eastAsia="Times New Roman"/>
          <w:i/>
          <w:iCs/>
          <w:color w:val="222222"/>
          <w:sz w:val="20"/>
          <w:szCs w:val="20"/>
        </w:rPr>
        <w:t xml:space="preserve">eview of </w:t>
      </w:r>
      <w:r>
        <w:rPr>
          <w:rFonts w:eastAsia="Times New Roman"/>
          <w:i/>
          <w:iCs/>
          <w:color w:val="222222"/>
          <w:sz w:val="20"/>
          <w:szCs w:val="20"/>
        </w:rPr>
        <w:t>P</w:t>
      </w:r>
      <w:r w:rsidRPr="00E37E6E">
        <w:rPr>
          <w:rFonts w:eastAsia="Times New Roman"/>
          <w:i/>
          <w:iCs/>
          <w:color w:val="222222"/>
          <w:sz w:val="20"/>
          <w:szCs w:val="20"/>
        </w:rPr>
        <w:t>sychology</w:t>
      </w:r>
      <w:r>
        <w:rPr>
          <w:rFonts w:eastAsia="Times New Roman"/>
          <w:color w:val="222222"/>
          <w:sz w:val="20"/>
          <w:szCs w:val="20"/>
          <w:shd w:val="clear" w:color="auto" w:fill="FFFFFF"/>
        </w:rPr>
        <w:t> </w:t>
      </w:r>
      <w:r w:rsidRPr="00196503">
        <w:rPr>
          <w:rFonts w:eastAsia="Times New Roman"/>
          <w:b/>
          <w:color w:val="222222"/>
          <w:sz w:val="20"/>
          <w:szCs w:val="20"/>
          <w:shd w:val="clear" w:color="auto" w:fill="FFFFFF"/>
        </w:rPr>
        <w:t>46</w:t>
      </w:r>
      <w:r w:rsidRPr="00E37E6E">
        <w:rPr>
          <w:rFonts w:eastAsia="Times New Roman"/>
          <w:color w:val="222222"/>
          <w:sz w:val="20"/>
          <w:szCs w:val="20"/>
          <w:shd w:val="clear" w:color="auto" w:fill="FFFFFF"/>
        </w:rPr>
        <w:t>: 561-584.</w:t>
      </w:r>
    </w:p>
    <w:p w14:paraId="3C5C4075" w14:textId="77777777" w:rsidR="008F4328" w:rsidRPr="008F4328" w:rsidRDefault="008F4328" w:rsidP="005276BE">
      <w:pPr>
        <w:rPr>
          <w:rFonts w:ascii="Times" w:hAnsi="Times" w:cs="Times"/>
          <w:b/>
          <w:sz w:val="24"/>
          <w:szCs w:val="24"/>
        </w:rPr>
      </w:pPr>
    </w:p>
    <w:sectPr w:rsidR="008F4328" w:rsidRPr="008F4328" w:rsidSect="00EE0DF6">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59B6E" w15:done="0"/>
  <w15:commentEx w15:paraId="267768DD" w15:done="0"/>
  <w15:commentEx w15:paraId="7F2941D7" w15:done="0"/>
  <w15:commentEx w15:paraId="4DFEB5C9" w15:done="0"/>
  <w15:commentEx w15:paraId="61E0A523" w15:done="0"/>
  <w15:commentEx w15:paraId="6B5A598C" w15:done="0"/>
  <w15:commentEx w15:paraId="74052687" w15:done="0"/>
  <w15:commentEx w15:paraId="574EB448" w15:done="0"/>
  <w15:commentEx w15:paraId="16115285" w15:done="0"/>
  <w15:commentEx w15:paraId="0CDDCF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9B6E" w16cid:durableId="1E4E34C3"/>
  <w16cid:commentId w16cid:paraId="267768DD" w16cid:durableId="1E4E39CA"/>
  <w16cid:commentId w16cid:paraId="7F2941D7" w16cid:durableId="1E4E3EB5"/>
  <w16cid:commentId w16cid:paraId="4DFEB5C9" w16cid:durableId="1E4E355E"/>
  <w16cid:commentId w16cid:paraId="61E0A523" w16cid:durableId="1E54E030"/>
  <w16cid:commentId w16cid:paraId="6B5A598C" w16cid:durableId="1E54E051"/>
  <w16cid:commentId w16cid:paraId="74052687" w16cid:durableId="1E54E6D6"/>
  <w16cid:commentId w16cid:paraId="574EB448" w16cid:durableId="1E54EFC1"/>
  <w16cid:commentId w16cid:paraId="16115285" w16cid:durableId="1E54E1AB"/>
  <w16cid:commentId w16cid:paraId="0CDDCF24" w16cid:durableId="1E5507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o Molina">
    <w15:presenceInfo w15:providerId="Windows Live" w15:userId="484cac82-0e67-4cd9-a536-20c5dfde7c1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B3"/>
    <w:rsid w:val="00007D79"/>
    <w:rsid w:val="0008024C"/>
    <w:rsid w:val="000A2830"/>
    <w:rsid w:val="001024B3"/>
    <w:rsid w:val="0014041A"/>
    <w:rsid w:val="00141510"/>
    <w:rsid w:val="0014379B"/>
    <w:rsid w:val="0014482C"/>
    <w:rsid w:val="00145AD6"/>
    <w:rsid w:val="00160D01"/>
    <w:rsid w:val="00164910"/>
    <w:rsid w:val="00196503"/>
    <w:rsid w:val="001D1350"/>
    <w:rsid w:val="001F5766"/>
    <w:rsid w:val="002A6931"/>
    <w:rsid w:val="002B50BC"/>
    <w:rsid w:val="002F0EB7"/>
    <w:rsid w:val="00312C9D"/>
    <w:rsid w:val="0037272A"/>
    <w:rsid w:val="00387490"/>
    <w:rsid w:val="003921B1"/>
    <w:rsid w:val="003C7699"/>
    <w:rsid w:val="003D1AC8"/>
    <w:rsid w:val="003E1444"/>
    <w:rsid w:val="003F2C64"/>
    <w:rsid w:val="0040663A"/>
    <w:rsid w:val="00445D2F"/>
    <w:rsid w:val="004B28C0"/>
    <w:rsid w:val="004B4718"/>
    <w:rsid w:val="004E1497"/>
    <w:rsid w:val="00502FA0"/>
    <w:rsid w:val="005232D0"/>
    <w:rsid w:val="005276BE"/>
    <w:rsid w:val="005C6363"/>
    <w:rsid w:val="005F33D6"/>
    <w:rsid w:val="0060162F"/>
    <w:rsid w:val="00670CF2"/>
    <w:rsid w:val="006C04E4"/>
    <w:rsid w:val="006C1B76"/>
    <w:rsid w:val="00764EF7"/>
    <w:rsid w:val="007711A0"/>
    <w:rsid w:val="00771FEF"/>
    <w:rsid w:val="00773AF8"/>
    <w:rsid w:val="007959CC"/>
    <w:rsid w:val="007C43BB"/>
    <w:rsid w:val="007C7C62"/>
    <w:rsid w:val="007D1E53"/>
    <w:rsid w:val="007E2DF9"/>
    <w:rsid w:val="00806359"/>
    <w:rsid w:val="008518CD"/>
    <w:rsid w:val="0088161C"/>
    <w:rsid w:val="008F4328"/>
    <w:rsid w:val="00927F2C"/>
    <w:rsid w:val="00941547"/>
    <w:rsid w:val="00990B17"/>
    <w:rsid w:val="00992123"/>
    <w:rsid w:val="00A978E8"/>
    <w:rsid w:val="00AA5385"/>
    <w:rsid w:val="00AD10BE"/>
    <w:rsid w:val="00B0069F"/>
    <w:rsid w:val="00B06194"/>
    <w:rsid w:val="00B411E4"/>
    <w:rsid w:val="00B93D42"/>
    <w:rsid w:val="00BA4EBB"/>
    <w:rsid w:val="00BB589C"/>
    <w:rsid w:val="00C30B98"/>
    <w:rsid w:val="00C527F9"/>
    <w:rsid w:val="00CE06ED"/>
    <w:rsid w:val="00CE2D46"/>
    <w:rsid w:val="00D72C99"/>
    <w:rsid w:val="00D97A29"/>
    <w:rsid w:val="00E018B8"/>
    <w:rsid w:val="00E37E6E"/>
    <w:rsid w:val="00E8464E"/>
    <w:rsid w:val="00EC63AF"/>
    <w:rsid w:val="00ED5E7E"/>
    <w:rsid w:val="00EE0DF6"/>
    <w:rsid w:val="00F41076"/>
    <w:rsid w:val="00F8638B"/>
    <w:rsid w:val="00FA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CC0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C9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024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E06ED"/>
    <w:rPr>
      <w:sz w:val="16"/>
      <w:szCs w:val="16"/>
    </w:rPr>
  </w:style>
  <w:style w:type="paragraph" w:styleId="CommentText">
    <w:name w:val="annotation text"/>
    <w:basedOn w:val="Normal"/>
    <w:link w:val="CommentTextChar"/>
    <w:uiPriority w:val="99"/>
    <w:semiHidden/>
    <w:unhideWhenUsed/>
    <w:rsid w:val="00CE06ED"/>
    <w:pPr>
      <w:spacing w:line="240" w:lineRule="auto"/>
    </w:pPr>
    <w:rPr>
      <w:sz w:val="20"/>
      <w:szCs w:val="20"/>
    </w:rPr>
  </w:style>
  <w:style w:type="character" w:customStyle="1" w:styleId="CommentTextChar">
    <w:name w:val="Comment Text Char"/>
    <w:basedOn w:val="DefaultParagraphFont"/>
    <w:link w:val="CommentText"/>
    <w:uiPriority w:val="99"/>
    <w:semiHidden/>
    <w:rsid w:val="00CE06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E06ED"/>
    <w:rPr>
      <w:b/>
      <w:bCs/>
    </w:rPr>
  </w:style>
  <w:style w:type="character" w:customStyle="1" w:styleId="CommentSubjectChar">
    <w:name w:val="Comment Subject Char"/>
    <w:basedOn w:val="CommentTextChar"/>
    <w:link w:val="CommentSubject"/>
    <w:uiPriority w:val="99"/>
    <w:semiHidden/>
    <w:rsid w:val="00CE06E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E06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6ED"/>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E37E6E"/>
  </w:style>
  <w:style w:type="table" w:customStyle="1" w:styleId="2">
    <w:name w:val="2"/>
    <w:basedOn w:val="TableNormal"/>
    <w:rsid w:val="00771FEF"/>
    <w:pPr>
      <w:spacing w:line="276" w:lineRule="auto"/>
    </w:pPr>
    <w:rPr>
      <w:rFonts w:ascii="Arial" w:eastAsia="Arial" w:hAnsi="Arial" w:cs="Arial"/>
      <w:color w:val="000000"/>
      <w:sz w:val="22"/>
      <w:szCs w:val="22"/>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C9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024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E06ED"/>
    <w:rPr>
      <w:sz w:val="16"/>
      <w:szCs w:val="16"/>
    </w:rPr>
  </w:style>
  <w:style w:type="paragraph" w:styleId="CommentText">
    <w:name w:val="annotation text"/>
    <w:basedOn w:val="Normal"/>
    <w:link w:val="CommentTextChar"/>
    <w:uiPriority w:val="99"/>
    <w:semiHidden/>
    <w:unhideWhenUsed/>
    <w:rsid w:val="00CE06ED"/>
    <w:pPr>
      <w:spacing w:line="240" w:lineRule="auto"/>
    </w:pPr>
    <w:rPr>
      <w:sz w:val="20"/>
      <w:szCs w:val="20"/>
    </w:rPr>
  </w:style>
  <w:style w:type="character" w:customStyle="1" w:styleId="CommentTextChar">
    <w:name w:val="Comment Text Char"/>
    <w:basedOn w:val="DefaultParagraphFont"/>
    <w:link w:val="CommentText"/>
    <w:uiPriority w:val="99"/>
    <w:semiHidden/>
    <w:rsid w:val="00CE06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E06ED"/>
    <w:rPr>
      <w:b/>
      <w:bCs/>
    </w:rPr>
  </w:style>
  <w:style w:type="character" w:customStyle="1" w:styleId="CommentSubjectChar">
    <w:name w:val="Comment Subject Char"/>
    <w:basedOn w:val="CommentTextChar"/>
    <w:link w:val="CommentSubject"/>
    <w:uiPriority w:val="99"/>
    <w:semiHidden/>
    <w:rsid w:val="00CE06E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E06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6ED"/>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E37E6E"/>
  </w:style>
  <w:style w:type="table" w:customStyle="1" w:styleId="2">
    <w:name w:val="2"/>
    <w:basedOn w:val="TableNormal"/>
    <w:rsid w:val="00771FEF"/>
    <w:pPr>
      <w:spacing w:line="276" w:lineRule="auto"/>
    </w:pPr>
    <w:rPr>
      <w:rFonts w:ascii="Arial" w:eastAsia="Arial" w:hAnsi="Arial" w:cs="Arial"/>
      <w:color w:val="000000"/>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092">
      <w:bodyDiv w:val="1"/>
      <w:marLeft w:val="0"/>
      <w:marRight w:val="0"/>
      <w:marTop w:val="0"/>
      <w:marBottom w:val="0"/>
      <w:divBdr>
        <w:top w:val="none" w:sz="0" w:space="0" w:color="auto"/>
        <w:left w:val="none" w:sz="0" w:space="0" w:color="auto"/>
        <w:bottom w:val="none" w:sz="0" w:space="0" w:color="auto"/>
        <w:right w:val="none" w:sz="0" w:space="0" w:color="auto"/>
      </w:divBdr>
    </w:div>
    <w:div w:id="378553103">
      <w:bodyDiv w:val="1"/>
      <w:marLeft w:val="0"/>
      <w:marRight w:val="0"/>
      <w:marTop w:val="0"/>
      <w:marBottom w:val="0"/>
      <w:divBdr>
        <w:top w:val="none" w:sz="0" w:space="0" w:color="auto"/>
        <w:left w:val="none" w:sz="0" w:space="0" w:color="auto"/>
        <w:bottom w:val="none" w:sz="0" w:space="0" w:color="auto"/>
        <w:right w:val="none" w:sz="0" w:space="0" w:color="auto"/>
      </w:divBdr>
    </w:div>
    <w:div w:id="487793221">
      <w:bodyDiv w:val="1"/>
      <w:marLeft w:val="0"/>
      <w:marRight w:val="0"/>
      <w:marTop w:val="0"/>
      <w:marBottom w:val="0"/>
      <w:divBdr>
        <w:top w:val="none" w:sz="0" w:space="0" w:color="auto"/>
        <w:left w:val="none" w:sz="0" w:space="0" w:color="auto"/>
        <w:bottom w:val="none" w:sz="0" w:space="0" w:color="auto"/>
        <w:right w:val="none" w:sz="0" w:space="0" w:color="auto"/>
      </w:divBdr>
    </w:div>
    <w:div w:id="490215100">
      <w:bodyDiv w:val="1"/>
      <w:marLeft w:val="0"/>
      <w:marRight w:val="0"/>
      <w:marTop w:val="0"/>
      <w:marBottom w:val="0"/>
      <w:divBdr>
        <w:top w:val="none" w:sz="0" w:space="0" w:color="auto"/>
        <w:left w:val="none" w:sz="0" w:space="0" w:color="auto"/>
        <w:bottom w:val="none" w:sz="0" w:space="0" w:color="auto"/>
        <w:right w:val="none" w:sz="0" w:space="0" w:color="auto"/>
      </w:divBdr>
    </w:div>
    <w:div w:id="798645966">
      <w:bodyDiv w:val="1"/>
      <w:marLeft w:val="0"/>
      <w:marRight w:val="0"/>
      <w:marTop w:val="0"/>
      <w:marBottom w:val="0"/>
      <w:divBdr>
        <w:top w:val="none" w:sz="0" w:space="0" w:color="auto"/>
        <w:left w:val="none" w:sz="0" w:space="0" w:color="auto"/>
        <w:bottom w:val="none" w:sz="0" w:space="0" w:color="auto"/>
        <w:right w:val="none" w:sz="0" w:space="0" w:color="auto"/>
      </w:divBdr>
    </w:div>
    <w:div w:id="929267151">
      <w:bodyDiv w:val="1"/>
      <w:marLeft w:val="0"/>
      <w:marRight w:val="0"/>
      <w:marTop w:val="0"/>
      <w:marBottom w:val="0"/>
      <w:divBdr>
        <w:top w:val="none" w:sz="0" w:space="0" w:color="auto"/>
        <w:left w:val="none" w:sz="0" w:space="0" w:color="auto"/>
        <w:bottom w:val="none" w:sz="0" w:space="0" w:color="auto"/>
        <w:right w:val="none" w:sz="0" w:space="0" w:color="auto"/>
      </w:divBdr>
    </w:div>
    <w:div w:id="1073158124">
      <w:bodyDiv w:val="1"/>
      <w:marLeft w:val="0"/>
      <w:marRight w:val="0"/>
      <w:marTop w:val="0"/>
      <w:marBottom w:val="0"/>
      <w:divBdr>
        <w:top w:val="none" w:sz="0" w:space="0" w:color="auto"/>
        <w:left w:val="none" w:sz="0" w:space="0" w:color="auto"/>
        <w:bottom w:val="none" w:sz="0" w:space="0" w:color="auto"/>
        <w:right w:val="none" w:sz="0" w:space="0" w:color="auto"/>
      </w:divBdr>
    </w:div>
    <w:div w:id="1087384945">
      <w:bodyDiv w:val="1"/>
      <w:marLeft w:val="0"/>
      <w:marRight w:val="0"/>
      <w:marTop w:val="0"/>
      <w:marBottom w:val="0"/>
      <w:divBdr>
        <w:top w:val="none" w:sz="0" w:space="0" w:color="auto"/>
        <w:left w:val="none" w:sz="0" w:space="0" w:color="auto"/>
        <w:bottom w:val="none" w:sz="0" w:space="0" w:color="auto"/>
        <w:right w:val="none" w:sz="0" w:space="0" w:color="auto"/>
      </w:divBdr>
    </w:div>
    <w:div w:id="1193542438">
      <w:bodyDiv w:val="1"/>
      <w:marLeft w:val="0"/>
      <w:marRight w:val="0"/>
      <w:marTop w:val="0"/>
      <w:marBottom w:val="0"/>
      <w:divBdr>
        <w:top w:val="none" w:sz="0" w:space="0" w:color="auto"/>
        <w:left w:val="none" w:sz="0" w:space="0" w:color="auto"/>
        <w:bottom w:val="none" w:sz="0" w:space="0" w:color="auto"/>
        <w:right w:val="none" w:sz="0" w:space="0" w:color="auto"/>
      </w:divBdr>
    </w:div>
    <w:div w:id="1396854191">
      <w:bodyDiv w:val="1"/>
      <w:marLeft w:val="0"/>
      <w:marRight w:val="0"/>
      <w:marTop w:val="0"/>
      <w:marBottom w:val="0"/>
      <w:divBdr>
        <w:top w:val="none" w:sz="0" w:space="0" w:color="auto"/>
        <w:left w:val="none" w:sz="0" w:space="0" w:color="auto"/>
        <w:bottom w:val="none" w:sz="0" w:space="0" w:color="auto"/>
        <w:right w:val="none" w:sz="0" w:space="0" w:color="auto"/>
      </w:divBdr>
    </w:div>
    <w:div w:id="1578129214">
      <w:bodyDiv w:val="1"/>
      <w:marLeft w:val="0"/>
      <w:marRight w:val="0"/>
      <w:marTop w:val="0"/>
      <w:marBottom w:val="0"/>
      <w:divBdr>
        <w:top w:val="none" w:sz="0" w:space="0" w:color="auto"/>
        <w:left w:val="none" w:sz="0" w:space="0" w:color="auto"/>
        <w:bottom w:val="none" w:sz="0" w:space="0" w:color="auto"/>
        <w:right w:val="none" w:sz="0" w:space="0" w:color="auto"/>
      </w:divBdr>
    </w:div>
    <w:div w:id="21155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D015-2F06-4A7D-90DB-B77DCFBA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Molina</dc:creator>
  <cp:lastModifiedBy>Owen Liu</cp:lastModifiedBy>
  <cp:revision>10</cp:revision>
  <dcterms:created xsi:type="dcterms:W3CDTF">2018-04-05T21:53:00Z</dcterms:created>
  <dcterms:modified xsi:type="dcterms:W3CDTF">2018-04-09T19:02:00Z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http://csl.mendeley.com/styles/242742261/apa-no-trunc</vt:lpwstr>
  </property>
  <property fmtid="{D5CDD505-2E9C-101B-9397-08002B2CF9AE}" pid="7" name="Mendeley Recent Style Name 2_1">
    <vt:lpwstr>American Psychological Association 6th edition - Owen Liu</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http://www.zotero.org/styles/fish-and-fisheries</vt:lpwstr>
  </property>
  <property fmtid="{D5CDD505-2E9C-101B-9397-08002B2CF9AE}" pid="11" name="Mendeley Recent Style Name 4_1">
    <vt:lpwstr>Fish and Fisheries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