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01" w:rsidRDefault="002D0AB1">
      <w:pPr>
        <w:outlineLvl w:val="0"/>
        <w:rPr>
          <w:rFonts w:ascii="Times New Roman" w:hAnsi="Times New Roman"/>
          <w:b/>
        </w:rPr>
      </w:pPr>
      <w:r>
        <w:rPr>
          <w:rFonts w:ascii="Times New Roman" w:hAnsi="Times New Roman" w:hint="eastAsia"/>
          <w:b/>
          <w:sz w:val="24"/>
        </w:rPr>
        <w:t>Table S1 T</w:t>
      </w:r>
      <w:r>
        <w:rPr>
          <w:rFonts w:ascii="Times New Roman" w:hAnsi="Times New Roman"/>
          <w:b/>
          <w:sz w:val="24"/>
        </w:rPr>
        <w:t xml:space="preserve">he </w:t>
      </w:r>
      <w:r>
        <w:rPr>
          <w:rFonts w:ascii="Times New Roman" w:hAnsi="Times New Roman" w:hint="eastAsia"/>
          <w:b/>
          <w:sz w:val="24"/>
        </w:rPr>
        <w:t>information of raw data</w:t>
      </w:r>
      <w:r>
        <w:rPr>
          <w:rFonts w:ascii="Times New Roman" w:hAnsi="Times New Roman" w:hint="eastAsia"/>
          <w:b/>
          <w:sz w:val="24"/>
        </w:rPr>
        <w:t>.</w:t>
      </w:r>
    </w:p>
    <w:tbl>
      <w:tblPr>
        <w:tblW w:w="7978" w:type="dxa"/>
        <w:tblLayout w:type="fixed"/>
        <w:tblCellMar>
          <w:top w:w="15" w:type="dxa"/>
          <w:left w:w="15" w:type="dxa"/>
          <w:bottom w:w="15" w:type="dxa"/>
          <w:right w:w="15" w:type="dxa"/>
        </w:tblCellMar>
        <w:tblLook w:val="04A0" w:firstRow="1" w:lastRow="0" w:firstColumn="1" w:lastColumn="0" w:noHBand="0" w:noVBand="1"/>
      </w:tblPr>
      <w:tblGrid>
        <w:gridCol w:w="957"/>
        <w:gridCol w:w="737"/>
        <w:gridCol w:w="700"/>
        <w:gridCol w:w="900"/>
        <w:gridCol w:w="2788"/>
        <w:gridCol w:w="1896"/>
      </w:tblGrid>
      <w:tr w:rsidR="00DE6E01">
        <w:trPr>
          <w:trHeight w:val="504"/>
        </w:trPr>
        <w:tc>
          <w:tcPr>
            <w:tcW w:w="957"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SRA accession</w:t>
            </w:r>
          </w:p>
        </w:tc>
        <w:tc>
          <w:tcPr>
            <w:tcW w:w="737"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Number of samples</w:t>
            </w:r>
          </w:p>
        </w:tc>
        <w:tc>
          <w:tcPr>
            <w:tcW w:w="700"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Number of tissues</w:t>
            </w:r>
          </w:p>
        </w:tc>
        <w:tc>
          <w:tcPr>
            <w:tcW w:w="900"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Number of reads</w:t>
            </w:r>
            <w:r>
              <w:rPr>
                <w:rFonts w:ascii="Times New Roman" w:hAnsi="Times New Roman" w:hint="eastAsia"/>
                <w:color w:val="000000"/>
                <w:kern w:val="0"/>
                <w:sz w:val="15"/>
                <w:szCs w:val="15"/>
                <w:lang w:bidi="ar"/>
              </w:rPr>
              <w:t>(million)</w:t>
            </w:r>
          </w:p>
        </w:tc>
        <w:tc>
          <w:tcPr>
            <w:tcW w:w="2788"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N</w:t>
            </w:r>
            <w:r>
              <w:rPr>
                <w:rFonts w:ascii="Times New Roman" w:hAnsi="Times New Roman" w:hint="eastAsia"/>
                <w:color w:val="000000"/>
                <w:kern w:val="0"/>
                <w:sz w:val="15"/>
                <w:szCs w:val="15"/>
                <w:lang w:bidi="ar"/>
              </w:rPr>
              <w:t>ame</w:t>
            </w:r>
            <w:r>
              <w:rPr>
                <w:rFonts w:ascii="Times New Roman" w:hAnsi="Times New Roman"/>
                <w:color w:val="000000"/>
                <w:kern w:val="0"/>
                <w:sz w:val="15"/>
                <w:szCs w:val="15"/>
                <w:lang w:bidi="ar"/>
              </w:rPr>
              <w:t xml:space="preserve"> of </w:t>
            </w:r>
            <w:r>
              <w:rPr>
                <w:rFonts w:ascii="Times New Roman" w:hAnsi="Times New Roman" w:hint="eastAsia"/>
                <w:color w:val="000000"/>
                <w:kern w:val="0"/>
                <w:sz w:val="15"/>
                <w:szCs w:val="15"/>
                <w:lang w:bidi="ar"/>
              </w:rPr>
              <w:t>tissues</w:t>
            </w:r>
          </w:p>
        </w:tc>
        <w:tc>
          <w:tcPr>
            <w:tcW w:w="1896" w:type="dxa"/>
            <w:tcBorders>
              <w:top w:val="single" w:sz="12" w:space="0" w:color="auto"/>
              <w:bottom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Reference</w:t>
            </w:r>
          </w:p>
        </w:tc>
      </w:tr>
      <w:tr w:rsidR="00DE6E01">
        <w:trPr>
          <w:trHeight w:val="286"/>
        </w:trPr>
        <w:tc>
          <w:tcPr>
            <w:tcW w:w="957" w:type="dxa"/>
            <w:tcBorders>
              <w:top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SRP067181</w:t>
            </w:r>
          </w:p>
        </w:tc>
        <w:tc>
          <w:tcPr>
            <w:tcW w:w="737" w:type="dxa"/>
            <w:tcBorders>
              <w:top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10</w:t>
            </w:r>
          </w:p>
        </w:tc>
        <w:tc>
          <w:tcPr>
            <w:tcW w:w="700" w:type="dxa"/>
            <w:tcBorders>
              <w:top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tcBorders>
              <w:top w:val="single" w:sz="4" w:space="0" w:color="auto"/>
            </w:tcBorders>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877</w:t>
            </w:r>
          </w:p>
        </w:tc>
        <w:tc>
          <w:tcPr>
            <w:tcW w:w="2788" w:type="dxa"/>
            <w:tcBorders>
              <w:top w:val="single" w:sz="4"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hint="eastAsia"/>
                <w:color w:val="000000"/>
                <w:kern w:val="0"/>
                <w:sz w:val="15"/>
                <w:szCs w:val="15"/>
                <w:lang w:bidi="ar"/>
              </w:rPr>
              <w:t>liver</w:t>
            </w:r>
          </w:p>
        </w:tc>
        <w:tc>
          <w:tcPr>
            <w:tcW w:w="1896" w:type="dxa"/>
            <w:tcBorders>
              <w:top w:val="single" w:sz="4" w:space="0" w:color="auto"/>
            </w:tcBorders>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Martinez-Montes</w:t>
            </w:r>
            <w:r>
              <w:rPr>
                <w:rFonts w:ascii="Times New Roman" w:hAnsi="Times New Roman" w:hint="eastAsia"/>
                <w:color w:val="000000"/>
                <w:sz w:val="15"/>
                <w:szCs w:val="15"/>
              </w:rPr>
              <w:t xml:space="preserve"> et al. 2016</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SRP018856</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3</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3</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263</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eastAsia="DengXian" w:hAnsi="Times New Roman" w:hint="eastAsia"/>
                <w:kern w:val="0"/>
                <w:sz w:val="15"/>
                <w:szCs w:val="15"/>
              </w:rPr>
              <w:t xml:space="preserve">Backfat, greater </w:t>
            </w:r>
            <w:proofErr w:type="spellStart"/>
            <w:r>
              <w:rPr>
                <w:rFonts w:ascii="Times New Roman" w:eastAsia="DengXian" w:hAnsi="Times New Roman" w:hint="eastAsia"/>
                <w:kern w:val="0"/>
                <w:sz w:val="15"/>
                <w:szCs w:val="15"/>
              </w:rPr>
              <w:t>omentum</w:t>
            </w:r>
            <w:proofErr w:type="spellEnd"/>
            <w:r>
              <w:rPr>
                <w:rFonts w:ascii="Times New Roman" w:eastAsia="DengXian" w:hAnsi="Times New Roman" w:hint="eastAsia"/>
                <w:kern w:val="0"/>
                <w:sz w:val="15"/>
                <w:szCs w:val="15"/>
              </w:rPr>
              <w:t xml:space="preserve">, </w:t>
            </w:r>
            <w:proofErr w:type="spellStart"/>
            <w:r>
              <w:rPr>
                <w:rFonts w:ascii="Times New Roman" w:eastAsia="DengXian" w:hAnsi="Times New Roman" w:hint="eastAsia"/>
                <w:kern w:val="0"/>
                <w:sz w:val="15"/>
                <w:szCs w:val="15"/>
              </w:rPr>
              <w:t>mesenterium</w:t>
            </w:r>
            <w:proofErr w:type="spellEnd"/>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Wang</w:t>
            </w:r>
            <w:r>
              <w:rPr>
                <w:rFonts w:ascii="Times New Roman" w:hAnsi="Times New Roman" w:hint="eastAsia"/>
                <w:color w:val="000000"/>
                <w:sz w:val="15"/>
                <w:szCs w:val="15"/>
              </w:rPr>
              <w:t xml:space="preserve"> et al. 2013</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SRP008516</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2</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50</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hint="eastAsia"/>
                <w:color w:val="000000"/>
                <w:kern w:val="0"/>
                <w:sz w:val="15"/>
                <w:szCs w:val="15"/>
                <w:lang w:bidi="ar"/>
              </w:rPr>
              <w:t>gonad</w:t>
            </w:r>
          </w:p>
        </w:tc>
        <w:tc>
          <w:tcPr>
            <w:tcW w:w="1896" w:type="dxa"/>
            <w:shd w:val="clear" w:color="auto" w:fill="auto"/>
            <w:vAlign w:val="center"/>
          </w:tcPr>
          <w:p w:rsidR="00DE6E01" w:rsidRDefault="002D0AB1">
            <w:pPr>
              <w:rPr>
                <w:rFonts w:ascii="Times New Roman" w:hAnsi="Times New Roman"/>
                <w:color w:val="000000"/>
                <w:sz w:val="15"/>
                <w:szCs w:val="15"/>
              </w:rPr>
            </w:pPr>
            <w:proofErr w:type="spellStart"/>
            <w:r>
              <w:rPr>
                <w:rFonts w:ascii="Times New Roman" w:hAnsi="Times New Roman" w:hint="eastAsia"/>
                <w:color w:val="000000"/>
                <w:sz w:val="15"/>
                <w:szCs w:val="15"/>
              </w:rPr>
              <w:t>Esteve-Codina</w:t>
            </w:r>
            <w:proofErr w:type="spellEnd"/>
            <w:r>
              <w:rPr>
                <w:rFonts w:ascii="Times New Roman" w:hAnsi="Times New Roman" w:hint="eastAsia"/>
                <w:color w:val="000000"/>
                <w:sz w:val="15"/>
                <w:szCs w:val="15"/>
              </w:rPr>
              <w:t xml:space="preserve"> et al. 2011</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SRP032451</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10</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839</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hypothalamus</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P</w:t>
            </w:r>
            <w:r>
              <w:rPr>
                <w:rFonts w:ascii="Times New Roman" w:hAnsi="Times New Roman" w:hint="eastAsia"/>
                <w:color w:val="000000"/>
                <w:sz w:val="15"/>
                <w:szCs w:val="15"/>
              </w:rPr>
              <w:t>é</w:t>
            </w:r>
            <w:proofErr w:type="spellStart"/>
            <w:r>
              <w:rPr>
                <w:rFonts w:ascii="Times New Roman" w:hAnsi="Times New Roman" w:hint="eastAsia"/>
                <w:color w:val="000000"/>
                <w:sz w:val="15"/>
                <w:szCs w:val="15"/>
              </w:rPr>
              <w:t>rez-Montarelo</w:t>
            </w:r>
            <w:proofErr w:type="spellEnd"/>
            <w:r>
              <w:rPr>
                <w:rFonts w:ascii="Times New Roman" w:hAnsi="Times New Roman" w:hint="eastAsia"/>
                <w:color w:val="000000"/>
                <w:sz w:val="15"/>
                <w:szCs w:val="15"/>
              </w:rPr>
              <w:t xml:space="preserve"> et al. 2014</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SRP026594</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6</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2</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34</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Backfat</w:t>
            </w:r>
            <w:r>
              <w:rPr>
                <w:rFonts w:ascii="Times New Roman" w:hAnsi="Times New Roman" w:hint="eastAsia"/>
                <w:color w:val="000000"/>
                <w:kern w:val="0"/>
                <w:sz w:val="15"/>
                <w:szCs w:val="15"/>
                <w:lang w:bidi="ar"/>
              </w:rPr>
              <w:t xml:space="preserve">, </w:t>
            </w:r>
            <w:r>
              <w:rPr>
                <w:rFonts w:ascii="Times New Roman" w:hAnsi="Times New Roman" w:hint="eastAsia"/>
                <w:color w:val="000000"/>
                <w:kern w:val="0"/>
                <w:sz w:val="15"/>
                <w:szCs w:val="15"/>
                <w:lang w:bidi="ar"/>
              </w:rPr>
              <w:t>musculus longissimus dorsi</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Jiang et al. 2013</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SRP018288</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4</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4</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190</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hint="eastAsia"/>
                <w:color w:val="000000"/>
                <w:kern w:val="0"/>
                <w:sz w:val="15"/>
                <w:szCs w:val="15"/>
                <w:lang w:bidi="ar"/>
              </w:rPr>
              <w:t>h</w:t>
            </w:r>
            <w:r>
              <w:rPr>
                <w:rFonts w:ascii="Times New Roman" w:hAnsi="Times New Roman"/>
                <w:color w:val="000000"/>
                <w:kern w:val="0"/>
                <w:sz w:val="15"/>
                <w:szCs w:val="15"/>
                <w:lang w:bidi="ar"/>
              </w:rPr>
              <w:t>eart</w:t>
            </w:r>
            <w:r>
              <w:rPr>
                <w:rFonts w:ascii="Times New Roman" w:hAnsi="Times New Roman" w:hint="eastAsia"/>
                <w:color w:val="000000"/>
                <w:kern w:val="0"/>
                <w:sz w:val="15"/>
                <w:szCs w:val="15"/>
                <w:lang w:bidi="ar"/>
              </w:rPr>
              <w:t xml:space="preserve">, liver, lung, </w:t>
            </w:r>
            <w:r>
              <w:rPr>
                <w:rFonts w:ascii="Times New Roman" w:hAnsi="Times New Roman" w:hint="eastAsia"/>
                <w:color w:val="000000"/>
                <w:kern w:val="0"/>
                <w:sz w:val="15"/>
                <w:szCs w:val="15"/>
                <w:lang w:bidi="ar"/>
              </w:rPr>
              <w:t>kidney</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Li et al. 2013</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SRP018102</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8</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247</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eastAsia="DengXian" w:hAnsi="Times New Roman" w:hint="eastAsia"/>
                <w:kern w:val="0"/>
                <w:sz w:val="15"/>
                <w:szCs w:val="15"/>
              </w:rPr>
              <w:t>endometrium</w:t>
            </w:r>
          </w:p>
        </w:tc>
        <w:tc>
          <w:tcPr>
            <w:tcW w:w="1896" w:type="dxa"/>
            <w:shd w:val="clear" w:color="auto" w:fill="auto"/>
            <w:vAlign w:val="center"/>
          </w:tcPr>
          <w:p w:rsidR="00DE6E01" w:rsidRDefault="002D0AB1">
            <w:pPr>
              <w:rPr>
                <w:rFonts w:ascii="Times New Roman" w:hAnsi="Times New Roman"/>
                <w:color w:val="000000"/>
                <w:sz w:val="15"/>
                <w:szCs w:val="15"/>
              </w:rPr>
            </w:pPr>
            <w:proofErr w:type="spellStart"/>
            <w:r>
              <w:rPr>
                <w:rFonts w:ascii="Times New Roman" w:hAnsi="Times New Roman" w:hint="eastAsia"/>
                <w:color w:val="000000"/>
                <w:sz w:val="15"/>
                <w:szCs w:val="15"/>
              </w:rPr>
              <w:t>Samborski</w:t>
            </w:r>
            <w:proofErr w:type="spellEnd"/>
            <w:r>
              <w:rPr>
                <w:rFonts w:ascii="Times New Roman" w:hAnsi="Times New Roman" w:hint="eastAsia"/>
                <w:color w:val="000000"/>
                <w:sz w:val="15"/>
                <w:szCs w:val="15"/>
              </w:rPr>
              <w:t xml:space="preserve"> et al. 2013</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SRP058401</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6</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366</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hint="eastAsia"/>
                <w:color w:val="000000"/>
                <w:kern w:val="0"/>
                <w:sz w:val="15"/>
                <w:szCs w:val="15"/>
                <w:lang w:bidi="ar"/>
              </w:rPr>
              <w:t>ovary</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Zhang et al. 2014</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SRP014902</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3</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3</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59</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placenta, testis,</w:t>
            </w:r>
            <w:r>
              <w:rPr>
                <w:rFonts w:ascii="Times New Roman" w:hAnsi="Times New Roman" w:hint="eastAsia"/>
                <w:color w:val="000000"/>
                <w:kern w:val="0"/>
                <w:sz w:val="15"/>
                <w:szCs w:val="15"/>
                <w:lang w:bidi="ar"/>
              </w:rPr>
              <w:t xml:space="preserve"> </w:t>
            </w:r>
            <w:r>
              <w:rPr>
                <w:rFonts w:ascii="Times New Roman" w:hAnsi="Times New Roman" w:hint="eastAsia"/>
                <w:color w:val="000000"/>
                <w:kern w:val="0"/>
                <w:sz w:val="15"/>
                <w:szCs w:val="15"/>
                <w:lang w:bidi="ar"/>
              </w:rPr>
              <w:t>Pool of 11 tissues</w:t>
            </w:r>
          </w:p>
        </w:tc>
        <w:tc>
          <w:tcPr>
            <w:tcW w:w="1896" w:type="dxa"/>
            <w:shd w:val="clear" w:color="auto" w:fill="auto"/>
            <w:vAlign w:val="center"/>
          </w:tcPr>
          <w:p w:rsidR="00DE6E01" w:rsidRDefault="002D0AB1">
            <w:pPr>
              <w:rPr>
                <w:rFonts w:ascii="Times New Roman" w:hAnsi="Times New Roman"/>
                <w:color w:val="000000"/>
                <w:sz w:val="15"/>
                <w:szCs w:val="15"/>
              </w:rPr>
            </w:pPr>
            <w:proofErr w:type="spellStart"/>
            <w:r>
              <w:rPr>
                <w:rFonts w:ascii="Times New Roman" w:hAnsi="Times New Roman" w:hint="eastAsia"/>
                <w:color w:val="000000"/>
                <w:sz w:val="15"/>
                <w:szCs w:val="15"/>
              </w:rPr>
              <w:t>Endale</w:t>
            </w:r>
            <w:proofErr w:type="spellEnd"/>
            <w:r>
              <w:rPr>
                <w:rFonts w:ascii="Times New Roman" w:hAnsi="Times New Roman" w:hint="eastAsia"/>
                <w:color w:val="000000"/>
                <w:sz w:val="15"/>
                <w:szCs w:val="15"/>
              </w:rPr>
              <w:t xml:space="preserve"> </w:t>
            </w:r>
            <w:proofErr w:type="spellStart"/>
            <w:r>
              <w:rPr>
                <w:rFonts w:ascii="Times New Roman" w:hAnsi="Times New Roman" w:hint="eastAsia"/>
                <w:color w:val="000000"/>
                <w:sz w:val="15"/>
                <w:szCs w:val="15"/>
              </w:rPr>
              <w:t>Ahanda</w:t>
            </w:r>
            <w:proofErr w:type="spellEnd"/>
            <w:r>
              <w:rPr>
                <w:rFonts w:ascii="Times New Roman" w:hAnsi="Times New Roman" w:hint="eastAsia"/>
                <w:color w:val="000000"/>
                <w:sz w:val="15"/>
                <w:szCs w:val="15"/>
              </w:rPr>
              <w:t xml:space="preserve"> et al. 2012</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ERP013761</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31</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632</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hint="eastAsia"/>
                <w:color w:val="000000"/>
                <w:kern w:val="0"/>
                <w:sz w:val="15"/>
                <w:szCs w:val="15"/>
                <w:lang w:bidi="ar"/>
              </w:rPr>
              <w:t>blood</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Liu et al. 2016</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SRP062860</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12</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797</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uterine</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Rahman</w:t>
            </w:r>
            <w:r>
              <w:rPr>
                <w:rFonts w:ascii="Times New Roman" w:hAnsi="Times New Roman" w:hint="eastAsia"/>
                <w:color w:val="000000"/>
                <w:sz w:val="15"/>
                <w:szCs w:val="15"/>
              </w:rPr>
              <w:t xml:space="preserve"> et al. 2016</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SRP065485</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8</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91</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lymph nodes</w:t>
            </w:r>
          </w:p>
        </w:tc>
        <w:tc>
          <w:tcPr>
            <w:tcW w:w="1896"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hint="eastAsia"/>
                <w:color w:val="000000"/>
                <w:sz w:val="15"/>
                <w:szCs w:val="15"/>
              </w:rPr>
              <w:t>Miller</w:t>
            </w:r>
            <w:r>
              <w:rPr>
                <w:rFonts w:ascii="Times New Roman" w:hAnsi="Times New Roman" w:hint="eastAsia"/>
                <w:color w:val="000000"/>
                <w:sz w:val="15"/>
                <w:szCs w:val="15"/>
              </w:rPr>
              <w:t xml:space="preserve"> et al. 2016</w:t>
            </w:r>
          </w:p>
        </w:tc>
      </w:tr>
      <w:tr w:rsidR="00DE6E01">
        <w:trPr>
          <w:trHeight w:val="286"/>
        </w:trPr>
        <w:tc>
          <w:tcPr>
            <w:tcW w:w="95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SRP027378</w:t>
            </w:r>
          </w:p>
        </w:tc>
        <w:tc>
          <w:tcPr>
            <w:tcW w:w="737"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8</w:t>
            </w:r>
          </w:p>
        </w:tc>
        <w:tc>
          <w:tcPr>
            <w:tcW w:w="700"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w:t>
            </w:r>
          </w:p>
        </w:tc>
        <w:tc>
          <w:tcPr>
            <w:tcW w:w="900" w:type="dxa"/>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272</w:t>
            </w:r>
          </w:p>
        </w:tc>
        <w:tc>
          <w:tcPr>
            <w:tcW w:w="2788" w:type="dxa"/>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endometrium</w:t>
            </w:r>
          </w:p>
        </w:tc>
        <w:tc>
          <w:tcPr>
            <w:tcW w:w="1896" w:type="dxa"/>
            <w:shd w:val="clear" w:color="auto" w:fill="auto"/>
            <w:vAlign w:val="center"/>
          </w:tcPr>
          <w:p w:rsidR="00DE6E01" w:rsidRDefault="002D0AB1">
            <w:pPr>
              <w:rPr>
                <w:rFonts w:ascii="Times New Roman" w:hAnsi="Times New Roman"/>
                <w:color w:val="000000"/>
                <w:sz w:val="15"/>
                <w:szCs w:val="15"/>
              </w:rPr>
            </w:pPr>
            <w:proofErr w:type="spellStart"/>
            <w:r>
              <w:rPr>
                <w:rFonts w:ascii="Times New Roman" w:hAnsi="Times New Roman" w:hint="eastAsia"/>
                <w:color w:val="000000"/>
                <w:sz w:val="15"/>
                <w:szCs w:val="15"/>
              </w:rPr>
              <w:t>Samborski</w:t>
            </w:r>
            <w:proofErr w:type="spellEnd"/>
            <w:r>
              <w:rPr>
                <w:rFonts w:ascii="Times New Roman" w:hAnsi="Times New Roman" w:hint="eastAsia"/>
                <w:color w:val="000000"/>
                <w:sz w:val="15"/>
                <w:szCs w:val="15"/>
              </w:rPr>
              <w:t xml:space="preserve"> et al. 2013</w:t>
            </w:r>
          </w:p>
        </w:tc>
      </w:tr>
      <w:tr w:rsidR="00DE6E01">
        <w:trPr>
          <w:trHeight w:val="286"/>
        </w:trPr>
        <w:tc>
          <w:tcPr>
            <w:tcW w:w="957" w:type="dxa"/>
            <w:tcBorders>
              <w:bottom w:val="single" w:sz="12"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ERP002055</w:t>
            </w:r>
          </w:p>
        </w:tc>
        <w:tc>
          <w:tcPr>
            <w:tcW w:w="737" w:type="dxa"/>
            <w:tcBorders>
              <w:bottom w:val="single" w:sz="12"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20</w:t>
            </w:r>
          </w:p>
        </w:tc>
        <w:tc>
          <w:tcPr>
            <w:tcW w:w="700" w:type="dxa"/>
            <w:tcBorders>
              <w:bottom w:val="single" w:sz="12"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10</w:t>
            </w:r>
          </w:p>
        </w:tc>
        <w:tc>
          <w:tcPr>
            <w:tcW w:w="900" w:type="dxa"/>
            <w:tcBorders>
              <w:bottom w:val="single" w:sz="12" w:space="0" w:color="auto"/>
            </w:tcBorders>
            <w:shd w:val="clear" w:color="auto" w:fill="auto"/>
            <w:vAlign w:val="center"/>
          </w:tcPr>
          <w:p w:rsidR="00DE6E01" w:rsidRDefault="002D0AB1">
            <w:pPr>
              <w:rPr>
                <w:rFonts w:ascii="Times New Roman" w:hAnsi="Times New Roman"/>
                <w:color w:val="000000"/>
                <w:sz w:val="15"/>
                <w:szCs w:val="15"/>
              </w:rPr>
            </w:pPr>
            <w:r>
              <w:rPr>
                <w:rFonts w:ascii="Times New Roman" w:hAnsi="Times New Roman"/>
                <w:color w:val="000000"/>
                <w:kern w:val="0"/>
                <w:sz w:val="15"/>
                <w:szCs w:val="15"/>
                <w:lang w:bidi="ar"/>
              </w:rPr>
              <w:t>223</w:t>
            </w:r>
          </w:p>
        </w:tc>
        <w:tc>
          <w:tcPr>
            <w:tcW w:w="2788" w:type="dxa"/>
            <w:tcBorders>
              <w:bottom w:val="single" w:sz="12" w:space="0" w:color="auto"/>
            </w:tcBorders>
            <w:shd w:val="clear" w:color="auto" w:fill="auto"/>
            <w:vAlign w:val="center"/>
          </w:tcPr>
          <w:p w:rsidR="00DE6E01" w:rsidRDefault="002D0AB1">
            <w:pPr>
              <w:widowControl/>
              <w:jc w:val="left"/>
              <w:textAlignment w:val="center"/>
              <w:rPr>
                <w:rFonts w:ascii="Times New Roman" w:hAnsi="Times New Roman"/>
                <w:color w:val="000000"/>
                <w:sz w:val="15"/>
                <w:szCs w:val="15"/>
              </w:rPr>
            </w:pPr>
            <w:r>
              <w:rPr>
                <w:rFonts w:ascii="Times New Roman" w:hAnsi="Times New Roman"/>
                <w:color w:val="000000"/>
                <w:kern w:val="0"/>
                <w:sz w:val="15"/>
                <w:szCs w:val="15"/>
                <w:lang w:bidi="ar"/>
              </w:rPr>
              <w:t xml:space="preserve">heart, spleen, liver, kidney, lung, musculus longissimus dorsi, occipital cortex, hypothalamus, frontal cortex, </w:t>
            </w:r>
            <w:r>
              <w:rPr>
                <w:rFonts w:ascii="Times New Roman" w:hAnsi="Times New Roman"/>
                <w:color w:val="000000"/>
                <w:kern w:val="0"/>
                <w:sz w:val="15"/>
                <w:szCs w:val="15"/>
                <w:lang w:bidi="ar"/>
              </w:rPr>
              <w:t>cerebellum</w:t>
            </w:r>
          </w:p>
        </w:tc>
        <w:tc>
          <w:tcPr>
            <w:tcW w:w="1896" w:type="dxa"/>
            <w:tcBorders>
              <w:bottom w:val="single" w:sz="12" w:space="0" w:color="auto"/>
            </w:tcBorders>
            <w:shd w:val="clear" w:color="auto" w:fill="auto"/>
            <w:vAlign w:val="center"/>
          </w:tcPr>
          <w:p w:rsidR="00DE6E01" w:rsidRDefault="002D0AB1">
            <w:pPr>
              <w:rPr>
                <w:rFonts w:ascii="Times New Roman" w:hAnsi="Times New Roman"/>
                <w:color w:val="000000"/>
                <w:sz w:val="15"/>
                <w:szCs w:val="15"/>
              </w:rPr>
            </w:pPr>
            <w:proofErr w:type="spellStart"/>
            <w:r>
              <w:rPr>
                <w:rFonts w:ascii="Times New Roman" w:hAnsi="Times New Roman" w:hint="eastAsia"/>
                <w:color w:val="000000"/>
                <w:sz w:val="15"/>
                <w:szCs w:val="15"/>
              </w:rPr>
              <w:t>Farajzadeh</w:t>
            </w:r>
            <w:proofErr w:type="spellEnd"/>
            <w:r>
              <w:rPr>
                <w:rFonts w:ascii="Times New Roman" w:hAnsi="Times New Roman" w:hint="eastAsia"/>
                <w:color w:val="000000"/>
                <w:sz w:val="15"/>
                <w:szCs w:val="15"/>
              </w:rPr>
              <w:t xml:space="preserve"> et al. 2013</w:t>
            </w:r>
          </w:p>
        </w:tc>
      </w:tr>
    </w:tbl>
    <w:p w:rsidR="00DE6E01" w:rsidRDefault="00DE6E01"/>
    <w:p w:rsidR="002D0AB1" w:rsidRPr="002D0AB1" w:rsidRDefault="002D0AB1" w:rsidP="002D0AB1">
      <w:pPr>
        <w:widowControl/>
        <w:jc w:val="left"/>
        <w:textAlignment w:val="center"/>
        <w:rPr>
          <w:rFonts w:ascii="Times New Roman" w:hAnsi="Times New Roman"/>
          <w:color w:val="000000"/>
          <w:kern w:val="0"/>
          <w:sz w:val="15"/>
          <w:szCs w:val="15"/>
          <w:lang w:bidi="ar"/>
        </w:rPr>
      </w:pPr>
      <w:proofErr w:type="spellStart"/>
      <w:r w:rsidRPr="002D0AB1">
        <w:rPr>
          <w:rFonts w:ascii="Times New Roman" w:hAnsi="Times New Roman"/>
          <w:color w:val="000000"/>
          <w:kern w:val="0"/>
          <w:sz w:val="15"/>
          <w:szCs w:val="15"/>
          <w:lang w:bidi="ar"/>
        </w:rPr>
        <w:t>Endale</w:t>
      </w:r>
      <w:proofErr w:type="spellEnd"/>
      <w:r w:rsidRPr="002D0AB1">
        <w:rPr>
          <w:rFonts w:ascii="Times New Roman" w:hAnsi="Times New Roman"/>
          <w:color w:val="000000"/>
          <w:kern w:val="0"/>
          <w:sz w:val="15"/>
          <w:szCs w:val="15"/>
          <w:lang w:bidi="ar"/>
        </w:rPr>
        <w:t xml:space="preserve"> </w:t>
      </w:r>
      <w:proofErr w:type="spellStart"/>
      <w:r w:rsidRPr="002D0AB1">
        <w:rPr>
          <w:rFonts w:ascii="Times New Roman" w:hAnsi="Times New Roman"/>
          <w:color w:val="000000"/>
          <w:kern w:val="0"/>
          <w:sz w:val="15"/>
          <w:szCs w:val="15"/>
          <w:lang w:bidi="ar"/>
        </w:rPr>
        <w:t>Ahanda</w:t>
      </w:r>
      <w:proofErr w:type="spellEnd"/>
      <w:r w:rsidRPr="002D0AB1">
        <w:rPr>
          <w:rFonts w:ascii="Times New Roman" w:hAnsi="Times New Roman"/>
          <w:color w:val="000000"/>
          <w:kern w:val="0"/>
          <w:sz w:val="15"/>
          <w:szCs w:val="15"/>
          <w:lang w:bidi="ar"/>
        </w:rPr>
        <w:t xml:space="preserve"> ML, Fritz ER, Estelle J, Hu ZL, Madsen O, </w:t>
      </w:r>
      <w:proofErr w:type="spellStart"/>
      <w:r w:rsidRPr="002D0AB1">
        <w:rPr>
          <w:rFonts w:ascii="Times New Roman" w:hAnsi="Times New Roman"/>
          <w:color w:val="000000"/>
          <w:kern w:val="0"/>
          <w:sz w:val="15"/>
          <w:szCs w:val="15"/>
          <w:lang w:bidi="ar"/>
        </w:rPr>
        <w:t>Groenen</w:t>
      </w:r>
      <w:proofErr w:type="spellEnd"/>
      <w:r w:rsidRPr="002D0AB1">
        <w:rPr>
          <w:rFonts w:ascii="Times New Roman" w:hAnsi="Times New Roman"/>
          <w:color w:val="000000"/>
          <w:kern w:val="0"/>
          <w:sz w:val="15"/>
          <w:szCs w:val="15"/>
          <w:lang w:bidi="ar"/>
        </w:rPr>
        <w:t xml:space="preserve"> MA, </w:t>
      </w:r>
      <w:proofErr w:type="spellStart"/>
      <w:r w:rsidRPr="002D0AB1">
        <w:rPr>
          <w:rFonts w:ascii="Times New Roman" w:hAnsi="Times New Roman"/>
          <w:color w:val="000000"/>
          <w:kern w:val="0"/>
          <w:sz w:val="15"/>
          <w:szCs w:val="15"/>
          <w:lang w:bidi="ar"/>
        </w:rPr>
        <w:t>Beraldi</w:t>
      </w:r>
      <w:proofErr w:type="spellEnd"/>
      <w:r w:rsidRPr="002D0AB1">
        <w:rPr>
          <w:rFonts w:ascii="Times New Roman" w:hAnsi="Times New Roman"/>
          <w:color w:val="000000"/>
          <w:kern w:val="0"/>
          <w:sz w:val="15"/>
          <w:szCs w:val="15"/>
          <w:lang w:bidi="ar"/>
        </w:rPr>
        <w:t xml:space="preserve"> D, </w:t>
      </w:r>
      <w:proofErr w:type="spellStart"/>
      <w:r w:rsidRPr="002D0AB1">
        <w:rPr>
          <w:rFonts w:ascii="Times New Roman" w:hAnsi="Times New Roman"/>
          <w:color w:val="000000"/>
          <w:kern w:val="0"/>
          <w:sz w:val="15"/>
          <w:szCs w:val="15"/>
          <w:lang w:bidi="ar"/>
        </w:rPr>
        <w:t>Kapetanovic</w:t>
      </w:r>
      <w:proofErr w:type="spellEnd"/>
      <w:r w:rsidRPr="002D0AB1">
        <w:rPr>
          <w:rFonts w:ascii="Times New Roman" w:hAnsi="Times New Roman"/>
          <w:color w:val="000000"/>
          <w:kern w:val="0"/>
          <w:sz w:val="15"/>
          <w:szCs w:val="15"/>
          <w:lang w:bidi="ar"/>
        </w:rPr>
        <w:t xml:space="preserve"> R, Hume DA, Rowland RR, </w:t>
      </w:r>
      <w:proofErr w:type="spellStart"/>
      <w:r w:rsidRPr="002D0AB1">
        <w:rPr>
          <w:rFonts w:ascii="Times New Roman" w:hAnsi="Times New Roman"/>
          <w:color w:val="000000"/>
          <w:kern w:val="0"/>
          <w:sz w:val="15"/>
          <w:szCs w:val="15"/>
          <w:lang w:bidi="ar"/>
        </w:rPr>
        <w:t>Lunney</w:t>
      </w:r>
      <w:proofErr w:type="spellEnd"/>
      <w:r w:rsidRPr="002D0AB1">
        <w:rPr>
          <w:rFonts w:ascii="Times New Roman" w:hAnsi="Times New Roman"/>
          <w:color w:val="000000"/>
          <w:kern w:val="0"/>
          <w:sz w:val="15"/>
          <w:szCs w:val="15"/>
          <w:lang w:bidi="ar"/>
        </w:rPr>
        <w:t xml:space="preserve"> JK, </w:t>
      </w:r>
      <w:proofErr w:type="spellStart"/>
      <w:r w:rsidRPr="002D0AB1">
        <w:rPr>
          <w:rFonts w:ascii="Times New Roman" w:hAnsi="Times New Roman"/>
          <w:color w:val="000000"/>
          <w:kern w:val="0"/>
          <w:sz w:val="15"/>
          <w:szCs w:val="15"/>
          <w:lang w:bidi="ar"/>
        </w:rPr>
        <w:t>Rogel</w:t>
      </w:r>
      <w:proofErr w:type="spellEnd"/>
      <w:r w:rsidRPr="002D0AB1">
        <w:rPr>
          <w:rFonts w:ascii="Times New Roman" w:hAnsi="Times New Roman"/>
          <w:color w:val="000000"/>
          <w:kern w:val="0"/>
          <w:sz w:val="15"/>
          <w:szCs w:val="15"/>
          <w:lang w:bidi="ar"/>
        </w:rPr>
        <w:t xml:space="preserve">-Gaillard C, </w:t>
      </w:r>
      <w:proofErr w:type="spellStart"/>
      <w:r w:rsidRPr="002D0AB1">
        <w:rPr>
          <w:rFonts w:ascii="Times New Roman" w:hAnsi="Times New Roman"/>
          <w:color w:val="000000"/>
          <w:kern w:val="0"/>
          <w:sz w:val="15"/>
          <w:szCs w:val="15"/>
          <w:lang w:bidi="ar"/>
        </w:rPr>
        <w:t>Reecy</w:t>
      </w:r>
      <w:proofErr w:type="spellEnd"/>
      <w:r w:rsidRPr="002D0AB1">
        <w:rPr>
          <w:rFonts w:ascii="Times New Roman" w:hAnsi="Times New Roman"/>
          <w:color w:val="000000"/>
          <w:kern w:val="0"/>
          <w:sz w:val="15"/>
          <w:szCs w:val="15"/>
          <w:lang w:bidi="ar"/>
        </w:rPr>
        <w:t xml:space="preserve"> JM, </w:t>
      </w:r>
      <w:proofErr w:type="spellStart"/>
      <w:r w:rsidRPr="002D0AB1">
        <w:rPr>
          <w:rFonts w:ascii="Times New Roman" w:hAnsi="Times New Roman"/>
          <w:color w:val="000000"/>
          <w:kern w:val="0"/>
          <w:sz w:val="15"/>
          <w:szCs w:val="15"/>
          <w:lang w:bidi="ar"/>
        </w:rPr>
        <w:t>Giuffra</w:t>
      </w:r>
      <w:proofErr w:type="spellEnd"/>
      <w:r w:rsidRPr="002D0AB1">
        <w:rPr>
          <w:rFonts w:ascii="Times New Roman" w:hAnsi="Times New Roman"/>
          <w:color w:val="000000"/>
          <w:kern w:val="0"/>
          <w:sz w:val="15"/>
          <w:szCs w:val="15"/>
          <w:lang w:bidi="ar"/>
        </w:rPr>
        <w:t xml:space="preserve"> E. 2012. Prediction of altered 3'-UTR miRNA-binding sites from </w:t>
      </w:r>
      <w:proofErr w:type="spellStart"/>
      <w:r w:rsidRPr="002D0AB1">
        <w:rPr>
          <w:rFonts w:ascii="Times New Roman" w:hAnsi="Times New Roman"/>
          <w:color w:val="000000"/>
          <w:kern w:val="0"/>
          <w:sz w:val="15"/>
          <w:szCs w:val="15"/>
          <w:lang w:bidi="ar"/>
        </w:rPr>
        <w:t>RNAseq</w:t>
      </w:r>
      <w:proofErr w:type="spellEnd"/>
      <w:r w:rsidRPr="002D0AB1">
        <w:rPr>
          <w:rFonts w:ascii="Times New Roman" w:hAnsi="Times New Roman"/>
          <w:color w:val="000000"/>
          <w:kern w:val="0"/>
          <w:sz w:val="15"/>
          <w:szCs w:val="15"/>
          <w:lang w:bidi="ar"/>
        </w:rPr>
        <w:t xml:space="preserve"> data: the swine leukocyte antigen complex (SLA) as a model region. PLOS ONE 7(11):e48607 DOI 10.1371/journal.pone.0048607.</w:t>
      </w:r>
    </w:p>
    <w:p w:rsidR="002D0AB1" w:rsidRPr="002D0AB1" w:rsidRDefault="002D0AB1" w:rsidP="002D0AB1">
      <w:pPr>
        <w:widowControl/>
        <w:jc w:val="left"/>
        <w:textAlignment w:val="center"/>
        <w:rPr>
          <w:rFonts w:ascii="Times New Roman" w:hAnsi="Times New Roman"/>
          <w:color w:val="000000"/>
          <w:kern w:val="0"/>
          <w:sz w:val="15"/>
          <w:szCs w:val="15"/>
          <w:lang w:bidi="ar"/>
        </w:rPr>
      </w:pPr>
      <w:proofErr w:type="spellStart"/>
      <w:r w:rsidRPr="002D0AB1">
        <w:rPr>
          <w:rFonts w:ascii="Times New Roman" w:hAnsi="Times New Roman"/>
          <w:color w:val="000000"/>
          <w:kern w:val="0"/>
          <w:sz w:val="15"/>
          <w:szCs w:val="15"/>
          <w:lang w:bidi="ar"/>
        </w:rPr>
        <w:t>Esteve-Codina</w:t>
      </w:r>
      <w:proofErr w:type="spellEnd"/>
      <w:r w:rsidRPr="002D0AB1">
        <w:rPr>
          <w:rFonts w:ascii="Times New Roman" w:hAnsi="Times New Roman"/>
          <w:color w:val="000000"/>
          <w:kern w:val="0"/>
          <w:sz w:val="15"/>
          <w:szCs w:val="15"/>
          <w:lang w:bidi="ar"/>
        </w:rPr>
        <w:t xml:space="preserve"> A, </w:t>
      </w:r>
      <w:proofErr w:type="spellStart"/>
      <w:r w:rsidRPr="002D0AB1">
        <w:rPr>
          <w:rFonts w:ascii="Times New Roman" w:hAnsi="Times New Roman"/>
          <w:color w:val="000000"/>
          <w:kern w:val="0"/>
          <w:sz w:val="15"/>
          <w:szCs w:val="15"/>
          <w:lang w:bidi="ar"/>
        </w:rPr>
        <w:t>Kofler</w:t>
      </w:r>
      <w:proofErr w:type="spellEnd"/>
      <w:r w:rsidRPr="002D0AB1">
        <w:rPr>
          <w:rFonts w:ascii="Times New Roman" w:hAnsi="Times New Roman"/>
          <w:color w:val="000000"/>
          <w:kern w:val="0"/>
          <w:sz w:val="15"/>
          <w:szCs w:val="15"/>
          <w:lang w:bidi="ar"/>
        </w:rPr>
        <w:t xml:space="preserve"> R, Palmieri N, </w:t>
      </w:r>
      <w:proofErr w:type="spellStart"/>
      <w:r w:rsidRPr="002D0AB1">
        <w:rPr>
          <w:rFonts w:ascii="Times New Roman" w:hAnsi="Times New Roman"/>
          <w:color w:val="000000"/>
          <w:kern w:val="0"/>
          <w:sz w:val="15"/>
          <w:szCs w:val="15"/>
          <w:lang w:bidi="ar"/>
        </w:rPr>
        <w:t>Bussotti</w:t>
      </w:r>
      <w:proofErr w:type="spellEnd"/>
      <w:r w:rsidRPr="002D0AB1">
        <w:rPr>
          <w:rFonts w:ascii="Times New Roman" w:hAnsi="Times New Roman"/>
          <w:color w:val="000000"/>
          <w:kern w:val="0"/>
          <w:sz w:val="15"/>
          <w:szCs w:val="15"/>
          <w:lang w:bidi="ar"/>
        </w:rPr>
        <w:t xml:space="preserve"> G, </w:t>
      </w:r>
      <w:proofErr w:type="spellStart"/>
      <w:r w:rsidRPr="002D0AB1">
        <w:rPr>
          <w:rFonts w:ascii="Times New Roman" w:hAnsi="Times New Roman"/>
          <w:color w:val="000000"/>
          <w:kern w:val="0"/>
          <w:sz w:val="15"/>
          <w:szCs w:val="15"/>
          <w:lang w:bidi="ar"/>
        </w:rPr>
        <w:t>Notredame</w:t>
      </w:r>
      <w:proofErr w:type="spellEnd"/>
      <w:r w:rsidRPr="002D0AB1">
        <w:rPr>
          <w:rFonts w:ascii="Times New Roman" w:hAnsi="Times New Roman"/>
          <w:color w:val="000000"/>
          <w:kern w:val="0"/>
          <w:sz w:val="15"/>
          <w:szCs w:val="15"/>
          <w:lang w:bidi="ar"/>
        </w:rPr>
        <w:t xml:space="preserve"> C, Perez-</w:t>
      </w:r>
      <w:proofErr w:type="spellStart"/>
      <w:r w:rsidRPr="002D0AB1">
        <w:rPr>
          <w:rFonts w:ascii="Times New Roman" w:hAnsi="Times New Roman"/>
          <w:color w:val="000000"/>
          <w:kern w:val="0"/>
          <w:sz w:val="15"/>
          <w:szCs w:val="15"/>
          <w:lang w:bidi="ar"/>
        </w:rPr>
        <w:t>Enciso</w:t>
      </w:r>
      <w:proofErr w:type="spellEnd"/>
      <w:r w:rsidRPr="002D0AB1">
        <w:rPr>
          <w:rFonts w:ascii="Times New Roman" w:hAnsi="Times New Roman"/>
          <w:color w:val="000000"/>
          <w:kern w:val="0"/>
          <w:sz w:val="15"/>
          <w:szCs w:val="15"/>
          <w:lang w:bidi="ar"/>
        </w:rPr>
        <w:t xml:space="preserve"> M. 2011. Exploring the gonad transcriptome of two extreme male pigs with RNA-seq. BMC Genomics 12:552 DOI 10.1186/1471-2164-12-552.</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 xml:space="preserve">Jiang S, Wei H, Song T, Yang Y, Peng J, Jiang S. 2013. Transcriptome comparison between porcine subcutaneous and intramuscular stromal vascular cells during </w:t>
      </w:r>
      <w:proofErr w:type="spellStart"/>
      <w:r w:rsidRPr="002D0AB1">
        <w:rPr>
          <w:rFonts w:ascii="Times New Roman" w:hAnsi="Times New Roman"/>
          <w:color w:val="000000"/>
          <w:kern w:val="0"/>
          <w:sz w:val="15"/>
          <w:szCs w:val="15"/>
          <w:lang w:bidi="ar"/>
        </w:rPr>
        <w:t>adipogenic</w:t>
      </w:r>
      <w:proofErr w:type="spellEnd"/>
      <w:r w:rsidRPr="002D0AB1">
        <w:rPr>
          <w:rFonts w:ascii="Times New Roman" w:hAnsi="Times New Roman"/>
          <w:color w:val="000000"/>
          <w:kern w:val="0"/>
          <w:sz w:val="15"/>
          <w:szCs w:val="15"/>
          <w:lang w:bidi="ar"/>
        </w:rPr>
        <w:t xml:space="preserve"> differentiation. PLOS ONE 8(10):e77094 DOI 10.1371/journal.pone.0077094.</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 xml:space="preserve">Li M, Tian S, </w:t>
      </w:r>
      <w:proofErr w:type="spellStart"/>
      <w:r w:rsidRPr="002D0AB1">
        <w:rPr>
          <w:rFonts w:ascii="Times New Roman" w:hAnsi="Times New Roman"/>
          <w:color w:val="000000"/>
          <w:kern w:val="0"/>
          <w:sz w:val="15"/>
          <w:szCs w:val="15"/>
          <w:lang w:bidi="ar"/>
        </w:rPr>
        <w:t>Jin</w:t>
      </w:r>
      <w:proofErr w:type="spellEnd"/>
      <w:r w:rsidRPr="002D0AB1">
        <w:rPr>
          <w:rFonts w:ascii="Times New Roman" w:hAnsi="Times New Roman"/>
          <w:color w:val="000000"/>
          <w:kern w:val="0"/>
          <w:sz w:val="15"/>
          <w:szCs w:val="15"/>
          <w:lang w:bidi="ar"/>
        </w:rPr>
        <w:t xml:space="preserve"> L, Zhou G, Li Y, Zhang Y, Wang T, Yeung CKL, Chen L, Ma J. Zhang J, Jiang A, Li J, Zhou C, Zhang J, Liu Y, Sun X, Zhao H, </w:t>
      </w:r>
      <w:proofErr w:type="spellStart"/>
      <w:r w:rsidRPr="002D0AB1">
        <w:rPr>
          <w:rFonts w:ascii="Times New Roman" w:hAnsi="Times New Roman"/>
          <w:color w:val="000000"/>
          <w:kern w:val="0"/>
          <w:sz w:val="15"/>
          <w:szCs w:val="15"/>
          <w:lang w:bidi="ar"/>
        </w:rPr>
        <w:t>Niu</w:t>
      </w:r>
      <w:proofErr w:type="spellEnd"/>
      <w:r w:rsidRPr="002D0AB1">
        <w:rPr>
          <w:rFonts w:ascii="Times New Roman" w:hAnsi="Times New Roman"/>
          <w:color w:val="000000"/>
          <w:kern w:val="0"/>
          <w:sz w:val="15"/>
          <w:szCs w:val="15"/>
          <w:lang w:bidi="ar"/>
        </w:rPr>
        <w:t xml:space="preserve"> Z, Lou P, Xian L, Shen X, Liu S, Zhang S, Zhang M, Zhu L, Shuai S, Bai L, Tang G, Liu H, Jiang Y, Mai M, Xiao J, Zhou Q, Wang Z, </w:t>
      </w:r>
      <w:proofErr w:type="spellStart"/>
      <w:r w:rsidRPr="002D0AB1">
        <w:rPr>
          <w:rFonts w:ascii="Times New Roman" w:hAnsi="Times New Roman"/>
          <w:color w:val="000000"/>
          <w:kern w:val="0"/>
          <w:sz w:val="15"/>
          <w:szCs w:val="15"/>
          <w:lang w:bidi="ar"/>
        </w:rPr>
        <w:t>Stothard</w:t>
      </w:r>
      <w:proofErr w:type="spellEnd"/>
      <w:r w:rsidRPr="002D0AB1">
        <w:rPr>
          <w:rFonts w:ascii="Times New Roman" w:hAnsi="Times New Roman"/>
          <w:color w:val="000000"/>
          <w:kern w:val="0"/>
          <w:sz w:val="15"/>
          <w:szCs w:val="15"/>
          <w:lang w:bidi="ar"/>
        </w:rPr>
        <w:t xml:space="preserve"> P, </w:t>
      </w:r>
      <w:proofErr w:type="spellStart"/>
      <w:r w:rsidRPr="002D0AB1">
        <w:rPr>
          <w:rFonts w:ascii="Times New Roman" w:hAnsi="Times New Roman"/>
          <w:color w:val="000000"/>
          <w:kern w:val="0"/>
          <w:sz w:val="15"/>
          <w:szCs w:val="15"/>
          <w:lang w:bidi="ar"/>
        </w:rPr>
        <w:t>Xue</w:t>
      </w:r>
      <w:proofErr w:type="spellEnd"/>
      <w:r w:rsidRPr="002D0AB1">
        <w:rPr>
          <w:rFonts w:ascii="Times New Roman" w:hAnsi="Times New Roman"/>
          <w:color w:val="000000"/>
          <w:kern w:val="0"/>
          <w:sz w:val="15"/>
          <w:szCs w:val="15"/>
          <w:lang w:bidi="ar"/>
        </w:rPr>
        <w:t xml:space="preserve"> M, Gao X, Luo Z, Gu Y, Zhu H, Hu X, Zhao Y, </w:t>
      </w:r>
      <w:proofErr w:type="spellStart"/>
      <w:r w:rsidRPr="002D0AB1">
        <w:rPr>
          <w:rFonts w:ascii="Times New Roman" w:hAnsi="Times New Roman"/>
          <w:color w:val="000000"/>
          <w:kern w:val="0"/>
          <w:sz w:val="15"/>
          <w:szCs w:val="15"/>
          <w:lang w:bidi="ar"/>
        </w:rPr>
        <w:t>Plastow</w:t>
      </w:r>
      <w:proofErr w:type="spellEnd"/>
      <w:r w:rsidRPr="002D0AB1">
        <w:rPr>
          <w:rFonts w:ascii="Times New Roman" w:hAnsi="Times New Roman"/>
          <w:color w:val="000000"/>
          <w:kern w:val="0"/>
          <w:sz w:val="15"/>
          <w:szCs w:val="15"/>
          <w:lang w:bidi="ar"/>
        </w:rPr>
        <w:t xml:space="preserve"> GS, Wang J, Jiang Z, Li K, Li N, Li X, Li R. 2013. </w:t>
      </w:r>
      <w:r w:rsidRPr="002D0AB1">
        <w:rPr>
          <w:rFonts w:ascii="Times New Roman" w:hAnsi="Times New Roman"/>
          <w:color w:val="000000"/>
          <w:kern w:val="0"/>
          <w:sz w:val="15"/>
          <w:szCs w:val="15"/>
          <w:lang w:bidi="ar"/>
        </w:rPr>
        <w:lastRenderedPageBreak/>
        <w:t>Genomic analyses identify distinct patterns of selection in domesticated pigs and Tibetan wild boars. Nature Genetics 45(12):1431-1438 DOI 10.1038/ng.2811.</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 xml:space="preserve">Liu H, Nguyen YT, Nettleton D, </w:t>
      </w:r>
      <w:proofErr w:type="spellStart"/>
      <w:r w:rsidRPr="002D0AB1">
        <w:rPr>
          <w:rFonts w:ascii="Times New Roman" w:hAnsi="Times New Roman"/>
          <w:color w:val="000000"/>
          <w:kern w:val="0"/>
          <w:sz w:val="15"/>
          <w:szCs w:val="15"/>
          <w:lang w:bidi="ar"/>
        </w:rPr>
        <w:t>Dekkers</w:t>
      </w:r>
      <w:proofErr w:type="spellEnd"/>
      <w:r w:rsidRPr="002D0AB1">
        <w:rPr>
          <w:rFonts w:ascii="Times New Roman" w:hAnsi="Times New Roman"/>
          <w:color w:val="000000"/>
          <w:kern w:val="0"/>
          <w:sz w:val="15"/>
          <w:szCs w:val="15"/>
          <w:lang w:bidi="ar"/>
        </w:rPr>
        <w:t xml:space="preserve"> JC, Tuggle CK. 2016. Post-weaning blood transcriptomic differences between Yorkshire pigs divergently selected for residual feed intake. BMC Genomics 17:73 DOI 10.1186/s12864-016-2395-x.</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Martinez-Montes AM, Fernández A, Pérez-</w:t>
      </w:r>
      <w:proofErr w:type="spellStart"/>
      <w:r w:rsidRPr="002D0AB1">
        <w:rPr>
          <w:rFonts w:ascii="Times New Roman" w:hAnsi="Times New Roman"/>
          <w:color w:val="000000"/>
          <w:kern w:val="0"/>
          <w:sz w:val="15"/>
          <w:szCs w:val="15"/>
          <w:lang w:bidi="ar"/>
        </w:rPr>
        <w:t>Montarelo</w:t>
      </w:r>
      <w:proofErr w:type="spellEnd"/>
      <w:r w:rsidRPr="002D0AB1">
        <w:rPr>
          <w:rFonts w:ascii="Times New Roman" w:hAnsi="Times New Roman"/>
          <w:color w:val="000000"/>
          <w:kern w:val="0"/>
          <w:sz w:val="15"/>
          <w:szCs w:val="15"/>
          <w:lang w:bidi="ar"/>
        </w:rPr>
        <w:t xml:space="preserve"> D, Alves E, Benitez RM, </w:t>
      </w:r>
      <w:proofErr w:type="spellStart"/>
      <w:r w:rsidRPr="002D0AB1">
        <w:rPr>
          <w:rFonts w:ascii="Times New Roman" w:hAnsi="Times New Roman"/>
          <w:color w:val="000000"/>
          <w:kern w:val="0"/>
          <w:sz w:val="15"/>
          <w:szCs w:val="15"/>
          <w:lang w:bidi="ar"/>
        </w:rPr>
        <w:t>Nuñez</w:t>
      </w:r>
      <w:proofErr w:type="spellEnd"/>
      <w:r w:rsidRPr="002D0AB1">
        <w:rPr>
          <w:rFonts w:ascii="Times New Roman" w:hAnsi="Times New Roman"/>
          <w:color w:val="000000"/>
          <w:kern w:val="0"/>
          <w:sz w:val="15"/>
          <w:szCs w:val="15"/>
          <w:lang w:bidi="ar"/>
        </w:rPr>
        <w:t xml:space="preserve"> Y, </w:t>
      </w:r>
      <w:proofErr w:type="spellStart"/>
      <w:r w:rsidRPr="002D0AB1">
        <w:rPr>
          <w:rFonts w:ascii="Times New Roman" w:hAnsi="Times New Roman"/>
          <w:color w:val="000000"/>
          <w:kern w:val="0"/>
          <w:sz w:val="15"/>
          <w:szCs w:val="15"/>
          <w:lang w:bidi="ar"/>
        </w:rPr>
        <w:t>Óvilo</w:t>
      </w:r>
      <w:proofErr w:type="spellEnd"/>
      <w:r w:rsidRPr="002D0AB1">
        <w:rPr>
          <w:rFonts w:ascii="Times New Roman" w:hAnsi="Times New Roman"/>
          <w:color w:val="000000"/>
          <w:kern w:val="0"/>
          <w:sz w:val="15"/>
          <w:szCs w:val="15"/>
          <w:lang w:bidi="ar"/>
        </w:rPr>
        <w:t xml:space="preserve"> C, </w:t>
      </w:r>
      <w:proofErr w:type="spellStart"/>
      <w:r w:rsidRPr="002D0AB1">
        <w:rPr>
          <w:rFonts w:ascii="Times New Roman" w:hAnsi="Times New Roman"/>
          <w:color w:val="000000"/>
          <w:kern w:val="0"/>
          <w:sz w:val="15"/>
          <w:szCs w:val="15"/>
          <w:lang w:bidi="ar"/>
        </w:rPr>
        <w:t>Ibañez</w:t>
      </w:r>
      <w:proofErr w:type="spellEnd"/>
      <w:r w:rsidRPr="002D0AB1">
        <w:rPr>
          <w:rFonts w:ascii="Times New Roman" w:hAnsi="Times New Roman"/>
          <w:color w:val="000000"/>
          <w:kern w:val="0"/>
          <w:sz w:val="15"/>
          <w:szCs w:val="15"/>
          <w:lang w:bidi="ar"/>
        </w:rPr>
        <w:t xml:space="preserve"> </w:t>
      </w:r>
      <w:proofErr w:type="spellStart"/>
      <w:r w:rsidRPr="002D0AB1">
        <w:rPr>
          <w:rFonts w:ascii="Times New Roman" w:hAnsi="Times New Roman"/>
          <w:color w:val="000000"/>
          <w:kern w:val="0"/>
          <w:sz w:val="15"/>
          <w:szCs w:val="15"/>
          <w:lang w:bidi="ar"/>
        </w:rPr>
        <w:t>Escriche</w:t>
      </w:r>
      <w:proofErr w:type="spellEnd"/>
      <w:r w:rsidRPr="002D0AB1">
        <w:rPr>
          <w:rFonts w:ascii="Times New Roman" w:hAnsi="Times New Roman"/>
          <w:color w:val="000000"/>
          <w:kern w:val="0"/>
          <w:sz w:val="15"/>
          <w:szCs w:val="15"/>
          <w:lang w:bidi="ar"/>
        </w:rPr>
        <w:t xml:space="preserve"> N, </w:t>
      </w:r>
      <w:proofErr w:type="spellStart"/>
      <w:r w:rsidRPr="002D0AB1">
        <w:rPr>
          <w:rFonts w:ascii="Times New Roman" w:hAnsi="Times New Roman"/>
          <w:color w:val="000000"/>
          <w:kern w:val="0"/>
          <w:sz w:val="15"/>
          <w:szCs w:val="15"/>
          <w:lang w:bidi="ar"/>
        </w:rPr>
        <w:t>Folch</w:t>
      </w:r>
      <w:proofErr w:type="spellEnd"/>
      <w:r w:rsidRPr="002D0AB1">
        <w:rPr>
          <w:rFonts w:ascii="Times New Roman" w:hAnsi="Times New Roman"/>
          <w:color w:val="000000"/>
          <w:kern w:val="0"/>
          <w:sz w:val="15"/>
          <w:szCs w:val="15"/>
          <w:lang w:bidi="ar"/>
        </w:rPr>
        <w:t xml:space="preserve"> JM, Fernández AI. 2016. Using RNA-seq SNP data to reveal potential causal mutations related to pig production traits and RNA editing. Animal Genetics 48(2):151-165 DOI 10.1111/age.12507.</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 xml:space="preserve">Miller LC, Bayles DO, </w:t>
      </w:r>
      <w:proofErr w:type="spellStart"/>
      <w:r w:rsidRPr="002D0AB1">
        <w:rPr>
          <w:rFonts w:ascii="Times New Roman" w:hAnsi="Times New Roman"/>
          <w:color w:val="000000"/>
          <w:kern w:val="0"/>
          <w:sz w:val="15"/>
          <w:szCs w:val="15"/>
          <w:lang w:bidi="ar"/>
        </w:rPr>
        <w:t>Zanella</w:t>
      </w:r>
      <w:proofErr w:type="spellEnd"/>
      <w:r w:rsidRPr="002D0AB1">
        <w:rPr>
          <w:rFonts w:ascii="Times New Roman" w:hAnsi="Times New Roman"/>
          <w:color w:val="000000"/>
          <w:kern w:val="0"/>
          <w:sz w:val="15"/>
          <w:szCs w:val="15"/>
          <w:lang w:bidi="ar"/>
        </w:rPr>
        <w:t xml:space="preserve"> EL, Lager KM. 2016. Effects of pseudorabies virus infection on the tracheobronchial lymph node transcriptome. Bioinformatics and Biology Insights 9(Suppl 2):25-36 DOI 10.4137/BBI.S30522.</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Pérez-</w:t>
      </w:r>
      <w:proofErr w:type="spellStart"/>
      <w:r w:rsidRPr="002D0AB1">
        <w:rPr>
          <w:rFonts w:ascii="Times New Roman" w:hAnsi="Times New Roman"/>
          <w:color w:val="000000"/>
          <w:kern w:val="0"/>
          <w:sz w:val="15"/>
          <w:szCs w:val="15"/>
          <w:lang w:bidi="ar"/>
        </w:rPr>
        <w:t>Montarelo</w:t>
      </w:r>
      <w:proofErr w:type="spellEnd"/>
      <w:r w:rsidRPr="002D0AB1">
        <w:rPr>
          <w:rFonts w:ascii="Times New Roman" w:hAnsi="Times New Roman"/>
          <w:color w:val="000000"/>
          <w:kern w:val="0"/>
          <w:sz w:val="15"/>
          <w:szCs w:val="15"/>
          <w:lang w:bidi="ar"/>
        </w:rPr>
        <w:t xml:space="preserve"> D, Madsen O, Alves E, Rodriguez MC, </w:t>
      </w:r>
      <w:proofErr w:type="spellStart"/>
      <w:r w:rsidRPr="002D0AB1">
        <w:rPr>
          <w:rFonts w:ascii="Times New Roman" w:hAnsi="Times New Roman"/>
          <w:color w:val="000000"/>
          <w:kern w:val="0"/>
          <w:sz w:val="15"/>
          <w:szCs w:val="15"/>
          <w:lang w:bidi="ar"/>
        </w:rPr>
        <w:t>Folch</w:t>
      </w:r>
      <w:proofErr w:type="spellEnd"/>
      <w:r w:rsidRPr="002D0AB1">
        <w:rPr>
          <w:rFonts w:ascii="Times New Roman" w:hAnsi="Times New Roman"/>
          <w:color w:val="000000"/>
          <w:kern w:val="0"/>
          <w:sz w:val="15"/>
          <w:szCs w:val="15"/>
          <w:lang w:bidi="ar"/>
        </w:rPr>
        <w:t xml:space="preserve"> JM, </w:t>
      </w:r>
      <w:proofErr w:type="spellStart"/>
      <w:r w:rsidRPr="002D0AB1">
        <w:rPr>
          <w:rFonts w:ascii="Times New Roman" w:hAnsi="Times New Roman"/>
          <w:color w:val="000000"/>
          <w:kern w:val="0"/>
          <w:sz w:val="15"/>
          <w:szCs w:val="15"/>
          <w:lang w:bidi="ar"/>
        </w:rPr>
        <w:t>Noguera</w:t>
      </w:r>
      <w:proofErr w:type="spellEnd"/>
      <w:r w:rsidRPr="002D0AB1">
        <w:rPr>
          <w:rFonts w:ascii="Times New Roman" w:hAnsi="Times New Roman"/>
          <w:color w:val="000000"/>
          <w:kern w:val="0"/>
          <w:sz w:val="15"/>
          <w:szCs w:val="15"/>
          <w:lang w:bidi="ar"/>
        </w:rPr>
        <w:t xml:space="preserve"> JL, </w:t>
      </w:r>
      <w:proofErr w:type="spellStart"/>
      <w:r w:rsidRPr="002D0AB1">
        <w:rPr>
          <w:rFonts w:ascii="Times New Roman" w:hAnsi="Times New Roman"/>
          <w:color w:val="000000"/>
          <w:kern w:val="0"/>
          <w:sz w:val="15"/>
          <w:szCs w:val="15"/>
          <w:lang w:bidi="ar"/>
        </w:rPr>
        <w:t>Groenen</w:t>
      </w:r>
      <w:proofErr w:type="spellEnd"/>
      <w:r w:rsidRPr="002D0AB1">
        <w:rPr>
          <w:rFonts w:ascii="Times New Roman" w:hAnsi="Times New Roman"/>
          <w:color w:val="000000"/>
          <w:kern w:val="0"/>
          <w:sz w:val="15"/>
          <w:szCs w:val="15"/>
          <w:lang w:bidi="ar"/>
        </w:rPr>
        <w:t xml:space="preserve"> MA, Fernández AI. 2014. Identification of genes regulating growth and fatness traits in pig through hypothalamic transcriptome analysis. Physiological Genomics 46(6):195-206 DOI 10.1152/physiolgenomics.00151.2013.</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 xml:space="preserve">Rahman KM, Camp ME, Prasad N, </w:t>
      </w:r>
      <w:proofErr w:type="spellStart"/>
      <w:r w:rsidRPr="002D0AB1">
        <w:rPr>
          <w:rFonts w:ascii="Times New Roman" w:hAnsi="Times New Roman"/>
          <w:color w:val="000000"/>
          <w:kern w:val="0"/>
          <w:sz w:val="15"/>
          <w:szCs w:val="15"/>
          <w:lang w:bidi="ar"/>
        </w:rPr>
        <w:t>McNeel</w:t>
      </w:r>
      <w:proofErr w:type="spellEnd"/>
      <w:r w:rsidRPr="002D0AB1">
        <w:rPr>
          <w:rFonts w:ascii="Times New Roman" w:hAnsi="Times New Roman"/>
          <w:color w:val="000000"/>
          <w:kern w:val="0"/>
          <w:sz w:val="15"/>
          <w:szCs w:val="15"/>
          <w:lang w:bidi="ar"/>
        </w:rPr>
        <w:t xml:space="preserve"> AK, Levy SE, </w:t>
      </w:r>
      <w:proofErr w:type="spellStart"/>
      <w:r w:rsidRPr="002D0AB1">
        <w:rPr>
          <w:rFonts w:ascii="Times New Roman" w:hAnsi="Times New Roman"/>
          <w:color w:val="000000"/>
          <w:kern w:val="0"/>
          <w:sz w:val="15"/>
          <w:szCs w:val="15"/>
          <w:lang w:bidi="ar"/>
        </w:rPr>
        <w:t>Bartol</w:t>
      </w:r>
      <w:proofErr w:type="spellEnd"/>
      <w:r w:rsidRPr="002D0AB1">
        <w:rPr>
          <w:rFonts w:ascii="Times New Roman" w:hAnsi="Times New Roman"/>
          <w:color w:val="000000"/>
          <w:kern w:val="0"/>
          <w:sz w:val="15"/>
          <w:szCs w:val="15"/>
          <w:lang w:bidi="ar"/>
        </w:rPr>
        <w:t xml:space="preserve"> FF, </w:t>
      </w:r>
      <w:proofErr w:type="spellStart"/>
      <w:r w:rsidRPr="002D0AB1">
        <w:rPr>
          <w:rFonts w:ascii="Times New Roman" w:hAnsi="Times New Roman"/>
          <w:color w:val="000000"/>
          <w:kern w:val="0"/>
          <w:sz w:val="15"/>
          <w:szCs w:val="15"/>
          <w:lang w:bidi="ar"/>
        </w:rPr>
        <w:t>Bagnell</w:t>
      </w:r>
      <w:proofErr w:type="spellEnd"/>
      <w:r w:rsidRPr="002D0AB1">
        <w:rPr>
          <w:rFonts w:ascii="Times New Roman" w:hAnsi="Times New Roman"/>
          <w:color w:val="000000"/>
          <w:kern w:val="0"/>
          <w:sz w:val="15"/>
          <w:szCs w:val="15"/>
          <w:lang w:bidi="ar"/>
        </w:rPr>
        <w:t xml:space="preserve"> CA. 2016. Age and nursing affect the neonatal porcine uterine transcriptome. Biology of Reproduction 94(2):46 DOI 10.1095/biolreprod.115.136150.</w:t>
      </w:r>
    </w:p>
    <w:p w:rsidR="002D0AB1" w:rsidRPr="002D0AB1" w:rsidRDefault="002D0AB1" w:rsidP="002D0AB1">
      <w:pPr>
        <w:widowControl/>
        <w:jc w:val="left"/>
        <w:textAlignment w:val="center"/>
        <w:rPr>
          <w:rFonts w:ascii="Times New Roman" w:hAnsi="Times New Roman"/>
          <w:color w:val="000000"/>
          <w:kern w:val="0"/>
          <w:sz w:val="15"/>
          <w:szCs w:val="15"/>
          <w:lang w:bidi="ar"/>
        </w:rPr>
      </w:pPr>
      <w:proofErr w:type="spellStart"/>
      <w:r w:rsidRPr="002D0AB1">
        <w:rPr>
          <w:rFonts w:ascii="Times New Roman" w:hAnsi="Times New Roman"/>
          <w:color w:val="000000"/>
          <w:kern w:val="0"/>
          <w:sz w:val="15"/>
          <w:szCs w:val="15"/>
          <w:lang w:bidi="ar"/>
        </w:rPr>
        <w:t>Samborski</w:t>
      </w:r>
      <w:proofErr w:type="spellEnd"/>
      <w:r w:rsidRPr="002D0AB1">
        <w:rPr>
          <w:rFonts w:ascii="Times New Roman" w:hAnsi="Times New Roman"/>
          <w:color w:val="000000"/>
          <w:kern w:val="0"/>
          <w:sz w:val="15"/>
          <w:szCs w:val="15"/>
          <w:lang w:bidi="ar"/>
        </w:rPr>
        <w:t xml:space="preserve"> A, Graf A, Krebs S, Kessler B, </w:t>
      </w:r>
      <w:proofErr w:type="spellStart"/>
      <w:r w:rsidRPr="002D0AB1">
        <w:rPr>
          <w:rFonts w:ascii="Times New Roman" w:hAnsi="Times New Roman"/>
          <w:color w:val="000000"/>
          <w:kern w:val="0"/>
          <w:sz w:val="15"/>
          <w:szCs w:val="15"/>
          <w:lang w:bidi="ar"/>
        </w:rPr>
        <w:t>Bauersachs</w:t>
      </w:r>
      <w:proofErr w:type="spellEnd"/>
      <w:r w:rsidRPr="002D0AB1">
        <w:rPr>
          <w:rFonts w:ascii="Times New Roman" w:hAnsi="Times New Roman"/>
          <w:color w:val="000000"/>
          <w:kern w:val="0"/>
          <w:sz w:val="15"/>
          <w:szCs w:val="15"/>
          <w:lang w:bidi="ar"/>
        </w:rPr>
        <w:t xml:space="preserve"> S. 2013a. Deep sequencing of the porcine endometrial transcriptome on day 14 of pregnancy. Biology of Reproduction 88(4):84 DOI 10.1095/biolreprod.113.107870.</w:t>
      </w:r>
    </w:p>
    <w:p w:rsidR="002D0AB1" w:rsidRPr="002D0AB1" w:rsidRDefault="002D0AB1" w:rsidP="002D0AB1">
      <w:pPr>
        <w:widowControl/>
        <w:jc w:val="left"/>
        <w:textAlignment w:val="center"/>
        <w:rPr>
          <w:rFonts w:ascii="Times New Roman" w:hAnsi="Times New Roman"/>
          <w:color w:val="000000"/>
          <w:kern w:val="0"/>
          <w:sz w:val="15"/>
          <w:szCs w:val="15"/>
          <w:lang w:bidi="ar"/>
        </w:rPr>
      </w:pPr>
      <w:proofErr w:type="spellStart"/>
      <w:r w:rsidRPr="002D0AB1">
        <w:rPr>
          <w:rFonts w:ascii="Times New Roman" w:hAnsi="Times New Roman"/>
          <w:color w:val="000000"/>
          <w:kern w:val="0"/>
          <w:sz w:val="15"/>
          <w:szCs w:val="15"/>
          <w:lang w:bidi="ar"/>
        </w:rPr>
        <w:t>Samborski</w:t>
      </w:r>
      <w:proofErr w:type="spellEnd"/>
      <w:r w:rsidRPr="002D0AB1">
        <w:rPr>
          <w:rFonts w:ascii="Times New Roman" w:hAnsi="Times New Roman"/>
          <w:color w:val="000000"/>
          <w:kern w:val="0"/>
          <w:sz w:val="15"/>
          <w:szCs w:val="15"/>
          <w:lang w:bidi="ar"/>
        </w:rPr>
        <w:t xml:space="preserve"> A, Graf A, Krebs S, Kessler B, Reichenbach M, Reichenbach HD, </w:t>
      </w:r>
      <w:proofErr w:type="spellStart"/>
      <w:r w:rsidRPr="002D0AB1">
        <w:rPr>
          <w:rFonts w:ascii="Times New Roman" w:hAnsi="Times New Roman"/>
          <w:color w:val="000000"/>
          <w:kern w:val="0"/>
          <w:sz w:val="15"/>
          <w:szCs w:val="15"/>
          <w:lang w:bidi="ar"/>
        </w:rPr>
        <w:t>Ulbrich</w:t>
      </w:r>
      <w:proofErr w:type="spellEnd"/>
      <w:r w:rsidRPr="002D0AB1">
        <w:rPr>
          <w:rFonts w:ascii="Times New Roman" w:hAnsi="Times New Roman"/>
          <w:color w:val="000000"/>
          <w:kern w:val="0"/>
          <w:sz w:val="15"/>
          <w:szCs w:val="15"/>
          <w:lang w:bidi="ar"/>
        </w:rPr>
        <w:t xml:space="preserve"> SE, </w:t>
      </w:r>
      <w:proofErr w:type="spellStart"/>
      <w:r w:rsidRPr="002D0AB1">
        <w:rPr>
          <w:rFonts w:ascii="Times New Roman" w:hAnsi="Times New Roman"/>
          <w:color w:val="000000"/>
          <w:kern w:val="0"/>
          <w:sz w:val="15"/>
          <w:szCs w:val="15"/>
          <w:lang w:bidi="ar"/>
        </w:rPr>
        <w:t>Bauersachs</w:t>
      </w:r>
      <w:proofErr w:type="spellEnd"/>
      <w:r w:rsidRPr="002D0AB1">
        <w:rPr>
          <w:rFonts w:ascii="Times New Roman" w:hAnsi="Times New Roman"/>
          <w:color w:val="000000"/>
          <w:kern w:val="0"/>
          <w:sz w:val="15"/>
          <w:szCs w:val="15"/>
          <w:lang w:bidi="ar"/>
        </w:rPr>
        <w:t xml:space="preserve"> S. 2013b. Transcriptome changes in the porcine endometrium during the </w:t>
      </w:r>
      <w:proofErr w:type="spellStart"/>
      <w:r w:rsidRPr="002D0AB1">
        <w:rPr>
          <w:rFonts w:ascii="Times New Roman" w:hAnsi="Times New Roman"/>
          <w:color w:val="000000"/>
          <w:kern w:val="0"/>
          <w:sz w:val="15"/>
          <w:szCs w:val="15"/>
          <w:lang w:bidi="ar"/>
        </w:rPr>
        <w:t>preattachment</w:t>
      </w:r>
      <w:proofErr w:type="spellEnd"/>
      <w:r w:rsidRPr="002D0AB1">
        <w:rPr>
          <w:rFonts w:ascii="Times New Roman" w:hAnsi="Times New Roman"/>
          <w:color w:val="000000"/>
          <w:kern w:val="0"/>
          <w:sz w:val="15"/>
          <w:szCs w:val="15"/>
          <w:lang w:bidi="ar"/>
        </w:rPr>
        <w:t xml:space="preserve"> phase. Biology of Reproduction 89(6):134 DOI 10.1095/biolreprod.113.112177.</w:t>
      </w:r>
    </w:p>
    <w:p w:rsidR="002D0AB1" w:rsidRPr="002D0AB1" w:rsidRDefault="002D0AB1" w:rsidP="002D0AB1">
      <w:pPr>
        <w:widowControl/>
        <w:jc w:val="left"/>
        <w:textAlignment w:val="center"/>
        <w:rPr>
          <w:rFonts w:ascii="Times New Roman" w:hAnsi="Times New Roman"/>
          <w:color w:val="000000"/>
          <w:kern w:val="0"/>
          <w:sz w:val="15"/>
          <w:szCs w:val="15"/>
          <w:lang w:bidi="ar"/>
        </w:rPr>
      </w:pPr>
      <w:proofErr w:type="spellStart"/>
      <w:r w:rsidRPr="002D0AB1">
        <w:rPr>
          <w:rFonts w:ascii="Times New Roman" w:hAnsi="Times New Roman"/>
          <w:color w:val="000000"/>
          <w:kern w:val="0"/>
          <w:sz w:val="15"/>
          <w:szCs w:val="15"/>
          <w:lang w:bidi="ar"/>
        </w:rPr>
        <w:t>Trapnell</w:t>
      </w:r>
      <w:proofErr w:type="spellEnd"/>
      <w:r w:rsidRPr="002D0AB1">
        <w:rPr>
          <w:rFonts w:ascii="Times New Roman" w:hAnsi="Times New Roman"/>
          <w:color w:val="000000"/>
          <w:kern w:val="0"/>
          <w:sz w:val="15"/>
          <w:szCs w:val="15"/>
          <w:lang w:bidi="ar"/>
        </w:rPr>
        <w:t xml:space="preserve"> C, Williams BA, </w:t>
      </w:r>
      <w:proofErr w:type="spellStart"/>
      <w:r w:rsidRPr="002D0AB1">
        <w:rPr>
          <w:rFonts w:ascii="Times New Roman" w:hAnsi="Times New Roman"/>
          <w:color w:val="000000"/>
          <w:kern w:val="0"/>
          <w:sz w:val="15"/>
          <w:szCs w:val="15"/>
          <w:lang w:bidi="ar"/>
        </w:rPr>
        <w:t>Pertea</w:t>
      </w:r>
      <w:proofErr w:type="spellEnd"/>
      <w:r w:rsidRPr="002D0AB1">
        <w:rPr>
          <w:rFonts w:ascii="Times New Roman" w:hAnsi="Times New Roman"/>
          <w:color w:val="000000"/>
          <w:kern w:val="0"/>
          <w:sz w:val="15"/>
          <w:szCs w:val="15"/>
          <w:lang w:bidi="ar"/>
        </w:rPr>
        <w:t xml:space="preserve"> G, Mortazavi A, Kwan G, Van </w:t>
      </w:r>
      <w:proofErr w:type="spellStart"/>
      <w:r w:rsidRPr="002D0AB1">
        <w:rPr>
          <w:rFonts w:ascii="Times New Roman" w:hAnsi="Times New Roman"/>
          <w:color w:val="000000"/>
          <w:kern w:val="0"/>
          <w:sz w:val="15"/>
          <w:szCs w:val="15"/>
          <w:lang w:bidi="ar"/>
        </w:rPr>
        <w:t>Baren</w:t>
      </w:r>
      <w:proofErr w:type="spellEnd"/>
      <w:r w:rsidRPr="002D0AB1">
        <w:rPr>
          <w:rFonts w:ascii="Times New Roman" w:hAnsi="Times New Roman"/>
          <w:color w:val="000000"/>
          <w:kern w:val="0"/>
          <w:sz w:val="15"/>
          <w:szCs w:val="15"/>
          <w:lang w:bidi="ar"/>
        </w:rPr>
        <w:t xml:space="preserve"> J, </w:t>
      </w:r>
      <w:proofErr w:type="spellStart"/>
      <w:r w:rsidRPr="002D0AB1">
        <w:rPr>
          <w:rFonts w:ascii="Times New Roman" w:hAnsi="Times New Roman"/>
          <w:color w:val="000000"/>
          <w:kern w:val="0"/>
          <w:sz w:val="15"/>
          <w:szCs w:val="15"/>
          <w:lang w:bidi="ar"/>
        </w:rPr>
        <w:t>Salzberg</w:t>
      </w:r>
      <w:proofErr w:type="spellEnd"/>
      <w:r w:rsidRPr="002D0AB1">
        <w:rPr>
          <w:rFonts w:ascii="Times New Roman" w:hAnsi="Times New Roman"/>
          <w:color w:val="000000"/>
          <w:kern w:val="0"/>
          <w:sz w:val="15"/>
          <w:szCs w:val="15"/>
          <w:lang w:bidi="ar"/>
        </w:rPr>
        <w:t xml:space="preserve"> SL, </w:t>
      </w:r>
      <w:proofErr w:type="spellStart"/>
      <w:r w:rsidRPr="002D0AB1">
        <w:rPr>
          <w:rFonts w:ascii="Times New Roman" w:hAnsi="Times New Roman"/>
          <w:color w:val="000000"/>
          <w:kern w:val="0"/>
          <w:sz w:val="15"/>
          <w:szCs w:val="15"/>
          <w:lang w:bidi="ar"/>
        </w:rPr>
        <w:t>Wold</w:t>
      </w:r>
      <w:proofErr w:type="spellEnd"/>
      <w:r w:rsidRPr="002D0AB1">
        <w:rPr>
          <w:rFonts w:ascii="Times New Roman" w:hAnsi="Times New Roman"/>
          <w:color w:val="000000"/>
          <w:kern w:val="0"/>
          <w:sz w:val="15"/>
          <w:szCs w:val="15"/>
          <w:lang w:bidi="ar"/>
        </w:rPr>
        <w:t xml:space="preserve"> BJ, </w:t>
      </w:r>
      <w:proofErr w:type="spellStart"/>
      <w:r w:rsidRPr="002D0AB1">
        <w:rPr>
          <w:rFonts w:ascii="Times New Roman" w:hAnsi="Times New Roman"/>
          <w:color w:val="000000"/>
          <w:kern w:val="0"/>
          <w:sz w:val="15"/>
          <w:szCs w:val="15"/>
          <w:lang w:bidi="ar"/>
        </w:rPr>
        <w:t>Pachter</w:t>
      </w:r>
      <w:proofErr w:type="spellEnd"/>
      <w:r w:rsidRPr="002D0AB1">
        <w:rPr>
          <w:rFonts w:ascii="Times New Roman" w:hAnsi="Times New Roman"/>
          <w:color w:val="000000"/>
          <w:kern w:val="0"/>
          <w:sz w:val="15"/>
          <w:szCs w:val="15"/>
          <w:lang w:bidi="ar"/>
        </w:rPr>
        <w:t xml:space="preserve"> L. 2010. Transcript assembly and quantification by RNA-seq reveals unannotated transcripts and isoform switching during cell differentiation. Nature Biotechnology 28(5):511-515 DOI 10.1038/nbt.1621.</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Wang T, Jiang A, Guo Y, Tan Y, Tang G, Mai M, Liu H, Xiao J, Li M, Li X. 2013. Deep sequencing of the transcriptome reveals inflammatory features of porcine visceral adipose tissue. International Journal of Biological Sciences 9(6):550-556 DOI 10.7150/ijbs.6257.</w:t>
      </w:r>
    </w:p>
    <w:p w:rsidR="002D0AB1" w:rsidRPr="002D0AB1" w:rsidRDefault="002D0AB1" w:rsidP="002D0AB1">
      <w:pPr>
        <w:widowControl/>
        <w:jc w:val="left"/>
        <w:textAlignment w:val="center"/>
        <w:rPr>
          <w:rFonts w:ascii="Times New Roman" w:hAnsi="Times New Roman"/>
          <w:color w:val="000000"/>
          <w:kern w:val="0"/>
          <w:sz w:val="15"/>
          <w:szCs w:val="15"/>
          <w:lang w:bidi="ar"/>
        </w:rPr>
      </w:pPr>
      <w:r w:rsidRPr="002D0AB1">
        <w:rPr>
          <w:rFonts w:ascii="Times New Roman" w:hAnsi="Times New Roman"/>
          <w:color w:val="000000"/>
          <w:kern w:val="0"/>
          <w:sz w:val="15"/>
          <w:szCs w:val="15"/>
          <w:lang w:bidi="ar"/>
        </w:rPr>
        <w:t>Zhang X, Huang L, Wu T, Feng Y, Ding Y, Ye P, Yin Z. 2015. Transcriptomic analysis of ovaries from pigs with high and low litter size. PLOS O</w:t>
      </w:r>
      <w:bookmarkStart w:id="0" w:name="_GoBack"/>
      <w:bookmarkEnd w:id="0"/>
      <w:r w:rsidRPr="002D0AB1">
        <w:rPr>
          <w:rFonts w:ascii="Times New Roman" w:hAnsi="Times New Roman"/>
          <w:color w:val="000000"/>
          <w:kern w:val="0"/>
          <w:sz w:val="15"/>
          <w:szCs w:val="15"/>
          <w:lang w:bidi="ar"/>
        </w:rPr>
        <w:t>NE 10(1</w:t>
      </w:r>
      <w:r w:rsidRPr="002D0AB1">
        <w:rPr>
          <w:rFonts w:ascii="Times New Roman" w:hAnsi="Times New Roman"/>
          <w:color w:val="000000"/>
          <w:kern w:val="0"/>
          <w:sz w:val="15"/>
          <w:szCs w:val="15"/>
          <w:lang w:bidi="ar"/>
        </w:rPr>
        <w:t>):e0139514 DOI 10.1371/journal.pone.0139514.</w:t>
      </w:r>
    </w:p>
    <w:sectPr w:rsidR="002D0AB1" w:rsidRPr="002D0A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01"/>
    <w:rsid w:val="002D0AB1"/>
    <w:rsid w:val="00DE6E01"/>
    <w:rsid w:val="12EA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63AAA"/>
  <w15:docId w15:val="{32353D76-6780-4820-82BE-B8DFF998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Souri Somphanith</cp:lastModifiedBy>
  <cp:revision>2</cp:revision>
  <dcterms:created xsi:type="dcterms:W3CDTF">2018-05-21T20:20:00Z</dcterms:created>
  <dcterms:modified xsi:type="dcterms:W3CDTF">2018-05-21T20:20:00Z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