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4530" w14:textId="330F2326" w:rsidR="0000115B" w:rsidRPr="008D2C87" w:rsidRDefault="008D2C87" w:rsidP="00100D3F">
      <w:pPr>
        <w:jc w:val="center"/>
        <w:rPr>
          <w:rFonts w:ascii="Times New Roman" w:hAnsi="Times New Roman" w:cs="Times New Roman"/>
          <w:lang w:val="en-US"/>
        </w:rPr>
      </w:pPr>
      <w:r w:rsidRPr="008D2C87">
        <w:rPr>
          <w:rFonts w:ascii="Times New Roman" w:hAnsi="Times New Roman" w:cs="Times New Roman"/>
          <w:noProof/>
          <w:lang w:val="en-US"/>
        </w:rPr>
        <w:drawing>
          <wp:inline distT="0" distB="0" distL="0" distR="0" wp14:anchorId="0767391A" wp14:editId="67069406">
            <wp:extent cx="5082493" cy="355320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0776" cy="3558999"/>
                    </a:xfrm>
                    <a:prstGeom prst="rect">
                      <a:avLst/>
                    </a:prstGeom>
                    <a:noFill/>
                    <a:ln>
                      <a:noFill/>
                    </a:ln>
                  </pic:spPr>
                </pic:pic>
              </a:graphicData>
            </a:graphic>
          </wp:inline>
        </w:drawing>
      </w:r>
    </w:p>
    <w:p w14:paraId="0651DC30" w14:textId="7DB92BF9" w:rsidR="008D2C87" w:rsidRPr="001F51B9" w:rsidRDefault="008D2C87" w:rsidP="001F51B9">
      <w:pPr>
        <w:spacing w:line="276" w:lineRule="auto"/>
        <w:jc w:val="both"/>
        <w:rPr>
          <w:rFonts w:ascii="Times New Roman" w:eastAsia="Calibri" w:hAnsi="Times New Roman" w:cs="Times New Roman"/>
          <w:b/>
          <w:iCs/>
          <w:sz w:val="24"/>
          <w:szCs w:val="20"/>
          <w:lang w:val="en-US"/>
        </w:rPr>
      </w:pPr>
      <w:r w:rsidRPr="001F51B9">
        <w:rPr>
          <w:rFonts w:ascii="Times New Roman" w:eastAsia="Calibri" w:hAnsi="Times New Roman" w:cs="Times New Roman"/>
          <w:b/>
          <w:iCs/>
          <w:sz w:val="24"/>
          <w:szCs w:val="20"/>
          <w:lang w:val="en-US"/>
        </w:rPr>
        <w:t xml:space="preserve">Concentrations of fluconazole and mycophenolic acid that cause differences in </w:t>
      </w:r>
      <w:r w:rsidRPr="001F51B9">
        <w:rPr>
          <w:rFonts w:ascii="Times New Roman" w:eastAsia="Calibri" w:hAnsi="Times New Roman" w:cs="Times New Roman"/>
          <w:b/>
          <w:i/>
          <w:iCs/>
          <w:sz w:val="24"/>
          <w:szCs w:val="20"/>
          <w:lang w:val="en-US"/>
        </w:rPr>
        <w:t>C. glabrata</w:t>
      </w:r>
      <w:r w:rsidRPr="001F51B9">
        <w:rPr>
          <w:rFonts w:ascii="Times New Roman" w:eastAsia="Calibri" w:hAnsi="Times New Roman" w:cs="Times New Roman"/>
          <w:b/>
          <w:iCs/>
          <w:sz w:val="24"/>
          <w:szCs w:val="20"/>
          <w:lang w:val="en-US"/>
        </w:rPr>
        <w:t xml:space="preserve"> ATCC 2001 growth</w:t>
      </w:r>
      <w:r w:rsidR="001F51B9" w:rsidRPr="001F51B9">
        <w:rPr>
          <w:rFonts w:ascii="Times New Roman" w:eastAsia="Calibri" w:hAnsi="Times New Roman" w:cs="Times New Roman"/>
          <w:b/>
          <w:iCs/>
          <w:sz w:val="24"/>
          <w:szCs w:val="20"/>
          <w:lang w:val="en-US"/>
        </w:rPr>
        <w:t>.</w:t>
      </w:r>
    </w:p>
    <w:p w14:paraId="757F83B1" w14:textId="2D51F46A" w:rsidR="008D2C87" w:rsidRDefault="001F51B9" w:rsidP="001F51B9">
      <w:pPr>
        <w:spacing w:line="276" w:lineRule="auto"/>
        <w:jc w:val="both"/>
        <w:rPr>
          <w:rFonts w:ascii="Times New Roman" w:eastAsia="Calibri" w:hAnsi="Times New Roman" w:cs="Times New Roman"/>
          <w:iCs/>
          <w:sz w:val="24"/>
          <w:szCs w:val="20"/>
          <w:lang w:val="en-US"/>
        </w:rPr>
      </w:pPr>
      <w:r w:rsidRPr="001F51B9">
        <w:rPr>
          <w:rFonts w:ascii="Times New Roman" w:eastAsia="Calibri" w:hAnsi="Times New Roman" w:cs="Times New Roman"/>
          <w:iCs/>
          <w:sz w:val="24"/>
          <w:szCs w:val="20"/>
          <w:lang w:val="en-US"/>
        </w:rPr>
        <w:t>The cells were prepared as an overnight culture in liquid YPD at 37 °C. In the morning, they were diluted in fresh YPD to optical density at 600 nm (OD</w:t>
      </w:r>
      <w:r w:rsidRPr="001F51B9">
        <w:rPr>
          <w:rFonts w:ascii="Times New Roman" w:eastAsia="Calibri" w:hAnsi="Times New Roman" w:cs="Times New Roman"/>
          <w:iCs/>
          <w:sz w:val="24"/>
          <w:szCs w:val="20"/>
          <w:vertAlign w:val="subscript"/>
          <w:lang w:val="en-US"/>
        </w:rPr>
        <w:t>600</w:t>
      </w:r>
      <w:r w:rsidRPr="001F51B9">
        <w:rPr>
          <w:rFonts w:ascii="Times New Roman" w:eastAsia="Calibri" w:hAnsi="Times New Roman" w:cs="Times New Roman"/>
          <w:iCs/>
          <w:sz w:val="24"/>
          <w:szCs w:val="20"/>
          <w:lang w:val="en-US"/>
        </w:rPr>
        <w:t>) 0.05 and left to grow at 3</w:t>
      </w:r>
      <w:r>
        <w:rPr>
          <w:rFonts w:ascii="Times New Roman" w:eastAsia="Calibri" w:hAnsi="Times New Roman" w:cs="Times New Roman"/>
          <w:iCs/>
          <w:sz w:val="24"/>
          <w:szCs w:val="20"/>
          <w:lang w:val="en-US"/>
        </w:rPr>
        <w:t>7</w:t>
      </w:r>
      <w:r w:rsidRPr="001F51B9">
        <w:rPr>
          <w:rFonts w:ascii="Times New Roman" w:eastAsia="Calibri" w:hAnsi="Times New Roman" w:cs="Times New Roman"/>
          <w:iCs/>
          <w:sz w:val="24"/>
          <w:szCs w:val="20"/>
          <w:lang w:val="en-US"/>
        </w:rPr>
        <w:t xml:space="preserve"> °C back </w:t>
      </w:r>
      <w:r>
        <w:rPr>
          <w:rFonts w:ascii="Times New Roman" w:eastAsia="Calibri" w:hAnsi="Times New Roman" w:cs="Times New Roman"/>
          <w:iCs/>
          <w:sz w:val="24"/>
          <w:szCs w:val="20"/>
          <w:lang w:val="en-US"/>
        </w:rPr>
        <w:t>OD</w:t>
      </w:r>
      <w:r w:rsidRPr="001F51B9">
        <w:rPr>
          <w:rFonts w:ascii="Times New Roman" w:eastAsia="Calibri" w:hAnsi="Times New Roman" w:cs="Times New Roman"/>
          <w:iCs/>
          <w:sz w:val="24"/>
          <w:szCs w:val="20"/>
          <w:vertAlign w:val="subscript"/>
          <w:lang w:val="en-US"/>
        </w:rPr>
        <w:t>600</w:t>
      </w:r>
      <w:r>
        <w:rPr>
          <w:rFonts w:ascii="Times New Roman" w:eastAsia="Calibri" w:hAnsi="Times New Roman" w:cs="Times New Roman"/>
          <w:iCs/>
          <w:sz w:val="24"/>
          <w:szCs w:val="20"/>
          <w:lang w:val="en-US"/>
        </w:rPr>
        <w:t xml:space="preserve"> </w:t>
      </w:r>
      <w:r w:rsidRPr="001F51B9">
        <w:rPr>
          <w:rFonts w:ascii="Times New Roman" w:eastAsia="Calibri" w:hAnsi="Times New Roman" w:cs="Times New Roman"/>
          <w:iCs/>
          <w:sz w:val="24"/>
          <w:szCs w:val="20"/>
          <w:lang w:val="en-US"/>
        </w:rPr>
        <w:t>0.1. At that point the drugs were added and we started to monitor the changes in OD</w:t>
      </w:r>
      <w:r w:rsidRPr="001F51B9">
        <w:rPr>
          <w:rFonts w:ascii="Times New Roman" w:eastAsia="Calibri" w:hAnsi="Times New Roman" w:cs="Times New Roman"/>
          <w:iCs/>
          <w:sz w:val="24"/>
          <w:szCs w:val="20"/>
          <w:vertAlign w:val="subscript"/>
          <w:lang w:val="en-US"/>
        </w:rPr>
        <w:t>600</w:t>
      </w:r>
      <w:r w:rsidRPr="001F51B9">
        <w:rPr>
          <w:rFonts w:ascii="Times New Roman" w:eastAsia="Calibri" w:hAnsi="Times New Roman" w:cs="Times New Roman"/>
          <w:iCs/>
          <w:sz w:val="24"/>
          <w:szCs w:val="20"/>
          <w:lang w:val="en-US"/>
        </w:rPr>
        <w:t xml:space="preserve">. </w:t>
      </w:r>
      <w:r w:rsidR="0028272A" w:rsidRPr="001F51B9">
        <w:rPr>
          <w:rFonts w:ascii="Times New Roman" w:eastAsia="Calibri" w:hAnsi="Times New Roman" w:cs="Times New Roman"/>
          <w:iCs/>
          <w:sz w:val="24"/>
          <w:szCs w:val="20"/>
          <w:lang w:val="en-US"/>
        </w:rPr>
        <w:t xml:space="preserve">The </w:t>
      </w:r>
      <w:r w:rsidRPr="001F51B9">
        <w:rPr>
          <w:rFonts w:ascii="Times New Roman" w:eastAsia="Calibri" w:hAnsi="Times New Roman" w:cs="Times New Roman"/>
          <w:iCs/>
          <w:sz w:val="24"/>
          <w:szCs w:val="20"/>
          <w:lang w:val="en-US"/>
        </w:rPr>
        <w:t>OD</w:t>
      </w:r>
      <w:r w:rsidR="0028272A" w:rsidRPr="001F51B9">
        <w:rPr>
          <w:rFonts w:ascii="Times New Roman" w:eastAsia="Calibri" w:hAnsi="Times New Roman" w:cs="Times New Roman"/>
          <w:iCs/>
          <w:sz w:val="24"/>
          <w:szCs w:val="20"/>
          <w:vertAlign w:val="subscript"/>
          <w:lang w:val="en-US"/>
        </w:rPr>
        <w:t>600</w:t>
      </w:r>
      <w:r w:rsidR="0028272A" w:rsidRPr="001F51B9">
        <w:rPr>
          <w:rFonts w:ascii="Times New Roman" w:eastAsia="Calibri" w:hAnsi="Times New Roman" w:cs="Times New Roman"/>
          <w:iCs/>
          <w:sz w:val="24"/>
          <w:szCs w:val="20"/>
          <w:lang w:val="en-US"/>
        </w:rPr>
        <w:t xml:space="preserve"> is shown</w:t>
      </w:r>
      <w:r w:rsidRPr="001F51B9">
        <w:rPr>
          <w:rFonts w:ascii="Times New Roman" w:eastAsia="Calibri" w:hAnsi="Times New Roman" w:cs="Times New Roman"/>
          <w:iCs/>
          <w:sz w:val="24"/>
          <w:szCs w:val="20"/>
          <w:lang w:val="en-US"/>
        </w:rPr>
        <w:t>, as well as the standard deviation.</w:t>
      </w:r>
      <w:r>
        <w:rPr>
          <w:rFonts w:ascii="Times New Roman" w:eastAsia="Calibri" w:hAnsi="Times New Roman" w:cs="Times New Roman"/>
          <w:iCs/>
          <w:sz w:val="24"/>
          <w:szCs w:val="20"/>
          <w:lang w:val="en-US"/>
        </w:rPr>
        <w:t xml:space="preserve"> </w:t>
      </w:r>
      <w:r w:rsidRPr="001F51B9">
        <w:rPr>
          <w:rFonts w:ascii="Times New Roman" w:eastAsia="Calibri" w:hAnsi="Times New Roman" w:cs="Times New Roman"/>
          <w:iCs/>
          <w:sz w:val="24"/>
          <w:szCs w:val="20"/>
          <w:lang w:val="en-US"/>
        </w:rPr>
        <w:t>The figure shows one representative experiment with three independent biological replicates</w:t>
      </w:r>
      <w:r>
        <w:rPr>
          <w:rFonts w:ascii="Times New Roman" w:eastAsia="Calibri" w:hAnsi="Times New Roman" w:cs="Times New Roman"/>
          <w:iCs/>
          <w:sz w:val="24"/>
          <w:szCs w:val="20"/>
          <w:lang w:val="en-US"/>
        </w:rPr>
        <w:t>.</w:t>
      </w:r>
      <w:r w:rsidRPr="001F51B9">
        <w:rPr>
          <w:rFonts w:ascii="Times New Roman" w:eastAsia="Calibri" w:hAnsi="Times New Roman" w:cs="Times New Roman"/>
          <w:iCs/>
          <w:sz w:val="24"/>
          <w:szCs w:val="20"/>
          <w:lang w:val="en-US"/>
        </w:rPr>
        <w:t xml:space="preserve"> We were </w:t>
      </w:r>
      <w:r w:rsidR="00265427">
        <w:rPr>
          <w:rFonts w:ascii="Times New Roman" w:eastAsia="Calibri" w:hAnsi="Times New Roman" w:cs="Times New Roman"/>
          <w:iCs/>
          <w:sz w:val="24"/>
          <w:szCs w:val="20"/>
          <w:lang w:val="en-US"/>
        </w:rPr>
        <w:t>looking</w:t>
      </w:r>
      <w:r w:rsidRPr="001F51B9">
        <w:rPr>
          <w:rFonts w:ascii="Times New Roman" w:eastAsia="Calibri" w:hAnsi="Times New Roman" w:cs="Times New Roman"/>
          <w:iCs/>
          <w:sz w:val="24"/>
          <w:szCs w:val="20"/>
          <w:lang w:val="en-US"/>
        </w:rPr>
        <w:t xml:space="preserve"> for </w:t>
      </w:r>
      <w:r w:rsidR="00847E8E">
        <w:rPr>
          <w:rFonts w:ascii="Times New Roman" w:eastAsia="Calibri" w:hAnsi="Times New Roman" w:cs="Times New Roman"/>
          <w:iCs/>
          <w:sz w:val="24"/>
          <w:szCs w:val="20"/>
          <w:lang w:val="en-US"/>
        </w:rPr>
        <w:t xml:space="preserve">the </w:t>
      </w:r>
      <w:proofErr w:type="gramStart"/>
      <w:r w:rsidRPr="001F51B9">
        <w:rPr>
          <w:rFonts w:ascii="Times New Roman" w:eastAsia="Calibri" w:hAnsi="Times New Roman" w:cs="Times New Roman"/>
          <w:iCs/>
          <w:sz w:val="24"/>
          <w:szCs w:val="20"/>
          <w:lang w:val="en-US"/>
        </w:rPr>
        <w:t>first time</w:t>
      </w:r>
      <w:proofErr w:type="gramEnd"/>
      <w:r w:rsidRPr="001F51B9">
        <w:rPr>
          <w:rFonts w:ascii="Times New Roman" w:eastAsia="Calibri" w:hAnsi="Times New Roman" w:cs="Times New Roman"/>
          <w:iCs/>
          <w:sz w:val="24"/>
          <w:szCs w:val="20"/>
          <w:lang w:val="en-US"/>
        </w:rPr>
        <w:t xml:space="preserve"> point, </w:t>
      </w:r>
      <w:r w:rsidR="00847E8E">
        <w:rPr>
          <w:rFonts w:ascii="Times New Roman" w:eastAsia="Calibri" w:hAnsi="Times New Roman" w:cs="Times New Roman"/>
          <w:iCs/>
          <w:sz w:val="24"/>
          <w:szCs w:val="20"/>
          <w:lang w:val="en-US"/>
        </w:rPr>
        <w:t>where</w:t>
      </w:r>
      <w:r w:rsidRPr="001F51B9">
        <w:rPr>
          <w:rFonts w:ascii="Times New Roman" w:eastAsia="Calibri" w:hAnsi="Times New Roman" w:cs="Times New Roman"/>
          <w:iCs/>
          <w:sz w:val="24"/>
          <w:szCs w:val="20"/>
          <w:lang w:val="en-US"/>
        </w:rPr>
        <w:t xml:space="preserve"> the </w:t>
      </w:r>
      <w:r w:rsidR="00847E8E">
        <w:rPr>
          <w:rFonts w:ascii="Times New Roman" w:eastAsia="Calibri" w:hAnsi="Times New Roman" w:cs="Times New Roman"/>
          <w:iCs/>
          <w:sz w:val="24"/>
          <w:szCs w:val="20"/>
          <w:lang w:val="en-US"/>
        </w:rPr>
        <w:t xml:space="preserve">growth </w:t>
      </w:r>
      <w:r w:rsidRPr="001F51B9">
        <w:rPr>
          <w:rFonts w:ascii="Times New Roman" w:eastAsia="Calibri" w:hAnsi="Times New Roman" w:cs="Times New Roman"/>
          <w:iCs/>
          <w:sz w:val="24"/>
          <w:szCs w:val="20"/>
          <w:lang w:val="en-US"/>
        </w:rPr>
        <w:t xml:space="preserve">difference in response to either of </w:t>
      </w:r>
      <w:r w:rsidR="00847E8E">
        <w:rPr>
          <w:rFonts w:ascii="Times New Roman" w:eastAsia="Calibri" w:hAnsi="Times New Roman" w:cs="Times New Roman"/>
          <w:iCs/>
          <w:sz w:val="24"/>
          <w:szCs w:val="20"/>
          <w:lang w:val="en-US"/>
        </w:rPr>
        <w:t xml:space="preserve">the </w:t>
      </w:r>
      <w:r w:rsidRPr="001F51B9">
        <w:rPr>
          <w:rFonts w:ascii="Times New Roman" w:eastAsia="Calibri" w:hAnsi="Times New Roman" w:cs="Times New Roman"/>
          <w:iCs/>
          <w:sz w:val="24"/>
          <w:szCs w:val="20"/>
          <w:lang w:val="en-US"/>
        </w:rPr>
        <w:t>drugs or the combination of both</w:t>
      </w:r>
      <w:r w:rsidR="00847E8E">
        <w:rPr>
          <w:rFonts w:ascii="Times New Roman" w:eastAsia="Calibri" w:hAnsi="Times New Roman" w:cs="Times New Roman"/>
          <w:iCs/>
          <w:sz w:val="24"/>
          <w:szCs w:val="20"/>
          <w:lang w:val="en-US"/>
        </w:rPr>
        <w:t xml:space="preserve"> was visible</w:t>
      </w:r>
      <w:r w:rsidR="00E23ABA">
        <w:rPr>
          <w:rFonts w:ascii="Times New Roman" w:eastAsia="Calibri" w:hAnsi="Times New Roman" w:cs="Times New Roman"/>
          <w:iCs/>
          <w:sz w:val="24"/>
          <w:szCs w:val="20"/>
          <w:lang w:val="en-US"/>
        </w:rPr>
        <w:t>, since we have a mechanism with induced tolerance by</w:t>
      </w:r>
      <w:r w:rsidR="00FF0B65">
        <w:rPr>
          <w:rFonts w:ascii="Times New Roman" w:eastAsia="Calibri" w:hAnsi="Times New Roman" w:cs="Times New Roman"/>
          <w:iCs/>
          <w:sz w:val="24"/>
          <w:szCs w:val="20"/>
          <w:lang w:val="en-US"/>
        </w:rPr>
        <w:t xml:space="preserve"> cells responding to</w:t>
      </w:r>
      <w:r w:rsidR="00E23ABA">
        <w:rPr>
          <w:rFonts w:ascii="Times New Roman" w:eastAsia="Calibri" w:hAnsi="Times New Roman" w:cs="Times New Roman"/>
          <w:iCs/>
          <w:sz w:val="24"/>
          <w:szCs w:val="20"/>
          <w:lang w:val="en-US"/>
        </w:rPr>
        <w:t xml:space="preserve"> drugs</w:t>
      </w:r>
      <w:r w:rsidRPr="001F51B9">
        <w:rPr>
          <w:rFonts w:ascii="Times New Roman" w:eastAsia="Calibri" w:hAnsi="Times New Roman" w:cs="Times New Roman"/>
          <w:iCs/>
          <w:sz w:val="24"/>
          <w:szCs w:val="20"/>
          <w:lang w:val="en-US"/>
        </w:rPr>
        <w:t>.</w:t>
      </w:r>
    </w:p>
    <w:p w14:paraId="5F2D1396" w14:textId="1C49ACF5" w:rsidR="00847E8E" w:rsidRPr="001F51B9" w:rsidRDefault="00847E8E" w:rsidP="001F51B9">
      <w:pPr>
        <w:spacing w:line="276" w:lineRule="auto"/>
        <w:jc w:val="both"/>
        <w:rPr>
          <w:rFonts w:ascii="Times New Roman" w:eastAsia="Calibri" w:hAnsi="Times New Roman" w:cs="Times New Roman"/>
          <w:iCs/>
          <w:sz w:val="24"/>
          <w:szCs w:val="20"/>
          <w:lang w:val="en-US"/>
        </w:rPr>
      </w:pPr>
      <w:r>
        <w:rPr>
          <w:rFonts w:ascii="Times New Roman" w:eastAsia="Calibri" w:hAnsi="Times New Roman" w:cs="Times New Roman"/>
          <w:iCs/>
          <w:sz w:val="24"/>
          <w:szCs w:val="20"/>
          <w:lang w:val="en-US"/>
        </w:rPr>
        <w:t>F – fluconazole, M – mycophenolic acid</w:t>
      </w:r>
      <w:bookmarkStart w:id="0" w:name="_GoBack"/>
      <w:bookmarkEnd w:id="0"/>
    </w:p>
    <w:p w14:paraId="3AE94541" w14:textId="5CDC1602" w:rsidR="001F51B9" w:rsidRDefault="001F51B9" w:rsidP="001F51B9">
      <w:pPr>
        <w:spacing w:line="276" w:lineRule="auto"/>
        <w:jc w:val="both"/>
        <w:rPr>
          <w:rFonts w:ascii="Times New Roman" w:eastAsia="Calibri" w:hAnsi="Times New Roman" w:cs="Times New Roman"/>
          <w:iCs/>
          <w:sz w:val="24"/>
          <w:szCs w:val="20"/>
          <w:lang w:val="en-US"/>
        </w:rPr>
      </w:pPr>
      <w:r w:rsidRPr="001F51B9">
        <w:rPr>
          <w:rFonts w:ascii="Times New Roman" w:eastAsia="Calibri" w:hAnsi="Times New Roman" w:cs="Times New Roman"/>
          <w:iCs/>
          <w:sz w:val="24"/>
          <w:szCs w:val="20"/>
          <w:lang w:val="en-US"/>
        </w:rPr>
        <w:t xml:space="preserve">The </w:t>
      </w:r>
      <w:proofErr w:type="gramStart"/>
      <w:r w:rsidRPr="001F51B9">
        <w:rPr>
          <w:rFonts w:ascii="Times New Roman" w:eastAsia="Calibri" w:hAnsi="Times New Roman" w:cs="Times New Roman"/>
          <w:iCs/>
          <w:sz w:val="24"/>
          <w:szCs w:val="20"/>
          <w:lang w:val="en-US"/>
        </w:rPr>
        <w:t>first time</w:t>
      </w:r>
      <w:proofErr w:type="gramEnd"/>
      <w:r w:rsidRPr="001F51B9">
        <w:rPr>
          <w:rFonts w:ascii="Times New Roman" w:eastAsia="Calibri" w:hAnsi="Times New Roman" w:cs="Times New Roman"/>
          <w:iCs/>
          <w:sz w:val="24"/>
          <w:szCs w:val="20"/>
          <w:lang w:val="en-US"/>
        </w:rPr>
        <w:t xml:space="preserve"> point was determined at 2 h and the next at 4 h.</w:t>
      </w:r>
      <w:r>
        <w:rPr>
          <w:rFonts w:ascii="Times New Roman" w:eastAsia="Calibri" w:hAnsi="Times New Roman" w:cs="Times New Roman"/>
          <w:iCs/>
          <w:sz w:val="24"/>
          <w:szCs w:val="20"/>
          <w:lang w:val="en-US"/>
        </w:rPr>
        <w:t xml:space="preserve"> This was backed-up with previous studies, where the</w:t>
      </w:r>
      <w:r w:rsidR="00FF0B65">
        <w:rPr>
          <w:rFonts w:ascii="Times New Roman" w:eastAsia="Calibri" w:hAnsi="Times New Roman" w:cs="Times New Roman"/>
          <w:iCs/>
          <w:sz w:val="24"/>
          <w:szCs w:val="20"/>
          <w:lang w:val="en-US"/>
        </w:rPr>
        <w:t>y</w:t>
      </w:r>
      <w:r>
        <w:rPr>
          <w:rFonts w:ascii="Times New Roman" w:eastAsia="Calibri" w:hAnsi="Times New Roman" w:cs="Times New Roman"/>
          <w:iCs/>
          <w:sz w:val="24"/>
          <w:szCs w:val="20"/>
          <w:lang w:val="en-US"/>
        </w:rPr>
        <w:t xml:space="preserve"> observ</w:t>
      </w:r>
      <w:r w:rsidR="00FF0B65">
        <w:rPr>
          <w:rFonts w:ascii="Times New Roman" w:eastAsia="Calibri" w:hAnsi="Times New Roman" w:cs="Times New Roman"/>
          <w:iCs/>
          <w:sz w:val="24"/>
          <w:szCs w:val="20"/>
          <w:lang w:val="en-US"/>
        </w:rPr>
        <w:t xml:space="preserve">ed </w:t>
      </w:r>
      <w:r w:rsidRPr="00E23ABA">
        <w:rPr>
          <w:rFonts w:ascii="Times New Roman" w:eastAsia="Calibri" w:hAnsi="Times New Roman" w:cs="Times New Roman"/>
          <w:i/>
          <w:iCs/>
          <w:sz w:val="24"/>
          <w:szCs w:val="20"/>
          <w:lang w:val="en-US"/>
        </w:rPr>
        <w:t>PDR1</w:t>
      </w:r>
      <w:r>
        <w:rPr>
          <w:rFonts w:ascii="Times New Roman" w:eastAsia="Calibri" w:hAnsi="Times New Roman" w:cs="Times New Roman"/>
          <w:iCs/>
          <w:sz w:val="24"/>
          <w:szCs w:val="20"/>
          <w:lang w:val="en-US"/>
        </w:rPr>
        <w:t xml:space="preserve"> and </w:t>
      </w:r>
      <w:r w:rsidRPr="00E23ABA">
        <w:rPr>
          <w:rFonts w:ascii="Times New Roman" w:eastAsia="Calibri" w:hAnsi="Times New Roman" w:cs="Times New Roman"/>
          <w:i/>
          <w:iCs/>
          <w:sz w:val="24"/>
          <w:szCs w:val="20"/>
          <w:lang w:val="en-US"/>
        </w:rPr>
        <w:t>CDR1</w:t>
      </w:r>
      <w:r>
        <w:rPr>
          <w:rFonts w:ascii="Times New Roman" w:eastAsia="Calibri" w:hAnsi="Times New Roman" w:cs="Times New Roman"/>
          <w:iCs/>
          <w:sz w:val="24"/>
          <w:szCs w:val="20"/>
          <w:lang w:val="en-US"/>
        </w:rPr>
        <w:t xml:space="preserve"> </w:t>
      </w:r>
      <w:r w:rsidR="00FF0B65">
        <w:rPr>
          <w:rFonts w:ascii="Times New Roman" w:eastAsia="Calibri" w:hAnsi="Times New Roman" w:cs="Times New Roman"/>
          <w:iCs/>
          <w:sz w:val="24"/>
          <w:szCs w:val="20"/>
          <w:lang w:val="en-US"/>
        </w:rPr>
        <w:t xml:space="preserve">expression </w:t>
      </w:r>
      <w:r>
        <w:rPr>
          <w:rFonts w:ascii="Times New Roman" w:eastAsia="Calibri" w:hAnsi="Times New Roman" w:cs="Times New Roman"/>
          <w:iCs/>
          <w:sz w:val="24"/>
          <w:szCs w:val="20"/>
          <w:lang w:val="en-US"/>
        </w:rPr>
        <w:t>at similar time points</w:t>
      </w:r>
      <w:r w:rsidR="00100D3F">
        <w:rPr>
          <w:rFonts w:ascii="Times New Roman" w:eastAsia="Calibri" w:hAnsi="Times New Roman" w:cs="Times New Roman"/>
          <w:iCs/>
          <w:sz w:val="24"/>
          <w:szCs w:val="20"/>
          <w:lang w:val="en-US"/>
        </w:rPr>
        <w:t xml:space="preserve"> </w:t>
      </w:r>
      <w:r w:rsidR="00EE00AA">
        <w:rPr>
          <w:rFonts w:ascii="Times New Roman" w:eastAsia="Calibri" w:hAnsi="Times New Roman" w:cs="Times New Roman"/>
          <w:iCs/>
          <w:sz w:val="24"/>
          <w:szCs w:val="20"/>
          <w:lang w:val="en-US"/>
        </w:rPr>
        <w:t>with</w:t>
      </w:r>
      <w:r w:rsidR="00100D3F">
        <w:rPr>
          <w:rFonts w:ascii="Times New Roman" w:eastAsia="Calibri" w:hAnsi="Times New Roman" w:cs="Times New Roman"/>
          <w:iCs/>
          <w:sz w:val="24"/>
          <w:szCs w:val="20"/>
          <w:lang w:val="en-US"/>
        </w:rPr>
        <w:t xml:space="preserve"> similar preparation of cells</w:t>
      </w:r>
      <w:r>
        <w:rPr>
          <w:rFonts w:ascii="Times New Roman" w:eastAsia="Calibri" w:hAnsi="Times New Roman" w:cs="Times New Roman"/>
          <w:iCs/>
          <w:sz w:val="24"/>
          <w:szCs w:val="20"/>
          <w:lang w:val="en-US"/>
        </w:rPr>
        <w:t xml:space="preserve">, for example 2.5 h </w:t>
      </w:r>
      <w:r w:rsidR="00847E8E">
        <w:rPr>
          <w:rFonts w:ascii="Times New Roman" w:eastAsia="Calibri" w:hAnsi="Times New Roman" w:cs="Times New Roman"/>
          <w:iCs/>
          <w:sz w:val="24"/>
          <w:szCs w:val="20"/>
          <w:lang w:val="en-US"/>
        </w:rPr>
        <w:t xml:space="preserve">for </w:t>
      </w:r>
      <w:r w:rsidR="00847E8E" w:rsidRPr="00847E8E">
        <w:rPr>
          <w:rFonts w:ascii="Times New Roman" w:eastAsia="Calibri" w:hAnsi="Times New Roman" w:cs="Times New Roman"/>
          <w:i/>
          <w:iCs/>
          <w:sz w:val="24"/>
          <w:szCs w:val="20"/>
          <w:lang w:val="en-US"/>
        </w:rPr>
        <w:t>PDR1</w:t>
      </w:r>
      <w:r w:rsidR="00E23ABA">
        <w:rPr>
          <w:rFonts w:ascii="Times New Roman" w:eastAsia="Calibri" w:hAnsi="Times New Roman" w:cs="Times New Roman"/>
          <w:i/>
          <w:iCs/>
          <w:sz w:val="24"/>
          <w:szCs w:val="20"/>
          <w:lang w:val="en-US"/>
        </w:rPr>
        <w:t xml:space="preserve"> </w:t>
      </w:r>
      <w:r w:rsidR="00E23ABA">
        <w:rPr>
          <w:rFonts w:ascii="Times New Roman" w:eastAsia="Calibri" w:hAnsi="Times New Roman" w:cs="Times New Roman"/>
          <w:iCs/>
          <w:sz w:val="24"/>
          <w:szCs w:val="20"/>
          <w:lang w:val="en-US"/>
        </w:rPr>
        <w:t xml:space="preserve">and </w:t>
      </w:r>
      <w:r w:rsidR="00E23ABA" w:rsidRPr="00E23ABA">
        <w:rPr>
          <w:rFonts w:ascii="Times New Roman" w:eastAsia="Calibri" w:hAnsi="Times New Roman" w:cs="Times New Roman"/>
          <w:i/>
          <w:iCs/>
          <w:sz w:val="24"/>
          <w:szCs w:val="20"/>
          <w:lang w:val="en-US"/>
        </w:rPr>
        <w:t>CDR1</w:t>
      </w:r>
      <w:r w:rsidR="00847E8E">
        <w:rPr>
          <w:rFonts w:ascii="Times New Roman" w:eastAsia="Calibri" w:hAnsi="Times New Roman" w:cs="Times New Roman"/>
          <w:iCs/>
          <w:sz w:val="24"/>
          <w:szCs w:val="20"/>
          <w:lang w:val="en-US"/>
        </w:rPr>
        <w:t xml:space="preserve"> in </w:t>
      </w:r>
      <w:r w:rsidR="00847E8E">
        <w:rPr>
          <w:rFonts w:ascii="Times New Roman" w:eastAsia="Calibri" w:hAnsi="Times New Roman" w:cs="Times New Roman"/>
          <w:iCs/>
          <w:sz w:val="24"/>
          <w:szCs w:val="20"/>
          <w:lang w:val="en-US"/>
        </w:rPr>
        <w:fldChar w:fldCharType="begin" w:fldLock="1"/>
      </w:r>
      <w:r w:rsidR="00847E8E">
        <w:rPr>
          <w:rFonts w:ascii="Times New Roman" w:eastAsia="Calibri" w:hAnsi="Times New Roman" w:cs="Times New Roman"/>
          <w:iCs/>
          <w:sz w:val="24"/>
          <w:szCs w:val="20"/>
          <w:lang w:val="en-US"/>
        </w:rPr>
        <w:instrText>ADDIN CSL_CITATION { "citationItems" : [ { "id" : "ITEM-1", "itemData" : { "DOI" : "10.1111/j.1365-2958.2006.05235.x", "ISBN" : "0950-382X (Print)\\r0950-382X (Linking)", "ISSN" : "0950-382X", "PMID" : "16803598", "abstract" : "Candida glabrata emerged in the last decade as a common cause of mucosal and invasive fungal infection, in large part due to its intrinsic or acquired resistance to azole antifungals such as fluconazole. In C. glabrata clinical isolates, the predominant mechanism behind azole resistance is upregulated expression of multidrug transporter genes CDR1 and PDH1. We previously reported that azole-resistant mutants (MIC &gt;or= 64 microg ml(-1)) of strain 66032 (MIC = 16 microg ml(-1)) similarly show coordinate CDR1-PDH1 upregulation, and in one of these (F15) a putative gain-of-function mutation was identified in the single homologue of Saccharomyces cerevisiae transcription factors Pdr1-Pdr3. Here we show that disruption of C. glabrata PDR1 conferred equivalent fluconazole hypersensitivity (MIC = 2 microg ml(-1)) to both F15 and 66032 and eliminated both constitutive and fluconazole-induced CDR1-PDH1 expression. Reintroduction of wild-type or F15 PDR1 fully reversed these effects; together these results demonstrate a role for this gene in both acquired and intrinsic azole resistance. CDR1 disruption had a partial effect, reducing fluconazole trailing in both strains while restoring wild-type susceptibility (MIC = 16 microg ml(-1)) to F15. In an azole-resistant clinical isolate, PDR1 disruption reduced azole MICs eight- to 64-fold with no effect on sensitivity to other antifungals. To extend this analysis, C. glabrata microarrays were generated and used to analyse genome-wide expression in F15 relative to its parent. Homologues of 10 S. cerevisiae genes previously shown to be Pdr1-Pdr3 targets were upregulated (YOR1, RTA1, RSB1, RPN4, YLR346c and YMR102c along with CDR1, PDH1 and PDR1 itself) or downregulated (PDR12); roles for these genes include small molecule transport and transcriptional regulation. However, expression of 99 additional genes was specifically altered in C. glabrata F15; their roles include transport (e.g. QDR2, YBT1), lipid metabolism (ATF2, ARE1), cell stress (HSP12, CTA1), DNA repair (YIM1, MEC3) and cell wall function (MKC7, MNT3). These azole resistance-associated changes could affect C. glabrata tissue-specific virulence; in support of this, we detected differences in F15 oxidant, alcohol and weak acid sensitivities. C. glabrata provides a promising model for studying the genetic basis of multidrug resistance and its impact on virulence.", "author" : [ { "dropping-particle" : "", "family" : "Vermitsky", "given" : "John-Paul", "non-dropping-particle" : "", "parse-names" : false, "suffix" : "" }, { "dropping-particle" : "", "family" : "Earhart", "given" : "Kelly D.", "non-dropping-particle" : "", "parse-names" : false, "suffix" : "" }, { "dropping-particle" : "", "family" : "Smith", "given" : "W. Lamar", "non-dropping-particle" : "", "parse-names" : false, "suffix" : "" }, { "dropping-particle" : "", "family" : "Homayouni", "given" : "Ramin", "non-dropping-particle" : "", "parse-names" : false, "suffix" : "" }, { "dropping-particle" : "", "family" : "Edlind", "given" : "Thomas D.", "non-dropping-particle" : "", "parse-names" : false, "suffix" : "" }, { "dropping-particle" : "", "family" : "Rogers", "given" : "P. David", "non-dropping-particle" : "", "parse-names" : false, "suffix" : "" } ], "container-title" : "Molecular microbiology", "id" : "ITEM-1", "issue" : "3", "issued" : { "date-parts" : [ [ "2006", "8" ] ] }, "page" : "704-22", "title" : "Pdr1 regulates multidrug resistance in Candida glabrata: gene disruption and genome-wide expression studies", "type" : "article-journal", "volume" : "61" }, "uris" : [ "http://www.mendeley.com/documents/?uuid=2a5e7bda-d669-4c48-b727-03f42446abda" ] } ], "mendeley" : { "formattedCitation" : "(Vermitsky et al., 2006)", "plainTextFormattedCitation" : "(Vermitsky et al., 2006)", "previouslyFormattedCitation" : "(Vermitsky et al., 2006)" }, "properties" : {  }, "schema" : "https://github.com/citation-style-language/schema/raw/master/csl-citation.json" }</w:instrText>
      </w:r>
      <w:r w:rsidR="00847E8E">
        <w:rPr>
          <w:rFonts w:ascii="Times New Roman" w:eastAsia="Calibri" w:hAnsi="Times New Roman" w:cs="Times New Roman"/>
          <w:iCs/>
          <w:sz w:val="24"/>
          <w:szCs w:val="20"/>
          <w:lang w:val="en-US"/>
        </w:rPr>
        <w:fldChar w:fldCharType="separate"/>
      </w:r>
      <w:r w:rsidR="00847E8E" w:rsidRPr="00847E8E">
        <w:rPr>
          <w:rFonts w:ascii="Times New Roman" w:eastAsia="Calibri" w:hAnsi="Times New Roman" w:cs="Times New Roman"/>
          <w:iCs/>
          <w:noProof/>
          <w:sz w:val="24"/>
          <w:szCs w:val="20"/>
          <w:lang w:val="en-US"/>
        </w:rPr>
        <w:t>(Vermitsky et al., 2006)</w:t>
      </w:r>
      <w:r w:rsidR="00847E8E">
        <w:rPr>
          <w:rFonts w:ascii="Times New Roman" w:eastAsia="Calibri" w:hAnsi="Times New Roman" w:cs="Times New Roman"/>
          <w:iCs/>
          <w:sz w:val="24"/>
          <w:szCs w:val="20"/>
          <w:lang w:val="en-US"/>
        </w:rPr>
        <w:fldChar w:fldCharType="end"/>
      </w:r>
      <w:r w:rsidR="00100D3F">
        <w:rPr>
          <w:rFonts w:ascii="Times New Roman" w:eastAsia="Calibri" w:hAnsi="Times New Roman" w:cs="Times New Roman"/>
          <w:iCs/>
          <w:sz w:val="24"/>
          <w:szCs w:val="20"/>
          <w:lang w:val="en-US"/>
        </w:rPr>
        <w:t xml:space="preserve"> or 2.2 and 4.4 h in </w:t>
      </w:r>
      <w:r w:rsidR="00100D3F">
        <w:rPr>
          <w:rFonts w:ascii="Times New Roman" w:eastAsia="Calibri" w:hAnsi="Times New Roman" w:cs="Times New Roman"/>
          <w:iCs/>
          <w:sz w:val="24"/>
          <w:szCs w:val="20"/>
          <w:lang w:val="en-US"/>
        </w:rPr>
        <w:fldChar w:fldCharType="begin" w:fldLock="1"/>
      </w:r>
      <w:r w:rsidR="00100D3F">
        <w:rPr>
          <w:rFonts w:ascii="Times New Roman" w:eastAsia="Calibri" w:hAnsi="Times New Roman" w:cs="Times New Roman"/>
          <w:iCs/>
          <w:sz w:val="24"/>
          <w:szCs w:val="20"/>
          <w:lang w:val="en-US"/>
        </w:rPr>
        <w:instrText>ADDIN CSL_CITATION { "citationItems" : [ { "id" : "ITEM-1", "itemData" : { "DOI" : "10.1186/gb-2010-11-7-r77", "ISSN" : "1465-6906", "PMID" : "20653936", "abstract" : "BACKGROUND: Fungal infections are an emerging health risk, especially those involving yeast that are resistant to antifungal agents. To understand the range of mechanisms by which yeasts can respond to anti-fungals, we compared gene expression patterns across three evolutionarily distant species - Saccharomyces cerevisiae, Candida glabrata and Kluyveromyces lactis - over time following fluconazole exposure.\n\nRESULTS: Conserved and diverged expression patterns were identified using a novel soft clustering algorithm that concurrently clusters data from all species while incorporating sequence orthology. The analysis suggests complementary strategies for coping with ergosterol depletion by azoles - Saccharomyces imports exogenous ergosterol, Candida exports fluconazole, while Kluyveromyces does neither, leading to extreme sensitivity. In support of this hypothesis we find that only Saccharomyces becomes more azole resistant in ergosterol-supplemented media; that this depends on sterol importers Aus1 and Pdr11; and that transgenic expression of sterol importers in Kluyveromyces alleviates its drug sensitivity.\n\nCONCLUSIONS: We have compared the dynamic transcriptional responses of three diverse yeast species to fluconazole treatment using a novel clustering algorithm. This approach revealed significant divergence among regulatory programs associated with fluconazole sensitivity. In future, such approaches might be used to survey a wider range of species, drug concentrations and stimuli to reveal conserved and divergent molecular response pathways.", "author" : [ { "dropping-particle" : "", "family" : "Kuo", "given" : "Dwight", "non-dropping-particle" : "", "parse-names" : false, "suffix" : "" }, { "dropping-particle" : "", "family" : "Tan", "given" : "Kai", "non-dropping-particle" : "", "parse-names" : false, "suffix" : "" }, { "dropping-particle" : "", "family" : "Zinman", "given" : "Guy", "non-dropping-particle" : "", "parse-names" : false, "suffix" : "" }, { "dropping-particle" : "", "family" : "Ravasi", "given" : "Timothy", "non-dropping-particle" : "", "parse-names" : false, "suffix" : "" }, { "dropping-particle" : "", "family" : "Bar-Joseph", "given" : "Ziv", "non-dropping-particle" : "", "parse-names" : false, "suffix" : "" }, { "dropping-particle" : "", "family" : "Ideker", "given" : "Trey", "non-dropping-particle" : "", "parse-names" : false, "suffix" : "" } ], "container-title" : "Genome Biology", "id" : "ITEM-1", "issue" : "7", "issued" : { "date-parts" : [ [ "2010", "1" ] ] }, "page" : "R77", "title" : "Evolutionary divergence in the fungal response to fluconazole revealed by soft clustering", "type" : "article-journal", "volume" : "11" }, "uris" : [ "http://www.mendeley.com/documents/?uuid=f1e28063-1be5-486e-bf93-80e08e6dc23e" ] } ], "mendeley" : { "formattedCitation" : "(Kuo et al., 2010)", "plainTextFormattedCitation" : "(Kuo et al., 2010)", "previouslyFormattedCitation" : "(Kuo et al., 2010)" }, "properties" : {  }, "schema" : "https://github.com/citation-style-language/schema/raw/master/csl-citation.json" }</w:instrText>
      </w:r>
      <w:r w:rsidR="00100D3F">
        <w:rPr>
          <w:rFonts w:ascii="Times New Roman" w:eastAsia="Calibri" w:hAnsi="Times New Roman" w:cs="Times New Roman"/>
          <w:iCs/>
          <w:sz w:val="24"/>
          <w:szCs w:val="20"/>
          <w:lang w:val="en-US"/>
        </w:rPr>
        <w:fldChar w:fldCharType="separate"/>
      </w:r>
      <w:r w:rsidR="00100D3F" w:rsidRPr="00100D3F">
        <w:rPr>
          <w:rFonts w:ascii="Times New Roman" w:eastAsia="Calibri" w:hAnsi="Times New Roman" w:cs="Times New Roman"/>
          <w:iCs/>
          <w:noProof/>
          <w:sz w:val="24"/>
          <w:szCs w:val="20"/>
          <w:lang w:val="en-US"/>
        </w:rPr>
        <w:t>(Kuo et al., 2010)</w:t>
      </w:r>
      <w:r w:rsidR="00100D3F">
        <w:rPr>
          <w:rFonts w:ascii="Times New Roman" w:eastAsia="Calibri" w:hAnsi="Times New Roman" w:cs="Times New Roman"/>
          <w:iCs/>
          <w:sz w:val="24"/>
          <w:szCs w:val="20"/>
          <w:lang w:val="en-US"/>
        </w:rPr>
        <w:fldChar w:fldCharType="end"/>
      </w:r>
      <w:r w:rsidR="00265427">
        <w:rPr>
          <w:rFonts w:ascii="Times New Roman" w:eastAsia="Calibri" w:hAnsi="Times New Roman" w:cs="Times New Roman"/>
          <w:iCs/>
          <w:sz w:val="24"/>
          <w:szCs w:val="20"/>
          <w:lang w:val="en-US"/>
        </w:rPr>
        <w:t xml:space="preserve"> where they studied </w:t>
      </w:r>
      <w:r w:rsidR="00B274D6">
        <w:rPr>
          <w:rFonts w:ascii="Times New Roman" w:eastAsia="Calibri" w:hAnsi="Times New Roman" w:cs="Times New Roman"/>
          <w:iCs/>
          <w:sz w:val="24"/>
          <w:szCs w:val="20"/>
          <w:lang w:val="en-US"/>
        </w:rPr>
        <w:t xml:space="preserve">a </w:t>
      </w:r>
      <w:r w:rsidR="00265427">
        <w:rPr>
          <w:rFonts w:ascii="Times New Roman" w:eastAsia="Calibri" w:hAnsi="Times New Roman" w:cs="Times New Roman"/>
          <w:iCs/>
          <w:sz w:val="24"/>
          <w:szCs w:val="20"/>
          <w:lang w:val="en-US"/>
        </w:rPr>
        <w:t>response to drugs</w:t>
      </w:r>
      <w:r w:rsidR="00100D3F">
        <w:rPr>
          <w:rFonts w:ascii="Times New Roman" w:eastAsia="Calibri" w:hAnsi="Times New Roman" w:cs="Times New Roman"/>
          <w:iCs/>
          <w:sz w:val="24"/>
          <w:szCs w:val="20"/>
          <w:lang w:val="en-US"/>
        </w:rPr>
        <w:t>.</w:t>
      </w:r>
    </w:p>
    <w:p w14:paraId="68AC0A3D" w14:textId="77777777" w:rsidR="00100D3F" w:rsidRDefault="00100D3F" w:rsidP="001F51B9">
      <w:pPr>
        <w:spacing w:line="276" w:lineRule="auto"/>
        <w:jc w:val="both"/>
        <w:rPr>
          <w:rFonts w:ascii="Times New Roman" w:eastAsia="Calibri" w:hAnsi="Times New Roman" w:cs="Times New Roman"/>
          <w:iCs/>
          <w:sz w:val="24"/>
          <w:szCs w:val="20"/>
          <w:lang w:val="en-US"/>
        </w:rPr>
      </w:pPr>
    </w:p>
    <w:p w14:paraId="4529C63A" w14:textId="386A5968" w:rsidR="00100D3F" w:rsidRPr="00100D3F" w:rsidRDefault="00100D3F" w:rsidP="00100D3F">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Calibri" w:hAnsi="Times New Roman" w:cs="Times New Roman"/>
          <w:iCs/>
          <w:sz w:val="24"/>
          <w:szCs w:val="20"/>
          <w:lang w:val="en-US"/>
        </w:rPr>
        <w:fldChar w:fldCharType="begin" w:fldLock="1"/>
      </w:r>
      <w:r>
        <w:rPr>
          <w:rFonts w:ascii="Times New Roman" w:eastAsia="Calibri" w:hAnsi="Times New Roman" w:cs="Times New Roman"/>
          <w:iCs/>
          <w:sz w:val="24"/>
          <w:szCs w:val="20"/>
          <w:lang w:val="en-US"/>
        </w:rPr>
        <w:instrText xml:space="preserve">ADDIN Mendeley Bibliography CSL_BIBLIOGRAPHY </w:instrText>
      </w:r>
      <w:r>
        <w:rPr>
          <w:rFonts w:ascii="Times New Roman" w:eastAsia="Calibri" w:hAnsi="Times New Roman" w:cs="Times New Roman"/>
          <w:iCs/>
          <w:sz w:val="24"/>
          <w:szCs w:val="20"/>
          <w:lang w:val="en-US"/>
        </w:rPr>
        <w:fldChar w:fldCharType="separate"/>
      </w:r>
      <w:r w:rsidRPr="00100D3F">
        <w:rPr>
          <w:rFonts w:ascii="Times New Roman" w:hAnsi="Times New Roman" w:cs="Times New Roman"/>
          <w:noProof/>
          <w:sz w:val="24"/>
          <w:szCs w:val="24"/>
        </w:rPr>
        <w:t xml:space="preserve">Kuo D., Tan K., Zinman G., Ravasi T., Bar-Joseph Z., Ideker T. 2010. Evolutionary divergence in the fungal response to fluconazole revealed by soft clustering. </w:t>
      </w:r>
      <w:r w:rsidRPr="00100D3F">
        <w:rPr>
          <w:rFonts w:ascii="Times New Roman" w:hAnsi="Times New Roman" w:cs="Times New Roman"/>
          <w:i/>
          <w:iCs/>
          <w:noProof/>
          <w:sz w:val="24"/>
          <w:szCs w:val="24"/>
        </w:rPr>
        <w:t>Genome Biology</w:t>
      </w:r>
      <w:r w:rsidRPr="00100D3F">
        <w:rPr>
          <w:rFonts w:ascii="Times New Roman" w:hAnsi="Times New Roman" w:cs="Times New Roman"/>
          <w:noProof/>
          <w:sz w:val="24"/>
          <w:szCs w:val="24"/>
        </w:rPr>
        <w:t xml:space="preserve"> 11:R77. DOI: 10.1186/gb-2010-11-7-r77.</w:t>
      </w:r>
    </w:p>
    <w:p w14:paraId="702424F8" w14:textId="28759D66" w:rsidR="008D2C87" w:rsidRPr="008D2C87" w:rsidRDefault="00100D3F" w:rsidP="00100D3F">
      <w:pPr>
        <w:widowControl w:val="0"/>
        <w:autoSpaceDE w:val="0"/>
        <w:autoSpaceDN w:val="0"/>
        <w:adjustRightInd w:val="0"/>
        <w:spacing w:line="240" w:lineRule="auto"/>
        <w:ind w:left="480" w:hanging="480"/>
        <w:rPr>
          <w:rFonts w:ascii="Times New Roman" w:eastAsia="Calibri" w:hAnsi="Times New Roman" w:cs="Times New Roman"/>
          <w:iCs/>
          <w:sz w:val="20"/>
          <w:szCs w:val="20"/>
          <w:lang w:val="en-US"/>
        </w:rPr>
      </w:pPr>
      <w:r w:rsidRPr="00100D3F">
        <w:rPr>
          <w:rFonts w:ascii="Times New Roman" w:hAnsi="Times New Roman" w:cs="Times New Roman"/>
          <w:noProof/>
          <w:sz w:val="24"/>
          <w:szCs w:val="24"/>
        </w:rPr>
        <w:t xml:space="preserve">Vermitsky J-P., Earhart KD., Smith WL., Homayouni R., Edlind TD., Rogers PD. 2006. Pdr1 regulates multidrug resistance in Candida glabrata: gene disruption and genome-wide expression studies. </w:t>
      </w:r>
      <w:r w:rsidRPr="00100D3F">
        <w:rPr>
          <w:rFonts w:ascii="Times New Roman" w:hAnsi="Times New Roman" w:cs="Times New Roman"/>
          <w:i/>
          <w:iCs/>
          <w:noProof/>
          <w:sz w:val="24"/>
          <w:szCs w:val="24"/>
        </w:rPr>
        <w:t>Molecular microbiology</w:t>
      </w:r>
      <w:r w:rsidRPr="00100D3F">
        <w:rPr>
          <w:rFonts w:ascii="Times New Roman" w:hAnsi="Times New Roman" w:cs="Times New Roman"/>
          <w:noProof/>
          <w:sz w:val="24"/>
          <w:szCs w:val="24"/>
        </w:rPr>
        <w:t xml:space="preserve"> 61:704–22. DOI: 10.1111/j.1365-2958.2006.05235.x.</w:t>
      </w:r>
      <w:r>
        <w:rPr>
          <w:rFonts w:ascii="Times New Roman" w:eastAsia="Calibri" w:hAnsi="Times New Roman" w:cs="Times New Roman"/>
          <w:iCs/>
          <w:sz w:val="24"/>
          <w:szCs w:val="20"/>
          <w:lang w:val="en-US"/>
        </w:rPr>
        <w:fldChar w:fldCharType="end"/>
      </w:r>
    </w:p>
    <w:sectPr w:rsidR="008D2C87" w:rsidRPr="008D2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46"/>
    <w:rsid w:val="0000115B"/>
    <w:rsid w:val="00100D3F"/>
    <w:rsid w:val="001F51B9"/>
    <w:rsid w:val="00265427"/>
    <w:rsid w:val="0028272A"/>
    <w:rsid w:val="0052050A"/>
    <w:rsid w:val="0076452D"/>
    <w:rsid w:val="00847E8E"/>
    <w:rsid w:val="008D2C87"/>
    <w:rsid w:val="009B4546"/>
    <w:rsid w:val="00AD7F07"/>
    <w:rsid w:val="00B274D6"/>
    <w:rsid w:val="00E23ABA"/>
    <w:rsid w:val="00EE00AA"/>
    <w:rsid w:val="00FC4EC8"/>
    <w:rsid w:val="00FF0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5A0C"/>
  <w15:chartTrackingRefBased/>
  <w15:docId w15:val="{54FE49DB-6890-457F-ABD1-221C0F26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4450-9D3A-4E4D-81AB-925F75A5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Tome</dc:creator>
  <cp:keywords/>
  <dc:description/>
  <cp:lastModifiedBy>Miha Tome</cp:lastModifiedBy>
  <cp:revision>6</cp:revision>
  <dcterms:created xsi:type="dcterms:W3CDTF">2018-03-27T13:41:00Z</dcterms:created>
  <dcterms:modified xsi:type="dcterms:W3CDTF">2018-04-10T21:56:00Z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98b53639-ee09-3e73-928e-139bf779f175</vt:lpwstr>
  </property>
  <property fmtid="{D5CDD505-2E9C-101B-9397-08002B2CF9AE}" pid="4" name="Mendeley Citation Style_1">
    <vt:lpwstr>http://www.zotero.org/styles/peerj</vt:lpwstr>
  </property>
  <property fmtid="{D5CDD505-2E9C-101B-9397-08002B2CF9AE}" pid="5" name="Mendeley Recent Style Id 0_1">
    <vt:lpwstr>http://www.zotero.org/styles/harvard-bournemouth-university</vt:lpwstr>
  </property>
  <property fmtid="{D5CDD505-2E9C-101B-9397-08002B2CF9AE}" pid="6" name="Mendeley Recent Style Name 0_1">
    <vt:lpwstr>Bournemouth University - Harvard</vt:lpwstr>
  </property>
  <property fmtid="{D5CDD505-2E9C-101B-9397-08002B2CF9AE}" pid="7" name="Mendeley Recent Style Id 1_1">
    <vt:lpwstr>http://csl.mendeley.com/styles/110649711/BiotehniskaENG-Harvard-unfinished</vt:lpwstr>
  </property>
  <property fmtid="{D5CDD505-2E9C-101B-9397-08002B2CF9AE}" pid="8" name="Mendeley Recent Style Name 1_1">
    <vt:lpwstr>Cape Peninsula University of Technology - Harvard - Miha Tome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 Harvard (with titles)</vt:lpwstr>
  </property>
  <property fmtid="{D5CDD505-2E9C-101B-9397-08002B2CF9AE}" pid="13" name="Mendeley Recent Style Id 4_1">
    <vt:lpwstr>http://www.zotero.org/styles/elsevier-harvard2</vt:lpwstr>
  </property>
  <property fmtid="{D5CDD505-2E9C-101B-9397-08002B2CF9AE}" pid="14" name="Mendeley Recent Style Name 4_1">
    <vt:lpwstr>Elsevier - Harvard 2</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http://www.zotero.org/styles/institute-of-physics-harvard</vt:lpwstr>
  </property>
  <property fmtid="{D5CDD505-2E9C-101B-9397-08002B2CF9AE}" pid="18" name="Mendeley Recent Style Name 6_1">
    <vt:lpwstr>Institute of Physics - Harvard</vt:lpwstr>
  </property>
  <property fmtid="{D5CDD505-2E9C-101B-9397-08002B2CF9AE}" pid="19" name="Mendeley Recent Style Id 7_1">
    <vt:lpwstr>http://www.zotero.org/styles/medical-microbiology-and-immunology</vt:lpwstr>
  </property>
  <property fmtid="{D5CDD505-2E9C-101B-9397-08002B2CF9AE}" pid="20" name="Mendeley Recent Style Name 7_1">
    <vt:lpwstr>Medical Microbiology and Immunology</vt:lpwstr>
  </property>
  <property fmtid="{D5CDD505-2E9C-101B-9397-08002B2CF9AE}" pid="21" name="Mendeley Recent Style Id 8_1">
    <vt:lpwstr>http://www.zotero.org/styles/peerj</vt:lpwstr>
  </property>
  <property fmtid="{D5CDD505-2E9C-101B-9397-08002B2CF9AE}" pid="22" name="Mendeley Recent Style Name 8_1">
    <vt:lpwstr>PeerJ</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