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A7" w:rsidRDefault="00985AA7" w:rsidP="00985AA7">
      <w:pPr>
        <w:ind w:firstLineChars="50"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17">
        <w:rPr>
          <w:rFonts w:ascii="Times New Roman" w:hAnsi="Times New Roman" w:cs="Times New Roman"/>
          <w:b/>
          <w:sz w:val="24"/>
          <w:szCs w:val="24"/>
        </w:rPr>
        <w:t xml:space="preserve">Supplemental file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63217">
        <w:rPr>
          <w:rFonts w:ascii="Times New Roman" w:hAnsi="Times New Roman" w:cs="Times New Roman"/>
          <w:b/>
          <w:sz w:val="24"/>
          <w:szCs w:val="24"/>
        </w:rPr>
        <w:t xml:space="preserve">(SF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63217">
        <w:rPr>
          <w:rFonts w:ascii="Times New Roman" w:hAnsi="Times New Roman" w:cs="Times New Roman"/>
          <w:b/>
          <w:sz w:val="24"/>
          <w:szCs w:val="24"/>
        </w:rPr>
        <w:t>):</w:t>
      </w:r>
    </w:p>
    <w:p w:rsidR="00985AA7" w:rsidRDefault="00985AA7" w:rsidP="00985AA7">
      <w:pPr>
        <w:rPr>
          <w:rFonts w:ascii="Times New Roman" w:hAnsi="Times New Roman" w:cs="Times New Roman"/>
          <w:b/>
          <w:lang w:val="en-AU"/>
        </w:rPr>
      </w:pPr>
    </w:p>
    <w:p w:rsidR="00985AA7" w:rsidRPr="00841ABA" w:rsidRDefault="00985AA7" w:rsidP="00985AA7">
      <w:pPr>
        <w:rPr>
          <w:rFonts w:ascii="Times New Roman" w:hAnsi="Times New Roman" w:cs="Times New Roman"/>
          <w:b/>
          <w:lang w:val="en-AU"/>
        </w:rPr>
      </w:pPr>
      <w:r w:rsidRPr="00841ABA">
        <w:rPr>
          <w:rFonts w:ascii="Times New Roman" w:hAnsi="Times New Roman" w:cs="Times New Roman" w:hint="eastAsia"/>
          <w:b/>
          <w:lang w:val="en-AU"/>
        </w:rPr>
        <w:t>T</w:t>
      </w:r>
      <w:r w:rsidRPr="00841ABA">
        <w:rPr>
          <w:rFonts w:ascii="Times New Roman" w:hAnsi="Times New Roman" w:cs="Times New Roman"/>
          <w:b/>
          <w:lang w:val="en-AU"/>
        </w:rPr>
        <w:t xml:space="preserve">able S2 </w:t>
      </w:r>
      <w:r w:rsidRPr="00841ABA">
        <w:rPr>
          <w:rFonts w:ascii="Times New Roman" w:hAnsi="Times New Roman" w:cs="Times New Roman"/>
          <w:lang w:val="en-AU"/>
        </w:rPr>
        <w:t>Key parameters used in the current study</w:t>
      </w:r>
      <w:bookmarkStart w:id="0" w:name="_GoBack"/>
      <w:bookmarkEnd w:id="0"/>
    </w:p>
    <w:tbl>
      <w:tblPr>
        <w:tblStyle w:val="1121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1586"/>
        <w:gridCol w:w="5704"/>
      </w:tblGrid>
      <w:tr w:rsidR="00985AA7" w:rsidRPr="008C4158" w:rsidTr="00AF70CF">
        <w:trPr>
          <w:trHeight w:val="20"/>
        </w:trPr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Parameters</w:t>
            </w:r>
          </w:p>
        </w:tc>
        <w:tc>
          <w:tcPr>
            <w:tcW w:w="10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Description</w:t>
            </w:r>
          </w:p>
        </w:tc>
        <w:tc>
          <w:tcPr>
            <w:tcW w:w="35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Computation</w:t>
            </w:r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ω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5" w:type="pct"/>
            <w:tcBorders>
              <w:top w:val="single" w:sz="12" w:space="0" w:color="auto"/>
            </w:tcBorders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A non-physical parameter that characterizes the natural climatic-soil properties</w:t>
            </w:r>
          </w:p>
        </w:tc>
        <w:tc>
          <w:tcPr>
            <w:tcW w:w="3517" w:type="pct"/>
            <w:tcBorders>
              <w:top w:val="single" w:sz="12" w:space="0" w:color="auto"/>
            </w:tcBorders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ω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=Z</m:t>
              </m:r>
              <m:f>
                <m:f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AWC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i</m:t>
                      </m:r>
                    </m:sub>
                  </m:sSub>
                </m:den>
              </m:f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+1.25</m:t>
              </m:r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, </w:t>
            </w: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Z</m:t>
              </m:r>
            </m:oMath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</w:t>
            </w:r>
            <w:proofErr w:type="gramStart"/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an</w:t>
            </w:r>
            <w:proofErr w:type="gramEnd"/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seasonality constant that captures the local precipitation pattern and hydrogeological characteristics, ranging from 1 to 30;</w:t>
            </w:r>
            <m:oMath>
              <m:r>
                <w:rPr>
                  <w:rFonts w:ascii="Cambria Math" w:eastAsia="宋体" w:hAnsi="Cambria Math"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AWC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(mm) is the volumetric plant available water content; the 1.25 term is the minimum value of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ω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;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(mm/yr) is the annual precipitation for pixel </w:t>
            </w:r>
            <w:proofErr w:type="spellStart"/>
            <m:oMath>
              <m:r>
                <m:rPr>
                  <m:nor/>
                </m:rPr>
                <w:rPr>
                  <w:rFonts w:ascii="Times New Roman" w:eastAsia="微软雅黑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</m:t>
              </m:r>
            </m:oMath>
            <w:proofErr w:type="spellEnd"/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宋体" w:hAnsi="Times New Roman"/>
                    <w:i/>
                    <w:snapToGrid w:val="0"/>
                    <w:color w:val="000000"/>
                    <w:kern w:val="0"/>
                    <w:sz w:val="18"/>
                    <w:szCs w:val="18"/>
                    <w:lang w:val="en-AU" w:eastAsia="de-DE" w:bidi="en-US"/>
                  </w:rPr>
                  <m:t>Z</m:t>
                </m:r>
              </m:oMath>
            </m:oMathPara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An empirical constant that captures the local precipitation pattern and hydrogeological characteristics</w:t>
            </w:r>
          </w:p>
        </w:tc>
        <w:tc>
          <w:tcPr>
            <w:tcW w:w="3517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Estimated as </w:t>
            </w:r>
            <m:oMath>
              <m:r>
                <m:rPr>
                  <m:nor/>
                </m:rPr>
                <w:rPr>
                  <w:rFonts w:ascii="Times New Roman" w:eastAsia="微软雅黑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0.2×N</m:t>
              </m:r>
            </m:oMath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, </w:t>
            </w:r>
            <m:oMath>
              <m:r>
                <m:rPr>
                  <m:nor/>
                </m:rPr>
                <w:rPr>
                  <w:rFonts w:ascii="Times New Roman" w:eastAsia="微软雅黑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N</m:t>
              </m:r>
            </m:oMath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where is the average number of rain days (&gt;1mm) per year over the study period </w: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bidi="en-US"/>
              </w:rPr>
              <w:t>(Donohue et al., 2012)</w: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 Hidden="1"&gt;&lt;Author&gt;Donohue&lt;/Author&gt;&lt;Year&gt;2012&lt;/Year&gt;&lt;RecNum&gt;121&lt;/RecNum&gt;&lt;record&gt;&lt;rec-number&gt;121&lt;/rec-number&gt;&lt;foreign-keys&gt;&lt;key app="EN" db-id="rt59v222hxtrw2ezx5qpx099pxdasstfefax"&gt;121&lt;/key&gt;&lt;/foreign-keys&gt;&lt;ref-type name="Journal Article"&gt;17&lt;/ref-type&gt;&lt;contributors&gt;&lt;authors&gt;&lt;author&gt;RJ Donohue&lt;/author&gt;&lt;author&gt;ML Roderick&lt;/author&gt;&lt;author&gt;TR McVicar&lt;/author&gt;&lt;/authors&gt;&lt;/contributors&gt;&lt;titles&gt;&lt;title&gt;Roots, storms and soil pores: Incorporating key ecohydrological processes into Budyko’s hydrological model&lt;/title&gt;&lt;secondary-title&gt;Journal of Hydrology&lt;/secondary-title&gt;&lt;/titles&gt;&lt;periodical&gt;&lt;full-title&gt;Journal of Hydrology&lt;/full-title&gt;&lt;/periodical&gt;&lt;pages&gt;&lt;style face="normal" font="default" size="100%"&gt;35&lt;/style&gt;&lt;style face="normal" font="default" charset="134" size="100%"&gt;-50&lt;/style&gt;&lt;/pages&gt;&lt;volume&gt;436-437&lt;/volume&gt;&lt;dates&gt;&lt;year&gt;2012&lt;/year&gt;&lt;/dates&gt;&lt;urls&gt;&lt;/urls&gt;&lt;/record&gt;&lt;/Cite&gt;&lt;/EndNote&gt;</w:instrTex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AWC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The volumetric plant available water content</w:t>
            </w:r>
          </w:p>
        </w:tc>
        <w:tc>
          <w:tcPr>
            <w:tcW w:w="3517" w:type="pct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AWC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=min(</m:t>
              </m:r>
              <w:proofErr w:type="spellStart"/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rest</m:t>
              </m:r>
              <m:r>
                <m:rPr>
                  <m:nor/>
                </m:rPr>
                <w:rPr>
                  <w:rFonts w:ascii="Cambria Math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_</m:t>
              </m:r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layer</m:t>
              </m:r>
              <m:r>
                <m:rPr>
                  <m:nor/>
                </m:rPr>
                <w:rPr>
                  <w:rFonts w:ascii="Cambria Math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_</m:t>
              </m:r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depth</m:t>
              </m:r>
              <w:proofErr w:type="spellEnd"/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, root</m:t>
              </m:r>
              <m:r>
                <m:rPr>
                  <m:nor/>
                </m:rPr>
                <w:rPr>
                  <w:rFonts w:ascii="Cambria Math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_</m:t>
              </m:r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depth)×PAWC</m:t>
              </m:r>
            </m:oMath>
            <w:r w:rsidR="00985AA7"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,</w:t>
            </w:r>
            <w:r w:rsidR="00985AA7"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PAWC</m:t>
              </m:r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(mm) is the plant available water capacity; root restricting layer depth is the soil depth at which root penetration is inhibited because of physical or chemical characteristics; vegetation rooting depth is given as the depth at which 95% of a vegetation type’s root biomass occurs</w:t>
            </w:r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Evapotranspiration coefficient for each pixel</w:t>
            </w:r>
          </w:p>
        </w:tc>
        <w:tc>
          <w:tcPr>
            <w:tcW w:w="3517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Defined according to literatures (</w: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&lt;EndNote&gt;&lt;Cite&gt;&lt;Author&gt;Wang&lt;/Author&gt;&lt;Year&gt;2016&lt;/Year&gt;&lt;RecNum&gt;165&lt;/RecNum&gt;&lt;DisplayText&gt;Wang et al. 2016&lt;/DisplayText&gt;&lt;record&gt;&lt;rec-number&gt;165&lt;/rec-number&gt;&lt;foreign-keys&gt;&lt;key app="EN" db-id="rt59v222hxtrw2ezx5qpx099pxdasstfefax"&gt;165&lt;/key&gt;&lt;/foreign-keys&gt;&lt;ref-type name="Journal Article"&gt;17&lt;/ref-type&gt;&lt;contributors&gt;&lt;authors&gt;&lt;author&gt;B Wang&lt;/author&gt;&lt;author&gt;J ZHAO&lt;/author&gt;&lt;author&gt;XF Hu&lt;/author&gt;&lt;/authors&gt;&lt;/contributors&gt;&lt;titles&gt;&lt;title&gt;Spatial pattern analysis of ecosystem services based on InVEST in Heihe river basin&lt;/title&gt;&lt;secondary-title&gt;Chinese Journal of Ecology&lt;/secondary-title&gt;&lt;/titles&gt;&lt;periodical&gt;&lt;full-title&gt;Chinese Journal of Ecology&lt;/full-title&gt;&lt;/periodical&gt;&lt;pages&gt;2783-2792&lt;/pages&gt;&lt;volume&gt;35(10)&lt;/volume&gt;&lt;dates&gt;&lt;year&gt;2016&lt;/year&gt;&lt;/dates&gt;&lt;urls&gt;&lt;/urls&gt;&lt;/record&gt;&lt;/Cite&gt;&lt;/EndNote&gt;</w:instrTex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separate"/>
            </w:r>
            <w:r w:rsidRPr="008C4158">
              <w:rPr>
                <w:rFonts w:ascii="Times New Roman" w:eastAsia="微软雅黑" w:hAnsi="Times New Roman"/>
                <w:noProof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Wang et al. 2016</w: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)</w:t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and the InVEST user’s guide (</w:t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&lt;EndNote&gt;&lt;Cite&gt;&lt;Author&gt;Sharp&lt;/Author&gt;&lt;Year&gt;2016&lt;/Year&gt;&lt;RecNum&gt;138&lt;/RecNum&gt;&lt;DisplayText&gt;Sharp et al. 2016&lt;/DisplayText&gt;&lt;record&gt;&lt;rec-number&gt;138&lt;/rec-number&gt;&lt;foreign-keys&gt;&lt;key app="EN" db-id="rt59v222hxtrw2ezx5qpx099pxdasstfefax"&gt;138&lt;/key&gt;&lt;/foreign-keys&gt;&lt;ref-type name="Book"&gt;6&lt;/ref-type&gt;&lt;contributors&gt;&lt;authors&gt;&lt;author&gt;R Sharp&lt;/author&gt;&lt;author&gt;HT Tallis&lt;/author&gt;&lt;author&gt;T Ricketts&lt;/author&gt;&lt;author&gt;AD Guerry&lt;/author&gt;&lt;/authors&gt;&lt;/contributors&gt;&lt;titles&gt;&lt;title&gt;InVEST +VERSION+ User’s Guide&lt;/title&gt;&lt;/titles&gt;&lt;dates&gt;&lt;year&gt;2016&lt;/year&gt;&lt;/dates&gt;&lt;publisher&gt;The Natural Capital Project, Stanford University, University of Minnesota, The Nature Conservancy, and World Wildlife Fund&lt;/publisher&gt;&lt;urls&gt;&lt;/urls&gt;&lt;/record&gt;&lt;/Cite&gt;&lt;/EndNote&gt;</w:instrText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separate"/>
            </w:r>
            <w:r w:rsidRPr="008C4158">
              <w:rPr>
                <w:rFonts w:ascii="Times New Roman" w:eastAsia="Arial Unicode MS" w:hAnsi="Times New Roman"/>
                <w:noProof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Sharp et al. 2016</w:t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)</w:t>
            </w:r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RPI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The runoff potential index for each pixel</w:t>
            </w:r>
          </w:p>
        </w:tc>
        <w:tc>
          <w:tcPr>
            <w:tcW w:w="3517" w:type="pct"/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RPI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</m:t>
              </m:r>
              <m:f>
                <m:f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RP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RP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a</m:t>
                      </m:r>
                    </m:sub>
                  </m:sSub>
                </m:den>
              </m:f>
            </m:oMath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,</w:t>
            </w:r>
            <w:r w:rsidR="00985AA7" w:rsidRPr="008C4158">
              <w:rPr>
                <w:rFonts w:ascii="Times New Roman" w:eastAsia="微软雅黑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RP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nutrient runoff proxy for runoff on </w:t>
            </w:r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pixel </w:t>
            </w:r>
            <w:proofErr w:type="spellStart"/>
            <w:proofErr w:type="gramStart"/>
            <m:oMath>
              <m:r>
                <m:rPr>
                  <m:nor/>
                </m:rPr>
                <w:rPr>
                  <w:rFonts w:ascii="Times New Roman" w:eastAsia="微软雅黑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</m:t>
              </m:r>
            </m:oMath>
            <w:proofErr w:type="spellEnd"/>
            <w:r w:rsidR="00985AA7"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,</w:t>
            </w:r>
            <w:proofErr w:type="gramEnd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RP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a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average </w:t>
            </w: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RP</m:t>
              </m:r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over the raster</w:t>
            </w:r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微软雅黑" w:hAnsi="Times New Roman"/>
                    <w:i/>
                    <w:snapToGrid w:val="0"/>
                    <w:color w:val="000000"/>
                    <w:kern w:val="0"/>
                    <w:sz w:val="18"/>
                    <w:szCs w:val="18"/>
                    <w:lang w:val="en-AU" w:eastAsia="de-DE" w:bidi="en-US"/>
                  </w:rPr>
                  <m:t>eff_n</m:t>
                </m:r>
              </m:oMath>
            </m:oMathPara>
          </w:p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微软雅黑" w:hAnsi="Times New Roman"/>
                    <w:i/>
                    <w:snapToGrid w:val="0"/>
                    <w:color w:val="000000"/>
                    <w:kern w:val="0"/>
                    <w:sz w:val="18"/>
                    <w:szCs w:val="18"/>
                    <w:lang w:val="en-AU" w:eastAsia="de-DE" w:bidi="en-US"/>
                  </w:rPr>
                  <m:t>eff_p</m:t>
                </m:r>
              </m:oMath>
            </m:oMathPara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The maximum retention efficiency of nitrogen and phosphorus for each LULC, varying between 0 and 1.</w:t>
            </w:r>
          </w:p>
        </w:tc>
        <w:tc>
          <w:tcPr>
            <w:tcW w:w="3517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Defined according to the </w:t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literature data and the InVEST user’s guide </w:t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bidi="en-US"/>
              </w:rPr>
              <w:t>(Sharp et al. 2016)</w:t>
            </w:r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IC</m:t>
              </m:r>
            </m:oMath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for NDR model</w:t>
            </w:r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The index of connectivity</w:t>
            </w:r>
          </w:p>
        </w:tc>
        <w:tc>
          <w:tcPr>
            <w:tcW w:w="3517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IC=</m:t>
              </m:r>
              <m:func>
                <m:func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log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10</m:t>
                      </m:r>
                    </m:sub>
                  </m:sSub>
                </m:fName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 xml:space="preserve">( </m:t>
                  </m:r>
                  <m:f>
                    <m:f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up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dn</m:t>
                          </m:r>
                        </m:sub>
                      </m:sSub>
                    </m:den>
                  </m:f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 xml:space="preserve"> )</m:t>
                  </m:r>
                </m:e>
              </m:func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,</w:t>
            </w:r>
            <w:r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up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</m:t>
              </m:r>
              <m:acc>
                <m:accPr>
                  <m:chr m:val="̅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S</m:t>
                  </m:r>
                </m:e>
              </m:acc>
              <m:rad>
                <m:radPr>
                  <m:degHide m:val="1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A</m:t>
                  </m:r>
                </m:e>
              </m:rad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,  D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dn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oMath>
            <w:r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,</w:t>
            </w:r>
            <w:r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S</m:t>
                  </m:r>
                </m:e>
              </m:acc>
            </m:oMath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(m/m) is the average slope gradient of the upslope contributing area and </w:t>
            </w: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A</m:t>
              </m:r>
            </m:oMath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(m</w: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vertAlign w:val="superscript"/>
                <w:lang w:val="en-AU" w:eastAsia="de-DE" w:bidi="en-US"/>
              </w:rPr>
              <w:t>2</w: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) is the upslope contributing area,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(m) is the length of the flow path along the</w:t>
            </w:r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pixel </w:t>
            </w:r>
            <w:proofErr w:type="spellStart"/>
            <m:oMath>
              <m:r>
                <m:rPr>
                  <m:nor/>
                </m:rPr>
                <w:rPr>
                  <w:rFonts w:ascii="Times New Roman" w:eastAsia="微软雅黑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</m:t>
              </m:r>
            </m:oMath>
            <w:proofErr w:type="spellEnd"/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usle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The amount of annual soil loss on each pixel</w:t>
            </w:r>
          </w:p>
        </w:tc>
        <w:tc>
          <w:tcPr>
            <w:tcW w:w="3517" w:type="pct"/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usle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LS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,</w:t>
            </w:r>
            <w:r w:rsidR="00985AA7"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where,</w:t>
            </w:r>
            <w:r w:rsidR="00985AA7"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(</w:t>
            </w:r>
            <w:proofErr w:type="spellStart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MJ·mm</w:t>
            </w:r>
            <w:proofErr w:type="spellEnd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·(</w:t>
            </w:r>
            <w:proofErr w:type="spellStart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ha·hr</w:t>
            </w:r>
            <w:proofErr w:type="spellEnd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)</w:t>
            </w:r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vertAlign w:val="superscript"/>
                <w:lang w:val="en-AU" w:eastAsia="de-DE" w:bidi="en-US"/>
              </w:rPr>
              <w:t>-1</w:t>
            </w:r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) is the rainfall erosivity,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(</w:t>
            </w:r>
            <w:proofErr w:type="spellStart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ton·ha·hr</w:t>
            </w:r>
            <w:proofErr w:type="spellEnd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·(</w:t>
            </w:r>
            <w:proofErr w:type="spellStart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MJ·ha·mm</w:t>
            </w:r>
            <w:proofErr w:type="spellEnd"/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)</w:t>
            </w:r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vertAlign w:val="superscript"/>
                <w:lang w:val="en-AU" w:eastAsia="de-DE" w:bidi="en-US"/>
              </w:rPr>
              <w:t>-1</w:t>
            </w:r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) is the soil erodibility,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LS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slope length-gradient factor,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crop-management factor, and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="00985AA7"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support practice factor</w:t>
            </w:r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IC</m:t>
              </m:r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for SDR model</w:t>
            </w:r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The index of connectivity</w:t>
            </w:r>
          </w:p>
        </w:tc>
        <w:tc>
          <w:tcPr>
            <w:tcW w:w="3517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IC=</m:t>
              </m:r>
              <m:func>
                <m:func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log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宋体" w:hAnsi="Times New Roman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  <m:t>10</m:t>
                      </m:r>
                    </m:sub>
                  </m:sSub>
                </m:fName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 xml:space="preserve">( </m:t>
                  </m:r>
                  <m:f>
                    <m:f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up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dn</m:t>
                          </m:r>
                        </m:sub>
                      </m:sSub>
                    </m:den>
                  </m:f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 xml:space="preserve"> )</m:t>
                  </m:r>
                </m:e>
              </m:func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up</m:t>
                  </m:r>
                </m:sub>
              </m:sSub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upslope component defined as: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up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</m:t>
              </m:r>
              <m:acc>
                <m:accPr>
                  <m:chr m:val="̅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C</m:t>
                  </m:r>
                </m:e>
              </m:acc>
              <m:acc>
                <m:accPr>
                  <m:chr m:val="̅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S</m:t>
                  </m:r>
                </m:e>
              </m:acc>
              <m:rad>
                <m:radPr>
                  <m:degHide m:val="1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A</m:t>
                  </m:r>
                </m:e>
              </m:rad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,</w:t>
            </w:r>
            <w:r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where, </w:t>
            </w:r>
            <m:oMath>
              <m:r>
                <m:rPr>
                  <m:sty m:val="p"/>
                </m:rPr>
                <w:rPr>
                  <w:rFonts w:ascii="Cambria Math" w:eastAsia="宋体" w:hAnsi="Cambria Math"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C</m:t>
                  </m:r>
                </m:e>
              </m:acc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average </w:t>
            </w: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C</m:t>
              </m:r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factor of the upslope contributing area, </w:t>
            </w:r>
            <m:oMath>
              <m:acc>
                <m:accPr>
                  <m:chr m:val="̅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S</m:t>
                  </m:r>
                </m:e>
              </m:acc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(m/m) is the average slope gradient of the upslope contributing area and </w:t>
            </w: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A</m:t>
              </m:r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(m</w:t>
            </w:r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vertAlign w:val="superscript"/>
                <w:lang w:val="en-AU" w:eastAsia="de-DE" w:bidi="en-US"/>
              </w:rPr>
              <w:t>2</w:t>
            </w:r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) is the upslope contributing area</w:t>
            </w:r>
          </w:p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and,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dn</m:t>
                  </m:r>
                </m:sub>
              </m:sSub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is the downslope component defined as: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dn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="宋体" w:hAnsi="Cambria Math"/>
                          <w:i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AU" w:eastAsia="de-DE" w:bidi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/>
                              <w:i/>
                              <w:snapToGrid w:val="0"/>
                              <w:color w:val="000000"/>
                              <w:kern w:val="0"/>
                              <w:sz w:val="18"/>
                              <w:szCs w:val="18"/>
                              <w:lang w:val="en-AU" w:eastAsia="de-DE" w:bidi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, where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</m:sub>
              </m:sSub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are the </w:t>
            </w:r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C</m:t>
              </m:r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 factor and the slope gradient on pixel </w:t>
            </w:r>
            <w:proofErr w:type="spellStart"/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</m:t>
              </m:r>
            </m:oMath>
            <w:proofErr w:type="spellEnd"/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d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Times New Roman" w:eastAsia="宋体" w:hAnsi="Times New Roman"/>
                      <w:i/>
                      <w:snapToGrid w:val="0"/>
                      <w:color w:val="000000"/>
                      <w:kern w:val="0"/>
                      <w:sz w:val="18"/>
                      <w:szCs w:val="18"/>
                      <w:lang w:val="en-AU" w:eastAsia="de-DE" w:bidi="en-US"/>
                    </w:rPr>
                    <m:t>i</m:t>
                  </m:r>
                  <w:proofErr w:type="spellEnd"/>
                </m:sub>
              </m:sSub>
            </m:oMath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(m) is the length of the flow path along the pixel </w:t>
            </w:r>
            <w:proofErr w:type="spellStart"/>
            <m:oMath>
              <m:r>
                <m:rPr>
                  <m:nor/>
                </m:rPr>
                <w:rPr>
                  <w:rFonts w:ascii="Times New Roman" w:eastAsia="宋体" w:hAnsi="Times New Roman"/>
                  <w:i/>
                  <w:snapToGrid w:val="0"/>
                  <w:color w:val="000000"/>
                  <w:kern w:val="0"/>
                  <w:sz w:val="18"/>
                  <w:szCs w:val="18"/>
                  <w:lang w:val="en-AU" w:eastAsia="de-DE" w:bidi="en-US"/>
                </w:rPr>
                <m:t>i</m:t>
              </m:r>
            </m:oMath>
            <w:proofErr w:type="spellEnd"/>
          </w:p>
        </w:tc>
      </w:tr>
      <w:tr w:rsidR="00985AA7" w:rsidRPr="008C4158" w:rsidTr="00AF70CF">
        <w:trPr>
          <w:trHeight w:val="20"/>
        </w:trPr>
        <w:tc>
          <w:tcPr>
            <w:tcW w:w="448" w:type="pct"/>
            <w:vAlign w:val="center"/>
          </w:tcPr>
          <w:p w:rsidR="00985AA7" w:rsidRPr="008C4158" w:rsidRDefault="008B47E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SDR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宋体" w:hAnsi="Times New Roman"/>
                        <w:i/>
                        <w:snapToGrid w:val="0"/>
                        <w:color w:val="000000"/>
                        <w:kern w:val="0"/>
                        <w:sz w:val="18"/>
                        <w:szCs w:val="18"/>
                        <w:lang w:val="en-AU" w:eastAsia="de-DE" w:bidi="en-US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035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The maximum theoretical </w:t>
            </w:r>
            <w:r w:rsidRPr="008C4158">
              <w:rPr>
                <w:rFonts w:ascii="Times New Roman" w:eastAsia="宋体" w:hAnsi="Times New Roman"/>
                <w:i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SDR</w:t>
            </w:r>
          </w:p>
        </w:tc>
        <w:tc>
          <w:tcPr>
            <w:tcW w:w="3517" w:type="pct"/>
            <w:vAlign w:val="center"/>
          </w:tcPr>
          <w:p w:rsidR="00985AA7" w:rsidRPr="008C4158" w:rsidRDefault="00985AA7" w:rsidP="00AF70CF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微软雅黑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 xml:space="preserve">Defined as 0.8 according to the </w:t>
            </w:r>
            <w:r w:rsidRPr="008C4158">
              <w:rPr>
                <w:rFonts w:ascii="Times New Roman" w:eastAsia="Arial Unicode MS" w:hAnsi="Times New Roman"/>
                <w:snapToGrid w:val="0"/>
                <w:color w:val="000000"/>
                <w:kern w:val="0"/>
                <w:sz w:val="18"/>
                <w:szCs w:val="18"/>
                <w:lang w:val="en-AU" w:eastAsia="de-DE" w:bidi="en-US"/>
              </w:rPr>
              <w:t>InVEST user’s guide</w:t>
            </w:r>
          </w:p>
        </w:tc>
      </w:tr>
    </w:tbl>
    <w:p w:rsidR="000C5277" w:rsidRPr="00985AA7" w:rsidRDefault="000C5277"/>
    <w:sectPr w:rsidR="000C5277" w:rsidRPr="0098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7E7" w:rsidRDefault="008B47E7" w:rsidP="00841ABA">
      <w:r>
        <w:separator/>
      </w:r>
    </w:p>
  </w:endnote>
  <w:endnote w:type="continuationSeparator" w:id="0">
    <w:p w:rsidR="008B47E7" w:rsidRDefault="008B47E7" w:rsidP="0084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7E7" w:rsidRDefault="008B47E7" w:rsidP="00841ABA">
      <w:r>
        <w:separator/>
      </w:r>
    </w:p>
  </w:footnote>
  <w:footnote w:type="continuationSeparator" w:id="0">
    <w:p w:rsidR="008B47E7" w:rsidRDefault="008B47E7" w:rsidP="0084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7"/>
    <w:rsid w:val="000C5277"/>
    <w:rsid w:val="00841ABA"/>
    <w:rsid w:val="008B47E7"/>
    <w:rsid w:val="009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E0C73-9E2C-4D0E-ABB1-DE159251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21">
    <w:name w:val="网格型1121"/>
    <w:basedOn w:val="a1"/>
    <w:next w:val="a3"/>
    <w:uiPriority w:val="39"/>
    <w:rsid w:val="00985AA7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1A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1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1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2018-05-23T04:43:00Z</dcterms:created>
  <dcterms:modified xsi:type="dcterms:W3CDTF">2018-05-23T04:53:00Z</dcterms:modified>
</cp:coreProperties>
</file>