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A26" w:rsidRDefault="00762A26">
      <w:pPr>
        <w:suppressLineNumbers/>
        <w:spacing w:line="480" w:lineRule="auto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jc w:val="center"/>
        <w:tblLook w:val="0000" w:firstRow="0" w:lastRow="0" w:firstColumn="0" w:lastColumn="0" w:noHBand="0" w:noVBand="0"/>
      </w:tblPr>
      <w:tblGrid>
        <w:gridCol w:w="1098"/>
        <w:gridCol w:w="800"/>
        <w:gridCol w:w="801"/>
        <w:gridCol w:w="1066"/>
        <w:gridCol w:w="878"/>
        <w:gridCol w:w="1038"/>
        <w:gridCol w:w="1038"/>
        <w:gridCol w:w="1038"/>
        <w:gridCol w:w="1038"/>
        <w:gridCol w:w="1059"/>
      </w:tblGrid>
      <w:tr w:rsidR="00762A26" w:rsidTr="001D1062">
        <w:trPr>
          <w:trHeight w:val="1820"/>
          <w:jc w:val="center"/>
        </w:trPr>
        <w:tc>
          <w:tcPr>
            <w:tcW w:w="1099" w:type="dxa"/>
            <w:textDirection w:val="tbRl"/>
          </w:tcPr>
          <w:p w:rsidR="00762A26" w:rsidRDefault="00762A26">
            <w:pPr>
              <w:suppressLineNumbers/>
              <w:spacing w:line="480" w:lineRule="auto"/>
              <w:ind w:left="113" w:right="113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628" w:type="dxa"/>
            <w:textDirection w:val="tbRl"/>
          </w:tcPr>
          <w:p w:rsidR="00762A26" w:rsidRDefault="00882627" w:rsidP="001D1062">
            <w:pPr>
              <w:suppressLineNumbers/>
              <w:spacing w:line="480" w:lineRule="auto"/>
              <w:ind w:left="113" w:right="113"/>
              <w:jc w:val="center"/>
              <w:rPr>
                <w:rFonts w:ascii="Times New Roman" w:hAnsi="Times New Roman" w:cs="Lucida Sans Unicode"/>
                <w:color w:val="222222"/>
                <w:shd w:val="clear" w:color="auto" w:fill="FFFFFF"/>
              </w:rPr>
            </w:pPr>
            <w:r>
              <w:rPr>
                <w:rFonts w:ascii="Cambria Math" w:hAnsi="Cambria Math" w:cs="Cambria Math"/>
                <w:color w:val="222222"/>
                <w:shd w:val="clear" w:color="auto" w:fill="FFFFFF"/>
              </w:rPr>
              <w:t>∠</w:t>
            </w:r>
            <w:r w:rsidR="000F1835">
              <w:rPr>
                <w:rFonts w:ascii="Cambria Math" w:hAnsi="Cambria Math" w:cs="Cambria Math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Lucida Sans Unicode"/>
                <w:color w:val="222222"/>
                <w:shd w:val="clear" w:color="auto" w:fill="FFFFFF"/>
              </w:rPr>
              <w:t xml:space="preserve">nI.nI </w:t>
            </w:r>
            <w:r w:rsidRPr="001D1062">
              <w:rPr>
                <w:rFonts w:ascii="Times New Roman" w:hAnsi="Times New Roman" w:cs="Lucida Sans Unicode"/>
                <w:color w:val="222222"/>
                <w:shd w:val="clear" w:color="auto" w:fill="FFFFFF"/>
              </w:rPr>
              <w:t>(</w:t>
            </w:r>
            <w:r w:rsidR="001D1062" w:rsidRPr="001D106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º</w:t>
            </w:r>
            <w:r w:rsidRPr="001D1062">
              <w:rPr>
                <w:rFonts w:ascii="Times New Roman" w:hAnsi="Times New Roman" w:cs="Lucida Sans Unicode"/>
                <w:color w:val="222222"/>
                <w:shd w:val="clear" w:color="auto" w:fill="FFFFFF"/>
              </w:rPr>
              <w:t>)</w:t>
            </w:r>
          </w:p>
        </w:tc>
        <w:tc>
          <w:tcPr>
            <w:tcW w:w="802" w:type="dxa"/>
            <w:textDirection w:val="tbRl"/>
          </w:tcPr>
          <w:p w:rsidR="00762A26" w:rsidRDefault="00882627">
            <w:pPr>
              <w:suppressLineNumbers/>
              <w:spacing w:line="480" w:lineRule="auto"/>
              <w:ind w:left="113" w:right="113"/>
              <w:jc w:val="center"/>
              <w:rPr>
                <w:rFonts w:ascii="Times New Roman" w:hAnsi="Times New Roman" w:cs="Lucida Sans Unicode"/>
                <w:color w:val="222222"/>
                <w:shd w:val="clear" w:color="auto" w:fill="FFFFFF"/>
              </w:rPr>
            </w:pPr>
            <w:r>
              <w:rPr>
                <w:rFonts w:ascii="Cambria Math" w:hAnsi="Cambria Math" w:cs="Cambria Math"/>
                <w:color w:val="222222"/>
                <w:shd w:val="clear" w:color="auto" w:fill="FFFFFF"/>
              </w:rPr>
              <w:t>∠</w:t>
            </w:r>
            <w:r w:rsidR="000F1835">
              <w:rPr>
                <w:rFonts w:ascii="Cambria Math" w:hAnsi="Cambria Math" w:cs="Cambria Math"/>
                <w:color w:val="222222"/>
                <w:shd w:val="clear" w:color="auto" w:fill="FFFFFF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Lucida Sans Unicode"/>
                <w:color w:val="222222"/>
                <w:shd w:val="clear" w:color="auto" w:fill="FFFFFF"/>
              </w:rPr>
              <w:t>nI.Tel (</w:t>
            </w:r>
            <w:r w:rsidR="001D106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º</w:t>
            </w:r>
            <w:r>
              <w:rPr>
                <w:rFonts w:ascii="Times New Roman" w:hAnsi="Times New Roman" w:cs="Lucida Sans Unicode"/>
                <w:color w:val="222222"/>
                <w:shd w:val="clear" w:color="auto" w:fill="FFFFFF"/>
              </w:rPr>
              <w:t>)</w:t>
            </w:r>
          </w:p>
        </w:tc>
        <w:tc>
          <w:tcPr>
            <w:tcW w:w="1067" w:type="dxa"/>
            <w:textDirection w:val="tbRl"/>
          </w:tcPr>
          <w:p w:rsidR="00762A26" w:rsidRDefault="00882627">
            <w:pPr>
              <w:suppressLineNumbers/>
              <w:spacing w:line="48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na.Tel (mm)</w:t>
            </w:r>
          </w:p>
        </w:tc>
        <w:tc>
          <w:tcPr>
            <w:tcW w:w="878" w:type="dxa"/>
            <w:textDirection w:val="tbRl"/>
          </w:tcPr>
          <w:p w:rsidR="00762A26" w:rsidRDefault="00882627">
            <w:pPr>
              <w:suppressLineNumbers/>
              <w:spacing w:line="48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na.b,olf (mm)</w:t>
            </w:r>
          </w:p>
        </w:tc>
        <w:tc>
          <w:tcPr>
            <w:tcW w:w="1039" w:type="dxa"/>
            <w:textDirection w:val="tbRl"/>
          </w:tcPr>
          <w:p w:rsidR="00762A26" w:rsidRDefault="00882627">
            <w:pPr>
              <w:suppressLineNumbers/>
              <w:spacing w:line="48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D.nI (mm)</w:t>
            </w:r>
          </w:p>
        </w:tc>
        <w:tc>
          <w:tcPr>
            <w:tcW w:w="1039" w:type="dxa"/>
            <w:textDirection w:val="tbRl"/>
          </w:tcPr>
          <w:p w:rsidR="00762A26" w:rsidRDefault="00882627">
            <w:pPr>
              <w:suppressLineNumbers/>
              <w:spacing w:line="48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nII.wid (mm)</w:t>
            </w:r>
          </w:p>
        </w:tc>
        <w:tc>
          <w:tcPr>
            <w:tcW w:w="1039" w:type="dxa"/>
            <w:textDirection w:val="tbRl"/>
          </w:tcPr>
          <w:p w:rsidR="00762A26" w:rsidRDefault="00882627">
            <w:pPr>
              <w:suppressLineNumbers/>
              <w:spacing w:line="48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nII.dep (mm)</w:t>
            </w:r>
          </w:p>
        </w:tc>
        <w:tc>
          <w:tcPr>
            <w:tcW w:w="1039" w:type="dxa"/>
            <w:textDirection w:val="tbRl"/>
          </w:tcPr>
          <w:p w:rsidR="00762A26" w:rsidRDefault="00882627">
            <w:pPr>
              <w:suppressLineNumbers/>
              <w:spacing w:line="48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d.end.wid (mm)</w:t>
            </w:r>
          </w:p>
        </w:tc>
        <w:tc>
          <w:tcPr>
            <w:tcW w:w="1060" w:type="dxa"/>
            <w:textDirection w:val="tbRl"/>
          </w:tcPr>
          <w:p w:rsidR="00762A26" w:rsidRDefault="00882627">
            <w:pPr>
              <w:suppressLineNumbers/>
              <w:spacing w:line="48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d.end.dep (mm)</w:t>
            </w:r>
          </w:p>
        </w:tc>
      </w:tr>
      <w:tr w:rsidR="00762A26" w:rsidTr="001D1062">
        <w:trPr>
          <w:trHeight w:val="384"/>
          <w:jc w:val="center"/>
        </w:trPr>
        <w:tc>
          <w:tcPr>
            <w:tcW w:w="1099" w:type="dxa"/>
          </w:tcPr>
          <w:p w:rsidR="00762A26" w:rsidRPr="00882627" w:rsidRDefault="00882627">
            <w:pPr>
              <w:suppressLineNumbers/>
              <w:spacing w:line="480" w:lineRule="auto"/>
              <w:rPr>
                <w:rFonts w:ascii="Times New Roman" w:hAnsi="Times New Roman"/>
                <w:color w:val="000000"/>
                <w:sz w:val="22"/>
              </w:rPr>
            </w:pPr>
            <w:r w:rsidRPr="00882627">
              <w:rPr>
                <w:rFonts w:ascii="Times New Roman" w:hAnsi="Times New Roman"/>
                <w:color w:val="000000"/>
                <w:sz w:val="22"/>
              </w:rPr>
              <w:t>NHMUK PV P56035</w:t>
            </w:r>
          </w:p>
        </w:tc>
        <w:tc>
          <w:tcPr>
            <w:tcW w:w="628" w:type="dxa"/>
          </w:tcPr>
          <w:p w:rsidR="00762A26" w:rsidRPr="00882627" w:rsidRDefault="00882627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82627">
              <w:rPr>
                <w:rFonts w:ascii="Times New Roman" w:hAnsi="Times New Roman"/>
                <w:color w:val="000000"/>
                <w:sz w:val="22"/>
              </w:rPr>
              <w:t>73</w:t>
            </w:r>
          </w:p>
        </w:tc>
        <w:tc>
          <w:tcPr>
            <w:tcW w:w="802" w:type="dxa"/>
          </w:tcPr>
          <w:p w:rsidR="00762A26" w:rsidRPr="00882627" w:rsidRDefault="00882627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82627">
              <w:rPr>
                <w:rFonts w:ascii="Times New Roman" w:hAnsi="Times New Roman"/>
                <w:color w:val="000000"/>
                <w:sz w:val="22"/>
              </w:rPr>
              <w:t>R: 46,</w:t>
            </w:r>
          </w:p>
          <w:p w:rsidR="00762A26" w:rsidRPr="00882627" w:rsidRDefault="00882627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82627">
              <w:rPr>
                <w:rFonts w:ascii="Times New Roman" w:hAnsi="Times New Roman"/>
                <w:color w:val="000000"/>
                <w:sz w:val="22"/>
              </w:rPr>
              <w:t>L: 30</w:t>
            </w:r>
          </w:p>
        </w:tc>
        <w:tc>
          <w:tcPr>
            <w:tcW w:w="1067" w:type="dxa"/>
          </w:tcPr>
          <w:p w:rsidR="00762A26" w:rsidRPr="00882627" w:rsidRDefault="00882627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82627">
              <w:rPr>
                <w:rFonts w:ascii="Times New Roman" w:hAnsi="Times New Roman"/>
                <w:color w:val="000000"/>
                <w:sz w:val="22"/>
              </w:rPr>
              <w:t>R: 13.18, L: 12.50</w:t>
            </w:r>
          </w:p>
        </w:tc>
        <w:tc>
          <w:tcPr>
            <w:tcW w:w="878" w:type="dxa"/>
          </w:tcPr>
          <w:p w:rsidR="00762A26" w:rsidRPr="00882627" w:rsidRDefault="00882627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82627">
              <w:rPr>
                <w:rFonts w:ascii="Times New Roman" w:hAnsi="Times New Roman"/>
                <w:color w:val="000000"/>
                <w:sz w:val="22"/>
              </w:rPr>
              <w:t>R: 7.30,</w:t>
            </w:r>
          </w:p>
          <w:p w:rsidR="00762A26" w:rsidRPr="00882627" w:rsidRDefault="00882627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82627">
              <w:rPr>
                <w:rFonts w:ascii="Times New Roman" w:hAnsi="Times New Roman"/>
                <w:color w:val="000000"/>
                <w:sz w:val="22"/>
              </w:rPr>
              <w:t>L: 7.01</w:t>
            </w:r>
          </w:p>
        </w:tc>
        <w:tc>
          <w:tcPr>
            <w:tcW w:w="1039" w:type="dxa"/>
          </w:tcPr>
          <w:p w:rsidR="00762A26" w:rsidRPr="00882627" w:rsidRDefault="00882627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82627">
              <w:rPr>
                <w:rFonts w:ascii="Times New Roman" w:hAnsi="Times New Roman"/>
                <w:color w:val="000000"/>
                <w:sz w:val="22"/>
              </w:rPr>
              <w:t>R: 2.51,</w:t>
            </w:r>
          </w:p>
          <w:p w:rsidR="00762A26" w:rsidRPr="00882627" w:rsidRDefault="00882627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82627">
              <w:rPr>
                <w:rFonts w:ascii="Times New Roman" w:hAnsi="Times New Roman"/>
                <w:color w:val="000000"/>
                <w:sz w:val="22"/>
              </w:rPr>
              <w:t>L: 2.44</w:t>
            </w:r>
          </w:p>
        </w:tc>
        <w:tc>
          <w:tcPr>
            <w:tcW w:w="1039" w:type="dxa"/>
          </w:tcPr>
          <w:p w:rsidR="00762A26" w:rsidRPr="00882627" w:rsidRDefault="00882627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82627">
              <w:rPr>
                <w:rFonts w:ascii="Times New Roman" w:hAnsi="Times New Roman"/>
                <w:color w:val="000000"/>
                <w:sz w:val="22"/>
              </w:rPr>
              <w:t>1.52</w:t>
            </w:r>
          </w:p>
        </w:tc>
        <w:tc>
          <w:tcPr>
            <w:tcW w:w="1039" w:type="dxa"/>
          </w:tcPr>
          <w:p w:rsidR="00762A26" w:rsidRPr="00882627" w:rsidRDefault="00882627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82627">
              <w:rPr>
                <w:rFonts w:ascii="Times New Roman" w:hAnsi="Times New Roman"/>
                <w:color w:val="000000"/>
                <w:sz w:val="22"/>
              </w:rPr>
              <w:t>2.15</w:t>
            </w:r>
          </w:p>
        </w:tc>
        <w:tc>
          <w:tcPr>
            <w:tcW w:w="1039" w:type="dxa"/>
          </w:tcPr>
          <w:p w:rsidR="00762A26" w:rsidRPr="00882627" w:rsidRDefault="00882627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82627">
              <w:rPr>
                <w:rFonts w:ascii="Times New Roman" w:hAnsi="Times New Roman"/>
                <w:color w:val="000000"/>
                <w:sz w:val="22"/>
              </w:rPr>
              <w:t>R: 1.70,</w:t>
            </w:r>
          </w:p>
          <w:p w:rsidR="00762A26" w:rsidRPr="00882627" w:rsidRDefault="00882627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82627">
              <w:rPr>
                <w:rFonts w:ascii="Times New Roman" w:hAnsi="Times New Roman"/>
                <w:color w:val="000000"/>
                <w:sz w:val="22"/>
              </w:rPr>
              <w:t>L: 2.03</w:t>
            </w:r>
          </w:p>
        </w:tc>
        <w:tc>
          <w:tcPr>
            <w:tcW w:w="1060" w:type="dxa"/>
          </w:tcPr>
          <w:p w:rsidR="00762A26" w:rsidRPr="00882627" w:rsidRDefault="00882627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82627">
              <w:rPr>
                <w:rFonts w:ascii="Times New Roman" w:hAnsi="Times New Roman"/>
                <w:color w:val="000000"/>
                <w:sz w:val="22"/>
              </w:rPr>
              <w:t>R: 2.27,</w:t>
            </w:r>
          </w:p>
          <w:p w:rsidR="00762A26" w:rsidRPr="00882627" w:rsidRDefault="00882627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82627">
              <w:rPr>
                <w:rFonts w:ascii="Times New Roman" w:hAnsi="Times New Roman"/>
                <w:color w:val="000000"/>
                <w:sz w:val="22"/>
              </w:rPr>
              <w:t>L: 2.42</w:t>
            </w:r>
          </w:p>
        </w:tc>
      </w:tr>
      <w:tr w:rsidR="00762A26" w:rsidTr="001D1062">
        <w:trPr>
          <w:trHeight w:val="384"/>
          <w:jc w:val="center"/>
        </w:trPr>
        <w:tc>
          <w:tcPr>
            <w:tcW w:w="1099" w:type="dxa"/>
          </w:tcPr>
          <w:p w:rsidR="00762A26" w:rsidRPr="00882627" w:rsidRDefault="00882627">
            <w:pPr>
              <w:suppressLineNumbers/>
              <w:spacing w:line="480" w:lineRule="auto"/>
              <w:rPr>
                <w:rFonts w:ascii="Times New Roman" w:hAnsi="Times New Roman"/>
                <w:color w:val="000000"/>
                <w:sz w:val="22"/>
              </w:rPr>
            </w:pPr>
            <w:r w:rsidRPr="00882627">
              <w:rPr>
                <w:rFonts w:ascii="Times New Roman" w:hAnsi="Times New Roman"/>
                <w:color w:val="000000"/>
                <w:sz w:val="22"/>
              </w:rPr>
              <w:t>NHMUK PV P56038</w:t>
            </w:r>
          </w:p>
        </w:tc>
        <w:tc>
          <w:tcPr>
            <w:tcW w:w="628" w:type="dxa"/>
          </w:tcPr>
          <w:p w:rsidR="00762A26" w:rsidRPr="00882627" w:rsidRDefault="00882627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82627">
              <w:rPr>
                <w:rFonts w:ascii="Times New Roman" w:hAnsi="Times New Roman"/>
                <w:color w:val="000000"/>
                <w:sz w:val="22"/>
              </w:rPr>
              <w:t>51</w:t>
            </w:r>
          </w:p>
        </w:tc>
        <w:tc>
          <w:tcPr>
            <w:tcW w:w="802" w:type="dxa"/>
          </w:tcPr>
          <w:p w:rsidR="00762A26" w:rsidRPr="00882627" w:rsidRDefault="00882627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82627">
              <w:rPr>
                <w:rFonts w:ascii="Times New Roman" w:hAnsi="Times New Roman"/>
                <w:color w:val="000000"/>
                <w:sz w:val="22"/>
              </w:rPr>
              <w:t>R: 29,</w:t>
            </w:r>
          </w:p>
          <w:p w:rsidR="00762A26" w:rsidRPr="00882627" w:rsidRDefault="00882627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82627">
              <w:rPr>
                <w:rFonts w:ascii="Times New Roman" w:hAnsi="Times New Roman"/>
                <w:color w:val="000000"/>
                <w:sz w:val="22"/>
              </w:rPr>
              <w:t>L: 16</w:t>
            </w:r>
          </w:p>
        </w:tc>
        <w:tc>
          <w:tcPr>
            <w:tcW w:w="1067" w:type="dxa"/>
          </w:tcPr>
          <w:p w:rsidR="00762A26" w:rsidRPr="00882627" w:rsidRDefault="00882627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82627">
              <w:rPr>
                <w:rFonts w:ascii="Times New Roman" w:hAnsi="Times New Roman"/>
                <w:color w:val="000000"/>
                <w:sz w:val="22"/>
              </w:rPr>
              <w:t>R: 15.14,</w:t>
            </w:r>
          </w:p>
          <w:p w:rsidR="00762A26" w:rsidRPr="00882627" w:rsidRDefault="00882627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82627">
              <w:rPr>
                <w:rFonts w:ascii="Times New Roman" w:hAnsi="Times New Roman"/>
                <w:color w:val="000000"/>
                <w:sz w:val="22"/>
              </w:rPr>
              <w:t>L: 15.49</w:t>
            </w:r>
          </w:p>
        </w:tc>
        <w:tc>
          <w:tcPr>
            <w:tcW w:w="878" w:type="dxa"/>
          </w:tcPr>
          <w:p w:rsidR="00762A26" w:rsidRPr="00882627" w:rsidRDefault="00882627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82627">
              <w:rPr>
                <w:rFonts w:ascii="Times New Roman" w:hAnsi="Times New Roman"/>
                <w:color w:val="000000"/>
                <w:sz w:val="22"/>
              </w:rPr>
              <w:t>R: 9.90,</w:t>
            </w:r>
          </w:p>
          <w:p w:rsidR="00762A26" w:rsidRPr="00882627" w:rsidRDefault="00882627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82627">
              <w:rPr>
                <w:rFonts w:ascii="Times New Roman" w:hAnsi="Times New Roman"/>
                <w:color w:val="000000"/>
                <w:sz w:val="22"/>
              </w:rPr>
              <w:t>L: 9.55</w:t>
            </w:r>
          </w:p>
        </w:tc>
        <w:tc>
          <w:tcPr>
            <w:tcW w:w="1039" w:type="dxa"/>
          </w:tcPr>
          <w:p w:rsidR="00762A26" w:rsidRPr="00882627" w:rsidRDefault="00882627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82627">
              <w:rPr>
                <w:rFonts w:ascii="Times New Roman" w:hAnsi="Times New Roman"/>
                <w:color w:val="000000"/>
                <w:sz w:val="22"/>
              </w:rPr>
              <w:t>R:2.85,</w:t>
            </w:r>
          </w:p>
          <w:p w:rsidR="00762A26" w:rsidRPr="00882627" w:rsidRDefault="00882627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82627">
              <w:rPr>
                <w:rFonts w:ascii="Times New Roman" w:hAnsi="Times New Roman"/>
                <w:color w:val="000000"/>
                <w:sz w:val="22"/>
              </w:rPr>
              <w:t>L: 2.52</w:t>
            </w:r>
          </w:p>
        </w:tc>
        <w:tc>
          <w:tcPr>
            <w:tcW w:w="1039" w:type="dxa"/>
          </w:tcPr>
          <w:p w:rsidR="00762A26" w:rsidRPr="00882627" w:rsidRDefault="00882627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82627">
              <w:rPr>
                <w:rFonts w:ascii="Times New Roman" w:hAnsi="Times New Roman"/>
                <w:color w:val="000000"/>
                <w:sz w:val="22"/>
              </w:rPr>
              <w:t>1.87</w:t>
            </w:r>
          </w:p>
        </w:tc>
        <w:tc>
          <w:tcPr>
            <w:tcW w:w="1039" w:type="dxa"/>
          </w:tcPr>
          <w:p w:rsidR="00762A26" w:rsidRPr="00882627" w:rsidRDefault="00882627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82627">
              <w:rPr>
                <w:rFonts w:ascii="Times New Roman" w:hAnsi="Times New Roman"/>
                <w:color w:val="000000"/>
                <w:sz w:val="22"/>
              </w:rPr>
              <w:t>1.99</w:t>
            </w:r>
          </w:p>
        </w:tc>
        <w:tc>
          <w:tcPr>
            <w:tcW w:w="1039" w:type="dxa"/>
          </w:tcPr>
          <w:p w:rsidR="00762A26" w:rsidRPr="00882627" w:rsidRDefault="00882627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82627">
              <w:rPr>
                <w:rFonts w:ascii="Times New Roman" w:hAnsi="Times New Roman"/>
                <w:color w:val="000000"/>
                <w:sz w:val="22"/>
              </w:rPr>
              <w:t>R: 2.83,</w:t>
            </w:r>
          </w:p>
          <w:p w:rsidR="00762A26" w:rsidRPr="00882627" w:rsidRDefault="00882627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82627">
              <w:rPr>
                <w:rFonts w:ascii="Times New Roman" w:hAnsi="Times New Roman"/>
                <w:color w:val="000000"/>
                <w:sz w:val="22"/>
              </w:rPr>
              <w:t>L: 2.72</w:t>
            </w:r>
          </w:p>
        </w:tc>
        <w:tc>
          <w:tcPr>
            <w:tcW w:w="1060" w:type="dxa"/>
          </w:tcPr>
          <w:p w:rsidR="00762A26" w:rsidRPr="00882627" w:rsidRDefault="00882627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82627">
              <w:rPr>
                <w:rFonts w:ascii="Times New Roman" w:hAnsi="Times New Roman"/>
                <w:color w:val="000000"/>
                <w:sz w:val="22"/>
              </w:rPr>
              <w:t>R: 3.98,</w:t>
            </w:r>
          </w:p>
          <w:p w:rsidR="00762A26" w:rsidRPr="00882627" w:rsidRDefault="00882627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82627">
              <w:rPr>
                <w:rFonts w:ascii="Times New Roman" w:hAnsi="Times New Roman"/>
                <w:color w:val="000000"/>
                <w:sz w:val="22"/>
              </w:rPr>
              <w:t>L: 3.34</w:t>
            </w:r>
          </w:p>
        </w:tc>
      </w:tr>
    </w:tbl>
    <w:p w:rsidR="00762A26" w:rsidRDefault="00762A26">
      <w:pPr>
        <w:suppressLineNumbers/>
        <w:spacing w:line="480" w:lineRule="auto"/>
        <w:jc w:val="both"/>
        <w:rPr>
          <w:rFonts w:ascii="Times New Roman" w:hAnsi="Times New Roman"/>
        </w:rPr>
      </w:pPr>
    </w:p>
    <w:p w:rsidR="00882627" w:rsidRPr="00197E3A" w:rsidRDefault="00882627" w:rsidP="00882627">
      <w:pPr>
        <w:spacing w:line="480" w:lineRule="auto"/>
      </w:pPr>
      <w:r w:rsidRPr="00197E3A">
        <w:rPr>
          <w:rFonts w:ascii="Times New Roman" w:hAnsi="Times New Roman" w:cs="Lucida Sans Unicode"/>
          <w:b/>
        </w:rPr>
        <w:t xml:space="preserve">Table 2 </w:t>
      </w:r>
      <w:r w:rsidRPr="00197E3A">
        <w:rPr>
          <w:rFonts w:ascii="Times New Roman" w:hAnsi="Times New Roman"/>
        </w:rPr>
        <w:t xml:space="preserve">Measurements of the brain of </w:t>
      </w:r>
      <w:r w:rsidRPr="00197E3A">
        <w:rPr>
          <w:rFonts w:ascii="Times New Roman" w:hAnsi="Times New Roman"/>
          <w:i/>
        </w:rPr>
        <w:t xml:space="preserve">Chirodipterus australis </w:t>
      </w:r>
      <w:r w:rsidRPr="00197E3A">
        <w:rPr>
          <w:rFonts w:ascii="Times New Roman" w:hAnsi="Times New Roman"/>
        </w:rPr>
        <w:t xml:space="preserve">specimens NHMUK PV P56035 and NHMUK PV P56038. "R" and "L" indicate right and left side of the endocast, respectively. </w:t>
      </w:r>
      <w:r w:rsidRPr="00197E3A">
        <w:rPr>
          <w:rFonts w:ascii="Times New Roman" w:hAnsi="Times New Roman" w:cs="Lucida Sans Unicode"/>
        </w:rPr>
        <w:t>∠</w:t>
      </w:r>
      <w:r w:rsidRPr="00197E3A">
        <w:rPr>
          <w:rFonts w:ascii="Times New Roman" w:hAnsi="Times New Roman"/>
        </w:rPr>
        <w:t xml:space="preserve">nI.nI, angle between the olfactory nerve canals; </w:t>
      </w:r>
      <w:r w:rsidRPr="00197E3A">
        <w:rPr>
          <w:rFonts w:ascii="Times New Roman" w:hAnsi="Times New Roman" w:cs="Lucida Sans Unicode"/>
        </w:rPr>
        <w:t>∠nI.Tel, downward angle of olfactory nerve canals from telencephalon; na.Tel, distance from the nasal capsule to the telencephalon; na.b.olf, distance from the nasal capsule to the bottom of the olfactory bulbs; D.nI, diameter of the olfactory nerve canals; nII.wid, width of the optic nerve II; nII.dep, depth of the optic nerve II; d.end, width of the endolymphatic ducts; d.end, depth of the endolymphatic ducts.</w:t>
      </w:r>
    </w:p>
    <w:p w:rsidR="00882627" w:rsidRDefault="00882627">
      <w:pPr>
        <w:suppressLineNumbers/>
        <w:spacing w:line="480" w:lineRule="auto"/>
        <w:jc w:val="both"/>
        <w:rPr>
          <w:rFonts w:ascii="Times New Roman" w:hAnsi="Times New Roman"/>
        </w:rPr>
      </w:pPr>
    </w:p>
    <w:p w:rsidR="00762A26" w:rsidRDefault="00762A26">
      <w:pPr>
        <w:suppressLineNumbers/>
        <w:spacing w:line="480" w:lineRule="auto"/>
        <w:jc w:val="both"/>
        <w:rPr>
          <w:rFonts w:ascii="Times New Roman" w:hAnsi="Times New Roman"/>
          <w:i/>
        </w:rPr>
      </w:pPr>
    </w:p>
    <w:sectPr w:rsidR="00762A2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characterSpacingControl w:val="doNotCompress"/>
  <w:compat>
    <w:compatSetting w:name="compatibilityMode" w:uri="http://schemas.microsoft.com/office/word" w:val="12"/>
  </w:compat>
  <w:rsids>
    <w:rsidRoot w:val="00762A26"/>
    <w:rsid w:val="000F1835"/>
    <w:rsid w:val="001D1062"/>
    <w:rsid w:val="00762A26"/>
    <w:rsid w:val="0088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FD3C9"/>
  <w15:docId w15:val="{DD61A40D-6D36-44C1-A29B-FF9A29BC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1D1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</dc:creator>
  <cp:lastModifiedBy>Struan Henderson</cp:lastModifiedBy>
  <cp:revision>3</cp:revision>
  <dcterms:created xsi:type="dcterms:W3CDTF">2017-04-05T10:26:00Z</dcterms:created>
  <dcterms:modified xsi:type="dcterms:W3CDTF">2018-02-08T18:53:00Z</dcterms:modified>
  <dc:language>en-GB</dc:language>
</cp:coreProperties>
</file>