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34" w:rsidRDefault="00C91834">
      <w:pPr>
        <w:suppressLineNumbers/>
        <w:spacing w:line="480" w:lineRule="auto"/>
        <w:jc w:val="both"/>
        <w:rPr>
          <w:rFonts w:ascii="Times New Roman" w:hAnsi="Times New Roman"/>
        </w:rPr>
      </w:pPr>
    </w:p>
    <w:tbl>
      <w:tblPr>
        <w:tblStyle w:val="TableGrid"/>
        <w:tblW w:w="9323" w:type="dxa"/>
        <w:tblInd w:w="-289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"/>
        <w:gridCol w:w="640"/>
        <w:gridCol w:w="640"/>
        <w:gridCol w:w="640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272673" w:rsidTr="00272673">
        <w:trPr>
          <w:cantSplit/>
          <w:trHeight w:val="2438"/>
        </w:trPr>
        <w:tc>
          <w:tcPr>
            <w:tcW w:w="624" w:type="dxa"/>
            <w:textDirection w:val="tbRl"/>
            <w:vAlign w:val="center"/>
          </w:tcPr>
          <w:p w:rsidR="00C91834" w:rsidRDefault="00C91834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87" w:type="dxa"/>
            <w:textDirection w:val="tbRl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 w:cs="Lucida Sans Unicode"/>
                <w:color w:val="222222"/>
                <w:shd w:val="clear" w:color="auto" w:fill="FFFFFF"/>
              </w:rPr>
            </w:pP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∠</w:t>
            </w:r>
            <w:r w:rsidR="00123653">
              <w:rPr>
                <w:rFonts w:ascii="Cambria Math" w:hAnsi="Cambria Math" w:cs="Cambria Math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Ascc.Pscc (</w:t>
            </w:r>
            <w:r w:rsidR="002726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º</w:t>
            </w:r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)</w:t>
            </w:r>
          </w:p>
        </w:tc>
        <w:tc>
          <w:tcPr>
            <w:tcW w:w="58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 w:cs="Lucida Sans Unicode"/>
                <w:color w:val="222222"/>
                <w:shd w:val="clear" w:color="auto" w:fill="FFFFFF"/>
              </w:rPr>
            </w:pP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∠</w:t>
            </w:r>
            <w:r w:rsidR="00123653">
              <w:rPr>
                <w:rFonts w:ascii="Cambria Math" w:hAnsi="Cambria Math" w:cs="Cambria Math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Ascc.Lscc (</w:t>
            </w:r>
            <w:r w:rsidR="002726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º</w:t>
            </w:r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)</w:t>
            </w:r>
          </w:p>
        </w:tc>
        <w:tc>
          <w:tcPr>
            <w:tcW w:w="58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 w:cs="Lucida Sans Unicode"/>
                <w:color w:val="222222"/>
                <w:shd w:val="clear" w:color="auto" w:fill="FFFFFF"/>
              </w:rPr>
            </w:pPr>
            <w:r>
              <w:rPr>
                <w:rFonts w:ascii="Cambria Math" w:hAnsi="Cambria Math" w:cs="Cambria Math"/>
                <w:color w:val="222222"/>
                <w:shd w:val="clear" w:color="auto" w:fill="FFFFFF"/>
              </w:rPr>
              <w:t>∠</w:t>
            </w:r>
            <w:r w:rsidR="00123653">
              <w:rPr>
                <w:rFonts w:ascii="Cambria Math" w:hAnsi="Cambria Math" w:cs="Cambria Math"/>
                <w:color w:val="222222"/>
                <w:shd w:val="clear" w:color="auto" w:fill="FFFFFF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Pscc.Lscc (</w:t>
            </w:r>
            <w:r w:rsidR="002726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º</w:t>
            </w:r>
            <w:r>
              <w:rPr>
                <w:rFonts w:ascii="Times New Roman" w:hAnsi="Times New Roman" w:cs="Lucida Sans Unicode"/>
                <w:color w:val="222222"/>
                <w:shd w:val="clear" w:color="auto" w:fill="FFFFFF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SA.Ascc.Amp.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SA.Pscc.Amp.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SA.Lscc.Amp.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SA.UR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SA.SL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SA.UR/SA.SL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V.Ascc.Amp.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V.Pscc.Amp.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V.Lscc.Amp.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V.UR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V.SL (mm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78" w:type="dxa"/>
            <w:textDirection w:val="tbRl"/>
            <w:vAlign w:val="center"/>
          </w:tcPr>
          <w:p w:rsidR="00C91834" w:rsidRDefault="000158AF" w:rsidP="00272673">
            <w:pPr>
              <w:suppressLineNumbers/>
              <w:spacing w:line="48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V.UR/V.SL</w:t>
            </w:r>
          </w:p>
        </w:tc>
      </w:tr>
      <w:tr w:rsidR="00C91834" w:rsidRPr="000158AF" w:rsidTr="00272673">
        <w:trPr>
          <w:trHeight w:val="1673"/>
        </w:trPr>
        <w:tc>
          <w:tcPr>
            <w:tcW w:w="624" w:type="dxa"/>
          </w:tcPr>
          <w:p w:rsidR="00C91834" w:rsidRPr="000158AF" w:rsidRDefault="000158AF" w:rsidP="00272673">
            <w:pPr>
              <w:suppressLineNumbers/>
              <w:spacing w:line="48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  <w:szCs w:val="20"/>
              </w:rPr>
              <w:t>NHMUK PV P56035 right</w:t>
            </w:r>
          </w:p>
        </w:tc>
        <w:tc>
          <w:tcPr>
            <w:tcW w:w="587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58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121</w:t>
            </w:r>
          </w:p>
        </w:tc>
        <w:tc>
          <w:tcPr>
            <w:tcW w:w="58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50.76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55.27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56.13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49.53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370.36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0.13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11.16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13.46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10.10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36.96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143.05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0.26</w:t>
            </w:r>
          </w:p>
        </w:tc>
      </w:tr>
      <w:tr w:rsidR="00C91834" w:rsidRPr="000158AF" w:rsidTr="00272673">
        <w:trPr>
          <w:trHeight w:val="1160"/>
        </w:trPr>
        <w:tc>
          <w:tcPr>
            <w:tcW w:w="624" w:type="dxa"/>
          </w:tcPr>
          <w:p w:rsidR="00C91834" w:rsidRPr="000158AF" w:rsidRDefault="000158AF" w:rsidP="00272673">
            <w:pPr>
              <w:suppressLineNumbers/>
              <w:spacing w:line="48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  <w:szCs w:val="20"/>
              </w:rPr>
              <w:t>NHMUK PV P56035 left</w:t>
            </w:r>
          </w:p>
          <w:p w:rsidR="00C91834" w:rsidRPr="000158AF" w:rsidRDefault="00C91834" w:rsidP="00272673">
            <w:pPr>
              <w:suppressLineNumbers/>
              <w:spacing w:line="480" w:lineRule="auto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101</w:t>
            </w:r>
          </w:p>
        </w:tc>
        <w:tc>
          <w:tcPr>
            <w:tcW w:w="58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58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47.83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59.62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63.05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66.45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338.12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0.20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  <w:tr w:rsidR="00C91834" w:rsidRPr="000158AF" w:rsidTr="00272673">
        <w:trPr>
          <w:trHeight w:val="1160"/>
        </w:trPr>
        <w:tc>
          <w:tcPr>
            <w:tcW w:w="624" w:type="dxa"/>
          </w:tcPr>
          <w:p w:rsidR="00C91834" w:rsidRPr="000158AF" w:rsidRDefault="000158AF" w:rsidP="00272673">
            <w:pPr>
              <w:suppressLineNumbers/>
              <w:spacing w:line="480" w:lineRule="auto"/>
              <w:rPr>
                <w:rFonts w:ascii="Times New Roman" w:hAnsi="Times New Roman"/>
                <w:color w:val="000000"/>
                <w:sz w:val="16"/>
                <w:szCs w:val="20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  <w:szCs w:val="20"/>
              </w:rPr>
              <w:t>NHMUK PV P56038 right</w:t>
            </w:r>
          </w:p>
        </w:tc>
        <w:tc>
          <w:tcPr>
            <w:tcW w:w="587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135</w:t>
            </w:r>
          </w:p>
        </w:tc>
        <w:tc>
          <w:tcPr>
            <w:tcW w:w="58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119</w:t>
            </w:r>
          </w:p>
        </w:tc>
        <w:tc>
          <w:tcPr>
            <w:tcW w:w="58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127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65.28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39.47*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84.21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130.23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18.04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14.12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13.10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88.84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578" w:type="dxa"/>
            <w:vAlign w:val="center"/>
          </w:tcPr>
          <w:p w:rsidR="00C91834" w:rsidRPr="000158AF" w:rsidRDefault="000158AF" w:rsidP="00272673">
            <w:pPr>
              <w:suppressLineNumbers/>
              <w:spacing w:line="48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0158AF"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</w:tr>
    </w:tbl>
    <w:p w:rsidR="00D06316" w:rsidRDefault="00D06316" w:rsidP="00D06316">
      <w:pPr>
        <w:spacing w:line="480" w:lineRule="auto"/>
        <w:rPr>
          <w:rFonts w:ascii="Times New Roman" w:hAnsi="Times New Roman"/>
          <w:b/>
        </w:rPr>
      </w:pPr>
    </w:p>
    <w:p w:rsidR="00D06316" w:rsidRDefault="000158AF" w:rsidP="00D06316">
      <w:pPr>
        <w:spacing w:line="480" w:lineRule="auto"/>
      </w:pPr>
      <w:r>
        <w:rPr>
          <w:rFonts w:ascii="Times New Roman" w:hAnsi="Times New Roman"/>
          <w:b/>
        </w:rPr>
        <w:t>Table 4</w:t>
      </w:r>
      <w:r w:rsidRPr="00197E3A">
        <w:rPr>
          <w:rFonts w:ascii="Times New Roman" w:hAnsi="Times New Roman"/>
        </w:rPr>
        <w:t xml:space="preserve"> Measurements of the endosseous labyrinths of </w:t>
      </w:r>
      <w:r w:rsidRPr="00197E3A">
        <w:rPr>
          <w:rFonts w:ascii="Times New Roman" w:hAnsi="Times New Roman"/>
          <w:i/>
        </w:rPr>
        <w:t xml:space="preserve">Chirodipterus australis </w:t>
      </w:r>
      <w:r w:rsidRPr="00197E3A">
        <w:rPr>
          <w:rFonts w:ascii="Times New Roman" w:hAnsi="Times New Roman"/>
        </w:rPr>
        <w:t xml:space="preserve">specimens NHMUK PV P56035 and NHMUK PV P56038. The contrast in the left labyrinth was too low to confidently determine divisions between the ampullae, utriculus and sacculus. </w:t>
      </w:r>
      <w:r w:rsidRPr="00197E3A">
        <w:rPr>
          <w:rFonts w:ascii="Times New Roman" w:hAnsi="Times New Roman" w:cs="Calibri"/>
        </w:rPr>
        <w:t xml:space="preserve"> </w:t>
      </w:r>
      <w:r w:rsidRPr="00197E3A">
        <w:rPr>
          <w:rFonts w:ascii="Times New Roman" w:hAnsi="Times New Roman" w:cs="Cambria Math"/>
        </w:rPr>
        <w:t>∠</w:t>
      </w:r>
      <w:r w:rsidRPr="00197E3A">
        <w:rPr>
          <w:rFonts w:ascii="Times New Roman" w:hAnsi="Times New Roman" w:cs="Calibri"/>
        </w:rPr>
        <w:t xml:space="preserve">AsccPscc/Ascc.Lscc/Pscc.Lscc, angle between anterior and posterior/anterior and lateral/posterior and lateral semi-circular canals; SA.(Ascc/Pscc/Lscc).Amp., surface area of anterior/ posterior/lateral semi-circular canal ampullae; SA.UR, surface </w:t>
      </w:r>
      <w:r w:rsidRPr="00197E3A">
        <w:rPr>
          <w:rFonts w:ascii="Times New Roman" w:hAnsi="Times New Roman"/>
        </w:rPr>
        <w:t xml:space="preserve">area of utricular recess; SA.SL, surface area of sacculolagenar; SA.UR/SA.SL, ratio of surface of utricular recess to surface area of sacculolagenar; V.(Ascc/Pscc/Lscc).Amp, volume of anterior/posterior/lateral semi-circular canal ampullae; V.UR, volume of the utricular recess; </w:t>
      </w:r>
      <w:r w:rsidRPr="00197E3A">
        <w:rPr>
          <w:rFonts w:ascii="Times New Roman" w:hAnsi="Times New Roman"/>
        </w:rPr>
        <w:lastRenderedPageBreak/>
        <w:t>V.SL, volume of the sacculolagenar; V.UR/V.SL, ratio of volume of utricular recess to volume of sacculolagenar.</w:t>
      </w:r>
    </w:p>
    <w:p w:rsidR="00D06316" w:rsidRPr="00D06316" w:rsidRDefault="00D06316" w:rsidP="00D06316">
      <w:pPr>
        <w:spacing w:line="480" w:lineRule="auto"/>
      </w:pPr>
      <w:r>
        <w:rPr>
          <w:rFonts w:ascii="Times New Roman" w:hAnsi="Times New Roman"/>
        </w:rPr>
        <w:t>* Measured structure was dorso-ventrally compressed.</w:t>
      </w:r>
    </w:p>
    <w:p w:rsidR="000158AF" w:rsidRDefault="000158AF">
      <w:pPr>
        <w:suppressLineNumbers/>
        <w:spacing w:line="480" w:lineRule="auto"/>
        <w:rPr>
          <w:rFonts w:ascii="Times New Roman" w:hAnsi="Times New Roman"/>
        </w:rPr>
      </w:pPr>
    </w:p>
    <w:sectPr w:rsidR="000158AF" w:rsidSect="000158AF">
      <w:pgSz w:w="11906" w:h="16838"/>
      <w:pgMar w:top="1440" w:right="1440" w:bottom="1440" w:left="144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4"/>
    <w:rsid w:val="000158AF"/>
    <w:rsid w:val="00123653"/>
    <w:rsid w:val="00272673"/>
    <w:rsid w:val="00C91834"/>
    <w:rsid w:val="00D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5E65E"/>
  <w15:docId w15:val="{2E762312-0157-4E81-AF59-9170C20A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table" w:styleId="TableGrid">
    <w:name w:val="Table Grid"/>
    <w:basedOn w:val="TableNormal"/>
    <w:uiPriority w:val="39"/>
    <w:rsid w:val="0027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Struan Henderson</cp:lastModifiedBy>
  <cp:revision>5</cp:revision>
  <dcterms:created xsi:type="dcterms:W3CDTF">2018-02-02T14:10:00Z</dcterms:created>
  <dcterms:modified xsi:type="dcterms:W3CDTF">2018-02-08T18:53:00Z</dcterms:modified>
  <dc:language>en-GB</dc:language>
</cp:coreProperties>
</file>