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318" w:rsidRDefault="00755318" w:rsidP="00755318">
      <w:pPr>
        <w:rPr>
          <w:b/>
          <w:szCs w:val="24"/>
        </w:rPr>
      </w:pPr>
      <w:bookmarkStart w:id="0" w:name="RANGE!A1:H14"/>
      <w:r>
        <w:rPr>
          <w:b/>
          <w:szCs w:val="24"/>
        </w:rPr>
        <w:t>Supplemental Information, Appendix S7</w:t>
      </w:r>
    </w:p>
    <w:p w:rsidR="00F53794" w:rsidRPr="00F53794" w:rsidRDefault="0007662A" w:rsidP="0007662A">
      <w:pPr>
        <w:rPr>
          <w:b/>
        </w:rPr>
      </w:pPr>
      <w:r w:rsidRPr="00F53794">
        <w:rPr>
          <w:b/>
        </w:rPr>
        <w:t xml:space="preserve">Demographics of overwintering Neotropical migrants, residents, and endemics in regenerating broadleaf habitat of different ages, and in mature dry forest in the Sierra de </w:t>
      </w:r>
      <w:proofErr w:type="spellStart"/>
      <w:r w:rsidRPr="00F53794">
        <w:rPr>
          <w:b/>
        </w:rPr>
        <w:t>Bahoruco</w:t>
      </w:r>
      <w:proofErr w:type="spellEnd"/>
      <w:r w:rsidRPr="00F53794">
        <w:rPr>
          <w:b/>
        </w:rPr>
        <w:t>, Dominican Republic.</w:t>
      </w:r>
    </w:p>
    <w:p w:rsidR="0007662A" w:rsidRPr="00F53794" w:rsidRDefault="0007662A" w:rsidP="0007662A">
      <w:pPr>
        <w:rPr>
          <w:rStyle w:val="CommentReference"/>
          <w:sz w:val="22"/>
          <w:szCs w:val="22"/>
        </w:rPr>
      </w:pPr>
      <w:r>
        <w:t xml:space="preserve">Data pooled for each site and pooled across all years. Tallies only include first instance of an individual being captured each year. Individuals recaptured in multiple years count toward each years’ totals. N = total number of individual </w:t>
      </w:r>
      <w:bookmarkStart w:id="1" w:name="_GoBack"/>
      <w:bookmarkEnd w:id="1"/>
      <w:r>
        <w:t>captures, and n = number of individuals used to calculate the proportion of after-hatch year individuals (AHY) or proportion male. Scientific names found in Table 1.</w:t>
      </w:r>
    </w:p>
    <w:tbl>
      <w:tblPr>
        <w:tblW w:w="5000" w:type="pct"/>
        <w:tblLook w:val="04A0" w:firstRow="1" w:lastRow="0" w:firstColumn="1" w:lastColumn="0" w:noHBand="0" w:noVBand="1"/>
      </w:tblPr>
      <w:tblGrid>
        <w:gridCol w:w="807"/>
        <w:gridCol w:w="686"/>
        <w:gridCol w:w="463"/>
        <w:gridCol w:w="906"/>
        <w:gridCol w:w="825"/>
        <w:gridCol w:w="223"/>
        <w:gridCol w:w="462"/>
        <w:gridCol w:w="925"/>
        <w:gridCol w:w="844"/>
        <w:gridCol w:w="223"/>
        <w:gridCol w:w="462"/>
        <w:gridCol w:w="824"/>
        <w:gridCol w:w="764"/>
        <w:gridCol w:w="223"/>
        <w:gridCol w:w="462"/>
        <w:gridCol w:w="844"/>
        <w:gridCol w:w="724"/>
        <w:gridCol w:w="223"/>
        <w:gridCol w:w="462"/>
        <w:gridCol w:w="804"/>
        <w:gridCol w:w="804"/>
      </w:tblGrid>
      <w:tr w:rsidR="0007662A" w:rsidRPr="003406C7" w:rsidTr="00D563A6">
        <w:trPr>
          <w:trHeight w:val="222"/>
        </w:trPr>
        <w:tc>
          <w:tcPr>
            <w:tcW w:w="720" w:type="dxa"/>
            <w:tcBorders>
              <w:top w:val="nil"/>
              <w:left w:val="nil"/>
              <w:bottom w:val="nil"/>
              <w:right w:val="nil"/>
            </w:tcBorders>
            <w:shd w:val="clear" w:color="auto" w:fill="auto"/>
            <w:noWrap/>
            <w:vAlign w:val="bottom"/>
            <w:hideMark/>
          </w:tcPr>
          <w:p w:rsidR="0007662A" w:rsidRPr="003406C7" w:rsidRDefault="0007662A" w:rsidP="00D563A6">
            <w:pPr>
              <w:spacing w:after="0" w:line="240" w:lineRule="auto"/>
              <w:rPr>
                <w:rFonts w:ascii="Times New Roman" w:eastAsia="Times New Roman" w:hAnsi="Times New Roman" w:cs="Times New Roman"/>
                <w:sz w:val="24"/>
                <w:szCs w:val="24"/>
              </w:rPr>
            </w:pPr>
          </w:p>
        </w:tc>
        <w:tc>
          <w:tcPr>
            <w:tcW w:w="640" w:type="dxa"/>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2080" w:type="dxa"/>
            <w:gridSpan w:val="3"/>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La Cueva</w:t>
            </w:r>
          </w:p>
        </w:tc>
        <w:tc>
          <w:tcPr>
            <w:tcW w:w="80" w:type="dxa"/>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2140" w:type="dxa"/>
            <w:gridSpan w:val="3"/>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 xml:space="preserve">La </w:t>
            </w:r>
            <w:proofErr w:type="spellStart"/>
            <w:r w:rsidRPr="003406C7">
              <w:rPr>
                <w:rFonts w:ascii="Calibri" w:eastAsia="Times New Roman" w:hAnsi="Calibri" w:cs="Times New Roman"/>
                <w:b/>
                <w:bCs/>
                <w:color w:val="000000"/>
                <w:sz w:val="14"/>
                <w:szCs w:val="14"/>
              </w:rPr>
              <w:t>Caoba</w:t>
            </w:r>
            <w:proofErr w:type="spellEnd"/>
          </w:p>
        </w:tc>
        <w:tc>
          <w:tcPr>
            <w:tcW w:w="40" w:type="dxa"/>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1980" w:type="dxa"/>
            <w:gridSpan w:val="3"/>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Morelia</w:t>
            </w:r>
          </w:p>
        </w:tc>
        <w:tc>
          <w:tcPr>
            <w:tcW w:w="40" w:type="dxa"/>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1960" w:type="dxa"/>
            <w:gridSpan w:val="3"/>
            <w:tcBorders>
              <w:top w:val="nil"/>
              <w:left w:val="nil"/>
              <w:bottom w:val="nil"/>
              <w:right w:val="nil"/>
            </w:tcBorders>
            <w:shd w:val="clear" w:color="auto" w:fill="auto"/>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El Corral</w:t>
            </w:r>
          </w:p>
        </w:tc>
        <w:tc>
          <w:tcPr>
            <w:tcW w:w="80" w:type="dxa"/>
            <w:tcBorders>
              <w:top w:val="nil"/>
              <w:left w:val="nil"/>
              <w:bottom w:val="nil"/>
              <w:right w:val="nil"/>
            </w:tcBorders>
            <w:shd w:val="clear" w:color="auto" w:fill="auto"/>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2040" w:type="dxa"/>
            <w:gridSpan w:val="3"/>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roofErr w:type="spellStart"/>
            <w:r w:rsidRPr="003406C7">
              <w:rPr>
                <w:rFonts w:ascii="Calibri" w:eastAsia="Times New Roman" w:hAnsi="Calibri" w:cs="Times New Roman"/>
                <w:b/>
                <w:bCs/>
                <w:color w:val="000000"/>
                <w:sz w:val="14"/>
                <w:szCs w:val="14"/>
              </w:rPr>
              <w:t>Aceitillar</w:t>
            </w:r>
            <w:proofErr w:type="spellEnd"/>
          </w:p>
        </w:tc>
      </w:tr>
      <w:tr w:rsidR="0007662A" w:rsidRPr="003406C7" w:rsidTr="00D563A6">
        <w:trPr>
          <w:trHeight w:val="222"/>
        </w:trPr>
        <w:tc>
          <w:tcPr>
            <w:tcW w:w="720" w:type="dxa"/>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640" w:type="dxa"/>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2080" w:type="dxa"/>
            <w:gridSpan w:val="3"/>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(2-6 years)</w:t>
            </w:r>
          </w:p>
        </w:tc>
        <w:tc>
          <w:tcPr>
            <w:tcW w:w="80" w:type="dxa"/>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2140" w:type="dxa"/>
            <w:gridSpan w:val="3"/>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(5-9 years)</w:t>
            </w:r>
          </w:p>
        </w:tc>
        <w:tc>
          <w:tcPr>
            <w:tcW w:w="40" w:type="dxa"/>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1980" w:type="dxa"/>
            <w:gridSpan w:val="3"/>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(10-14 years)</w:t>
            </w:r>
          </w:p>
        </w:tc>
        <w:tc>
          <w:tcPr>
            <w:tcW w:w="40" w:type="dxa"/>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1960" w:type="dxa"/>
            <w:gridSpan w:val="3"/>
            <w:tcBorders>
              <w:top w:val="nil"/>
              <w:left w:val="nil"/>
              <w:bottom w:val="nil"/>
              <w:right w:val="nil"/>
            </w:tcBorders>
            <w:shd w:val="clear" w:color="auto" w:fill="auto"/>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(20-24 years)</w:t>
            </w:r>
          </w:p>
        </w:tc>
        <w:tc>
          <w:tcPr>
            <w:tcW w:w="80" w:type="dxa"/>
            <w:tcBorders>
              <w:top w:val="nil"/>
              <w:left w:val="nil"/>
              <w:bottom w:val="nil"/>
              <w:right w:val="nil"/>
            </w:tcBorders>
            <w:shd w:val="clear" w:color="auto" w:fill="auto"/>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2040" w:type="dxa"/>
            <w:gridSpan w:val="3"/>
            <w:tcBorders>
              <w:top w:val="nil"/>
              <w:left w:val="nil"/>
              <w:bottom w:val="nil"/>
              <w:right w:val="nil"/>
            </w:tcBorders>
            <w:shd w:val="clear" w:color="auto" w:fill="auto"/>
            <w:noWrap/>
            <w:vAlign w:val="bottom"/>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Mature forest reference</w:t>
            </w:r>
          </w:p>
        </w:tc>
      </w:tr>
      <w:tr w:rsidR="0007662A" w:rsidRPr="003406C7" w:rsidTr="00D563A6">
        <w:trPr>
          <w:trHeight w:val="222"/>
        </w:trPr>
        <w:tc>
          <w:tcPr>
            <w:tcW w:w="720" w:type="dxa"/>
            <w:tcBorders>
              <w:top w:val="nil"/>
              <w:left w:val="nil"/>
              <w:bottom w:val="nil"/>
              <w:right w:val="nil"/>
            </w:tcBorders>
            <w:shd w:val="clear" w:color="auto" w:fill="auto"/>
            <w:noWrap/>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Residency</w:t>
            </w: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Species</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N</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AHY (n)</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Male (n)</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N</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AHY (n)</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Male (n)</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N</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AHY (n)</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Male (n)</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N</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AHY (n)</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M (n)</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N</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AHY (n)</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b/>
                <w:bCs/>
                <w:color w:val="000000"/>
                <w:sz w:val="14"/>
                <w:szCs w:val="14"/>
              </w:rPr>
            </w:pPr>
            <w:r w:rsidRPr="003406C7">
              <w:rPr>
                <w:rFonts w:ascii="Calibri" w:eastAsia="Times New Roman" w:hAnsi="Calibri" w:cs="Times New Roman"/>
                <w:b/>
                <w:bCs/>
                <w:color w:val="000000"/>
                <w:sz w:val="14"/>
                <w:szCs w:val="14"/>
              </w:rPr>
              <w:t>Male (n)</w:t>
            </w:r>
          </w:p>
        </w:tc>
      </w:tr>
      <w:tr w:rsidR="0007662A" w:rsidRPr="003406C7" w:rsidTr="00D563A6">
        <w:trPr>
          <w:trHeight w:val="222"/>
        </w:trPr>
        <w:tc>
          <w:tcPr>
            <w:tcW w:w="720" w:type="dxa"/>
            <w:vMerge w:val="restart"/>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Neo- tropical migrant</w:t>
            </w: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OVEN</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79</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0.53 (79)</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85</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0.49 (85)</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(1)</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141</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 (141)</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(4)</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103</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0.41 (103)</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140</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0.62 (140)</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BAWW</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7</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0.71 (7)</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0.43 (7)</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7</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0.43 (7)</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0.43 (7)</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14</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0.21 (14)</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0.36 (14)</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23</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0.39 (23)</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0.26 (23)</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77</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0.48 (77)</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0.48 (77)</w:t>
            </w: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COYE</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19</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0.58 (19)</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0.63 (19)</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110</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0.57 (110)</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0.58 (107)</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24</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0.58 (24)</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0.42 (24)</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(1)</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 (1)</w:t>
            </w: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AMRE</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49</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0.67 (49)</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0.2 (41)</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54</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 (54)</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0.22 (46)</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26</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0.73 (26)</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0.19 (16)</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18</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0.39 (18)</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0.36 (14)</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43</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0.49 (43)</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0.35 (43)</w:t>
            </w: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CMWA</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90</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0.52 (90)</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0.34 (90)</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173</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0.55 (173)</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 (173)</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42</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 (42)</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0.36 (39)</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15</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0.2 (15)</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0.67 (15)</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96</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0.59 (96)</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0.58 (96)</w:t>
            </w: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BTBW</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59</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0.56 (59)</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0.41 (59)</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59</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0.58 (59)</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0.42 (59)</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68</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0.63 (68)</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0.49 (68)</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55</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0.53 (55)</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0.45 (55)</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49</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0.65 (49)</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0.53 (49)</w:t>
            </w: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PAWA</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23</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0.43 (23)</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13</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0.46 (13)</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3</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(3)</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3</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0.33 (3)</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 (1)</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PRAW</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27</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0.63 (27)</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0.59 (17)</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37</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0.57 (37)</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0.31 (29)</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11</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0.64 (11)</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0.56 (9)</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(1)</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(1)</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3</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0.67 (3)</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0.67 (3)</w:t>
            </w:r>
          </w:p>
        </w:tc>
      </w:tr>
      <w:tr w:rsidR="0007662A" w:rsidRPr="003406C7" w:rsidTr="00D563A6">
        <w:trPr>
          <w:trHeight w:val="222"/>
        </w:trPr>
        <w:tc>
          <w:tcPr>
            <w:tcW w:w="720" w:type="dxa"/>
            <w:vMerge w:val="restart"/>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Resident</w:t>
            </w: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STOF</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23</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0.36 (11)</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9</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0.33 (3)</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21</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0.75 (4)</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17</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0.75 (4)</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60</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(25)</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RLTH</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56</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0.28 (54)</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58</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0.22 (58)</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22</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0.23 (22)</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18</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0.44 (18)</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66</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(16)</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NOMO</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31</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0.13 (31)</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34</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0.18 (34)</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20</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0.05 (20)</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19</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0.42 (19)</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3</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(3)</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BANA</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121</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0.34 (121)</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90</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0.33 (90)</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 (1)</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55</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0.27 (55)</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22</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0.32 (22)</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100</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0.12 (100)</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YFGR</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175</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0.55 (175)</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0.7 (151)</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114</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0.55 (113)</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0.68 (99)</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61</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0.47 (60)</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0.65 (52)</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54</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0.56 (54)</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0.63 (51)</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(1)</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 (2)</w:t>
            </w: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BFGR</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26</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0.46 (26)</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0.35 (26)</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41</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0.37 (41)</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0.49 (35)</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12</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0.67 (12)</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0.42 (12)</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8</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0.38 (8)</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0.38 (8)</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(1)</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 (2)</w:t>
            </w: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GABU</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102</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0.63 (102)</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0.64 (74)</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128</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0.57 (128)</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0.53 (99)</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78</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0.68 (78)</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0.57 (44)</w:t>
            </w: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56</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0.43 (56)</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0.71 </w:t>
            </w:r>
            <w:r w:rsidRPr="003406C7">
              <w:rPr>
                <w:rFonts w:ascii="Calibri" w:eastAsia="Times New Roman" w:hAnsi="Calibri" w:cs="Times New Roman"/>
                <w:color w:val="000000"/>
                <w:sz w:val="16"/>
                <w:szCs w:val="16"/>
              </w:rPr>
              <w:t>(42)</w:t>
            </w: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379</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0.51 (376)</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0.52 (241)</w:t>
            </w:r>
          </w:p>
        </w:tc>
      </w:tr>
      <w:tr w:rsidR="0007662A" w:rsidRPr="003406C7" w:rsidTr="00D563A6">
        <w:trPr>
          <w:trHeight w:val="222"/>
        </w:trPr>
        <w:tc>
          <w:tcPr>
            <w:tcW w:w="720" w:type="dxa"/>
            <w:vMerge w:val="restart"/>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Endemic</w:t>
            </w: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HILC</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16</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0.13 (15)</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15</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0.14 (14)</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16</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(15)</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27</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0.07 (27)</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10</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 (1)</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GTGT</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30</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0.57 (30)</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59</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0.41 (59)</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19</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0.37 (19)</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40</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0.38 (40)</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128</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0.23 (124)</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r>
      <w:tr w:rsidR="0007662A" w:rsidRPr="003406C7" w:rsidTr="00D563A6">
        <w:trPr>
          <w:trHeight w:val="222"/>
        </w:trPr>
        <w:tc>
          <w:tcPr>
            <w:tcW w:w="720" w:type="dxa"/>
            <w:vMerge/>
            <w:tcBorders>
              <w:top w:val="nil"/>
              <w:left w:val="nil"/>
              <w:bottom w:val="nil"/>
              <w:right w:val="nil"/>
            </w:tcBorders>
            <w:vAlign w:val="center"/>
            <w:hideMark/>
          </w:tcPr>
          <w:p w:rsidR="0007662A" w:rsidRPr="003406C7" w:rsidRDefault="0007662A" w:rsidP="00D563A6">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BCPT</w:t>
            </w:r>
          </w:p>
        </w:tc>
        <w:tc>
          <w:tcPr>
            <w:tcW w:w="3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68</w:t>
            </w:r>
          </w:p>
        </w:tc>
        <w:tc>
          <w:tcPr>
            <w:tcW w:w="9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0.55 (67)</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60</w:t>
            </w:r>
          </w:p>
        </w:tc>
        <w:tc>
          <w:tcPr>
            <w:tcW w:w="9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0.62 (60)</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59</w:t>
            </w:r>
          </w:p>
        </w:tc>
        <w:tc>
          <w:tcPr>
            <w:tcW w:w="8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0.47 (59)</w:t>
            </w:r>
          </w:p>
        </w:tc>
        <w:tc>
          <w:tcPr>
            <w:tcW w:w="76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70</w:t>
            </w:r>
          </w:p>
        </w:tc>
        <w:tc>
          <w:tcPr>
            <w:tcW w:w="8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 (70)</w:t>
            </w:r>
          </w:p>
        </w:tc>
        <w:tc>
          <w:tcPr>
            <w:tcW w:w="72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c>
          <w:tcPr>
            <w:tcW w:w="8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139</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r w:rsidRPr="003406C7">
              <w:rPr>
                <w:rFonts w:ascii="Calibri" w:eastAsia="Times New Roman" w:hAnsi="Calibri" w:cs="Times New Roman"/>
                <w:color w:val="000000"/>
                <w:sz w:val="16"/>
                <w:szCs w:val="16"/>
              </w:rPr>
              <w:t>0.53 (129)</w:t>
            </w:r>
          </w:p>
        </w:tc>
        <w:tc>
          <w:tcPr>
            <w:tcW w:w="800" w:type="dxa"/>
            <w:tcBorders>
              <w:top w:val="nil"/>
              <w:left w:val="nil"/>
              <w:bottom w:val="nil"/>
              <w:right w:val="nil"/>
            </w:tcBorders>
            <w:shd w:val="clear" w:color="auto" w:fill="auto"/>
            <w:vAlign w:val="center"/>
            <w:hideMark/>
          </w:tcPr>
          <w:p w:rsidR="0007662A" w:rsidRPr="003406C7" w:rsidRDefault="0007662A" w:rsidP="00D563A6">
            <w:pPr>
              <w:spacing w:after="0" w:line="240" w:lineRule="auto"/>
              <w:jc w:val="center"/>
              <w:rPr>
                <w:rFonts w:ascii="Calibri" w:eastAsia="Times New Roman" w:hAnsi="Calibri" w:cs="Times New Roman"/>
                <w:color w:val="000000"/>
                <w:sz w:val="16"/>
                <w:szCs w:val="16"/>
              </w:rPr>
            </w:pPr>
          </w:p>
        </w:tc>
      </w:tr>
    </w:tbl>
    <w:p w:rsidR="0007662A" w:rsidRDefault="0007662A" w:rsidP="0007662A">
      <w:pPr>
        <w:rPr>
          <w:rFonts w:ascii="Calibri" w:eastAsia="Times New Roman" w:hAnsi="Calibri"/>
          <w:color w:val="000000"/>
        </w:rPr>
      </w:pPr>
    </w:p>
    <w:p w:rsidR="0007662A" w:rsidRPr="003406C7" w:rsidRDefault="0007662A" w:rsidP="0007662A">
      <w:pPr>
        <w:pStyle w:val="NoSpacing"/>
        <w:rPr>
          <w:sz w:val="16"/>
          <w:szCs w:val="16"/>
        </w:rPr>
      </w:pPr>
      <w:r w:rsidRPr="003406C7">
        <w:rPr>
          <w:sz w:val="16"/>
          <w:szCs w:val="16"/>
        </w:rPr>
        <w:lastRenderedPageBreak/>
        <w:t>Neotropical migrants: OVEN = Ovenbird, BAWW = Black-and-white Warbler, COYE = Common Yellowthroat, AMRE = American Redstart, CMWA = Cape May Warbler, BTBW = Black -throated Blue Warbler, PAWA = Palm Warbler, PRAW = Prairie Warbler.</w:t>
      </w:r>
    </w:p>
    <w:p w:rsidR="0007662A" w:rsidRPr="003406C7" w:rsidRDefault="0007662A" w:rsidP="0007662A">
      <w:pPr>
        <w:pStyle w:val="NoSpacing"/>
        <w:rPr>
          <w:sz w:val="16"/>
          <w:szCs w:val="16"/>
        </w:rPr>
      </w:pPr>
      <w:r w:rsidRPr="003406C7">
        <w:rPr>
          <w:sz w:val="16"/>
          <w:szCs w:val="16"/>
        </w:rPr>
        <w:t xml:space="preserve">Residents: STOF = Stolid Flycatcher, RLTH = Red-legged Thrush, NOMO = Northern Mockingbird, BANA = Bananaquit, YFGR = Yellow-faced </w:t>
      </w:r>
      <w:proofErr w:type="spellStart"/>
      <w:r w:rsidRPr="003406C7">
        <w:rPr>
          <w:sz w:val="16"/>
          <w:szCs w:val="16"/>
        </w:rPr>
        <w:t>Grassquit</w:t>
      </w:r>
      <w:proofErr w:type="spellEnd"/>
      <w:r w:rsidRPr="003406C7">
        <w:rPr>
          <w:sz w:val="16"/>
          <w:szCs w:val="16"/>
        </w:rPr>
        <w:t xml:space="preserve">, BFGR = Black-faced </w:t>
      </w:r>
      <w:proofErr w:type="spellStart"/>
      <w:r w:rsidRPr="003406C7">
        <w:rPr>
          <w:sz w:val="16"/>
          <w:szCs w:val="16"/>
        </w:rPr>
        <w:t>Grassquit</w:t>
      </w:r>
      <w:proofErr w:type="spellEnd"/>
      <w:r w:rsidRPr="003406C7">
        <w:rPr>
          <w:sz w:val="16"/>
          <w:szCs w:val="16"/>
        </w:rPr>
        <w:t>, GABU = Greater Antillean Bullfinch.</w:t>
      </w:r>
    </w:p>
    <w:p w:rsidR="0007662A" w:rsidRPr="003406C7" w:rsidRDefault="0007662A" w:rsidP="0007662A">
      <w:pPr>
        <w:pStyle w:val="NoSpacing"/>
        <w:rPr>
          <w:sz w:val="16"/>
          <w:szCs w:val="16"/>
        </w:rPr>
      </w:pPr>
      <w:r w:rsidRPr="003406C7">
        <w:rPr>
          <w:sz w:val="16"/>
          <w:szCs w:val="16"/>
        </w:rPr>
        <w:t xml:space="preserve">Endemics: HILC = </w:t>
      </w:r>
      <w:proofErr w:type="spellStart"/>
      <w:r w:rsidRPr="003406C7">
        <w:rPr>
          <w:sz w:val="16"/>
          <w:szCs w:val="16"/>
        </w:rPr>
        <w:t>Hispaniolan</w:t>
      </w:r>
      <w:proofErr w:type="spellEnd"/>
      <w:r w:rsidRPr="003406C7">
        <w:rPr>
          <w:sz w:val="16"/>
          <w:szCs w:val="16"/>
        </w:rPr>
        <w:t xml:space="preserve"> Lizard-Cuckoo, GTGT = Green-tailed Ground-Tanager, BCPT = Black-crowned Palm-Tanager</w:t>
      </w:r>
      <w:bookmarkEnd w:id="0"/>
    </w:p>
    <w:p w:rsidR="00A44A6A" w:rsidRDefault="00A44A6A"/>
    <w:sectPr w:rsidR="00A44A6A" w:rsidSect="0040189E">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6AA" w:rsidRDefault="00ED46AA">
      <w:pPr>
        <w:spacing w:after="0" w:line="240" w:lineRule="auto"/>
      </w:pPr>
      <w:r>
        <w:separator/>
      </w:r>
    </w:p>
  </w:endnote>
  <w:endnote w:type="continuationSeparator" w:id="0">
    <w:p w:rsidR="00ED46AA" w:rsidRDefault="00ED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6AA" w:rsidRDefault="00ED46AA">
      <w:pPr>
        <w:spacing w:after="0" w:line="240" w:lineRule="auto"/>
      </w:pPr>
      <w:r>
        <w:separator/>
      </w:r>
    </w:p>
  </w:footnote>
  <w:footnote w:type="continuationSeparator" w:id="0">
    <w:p w:rsidR="00ED46AA" w:rsidRDefault="00ED4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1D9" w:rsidRDefault="0007662A">
    <w:pPr>
      <w:pStyle w:val="Header"/>
      <w:jc w:val="right"/>
    </w:pPr>
    <w:r w:rsidRPr="003B320B">
      <w:rPr>
        <w:i/>
      </w:rPr>
      <w:t>Latta et al.</w:t>
    </w:r>
    <w:r>
      <w:t xml:space="preserve"> </w:t>
    </w:r>
    <w:r>
      <w:fldChar w:fldCharType="begin"/>
    </w:r>
    <w:r>
      <w:instrText xml:space="preserve"> PAGE   \* MERGEFORMAT </w:instrText>
    </w:r>
    <w:r>
      <w:fldChar w:fldCharType="separate"/>
    </w:r>
    <w:r>
      <w:rPr>
        <w:noProof/>
      </w:rPr>
      <w:t>2</w:t>
    </w:r>
    <w:r>
      <w:rPr>
        <w:noProof/>
      </w:rPr>
      <w:fldChar w:fldCharType="end"/>
    </w:r>
  </w:p>
  <w:p w:rsidR="006C11D9" w:rsidRDefault="00ED4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2A"/>
    <w:rsid w:val="0007662A"/>
    <w:rsid w:val="00755318"/>
    <w:rsid w:val="0097125D"/>
    <w:rsid w:val="00A44A6A"/>
    <w:rsid w:val="00ED46AA"/>
    <w:rsid w:val="00F5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341E"/>
  <w15:chartTrackingRefBased/>
  <w15:docId w15:val="{D19586B3-2911-429B-94E8-95AD83FF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07662A"/>
    <w:rPr>
      <w:sz w:val="16"/>
      <w:szCs w:val="16"/>
    </w:rPr>
  </w:style>
  <w:style w:type="paragraph" w:styleId="Header">
    <w:name w:val="header"/>
    <w:basedOn w:val="Normal"/>
    <w:link w:val="HeaderChar"/>
    <w:rsid w:val="0007662A"/>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07662A"/>
    <w:rPr>
      <w:rFonts w:ascii="Times" w:eastAsia="Times" w:hAnsi="Times" w:cs="Times New Roman"/>
      <w:sz w:val="24"/>
      <w:szCs w:val="20"/>
    </w:rPr>
  </w:style>
  <w:style w:type="paragraph" w:styleId="NoSpacing">
    <w:name w:val="No Spacing"/>
    <w:uiPriority w:val="1"/>
    <w:qFormat/>
    <w:rsid w:val="0007662A"/>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lisanjie2</dc:creator>
  <cp:keywords/>
  <dc:description/>
  <cp:lastModifiedBy>Brouwer, Nathan</cp:lastModifiedBy>
  <cp:revision>3</cp:revision>
  <dcterms:created xsi:type="dcterms:W3CDTF">2018-02-28T21:02:00Z</dcterms:created>
  <dcterms:modified xsi:type="dcterms:W3CDTF">2018-05-18T18:52:00Z</dcterms:modified>
</cp:coreProperties>
</file>