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7" w:rightFromText="187" w:vertAnchor="text" w:horzAnchor="page" w:tblpXSpec="center" w:tblpY="1"/>
        <w:tblOverlap w:val="never"/>
        <w:tblW w:w="5349" w:type="pct"/>
        <w:tblCellMar>
          <w:top w:w="72" w:type="dxa"/>
          <w:left w:w="72" w:type="dxa"/>
          <w:bottom w:w="72" w:type="dxa"/>
          <w:right w:w="72" w:type="dxa"/>
        </w:tblCellMar>
        <w:tblLook w:val="04A0" w:firstRow="1" w:lastRow="0" w:firstColumn="1" w:lastColumn="0" w:noHBand="0" w:noVBand="1"/>
      </w:tblPr>
      <w:tblGrid>
        <w:gridCol w:w="1890"/>
        <w:gridCol w:w="2525"/>
        <w:gridCol w:w="2011"/>
        <w:gridCol w:w="3577"/>
      </w:tblGrid>
      <w:tr w:rsidR="002657BF" w:rsidRPr="002913BD" w:rsidTr="002657BF">
        <w:tc>
          <w:tcPr>
            <w:tcW w:w="945" w:type="pct"/>
            <w:tcBorders>
              <w:right w:val="nil"/>
            </w:tcBorders>
          </w:tcPr>
          <w:p w:rsidR="002657BF" w:rsidRPr="0042474B" w:rsidRDefault="002657BF" w:rsidP="002657BF">
            <w:pPr>
              <w:rPr>
                <w:rFonts w:ascii="Times New Roman" w:hAnsi="Times New Roman" w:cs="Times New Roman"/>
                <w:b/>
                <w:sz w:val="24"/>
                <w:szCs w:val="24"/>
              </w:rPr>
            </w:pPr>
            <w:r w:rsidRPr="0042474B">
              <w:rPr>
                <w:rFonts w:ascii="Times New Roman" w:hAnsi="Times New Roman" w:cs="Times New Roman"/>
                <w:b/>
                <w:sz w:val="24"/>
                <w:szCs w:val="24"/>
              </w:rPr>
              <w:t>Study</w:t>
            </w:r>
          </w:p>
        </w:tc>
        <w:tc>
          <w:tcPr>
            <w:tcW w:w="1262" w:type="pct"/>
            <w:tcBorders>
              <w:left w:val="nil"/>
              <w:right w:val="nil"/>
            </w:tcBorders>
          </w:tcPr>
          <w:p w:rsidR="002657BF" w:rsidRPr="0042474B" w:rsidRDefault="002657BF" w:rsidP="002657BF">
            <w:pPr>
              <w:rPr>
                <w:rFonts w:ascii="Times New Roman" w:hAnsi="Times New Roman" w:cs="Times New Roman"/>
                <w:b/>
                <w:sz w:val="24"/>
                <w:szCs w:val="24"/>
              </w:rPr>
            </w:pPr>
            <w:r w:rsidRPr="0042474B">
              <w:rPr>
                <w:rFonts w:ascii="Times New Roman" w:hAnsi="Times New Roman" w:cs="Times New Roman"/>
                <w:b/>
                <w:sz w:val="24"/>
                <w:szCs w:val="24"/>
              </w:rPr>
              <w:t xml:space="preserve">Findings </w:t>
            </w:r>
            <w:r>
              <w:rPr>
                <w:rFonts w:ascii="Times New Roman" w:hAnsi="Times New Roman" w:cs="Times New Roman"/>
                <w:b/>
                <w:sz w:val="24"/>
                <w:szCs w:val="24"/>
              </w:rPr>
              <w:t xml:space="preserve">                                                  </w:t>
            </w:r>
            <w:r w:rsidRPr="0042474B">
              <w:rPr>
                <w:rFonts w:ascii="Times New Roman" w:hAnsi="Times New Roman" w:cs="Times New Roman"/>
                <w:b/>
                <w:sz w:val="24"/>
                <w:szCs w:val="24"/>
              </w:rPr>
              <w:t>(Case vs. Control)</w:t>
            </w:r>
          </w:p>
        </w:tc>
        <w:tc>
          <w:tcPr>
            <w:tcW w:w="1005" w:type="pct"/>
            <w:tcBorders>
              <w:left w:val="nil"/>
              <w:right w:val="nil"/>
            </w:tcBorders>
          </w:tcPr>
          <w:p w:rsidR="002657BF" w:rsidRPr="0042474B" w:rsidRDefault="002657BF" w:rsidP="002657BF">
            <w:pPr>
              <w:rPr>
                <w:rFonts w:ascii="Times New Roman" w:hAnsi="Times New Roman" w:cs="Times New Roman"/>
                <w:b/>
                <w:sz w:val="24"/>
                <w:szCs w:val="24"/>
              </w:rPr>
            </w:pPr>
            <w:r w:rsidRPr="0042474B">
              <w:rPr>
                <w:rFonts w:ascii="Times New Roman" w:hAnsi="Times New Roman" w:cs="Times New Roman"/>
                <w:b/>
                <w:sz w:val="24"/>
                <w:szCs w:val="24"/>
              </w:rPr>
              <w:t>Case population studied</w:t>
            </w:r>
          </w:p>
        </w:tc>
        <w:tc>
          <w:tcPr>
            <w:tcW w:w="1788" w:type="pct"/>
            <w:tcBorders>
              <w:left w:val="nil"/>
            </w:tcBorders>
          </w:tcPr>
          <w:p w:rsidR="002657BF" w:rsidRPr="0042474B" w:rsidRDefault="002657BF" w:rsidP="002657BF">
            <w:pPr>
              <w:rPr>
                <w:rFonts w:ascii="Times New Roman" w:hAnsi="Times New Roman" w:cs="Times New Roman"/>
                <w:b/>
                <w:sz w:val="24"/>
                <w:szCs w:val="24"/>
              </w:rPr>
            </w:pPr>
            <w:r w:rsidRPr="0042474B">
              <w:rPr>
                <w:rFonts w:ascii="Times New Roman" w:hAnsi="Times New Roman" w:cs="Times New Roman"/>
                <w:b/>
                <w:sz w:val="24"/>
                <w:szCs w:val="24"/>
              </w:rPr>
              <w:t>Metabolic syndrome (MS) criteria</w:t>
            </w:r>
          </w:p>
        </w:tc>
      </w:tr>
      <w:tr w:rsidR="002657BF" w:rsidRPr="002913BD" w:rsidTr="002657BF">
        <w:tc>
          <w:tcPr>
            <w:tcW w:w="945" w:type="pct"/>
            <w:tcBorders>
              <w:right w:val="nil"/>
            </w:tcBorders>
          </w:tcPr>
          <w:p w:rsidR="002657BF" w:rsidRPr="0042474B" w:rsidRDefault="002657BF" w:rsidP="002657BF">
            <w:pP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{"citationID":"123g7f4qat","properties":{"formattedCitation":"(Kamaura et al., 2010)","plainCitation":"(Kamaura et al., 2010)"},"citationItems":[{"id":2876,"uris":["http://zotero.org/users/local/uX3qe6Q2/items/URPB78Q3"],"uri":["http://zotero.org/users/local/uX3qe6Q2/items/URPB78Q3"],"itemData":{"id":2876,"type":"article-journal","title":"Lifestyle modification in metabolic syndrome and associated changes in plasma amino acid profiles","container-title":"Circulation Journal: Official Journal of the Japanese Circulation Society","page":"2434-2440","volume":"74","issue":"11","source":"PubMed","abstract":"BACKGROUND: Although lifestyle modification is the key treatment of metabolic syndrome (MetS), clinical data on the dynamical relationship between metabolic state and MetS has been limited. This study investigated the mutual correlations between demographic and biochemical variables, and the metabolic state based on the plasma amino acid (AA) concentrations, during a lifestyle modification for MetS.\nMETHODS AND RESULTS: Japanese subjects, consisting of 54 patients with MetS [MetS(+)] and 35 persons without MetS [MetS(-)] were included in the study. Before a lifestyle modification program, the levels of glutamate metabolism-related AA (Glu-mAA), aromatic AA metabolism-related AA (Aromatic-mAA) and alanine metabolism-related AA (Ala-mAA) were significantly higher, while those of glycine-serine-threonine metabolism-related AA (Gly-Ser-Thr-mAA) were significantly lower compared to those in MetS(-). After a lifestyle modification, significant reductions (P&lt;0.05) in the BMI (-1.4 kg/m(2)), mean blood pressure (-7.9 mmHg), hemoglobin A(1c) (-0.4%), and triglycerides (-30.6 mg/dl) were observed, and significant differences in the plasma AA levels between MetS(+) and MetS(-) were resolved. In addition, the diagnostic items of MetS were positively correlated with the levels of Glu-mAA, Ala-mAA, branched chain AA (BCAA)-mAA, Aromatic-mAA, and negatively correlated with the levels of Gly-Ser-Thr-mAA.\nCONCLUSIONS: As MetS subsided, the abnormality of mean plasma AA levels of the MetS(+) group returned to similar values as those in the MetS(-) group, suggesting a novel viewpoint regarding the metabolic mechanism of lifestyle modification.","ISSN":"1347-4820","note":"PMID: 20834187","journalAbbreviation":"Circ. J.","language":"eng","author":[{"family":"Kamaura","given":"Mitsumasa"},{"family":"Nishijima","given":"Kiyoko"},{"family":"Takahashi","given":"Mitsuo"},{"family":"Ando","given":"Toshihiko"},{"family":"Mizushima","given":"Shunsaku"},{"family":"Tochikubo","given":"Osamu"}],"issued":{"date-parts":[["2010",11]]},"PMID":"20834187"}}],"schema":"https://github.com/citation-style-language/schema/raw/master/csl-citation.json"} </w:instrText>
            </w:r>
            <w:r>
              <w:rPr>
                <w:rFonts w:ascii="Times New Roman" w:hAnsi="Times New Roman" w:cs="Times New Roman"/>
                <w:sz w:val="24"/>
                <w:szCs w:val="24"/>
              </w:rPr>
              <w:fldChar w:fldCharType="separate"/>
            </w:r>
            <w:r w:rsidRPr="006D6556">
              <w:rPr>
                <w:rFonts w:ascii="Times New Roman" w:hAnsi="Times New Roman" w:cs="Times New Roman"/>
                <w:sz w:val="24"/>
              </w:rPr>
              <w:t>(</w:t>
            </w:r>
            <w:proofErr w:type="spellStart"/>
            <w:r w:rsidRPr="006D6556">
              <w:rPr>
                <w:rFonts w:ascii="Times New Roman" w:hAnsi="Times New Roman" w:cs="Times New Roman"/>
                <w:sz w:val="24"/>
              </w:rPr>
              <w:t>Kamaura</w:t>
            </w:r>
            <w:proofErr w:type="spellEnd"/>
            <w:r w:rsidRPr="006D6556">
              <w:rPr>
                <w:rFonts w:ascii="Times New Roman" w:hAnsi="Times New Roman" w:cs="Times New Roman"/>
                <w:sz w:val="24"/>
              </w:rPr>
              <w:t xml:space="preserve"> et al., 2010)</w:t>
            </w:r>
            <w:r>
              <w:rPr>
                <w:rFonts w:ascii="Times New Roman" w:hAnsi="Times New Roman" w:cs="Times New Roman"/>
                <w:sz w:val="24"/>
                <w:szCs w:val="24"/>
              </w:rPr>
              <w:fldChar w:fldCharType="end"/>
            </w:r>
          </w:p>
        </w:tc>
        <w:tc>
          <w:tcPr>
            <w:tcW w:w="1262" w:type="pct"/>
            <w:tcBorders>
              <w:left w:val="nil"/>
              <w:right w:val="nil"/>
            </w:tcBorders>
          </w:tcPr>
          <w:p w:rsidR="002657BF" w:rsidRPr="003A04D9" w:rsidRDefault="002657BF" w:rsidP="002657BF">
            <w:pPr>
              <w:rPr>
                <w:rFonts w:ascii="Times New Roman" w:hAnsi="Times New Roman" w:cs="Times New Roman"/>
                <w:sz w:val="20"/>
                <w:szCs w:val="24"/>
              </w:rPr>
            </w:pPr>
            <w:r w:rsidRPr="003A04D9">
              <w:rPr>
                <w:rFonts w:ascii="Times New Roman" w:hAnsi="Times New Roman" w:cs="Times New Roman"/>
                <w:sz w:val="20"/>
                <w:szCs w:val="24"/>
              </w:rPr>
              <w:t>↑ Alanine</w:t>
            </w:r>
          </w:p>
          <w:p w:rsidR="002657BF" w:rsidRPr="003A04D9" w:rsidRDefault="002657BF" w:rsidP="002657BF">
            <w:pPr>
              <w:rPr>
                <w:rFonts w:ascii="Times New Roman" w:hAnsi="Times New Roman" w:cs="Times New Roman"/>
                <w:sz w:val="20"/>
                <w:szCs w:val="24"/>
              </w:rPr>
            </w:pPr>
            <w:r w:rsidRPr="003A04D9">
              <w:rPr>
                <w:rFonts w:ascii="Times New Roman" w:hAnsi="Times New Roman" w:cs="Times New Roman"/>
                <w:sz w:val="20"/>
                <w:szCs w:val="24"/>
              </w:rPr>
              <w:t>↑ Arginine</w:t>
            </w:r>
          </w:p>
          <w:p w:rsidR="002657BF" w:rsidRPr="003A04D9" w:rsidRDefault="002657BF" w:rsidP="002657BF">
            <w:pPr>
              <w:rPr>
                <w:rFonts w:ascii="Times New Roman" w:hAnsi="Times New Roman" w:cs="Times New Roman"/>
                <w:sz w:val="20"/>
                <w:szCs w:val="24"/>
              </w:rPr>
            </w:pPr>
            <w:r w:rsidRPr="003A04D9">
              <w:rPr>
                <w:rFonts w:ascii="Times New Roman" w:hAnsi="Times New Roman" w:cs="Times New Roman"/>
                <w:sz w:val="20"/>
                <w:szCs w:val="24"/>
              </w:rPr>
              <w:t>↑ Glutamate</w:t>
            </w:r>
          </w:p>
          <w:p w:rsidR="002657BF" w:rsidRPr="003A04D9" w:rsidRDefault="002657BF" w:rsidP="002657BF">
            <w:pPr>
              <w:rPr>
                <w:rFonts w:ascii="Times New Roman" w:hAnsi="Times New Roman" w:cs="Times New Roman"/>
                <w:sz w:val="20"/>
                <w:szCs w:val="24"/>
              </w:rPr>
            </w:pPr>
            <w:r w:rsidRPr="003A04D9">
              <w:rPr>
                <w:rFonts w:ascii="Times New Roman" w:hAnsi="Times New Roman" w:cs="Times New Roman"/>
                <w:sz w:val="20"/>
                <w:szCs w:val="24"/>
              </w:rPr>
              <w:t>↑ Leucine</w:t>
            </w:r>
          </w:p>
          <w:p w:rsidR="002657BF" w:rsidRPr="003A04D9" w:rsidRDefault="002657BF" w:rsidP="002657BF">
            <w:pPr>
              <w:rPr>
                <w:rFonts w:ascii="Times New Roman" w:hAnsi="Times New Roman" w:cs="Times New Roman"/>
                <w:sz w:val="20"/>
                <w:szCs w:val="24"/>
              </w:rPr>
            </w:pPr>
            <w:r w:rsidRPr="003A04D9">
              <w:rPr>
                <w:rFonts w:ascii="Times New Roman" w:hAnsi="Times New Roman" w:cs="Times New Roman"/>
                <w:sz w:val="20"/>
                <w:szCs w:val="24"/>
              </w:rPr>
              <w:t>↑ Phenylalanine</w:t>
            </w:r>
          </w:p>
          <w:p w:rsidR="002657BF" w:rsidRPr="003A04D9" w:rsidRDefault="002657BF" w:rsidP="002657BF">
            <w:pPr>
              <w:rPr>
                <w:rFonts w:ascii="Times New Roman" w:hAnsi="Times New Roman" w:cs="Times New Roman"/>
                <w:sz w:val="20"/>
                <w:szCs w:val="24"/>
              </w:rPr>
            </w:pPr>
            <w:r w:rsidRPr="003A04D9">
              <w:rPr>
                <w:rFonts w:ascii="Times New Roman" w:hAnsi="Times New Roman" w:cs="Times New Roman"/>
                <w:sz w:val="20"/>
                <w:szCs w:val="24"/>
              </w:rPr>
              <w:t>↑ Proline</w:t>
            </w:r>
          </w:p>
          <w:p w:rsidR="002657BF" w:rsidRPr="003A04D9" w:rsidRDefault="002657BF" w:rsidP="002657BF">
            <w:pPr>
              <w:rPr>
                <w:rFonts w:ascii="Times New Roman" w:hAnsi="Times New Roman" w:cs="Times New Roman"/>
                <w:sz w:val="20"/>
                <w:szCs w:val="24"/>
              </w:rPr>
            </w:pPr>
            <w:r w:rsidRPr="003A04D9">
              <w:rPr>
                <w:rFonts w:ascii="Times New Roman" w:hAnsi="Times New Roman" w:cs="Times New Roman"/>
                <w:sz w:val="20"/>
                <w:szCs w:val="24"/>
              </w:rPr>
              <w:t>↑ Tyrosine</w:t>
            </w:r>
          </w:p>
          <w:p w:rsidR="002657BF" w:rsidRPr="003A04D9" w:rsidRDefault="002657BF" w:rsidP="002657BF">
            <w:pPr>
              <w:rPr>
                <w:rFonts w:ascii="Times New Roman" w:hAnsi="Times New Roman" w:cs="Times New Roman"/>
                <w:sz w:val="20"/>
                <w:szCs w:val="24"/>
              </w:rPr>
            </w:pPr>
            <w:r w:rsidRPr="003A04D9">
              <w:rPr>
                <w:rFonts w:ascii="Times New Roman" w:hAnsi="Times New Roman" w:cs="Times New Roman"/>
                <w:sz w:val="20"/>
                <w:szCs w:val="24"/>
              </w:rPr>
              <w:t>↑ Valine</w:t>
            </w:r>
          </w:p>
          <w:p w:rsidR="002657BF" w:rsidRPr="003A04D9" w:rsidRDefault="002657BF" w:rsidP="002657BF">
            <w:pPr>
              <w:rPr>
                <w:rFonts w:ascii="Times New Roman" w:hAnsi="Times New Roman" w:cs="Times New Roman"/>
                <w:sz w:val="20"/>
                <w:szCs w:val="24"/>
              </w:rPr>
            </w:pPr>
            <w:r w:rsidRPr="003A04D9">
              <w:rPr>
                <w:rFonts w:ascii="Times New Roman" w:hAnsi="Times New Roman" w:cs="Times New Roman"/>
                <w:sz w:val="20"/>
                <w:szCs w:val="24"/>
              </w:rPr>
              <w:t>↓ Glycine</w:t>
            </w:r>
          </w:p>
          <w:p w:rsidR="002657BF" w:rsidRPr="003A04D9" w:rsidRDefault="002657BF" w:rsidP="002657BF">
            <w:pPr>
              <w:rPr>
                <w:rFonts w:ascii="Times New Roman" w:hAnsi="Times New Roman" w:cs="Times New Roman"/>
                <w:sz w:val="20"/>
                <w:szCs w:val="24"/>
              </w:rPr>
            </w:pPr>
            <w:r w:rsidRPr="003A04D9">
              <w:rPr>
                <w:rFonts w:ascii="Times New Roman" w:hAnsi="Times New Roman" w:cs="Times New Roman"/>
                <w:sz w:val="20"/>
                <w:szCs w:val="24"/>
              </w:rPr>
              <w:t>↓ Serine</w:t>
            </w:r>
          </w:p>
        </w:tc>
        <w:tc>
          <w:tcPr>
            <w:tcW w:w="1005" w:type="pct"/>
            <w:tcBorders>
              <w:left w:val="nil"/>
              <w:right w:val="nil"/>
            </w:tcBorders>
          </w:tcPr>
          <w:p w:rsidR="002657BF" w:rsidRPr="0042474B" w:rsidRDefault="002657BF" w:rsidP="002657BF">
            <w:pPr>
              <w:rPr>
                <w:rFonts w:ascii="Times New Roman" w:hAnsi="Times New Roman" w:cs="Times New Roman"/>
                <w:sz w:val="24"/>
                <w:szCs w:val="24"/>
              </w:rPr>
            </w:pPr>
            <w:r w:rsidRPr="0042474B">
              <w:rPr>
                <w:rFonts w:ascii="Times New Roman" w:hAnsi="Times New Roman" w:cs="Times New Roman"/>
                <w:sz w:val="24"/>
                <w:szCs w:val="24"/>
              </w:rPr>
              <w:t>Adults who met MS criteria</w:t>
            </w:r>
          </w:p>
        </w:tc>
        <w:tc>
          <w:tcPr>
            <w:tcW w:w="1788" w:type="pct"/>
            <w:tcBorders>
              <w:left w:val="nil"/>
            </w:tcBorders>
          </w:tcPr>
          <w:p w:rsidR="002657BF" w:rsidRPr="003A04D9" w:rsidRDefault="002657BF" w:rsidP="002657BF">
            <w:pPr>
              <w:rPr>
                <w:rFonts w:ascii="Times New Roman" w:hAnsi="Times New Roman" w:cs="Times New Roman"/>
                <w:sz w:val="20"/>
                <w:szCs w:val="24"/>
              </w:rPr>
            </w:pPr>
            <w:r w:rsidRPr="003A04D9">
              <w:rPr>
                <w:rFonts w:ascii="Times New Roman" w:hAnsi="Times New Roman" w:cs="Times New Roman"/>
                <w:sz w:val="20"/>
                <w:szCs w:val="24"/>
              </w:rPr>
              <w:t xml:space="preserve">waist circumference ≥ 85 cm for males or &gt; 90 cm for females AND ≥ 2 of the following 3 criteria: </w:t>
            </w:r>
          </w:p>
          <w:p w:rsidR="002657BF" w:rsidRPr="003A04D9" w:rsidRDefault="002657BF" w:rsidP="002657BF">
            <w:pPr>
              <w:rPr>
                <w:rFonts w:ascii="Times New Roman" w:hAnsi="Times New Roman" w:cs="Times New Roman"/>
                <w:sz w:val="20"/>
                <w:szCs w:val="24"/>
              </w:rPr>
            </w:pPr>
            <w:proofErr w:type="gramStart"/>
            <w:r w:rsidRPr="003A04D9">
              <w:rPr>
                <w:rFonts w:ascii="Times New Roman" w:hAnsi="Times New Roman" w:cs="Times New Roman"/>
                <w:sz w:val="20"/>
                <w:szCs w:val="24"/>
              </w:rPr>
              <w:t>fasting</w:t>
            </w:r>
            <w:proofErr w:type="gramEnd"/>
            <w:r w:rsidRPr="003A04D9">
              <w:rPr>
                <w:rFonts w:ascii="Times New Roman" w:hAnsi="Times New Roman" w:cs="Times New Roman"/>
                <w:sz w:val="20"/>
                <w:szCs w:val="24"/>
              </w:rPr>
              <w:t xml:space="preserve"> glucose ≥ 110 mg/</w:t>
            </w:r>
            <w:proofErr w:type="spellStart"/>
            <w:r w:rsidRPr="003A04D9">
              <w:rPr>
                <w:rFonts w:ascii="Times New Roman" w:hAnsi="Times New Roman" w:cs="Times New Roman"/>
                <w:sz w:val="20"/>
                <w:szCs w:val="24"/>
              </w:rPr>
              <w:t>dL</w:t>
            </w:r>
            <w:proofErr w:type="spellEnd"/>
            <w:r w:rsidRPr="003A04D9">
              <w:rPr>
                <w:rFonts w:ascii="Times New Roman" w:hAnsi="Times New Roman" w:cs="Times New Roman"/>
                <w:sz w:val="20"/>
                <w:szCs w:val="24"/>
              </w:rPr>
              <w:t>; systolic BP ≥ 130 mm Hg and/or diastolic BP ≥ 85 mm Hg; TG ≥ 150 mg/</w:t>
            </w:r>
            <w:proofErr w:type="spellStart"/>
            <w:r w:rsidRPr="003A04D9">
              <w:rPr>
                <w:rFonts w:ascii="Times New Roman" w:hAnsi="Times New Roman" w:cs="Times New Roman"/>
                <w:sz w:val="20"/>
                <w:szCs w:val="24"/>
              </w:rPr>
              <w:t>dL</w:t>
            </w:r>
            <w:proofErr w:type="spellEnd"/>
            <w:r w:rsidRPr="003A04D9">
              <w:rPr>
                <w:rFonts w:ascii="Times New Roman" w:hAnsi="Times New Roman" w:cs="Times New Roman"/>
                <w:sz w:val="20"/>
                <w:szCs w:val="24"/>
              </w:rPr>
              <w:t xml:space="preserve"> and/or HDL-cholesterol &lt; 40 mg/</w:t>
            </w:r>
            <w:proofErr w:type="spellStart"/>
            <w:r w:rsidRPr="003A04D9">
              <w:rPr>
                <w:rFonts w:ascii="Times New Roman" w:hAnsi="Times New Roman" w:cs="Times New Roman"/>
                <w:sz w:val="20"/>
                <w:szCs w:val="24"/>
              </w:rPr>
              <w:t>dL</w:t>
            </w:r>
            <w:proofErr w:type="spellEnd"/>
            <w:r w:rsidRPr="003A04D9">
              <w:rPr>
                <w:rFonts w:ascii="Times New Roman" w:hAnsi="Times New Roman" w:cs="Times New Roman"/>
                <w:sz w:val="20"/>
                <w:szCs w:val="24"/>
              </w:rPr>
              <w:t>.</w:t>
            </w:r>
          </w:p>
        </w:tc>
      </w:tr>
      <w:tr w:rsidR="002657BF" w:rsidRPr="002913BD" w:rsidTr="002657BF">
        <w:tc>
          <w:tcPr>
            <w:tcW w:w="945" w:type="pct"/>
            <w:tcBorders>
              <w:right w:val="nil"/>
            </w:tcBorders>
          </w:tcPr>
          <w:p w:rsidR="002657BF" w:rsidRPr="0042474B" w:rsidRDefault="002657BF" w:rsidP="002657BF">
            <w:pP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{"citationID":"1afbkrrc9v","properties":{"formattedCitation":"(Wiklund et al., 2014)","plainCitation":"(Wiklund et al., 2014)"},"citationItems":[{"id":2360,"uris":["http://zotero.org/users/local/uX3qe6Q2/items/HDM9QGJX"],"uri":["http://zotero.org/users/local/uX3qe6Q2/items/HDM9QGJX"],"itemData":{"id":2360,"type":"article-journal","title":"Serum metabolic profiles in overweight and obese women with and without metabolic syndrome","container-title":"Diabetology &amp; Metabolic Syndrome","page":"40","volume":"6","source":"www-ncbi-nlm-nih-gov.ccmain.ohionet.org","abstract":"To identify serum biomarkers through metabolomics approach that distinguishes physically inactive overweight/obese women with metabolic syndrome from those who are metabolically healthy, independent of body weight and fat mass.We applied nuclear magnetic ...","DOI":"10.1186/1758-5996-6-40","note":"PMID: 24650495","language":"en","author":[{"family":"Wiklund","given":"Petri K."},{"family":"Pekkala","given":"Satu"},{"family":"Autio","given":"Reija"},{"family":"Munukka","given":"Eveliina"},{"family":"Xu","given":"Leiting"},{"family":"Saltevo","given":"Juha"},{"family":"Cheng","given":"ShuMei"},{"family":"Kujala","given":"Urho M."},{"family":"Alen","given":"Markku"},{"family":"Cheng","given":"Sulin"}],"issued":{"date-parts":[["2014"]]},"PMID":"24650495"}}],"schema":"https://github.com/citation-style-language/schema/raw/master/csl-citation.json"} </w:instrText>
            </w:r>
            <w:r>
              <w:rPr>
                <w:rFonts w:ascii="Times New Roman" w:hAnsi="Times New Roman" w:cs="Times New Roman"/>
                <w:sz w:val="24"/>
                <w:szCs w:val="24"/>
              </w:rPr>
              <w:fldChar w:fldCharType="separate"/>
            </w:r>
            <w:r w:rsidRPr="006D6556">
              <w:rPr>
                <w:rFonts w:ascii="Times New Roman" w:hAnsi="Times New Roman" w:cs="Times New Roman"/>
                <w:sz w:val="24"/>
              </w:rPr>
              <w:t>(</w:t>
            </w:r>
            <w:proofErr w:type="spellStart"/>
            <w:r w:rsidRPr="006D6556">
              <w:rPr>
                <w:rFonts w:ascii="Times New Roman" w:hAnsi="Times New Roman" w:cs="Times New Roman"/>
                <w:sz w:val="24"/>
              </w:rPr>
              <w:t>Wiklund</w:t>
            </w:r>
            <w:proofErr w:type="spellEnd"/>
            <w:r w:rsidRPr="006D6556">
              <w:rPr>
                <w:rFonts w:ascii="Times New Roman" w:hAnsi="Times New Roman" w:cs="Times New Roman"/>
                <w:sz w:val="24"/>
              </w:rPr>
              <w:t xml:space="preserve"> et al., 2014)</w:t>
            </w:r>
            <w:r>
              <w:rPr>
                <w:rFonts w:ascii="Times New Roman" w:hAnsi="Times New Roman" w:cs="Times New Roman"/>
                <w:sz w:val="24"/>
                <w:szCs w:val="24"/>
              </w:rPr>
              <w:fldChar w:fldCharType="end"/>
            </w:r>
          </w:p>
        </w:tc>
        <w:tc>
          <w:tcPr>
            <w:tcW w:w="1262" w:type="pct"/>
            <w:tcBorders>
              <w:left w:val="nil"/>
              <w:right w:val="nil"/>
            </w:tcBorders>
          </w:tcPr>
          <w:p w:rsidR="002657BF" w:rsidRPr="003A04D9" w:rsidRDefault="002657BF" w:rsidP="002657BF">
            <w:pPr>
              <w:rPr>
                <w:rFonts w:ascii="Times New Roman" w:hAnsi="Times New Roman" w:cs="Times New Roman"/>
                <w:sz w:val="20"/>
                <w:szCs w:val="24"/>
              </w:rPr>
            </w:pPr>
            <w:r w:rsidRPr="003A04D9">
              <w:rPr>
                <w:rFonts w:ascii="Times New Roman" w:hAnsi="Times New Roman" w:cs="Times New Roman"/>
                <w:sz w:val="20"/>
                <w:szCs w:val="24"/>
              </w:rPr>
              <w:t>↑ Alanine</w:t>
            </w:r>
          </w:p>
          <w:p w:rsidR="002657BF" w:rsidRPr="003A04D9" w:rsidRDefault="002657BF" w:rsidP="002657BF">
            <w:pPr>
              <w:rPr>
                <w:rFonts w:ascii="Times New Roman" w:hAnsi="Times New Roman" w:cs="Times New Roman"/>
                <w:sz w:val="20"/>
                <w:szCs w:val="24"/>
              </w:rPr>
            </w:pPr>
            <w:r w:rsidRPr="003A04D9">
              <w:rPr>
                <w:rFonts w:ascii="Times New Roman" w:hAnsi="Times New Roman" w:cs="Times New Roman"/>
                <w:sz w:val="20"/>
                <w:szCs w:val="24"/>
              </w:rPr>
              <w:t>↑ Isoleucine</w:t>
            </w:r>
          </w:p>
          <w:p w:rsidR="002657BF" w:rsidRPr="003A04D9" w:rsidRDefault="002657BF" w:rsidP="002657BF">
            <w:pPr>
              <w:rPr>
                <w:rFonts w:ascii="Times New Roman" w:hAnsi="Times New Roman" w:cs="Times New Roman"/>
                <w:sz w:val="20"/>
                <w:szCs w:val="24"/>
              </w:rPr>
            </w:pPr>
            <w:r w:rsidRPr="003A04D9">
              <w:rPr>
                <w:rFonts w:ascii="Times New Roman" w:hAnsi="Times New Roman" w:cs="Times New Roman"/>
                <w:sz w:val="20"/>
                <w:szCs w:val="24"/>
              </w:rPr>
              <w:t>↑ Leucine</w:t>
            </w:r>
          </w:p>
          <w:p w:rsidR="002657BF" w:rsidRPr="003A04D9" w:rsidRDefault="002657BF" w:rsidP="002657BF">
            <w:pPr>
              <w:rPr>
                <w:rFonts w:ascii="Times New Roman" w:hAnsi="Times New Roman" w:cs="Times New Roman"/>
                <w:sz w:val="20"/>
                <w:szCs w:val="24"/>
              </w:rPr>
            </w:pPr>
            <w:r w:rsidRPr="003A04D9">
              <w:rPr>
                <w:rFonts w:ascii="Times New Roman" w:hAnsi="Times New Roman" w:cs="Times New Roman"/>
                <w:sz w:val="20"/>
                <w:szCs w:val="24"/>
              </w:rPr>
              <w:t>↑ Phenylalanine</w:t>
            </w:r>
          </w:p>
          <w:p w:rsidR="002657BF" w:rsidRPr="003A04D9" w:rsidRDefault="002657BF" w:rsidP="002657BF">
            <w:pPr>
              <w:rPr>
                <w:rFonts w:ascii="Times New Roman" w:hAnsi="Times New Roman" w:cs="Times New Roman"/>
                <w:sz w:val="20"/>
                <w:szCs w:val="24"/>
              </w:rPr>
            </w:pPr>
            <w:r>
              <w:rPr>
                <w:rFonts w:ascii="Times New Roman" w:hAnsi="Times New Roman" w:cs="Times New Roman"/>
                <w:sz w:val="20"/>
                <w:szCs w:val="24"/>
              </w:rPr>
              <w:t>↑ Tyrosine</w:t>
            </w:r>
          </w:p>
        </w:tc>
        <w:tc>
          <w:tcPr>
            <w:tcW w:w="1005" w:type="pct"/>
            <w:tcBorders>
              <w:left w:val="nil"/>
              <w:right w:val="nil"/>
            </w:tcBorders>
          </w:tcPr>
          <w:p w:rsidR="002657BF" w:rsidRPr="0042474B" w:rsidRDefault="002657BF" w:rsidP="002657BF">
            <w:pPr>
              <w:rPr>
                <w:rFonts w:ascii="Times New Roman" w:hAnsi="Times New Roman" w:cs="Times New Roman"/>
                <w:sz w:val="24"/>
                <w:szCs w:val="24"/>
              </w:rPr>
            </w:pPr>
            <w:r w:rsidRPr="0042474B">
              <w:rPr>
                <w:rFonts w:ascii="Times New Roman" w:hAnsi="Times New Roman" w:cs="Times New Roman"/>
                <w:sz w:val="24"/>
                <w:szCs w:val="24"/>
              </w:rPr>
              <w:t>Premenopausal adult women with BMI 25-40 kg/m</w:t>
            </w:r>
            <w:r w:rsidRPr="0042474B">
              <w:rPr>
                <w:rFonts w:ascii="Times New Roman" w:hAnsi="Times New Roman" w:cs="Times New Roman"/>
                <w:sz w:val="24"/>
                <w:szCs w:val="24"/>
                <w:vertAlign w:val="superscript"/>
              </w:rPr>
              <w:t>2</w:t>
            </w:r>
            <w:r w:rsidRPr="0042474B">
              <w:rPr>
                <w:rFonts w:ascii="Times New Roman" w:hAnsi="Times New Roman" w:cs="Times New Roman"/>
                <w:sz w:val="24"/>
                <w:szCs w:val="24"/>
              </w:rPr>
              <w:t xml:space="preserve"> who met MS criteria</w:t>
            </w:r>
          </w:p>
        </w:tc>
        <w:tc>
          <w:tcPr>
            <w:tcW w:w="1788" w:type="pct"/>
            <w:tcBorders>
              <w:left w:val="nil"/>
            </w:tcBorders>
          </w:tcPr>
          <w:p w:rsidR="002657BF" w:rsidRPr="003A04D9" w:rsidRDefault="002657BF" w:rsidP="002657BF">
            <w:pPr>
              <w:rPr>
                <w:rFonts w:ascii="Times New Roman" w:hAnsi="Times New Roman" w:cs="Times New Roman"/>
                <w:sz w:val="20"/>
                <w:szCs w:val="24"/>
              </w:rPr>
            </w:pPr>
            <w:r w:rsidRPr="003A04D9">
              <w:rPr>
                <w:rFonts w:ascii="Times New Roman" w:hAnsi="Times New Roman" w:cs="Times New Roman"/>
                <w:sz w:val="20"/>
                <w:szCs w:val="24"/>
              </w:rPr>
              <w:t xml:space="preserve">at least 3 of the following 5 criteria: waist circumference of ≥ 88 cm; fasting serum TG ≥ 1.7 </w:t>
            </w:r>
            <w:proofErr w:type="spellStart"/>
            <w:r w:rsidRPr="003A04D9">
              <w:rPr>
                <w:rFonts w:ascii="Times New Roman" w:hAnsi="Times New Roman" w:cs="Times New Roman"/>
                <w:sz w:val="20"/>
                <w:szCs w:val="24"/>
              </w:rPr>
              <w:t>mmol</w:t>
            </w:r>
            <w:proofErr w:type="spellEnd"/>
            <w:r w:rsidRPr="003A04D9">
              <w:rPr>
                <w:rFonts w:ascii="Times New Roman" w:hAnsi="Times New Roman" w:cs="Times New Roman"/>
                <w:sz w:val="20"/>
                <w:szCs w:val="24"/>
              </w:rPr>
              <w:t xml:space="preserve">/L; fasting HDL-cholesterol &lt; 1.30 </w:t>
            </w:r>
            <w:proofErr w:type="spellStart"/>
            <w:r w:rsidRPr="003A04D9">
              <w:rPr>
                <w:rFonts w:ascii="Times New Roman" w:hAnsi="Times New Roman" w:cs="Times New Roman"/>
                <w:sz w:val="20"/>
                <w:szCs w:val="24"/>
              </w:rPr>
              <w:t>mmol</w:t>
            </w:r>
            <w:proofErr w:type="spellEnd"/>
            <w:r w:rsidRPr="003A04D9">
              <w:rPr>
                <w:rFonts w:ascii="Times New Roman" w:hAnsi="Times New Roman" w:cs="Times New Roman"/>
                <w:sz w:val="20"/>
                <w:szCs w:val="24"/>
              </w:rPr>
              <w:t xml:space="preserve">/L, fasting glucose ≥ 5.6 </w:t>
            </w:r>
            <w:proofErr w:type="spellStart"/>
            <w:r w:rsidRPr="003A04D9">
              <w:rPr>
                <w:rFonts w:ascii="Times New Roman" w:hAnsi="Times New Roman" w:cs="Times New Roman"/>
                <w:sz w:val="20"/>
                <w:szCs w:val="24"/>
              </w:rPr>
              <w:t>mmol</w:t>
            </w:r>
            <w:proofErr w:type="spellEnd"/>
            <w:r w:rsidRPr="003A04D9">
              <w:rPr>
                <w:rFonts w:ascii="Times New Roman" w:hAnsi="Times New Roman" w:cs="Times New Roman"/>
                <w:sz w:val="20"/>
                <w:szCs w:val="24"/>
              </w:rPr>
              <w:t>/L and blood pressure ≥ 130/85 mm Hg.</w:t>
            </w:r>
          </w:p>
        </w:tc>
      </w:tr>
      <w:tr w:rsidR="002657BF" w:rsidRPr="002913BD" w:rsidTr="002657BF">
        <w:tc>
          <w:tcPr>
            <w:tcW w:w="945" w:type="pct"/>
            <w:tcBorders>
              <w:right w:val="nil"/>
            </w:tcBorders>
          </w:tcPr>
          <w:p w:rsidR="002657BF" w:rsidRPr="0042474B" w:rsidRDefault="002657BF" w:rsidP="002657BF">
            <w:pP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{"citationID":"80du1snrr","properties":{"formattedCitation":"(Yamakado et al., 2015)","plainCitation":"(Yamakado et al., 2015)"},"citationItems":[{"id":2614,"uris":["http://zotero.org/users/local/uX3qe6Q2/items/KPGB6G4I"],"uri":["http://zotero.org/users/local/uX3qe6Q2/items/KPGB6G4I"],"itemData":{"id":2614,"type":"article-journal","title":"Plasma Free Amino Acid Profiles Predict Four-Year Risk of Developing Diabetes, Metabolic Syndrome, Dyslipidemia, and Hypertension in Japanese Population","container-title":"Scientific Reports","page":"11918","volume":"5","source":"www.nature.com","abstract":"Plasma free amino acid (PFAA) profile is highlighted in its association with visceral obesity and hyperinsulinemia, and future diabetes. Indeed PFAA profiling potentially can evaluate individuals’ future risks of developing lifestyle-related diseases, in addition to diabetes.","DOI":"10.1038/srep11918","ISSN":"2045-2322","language":"en","author":[{"family":"Yamakado","given":"Minoru"},{"family":"Nagao","given":"Kenji"},{"family":"Imaizumi","given":"Akira"},{"family":"Tani","given":"Mizuki"},{"family":"Toda","given":"Akiko"},{"family":"Tanaka","given":"Takayuki"},{"family":"Jinzu","given":"Hiroko"},{"family":"Miyano","given":"Hiroshi"},{"family":"Yamamoto","given":"Hiroshi"},{"family":"Daimon","given":"Takashi"},{"family":"Horimoto","given":"Katsuhisa"},{"family":"Ishizaka","given":"Yuko"}],"issued":{"date-parts":[["2015",7,9]]}}}],"schema":"https://github.com/citation-style-language/schema/raw/master/csl-citation.json"} </w:instrText>
            </w:r>
            <w:r>
              <w:rPr>
                <w:rFonts w:ascii="Times New Roman" w:hAnsi="Times New Roman" w:cs="Times New Roman"/>
                <w:sz w:val="24"/>
                <w:szCs w:val="24"/>
              </w:rPr>
              <w:fldChar w:fldCharType="separate"/>
            </w:r>
            <w:r w:rsidRPr="006D6556">
              <w:rPr>
                <w:rFonts w:ascii="Times New Roman" w:hAnsi="Times New Roman" w:cs="Times New Roman"/>
                <w:sz w:val="24"/>
              </w:rPr>
              <w:t>(</w:t>
            </w:r>
            <w:proofErr w:type="spellStart"/>
            <w:r w:rsidRPr="006D6556">
              <w:rPr>
                <w:rFonts w:ascii="Times New Roman" w:hAnsi="Times New Roman" w:cs="Times New Roman"/>
                <w:sz w:val="24"/>
              </w:rPr>
              <w:t>Yamakado</w:t>
            </w:r>
            <w:proofErr w:type="spellEnd"/>
            <w:r w:rsidRPr="006D6556">
              <w:rPr>
                <w:rFonts w:ascii="Times New Roman" w:hAnsi="Times New Roman" w:cs="Times New Roman"/>
                <w:sz w:val="24"/>
              </w:rPr>
              <w:t xml:space="preserve"> et al., 2015)</w:t>
            </w:r>
            <w:r>
              <w:rPr>
                <w:rFonts w:ascii="Times New Roman" w:hAnsi="Times New Roman" w:cs="Times New Roman"/>
                <w:sz w:val="24"/>
                <w:szCs w:val="24"/>
              </w:rPr>
              <w:fldChar w:fldCharType="end"/>
            </w:r>
          </w:p>
        </w:tc>
        <w:tc>
          <w:tcPr>
            <w:tcW w:w="1262" w:type="pct"/>
            <w:tcBorders>
              <w:left w:val="nil"/>
              <w:right w:val="nil"/>
            </w:tcBorders>
          </w:tcPr>
          <w:p w:rsidR="002657BF" w:rsidRPr="003A04D9" w:rsidRDefault="002657BF" w:rsidP="002657BF">
            <w:pPr>
              <w:rPr>
                <w:rFonts w:ascii="Times New Roman" w:hAnsi="Times New Roman" w:cs="Times New Roman"/>
                <w:sz w:val="20"/>
                <w:szCs w:val="24"/>
              </w:rPr>
            </w:pPr>
            <w:r w:rsidRPr="003A04D9">
              <w:rPr>
                <w:rFonts w:ascii="Times New Roman" w:hAnsi="Times New Roman" w:cs="Times New Roman"/>
                <w:sz w:val="20"/>
                <w:szCs w:val="24"/>
              </w:rPr>
              <w:t>↑ Alanine</w:t>
            </w:r>
          </w:p>
          <w:p w:rsidR="002657BF" w:rsidRPr="003A04D9" w:rsidRDefault="002657BF" w:rsidP="002657BF">
            <w:pPr>
              <w:rPr>
                <w:rFonts w:ascii="Times New Roman" w:hAnsi="Times New Roman" w:cs="Times New Roman"/>
                <w:sz w:val="20"/>
                <w:szCs w:val="24"/>
              </w:rPr>
            </w:pPr>
            <w:r w:rsidRPr="003A04D9">
              <w:rPr>
                <w:rFonts w:ascii="Times New Roman" w:hAnsi="Times New Roman" w:cs="Times New Roman"/>
                <w:sz w:val="20"/>
                <w:szCs w:val="24"/>
              </w:rPr>
              <w:t>↑ Isoleucine</w:t>
            </w:r>
          </w:p>
          <w:p w:rsidR="002657BF" w:rsidRPr="003A04D9" w:rsidRDefault="002657BF" w:rsidP="002657BF">
            <w:pPr>
              <w:rPr>
                <w:rFonts w:ascii="Times New Roman" w:hAnsi="Times New Roman" w:cs="Times New Roman"/>
                <w:sz w:val="20"/>
                <w:szCs w:val="24"/>
              </w:rPr>
            </w:pPr>
            <w:r w:rsidRPr="003A04D9">
              <w:rPr>
                <w:rFonts w:ascii="Times New Roman" w:hAnsi="Times New Roman" w:cs="Times New Roman"/>
                <w:sz w:val="20"/>
                <w:szCs w:val="24"/>
              </w:rPr>
              <w:t>↑ Leucine</w:t>
            </w:r>
          </w:p>
          <w:p w:rsidR="002657BF" w:rsidRPr="003A04D9" w:rsidRDefault="002657BF" w:rsidP="002657BF">
            <w:pPr>
              <w:rPr>
                <w:rFonts w:ascii="Times New Roman" w:hAnsi="Times New Roman" w:cs="Times New Roman"/>
                <w:sz w:val="20"/>
                <w:szCs w:val="24"/>
              </w:rPr>
            </w:pPr>
            <w:r w:rsidRPr="003A04D9">
              <w:rPr>
                <w:rFonts w:ascii="Times New Roman" w:hAnsi="Times New Roman" w:cs="Times New Roman"/>
                <w:sz w:val="20"/>
                <w:szCs w:val="24"/>
              </w:rPr>
              <w:t>↑ Tyrosine</w:t>
            </w:r>
          </w:p>
          <w:p w:rsidR="002657BF" w:rsidRPr="003A04D9" w:rsidRDefault="002657BF" w:rsidP="002657BF">
            <w:pPr>
              <w:rPr>
                <w:rFonts w:ascii="Times New Roman" w:hAnsi="Times New Roman" w:cs="Times New Roman"/>
                <w:sz w:val="20"/>
                <w:szCs w:val="24"/>
              </w:rPr>
            </w:pPr>
            <w:r w:rsidRPr="003A04D9">
              <w:rPr>
                <w:rFonts w:ascii="Times New Roman" w:hAnsi="Times New Roman" w:cs="Times New Roman"/>
                <w:sz w:val="20"/>
                <w:szCs w:val="24"/>
              </w:rPr>
              <w:t>↓ Serine</w:t>
            </w:r>
          </w:p>
          <w:p w:rsidR="002657BF" w:rsidRPr="003A04D9" w:rsidRDefault="002657BF" w:rsidP="002657BF">
            <w:pPr>
              <w:rPr>
                <w:rFonts w:ascii="Times New Roman" w:hAnsi="Times New Roman" w:cs="Times New Roman"/>
                <w:sz w:val="20"/>
                <w:szCs w:val="24"/>
              </w:rPr>
            </w:pPr>
          </w:p>
        </w:tc>
        <w:tc>
          <w:tcPr>
            <w:tcW w:w="1005" w:type="pct"/>
            <w:tcBorders>
              <w:left w:val="nil"/>
              <w:right w:val="nil"/>
            </w:tcBorders>
          </w:tcPr>
          <w:p w:rsidR="002657BF" w:rsidRPr="0042474B" w:rsidRDefault="002657BF" w:rsidP="002657BF">
            <w:pPr>
              <w:rPr>
                <w:rFonts w:ascii="Times New Roman" w:hAnsi="Times New Roman" w:cs="Times New Roman"/>
                <w:sz w:val="24"/>
                <w:szCs w:val="24"/>
              </w:rPr>
            </w:pPr>
            <w:r w:rsidRPr="0042474B">
              <w:rPr>
                <w:rFonts w:ascii="Times New Roman" w:hAnsi="Times New Roman" w:cs="Times New Roman"/>
                <w:sz w:val="24"/>
                <w:szCs w:val="24"/>
              </w:rPr>
              <w:t>Adults who have MS criteria</w:t>
            </w:r>
          </w:p>
        </w:tc>
        <w:tc>
          <w:tcPr>
            <w:tcW w:w="1788" w:type="pct"/>
            <w:tcBorders>
              <w:left w:val="nil"/>
            </w:tcBorders>
          </w:tcPr>
          <w:p w:rsidR="002657BF" w:rsidRPr="003A04D9" w:rsidRDefault="002657BF" w:rsidP="002657BF">
            <w:pPr>
              <w:rPr>
                <w:rFonts w:ascii="Times New Roman" w:hAnsi="Times New Roman" w:cs="Times New Roman"/>
                <w:sz w:val="20"/>
                <w:szCs w:val="24"/>
              </w:rPr>
            </w:pPr>
            <w:r w:rsidRPr="003A04D9">
              <w:rPr>
                <w:rFonts w:ascii="Times New Roman" w:hAnsi="Times New Roman" w:cs="Times New Roman"/>
                <w:sz w:val="20"/>
                <w:szCs w:val="24"/>
              </w:rPr>
              <w:t>waist circumference of ≥ 85 cm for males or &gt; 90 cm for females and ≥ 2 of the following 3 criteria: fasting plasma glucose ≥ 110 mg/</w:t>
            </w:r>
            <w:proofErr w:type="spellStart"/>
            <w:r w:rsidRPr="003A04D9">
              <w:rPr>
                <w:rFonts w:ascii="Times New Roman" w:hAnsi="Times New Roman" w:cs="Times New Roman"/>
                <w:sz w:val="20"/>
                <w:szCs w:val="24"/>
              </w:rPr>
              <w:t>dL</w:t>
            </w:r>
            <w:proofErr w:type="spellEnd"/>
            <w:r w:rsidRPr="003A04D9">
              <w:rPr>
                <w:rFonts w:ascii="Times New Roman" w:hAnsi="Times New Roman" w:cs="Times New Roman"/>
                <w:sz w:val="20"/>
                <w:szCs w:val="24"/>
              </w:rPr>
              <w:t xml:space="preserve"> or the use of medication for diabetes; systolic BP ≥ 130 mm Hg and/or diastolic BP ≥ 85 mm Hg or the use of antihypertensive medication; TG ≥ 150 mg/</w:t>
            </w:r>
            <w:proofErr w:type="spellStart"/>
            <w:r w:rsidRPr="003A04D9">
              <w:rPr>
                <w:rFonts w:ascii="Times New Roman" w:hAnsi="Times New Roman" w:cs="Times New Roman"/>
                <w:sz w:val="20"/>
                <w:szCs w:val="24"/>
              </w:rPr>
              <w:t>dL</w:t>
            </w:r>
            <w:proofErr w:type="spellEnd"/>
            <w:r w:rsidRPr="003A04D9">
              <w:rPr>
                <w:rFonts w:ascii="Times New Roman" w:hAnsi="Times New Roman" w:cs="Times New Roman"/>
                <w:sz w:val="20"/>
                <w:szCs w:val="24"/>
              </w:rPr>
              <w:t xml:space="preserve"> and/or HDL-cholesterol &lt; 40 mg/</w:t>
            </w:r>
            <w:proofErr w:type="spellStart"/>
            <w:r w:rsidRPr="003A04D9">
              <w:rPr>
                <w:rFonts w:ascii="Times New Roman" w:hAnsi="Times New Roman" w:cs="Times New Roman"/>
                <w:sz w:val="20"/>
                <w:szCs w:val="24"/>
              </w:rPr>
              <w:t>dL</w:t>
            </w:r>
            <w:proofErr w:type="spellEnd"/>
            <w:r w:rsidRPr="003A04D9">
              <w:rPr>
                <w:rFonts w:ascii="Times New Roman" w:hAnsi="Times New Roman" w:cs="Times New Roman"/>
                <w:sz w:val="20"/>
                <w:szCs w:val="24"/>
              </w:rPr>
              <w:t xml:space="preserve"> or the use of medication for dyslipidemia.</w:t>
            </w:r>
          </w:p>
        </w:tc>
      </w:tr>
      <w:tr w:rsidR="002657BF" w:rsidRPr="002913BD" w:rsidTr="002657BF">
        <w:tc>
          <w:tcPr>
            <w:tcW w:w="945" w:type="pct"/>
            <w:tcBorders>
              <w:right w:val="nil"/>
            </w:tcBorders>
          </w:tcPr>
          <w:p w:rsidR="002657BF" w:rsidRPr="0042474B" w:rsidRDefault="002657BF" w:rsidP="002657BF">
            <w:pP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{"citationID":"9ni7it11u","properties":{"formattedCitation":"(Chen et al., 2015)","plainCitation":"(Chen et al., 2015)"},"citationItems":[{"id":2363,"uris":["http://zotero.org/users/local/uX3qe6Q2/items/JET34NHW"],"uri":["http://zotero.org/users/local/uX3qe6Q2/items/JET34NHW"],"itemData":{"id":2363,"type":"article-journal","title":"The metabolome profiling and pathway analysis in metabolic healthy and abnormal obesity","container-title":"International Journal of Obesity","page":"1241-1248","volume":"39","issue":"8","source":"www.nature.com.ccmain.ohionet.org","abstract":"Objectives: Mechanisms of the development of abnormal metabolic phenotypes among obese population are not yet clear. In this study, we aimed to screen metabolomes of both healthy and subjects with abnormal obesity to identify potential metabolic pathways that may regulate the different metabolic characteristics of obesity.\nMethods: We recruited subjects with body mass index (BMI) over 25 from the weight-loss clinic of a central hospital in Taiwan. Metabolic healthy obesity (MHO) is defined as without having any form of hyperglycemia, hypertension and dyslipidemia, while metabolic abnormal obesity (MAO) is defined as having one or more abnormal metabolic indexes. Serum-based metabolomic profiling using both liquid chromatography–mass spectrometry and gas chromatography–mass spectrometry of 34 MHO and MAO individuals with matching age, sex and BMI was performed. Conditional logistic regression and partial least squares discriminant analysis were applied to identify significant metabolites between the two groups. Pathway enrichment and topology analyses were conducted to evaluate the regulated pathways.\nResults: A differential metabolite panel was identified to be significantly differed in MHO and MAO groups, including L-kynurenine, glycerophosphocholine (GPC), glycerol 1-phosphate, glycolic acid, tagatose, methyl palmitate and uric acid. Moreover, several metabolic pathways were relevant in distinguishing MHO from MAO groups, including fatty acid biosynthesis, phenylalanine metabolism, propanoate metabolism, and valine, leucine and isoleucine degradation.\nConclusion: Different metabolomic profiles and metabolic pathways are important for distinguishing between MHO and MAO groups. We have identified and discussed the key metabolites and pathways that may prove important in the regulation of metabolic traits among the obese, which could provide useful clues to study the underlying mechanisms of the development of abnormal metabolic phenotypes.","DOI":"10.1038/ijo.2015.65","ISSN":"0307-0565","journalAbbreviation":"Int J Obes","language":"en","author":[{"family":"Chen","given":"H.-H."},{"family":"Tseng","given":"Y. J."},{"family":"Wang","given":"S.-Y."},{"family":"Tsai","given":"Y.-S."},{"family":"Chang","given":"C.-S."},{"family":"Kuo","given":"T.-C."},{"family":"Yao","given":"W.-J."},{"family":"Shieh","given":"C.-C."},{"family":"Wu","given":"C.-H."},{"family":"Kuo","given":"P.-H."}],"issued":{"date-parts":[["2015",8]]}}}],"schema":"https://github.com/citation-style-language/schema/raw/master/csl-citation.json"} </w:instrText>
            </w:r>
            <w:r>
              <w:rPr>
                <w:rFonts w:ascii="Times New Roman" w:hAnsi="Times New Roman" w:cs="Times New Roman"/>
                <w:sz w:val="24"/>
                <w:szCs w:val="24"/>
              </w:rPr>
              <w:fldChar w:fldCharType="separate"/>
            </w:r>
            <w:r w:rsidRPr="006D6556">
              <w:rPr>
                <w:rFonts w:ascii="Times New Roman" w:hAnsi="Times New Roman" w:cs="Times New Roman"/>
                <w:sz w:val="24"/>
              </w:rPr>
              <w:t>(Chen et al., 2015)</w:t>
            </w:r>
            <w:r>
              <w:rPr>
                <w:rFonts w:ascii="Times New Roman" w:hAnsi="Times New Roman" w:cs="Times New Roman"/>
                <w:sz w:val="24"/>
                <w:szCs w:val="24"/>
              </w:rPr>
              <w:fldChar w:fldCharType="end"/>
            </w:r>
          </w:p>
        </w:tc>
        <w:tc>
          <w:tcPr>
            <w:tcW w:w="1262" w:type="pct"/>
            <w:tcBorders>
              <w:left w:val="nil"/>
              <w:right w:val="nil"/>
            </w:tcBorders>
          </w:tcPr>
          <w:p w:rsidR="002657BF" w:rsidRPr="003A04D9" w:rsidRDefault="002657BF" w:rsidP="002657BF">
            <w:pPr>
              <w:rPr>
                <w:rFonts w:ascii="Times New Roman" w:hAnsi="Times New Roman" w:cs="Times New Roman"/>
                <w:sz w:val="20"/>
                <w:szCs w:val="24"/>
              </w:rPr>
            </w:pPr>
            <w:r w:rsidRPr="003A04D9">
              <w:rPr>
                <w:rFonts w:ascii="Times New Roman" w:hAnsi="Times New Roman" w:cs="Times New Roman"/>
                <w:sz w:val="20"/>
                <w:szCs w:val="24"/>
              </w:rPr>
              <w:t>Significantly different:</w:t>
            </w:r>
          </w:p>
          <w:p w:rsidR="002657BF" w:rsidRPr="003A04D9" w:rsidRDefault="002657BF" w:rsidP="002657BF">
            <w:pPr>
              <w:rPr>
                <w:rFonts w:ascii="Times New Roman" w:hAnsi="Times New Roman" w:cs="Times New Roman"/>
                <w:sz w:val="20"/>
                <w:szCs w:val="24"/>
              </w:rPr>
            </w:pPr>
            <w:r w:rsidRPr="003A04D9">
              <w:rPr>
                <w:rFonts w:ascii="Times New Roman" w:hAnsi="Times New Roman" w:cs="Times New Roman"/>
                <w:sz w:val="20"/>
                <w:szCs w:val="24"/>
              </w:rPr>
              <w:t>Valine</w:t>
            </w:r>
          </w:p>
        </w:tc>
        <w:tc>
          <w:tcPr>
            <w:tcW w:w="1005" w:type="pct"/>
            <w:tcBorders>
              <w:left w:val="nil"/>
              <w:right w:val="nil"/>
            </w:tcBorders>
          </w:tcPr>
          <w:p w:rsidR="002657BF" w:rsidRPr="0042474B" w:rsidRDefault="002657BF" w:rsidP="002657BF">
            <w:pPr>
              <w:rPr>
                <w:rFonts w:ascii="Times New Roman" w:hAnsi="Times New Roman" w:cs="Times New Roman"/>
                <w:sz w:val="24"/>
                <w:szCs w:val="24"/>
              </w:rPr>
            </w:pPr>
            <w:r w:rsidRPr="0042474B">
              <w:rPr>
                <w:rFonts w:ascii="Times New Roman" w:hAnsi="Times New Roman" w:cs="Times New Roman"/>
                <w:sz w:val="24"/>
                <w:szCs w:val="24"/>
              </w:rPr>
              <w:t>Metabolically abnormal obese adults with BMI &gt; 25 kg/m</w:t>
            </w:r>
            <w:r w:rsidRPr="0042474B">
              <w:rPr>
                <w:rFonts w:ascii="Times New Roman" w:hAnsi="Times New Roman" w:cs="Times New Roman"/>
                <w:sz w:val="24"/>
                <w:szCs w:val="24"/>
                <w:vertAlign w:val="superscript"/>
              </w:rPr>
              <w:t>2</w:t>
            </w:r>
          </w:p>
        </w:tc>
        <w:tc>
          <w:tcPr>
            <w:tcW w:w="1788" w:type="pct"/>
            <w:tcBorders>
              <w:left w:val="nil"/>
            </w:tcBorders>
          </w:tcPr>
          <w:p w:rsidR="002657BF" w:rsidRPr="003A04D9" w:rsidRDefault="002657BF" w:rsidP="002657BF">
            <w:pPr>
              <w:rPr>
                <w:rFonts w:ascii="Times New Roman" w:hAnsi="Times New Roman" w:cs="Times New Roman"/>
                <w:sz w:val="20"/>
                <w:szCs w:val="24"/>
              </w:rPr>
            </w:pPr>
            <w:r w:rsidRPr="003A04D9">
              <w:rPr>
                <w:rFonts w:ascii="Times New Roman" w:hAnsi="Times New Roman" w:cs="Times New Roman"/>
                <w:sz w:val="20"/>
                <w:szCs w:val="24"/>
              </w:rPr>
              <w:t>BMI &gt; 25 kg/m2 and one or more abnormal metabolic indices (fasting blood glucose &gt; 100 md/</w:t>
            </w:r>
            <w:proofErr w:type="spellStart"/>
            <w:r w:rsidRPr="003A04D9">
              <w:rPr>
                <w:rFonts w:ascii="Times New Roman" w:hAnsi="Times New Roman" w:cs="Times New Roman"/>
                <w:sz w:val="20"/>
                <w:szCs w:val="24"/>
              </w:rPr>
              <w:t>dL</w:t>
            </w:r>
            <w:proofErr w:type="spellEnd"/>
            <w:r w:rsidRPr="003A04D9">
              <w:rPr>
                <w:rFonts w:ascii="Times New Roman" w:hAnsi="Times New Roman" w:cs="Times New Roman"/>
                <w:sz w:val="20"/>
                <w:szCs w:val="24"/>
              </w:rPr>
              <w:t>, TG &gt; 150 mg/</w:t>
            </w:r>
            <w:proofErr w:type="spellStart"/>
            <w:r w:rsidRPr="003A04D9">
              <w:rPr>
                <w:rFonts w:ascii="Times New Roman" w:hAnsi="Times New Roman" w:cs="Times New Roman"/>
                <w:sz w:val="20"/>
                <w:szCs w:val="24"/>
              </w:rPr>
              <w:t>dL</w:t>
            </w:r>
            <w:proofErr w:type="spellEnd"/>
            <w:r w:rsidRPr="003A04D9">
              <w:rPr>
                <w:rFonts w:ascii="Times New Roman" w:hAnsi="Times New Roman" w:cs="Times New Roman"/>
                <w:sz w:val="20"/>
                <w:szCs w:val="24"/>
              </w:rPr>
              <w:t>, HDL-cholesterol &lt; 40 mg/</w:t>
            </w:r>
            <w:proofErr w:type="spellStart"/>
            <w:r w:rsidRPr="003A04D9">
              <w:rPr>
                <w:rFonts w:ascii="Times New Roman" w:hAnsi="Times New Roman" w:cs="Times New Roman"/>
                <w:sz w:val="20"/>
                <w:szCs w:val="24"/>
              </w:rPr>
              <w:t>dL</w:t>
            </w:r>
            <w:proofErr w:type="spellEnd"/>
            <w:r w:rsidRPr="003A04D9">
              <w:rPr>
                <w:rFonts w:ascii="Times New Roman" w:hAnsi="Times New Roman" w:cs="Times New Roman"/>
                <w:sz w:val="20"/>
                <w:szCs w:val="24"/>
              </w:rPr>
              <w:t xml:space="preserve"> in males or &lt; 50 mg/</w:t>
            </w:r>
            <w:proofErr w:type="spellStart"/>
            <w:r w:rsidRPr="003A04D9">
              <w:rPr>
                <w:rFonts w:ascii="Times New Roman" w:hAnsi="Times New Roman" w:cs="Times New Roman"/>
                <w:sz w:val="20"/>
                <w:szCs w:val="24"/>
              </w:rPr>
              <w:t>dL</w:t>
            </w:r>
            <w:proofErr w:type="spellEnd"/>
            <w:r w:rsidRPr="003A04D9">
              <w:rPr>
                <w:rFonts w:ascii="Times New Roman" w:hAnsi="Times New Roman" w:cs="Times New Roman"/>
                <w:sz w:val="20"/>
                <w:szCs w:val="24"/>
              </w:rPr>
              <w:t xml:space="preserve"> in females, systolic BP &gt; 130 mm Hg or diastolic BP &gt; 85 mm Hg).</w:t>
            </w:r>
          </w:p>
        </w:tc>
      </w:tr>
      <w:tr w:rsidR="002657BF" w:rsidRPr="002913BD" w:rsidTr="002657BF">
        <w:tc>
          <w:tcPr>
            <w:tcW w:w="945" w:type="pct"/>
            <w:tcBorders>
              <w:right w:val="nil"/>
            </w:tcBorders>
          </w:tcPr>
          <w:p w:rsidR="002657BF" w:rsidRPr="0042474B" w:rsidRDefault="002657BF" w:rsidP="002657BF">
            <w:pP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{"citationID":"2b0g0tlkqo","properties":{"formattedCitation":"(Gao et al., 2016)","plainCitation":"(Gao et al., 2016)"},"citationItems":[{"id":2353,"uris":["http://zotero.org/users/local/uX3qe6Q2/items/25HW8UPN"],"uri":["http://zotero.org/users/local/uX3qe6Q2/items/25HW8UPN"],"itemData":{"id":2353,"type":"article-journal","title":"Serum metabolic biomarkers distinguish metabolically healthy peripherally obese from unhealthy centrally obese individuals","container-title":"Nutrition &amp; Metabolism","volume":"13","source":"www-ncbi-nlm-nih-gov.ccmain.ohionet.org","abstract":"Metabolic abnormalities are more associated with central obesity than peripheral obesity, but the underlying mechanisms are largely unknown. The present study was to identify serum metabolic biomarkers which distinguish metabolically unhealthy centrally ...","URL":"https://www-ncbi-nlm-nih-gov.ccmain.ohionet.org/pmc/articles/PMC4865032/","DOI":"10.1186/s12986-016-0095-9","note":"PMID: 27175209","language":"en","author":[{"family":"Gao","given":"Xiang"},{"family":"Zhang","given":"Weidong"},{"family":"Wang","given":"Yongbo"},{"family":"Pedram","given":"Pardis"},{"family":"Cahill","given":"Farrell"},{"family":"Zhai","given":"Guangju"},{"family":"Randell","given":"Edward"},{"family":"Gulliver","given":"Wayne"},{"family":"Sun","given":"Guang"}],"issued":{"date-parts":[["2016"]]},"accessed":{"date-parts":[["2016",12,15]]},"PMID":"27175209"}}],"schema":"https://github.com/citation-style-language/schema/raw/master/csl-citation.json"} </w:instrText>
            </w:r>
            <w:r>
              <w:rPr>
                <w:rFonts w:ascii="Times New Roman" w:hAnsi="Times New Roman" w:cs="Times New Roman"/>
                <w:sz w:val="24"/>
                <w:szCs w:val="24"/>
              </w:rPr>
              <w:fldChar w:fldCharType="separate"/>
            </w:r>
            <w:r w:rsidRPr="006D6556">
              <w:rPr>
                <w:rFonts w:ascii="Times New Roman" w:hAnsi="Times New Roman" w:cs="Times New Roman"/>
                <w:sz w:val="24"/>
              </w:rPr>
              <w:t>(Gao et al., 2016)</w:t>
            </w:r>
            <w:r>
              <w:rPr>
                <w:rFonts w:ascii="Times New Roman" w:hAnsi="Times New Roman" w:cs="Times New Roman"/>
                <w:sz w:val="24"/>
                <w:szCs w:val="24"/>
              </w:rPr>
              <w:fldChar w:fldCharType="end"/>
            </w:r>
          </w:p>
        </w:tc>
        <w:tc>
          <w:tcPr>
            <w:tcW w:w="1262" w:type="pct"/>
            <w:tcBorders>
              <w:left w:val="nil"/>
              <w:right w:val="nil"/>
            </w:tcBorders>
          </w:tcPr>
          <w:p w:rsidR="002657BF" w:rsidRPr="003A04D9" w:rsidRDefault="002657BF" w:rsidP="002657BF">
            <w:pPr>
              <w:rPr>
                <w:rFonts w:ascii="Times New Roman" w:hAnsi="Times New Roman" w:cs="Times New Roman"/>
                <w:sz w:val="20"/>
                <w:szCs w:val="24"/>
              </w:rPr>
            </w:pPr>
            <w:r w:rsidRPr="003A04D9">
              <w:rPr>
                <w:rFonts w:ascii="Times New Roman" w:hAnsi="Times New Roman" w:cs="Times New Roman"/>
                <w:sz w:val="20"/>
                <w:szCs w:val="24"/>
              </w:rPr>
              <w:t>↑ Alpha-</w:t>
            </w:r>
            <w:proofErr w:type="spellStart"/>
            <w:r w:rsidRPr="003A04D9">
              <w:rPr>
                <w:rFonts w:ascii="Times New Roman" w:hAnsi="Times New Roman" w:cs="Times New Roman"/>
                <w:sz w:val="20"/>
                <w:szCs w:val="24"/>
              </w:rPr>
              <w:t>aminoadipate</w:t>
            </w:r>
            <w:proofErr w:type="spellEnd"/>
          </w:p>
          <w:p w:rsidR="002657BF" w:rsidRPr="003A04D9" w:rsidRDefault="002657BF" w:rsidP="002657BF">
            <w:pPr>
              <w:rPr>
                <w:rFonts w:ascii="Times New Roman" w:hAnsi="Times New Roman" w:cs="Times New Roman"/>
                <w:sz w:val="20"/>
                <w:szCs w:val="24"/>
              </w:rPr>
            </w:pPr>
            <w:r w:rsidRPr="003A04D9">
              <w:rPr>
                <w:rFonts w:ascii="Times New Roman" w:hAnsi="Times New Roman" w:cs="Times New Roman"/>
                <w:sz w:val="20"/>
                <w:szCs w:val="24"/>
              </w:rPr>
              <w:t>↑ Isoleucine</w:t>
            </w:r>
          </w:p>
          <w:p w:rsidR="002657BF" w:rsidRPr="003A04D9" w:rsidRDefault="002657BF" w:rsidP="002657BF">
            <w:pPr>
              <w:rPr>
                <w:rFonts w:ascii="Times New Roman" w:hAnsi="Times New Roman" w:cs="Times New Roman"/>
                <w:sz w:val="20"/>
                <w:szCs w:val="24"/>
              </w:rPr>
            </w:pPr>
            <w:r w:rsidRPr="003A04D9">
              <w:rPr>
                <w:rFonts w:ascii="Times New Roman" w:hAnsi="Times New Roman" w:cs="Times New Roman"/>
                <w:sz w:val="20"/>
                <w:szCs w:val="24"/>
              </w:rPr>
              <w:t>↑ Leucine</w:t>
            </w:r>
          </w:p>
          <w:p w:rsidR="002657BF" w:rsidRPr="003A04D9" w:rsidRDefault="002657BF" w:rsidP="002657BF">
            <w:pPr>
              <w:rPr>
                <w:rFonts w:ascii="Times New Roman" w:hAnsi="Times New Roman" w:cs="Times New Roman"/>
                <w:sz w:val="20"/>
                <w:szCs w:val="24"/>
              </w:rPr>
            </w:pPr>
            <w:r w:rsidRPr="003A04D9">
              <w:rPr>
                <w:rFonts w:ascii="Times New Roman" w:hAnsi="Times New Roman" w:cs="Times New Roman"/>
                <w:sz w:val="20"/>
                <w:szCs w:val="24"/>
              </w:rPr>
              <w:t>↑ Valine</w:t>
            </w:r>
          </w:p>
          <w:p w:rsidR="002657BF" w:rsidRPr="003A04D9" w:rsidRDefault="002657BF" w:rsidP="002657BF">
            <w:pPr>
              <w:rPr>
                <w:rFonts w:ascii="Times New Roman" w:hAnsi="Times New Roman" w:cs="Times New Roman"/>
                <w:sz w:val="20"/>
                <w:szCs w:val="24"/>
              </w:rPr>
            </w:pPr>
            <w:r w:rsidRPr="003A04D9">
              <w:rPr>
                <w:rFonts w:ascii="Times New Roman" w:hAnsi="Times New Roman" w:cs="Times New Roman"/>
                <w:sz w:val="20"/>
                <w:szCs w:val="24"/>
              </w:rPr>
              <w:t xml:space="preserve">↑ </w:t>
            </w:r>
            <w:proofErr w:type="spellStart"/>
            <w:r w:rsidRPr="003A04D9">
              <w:rPr>
                <w:rFonts w:ascii="Times New Roman" w:hAnsi="Times New Roman" w:cs="Times New Roman"/>
                <w:sz w:val="20"/>
                <w:szCs w:val="24"/>
              </w:rPr>
              <w:t>Propionylcarnitine</w:t>
            </w:r>
            <w:proofErr w:type="spellEnd"/>
          </w:p>
        </w:tc>
        <w:tc>
          <w:tcPr>
            <w:tcW w:w="1005" w:type="pct"/>
            <w:tcBorders>
              <w:left w:val="nil"/>
              <w:right w:val="nil"/>
            </w:tcBorders>
          </w:tcPr>
          <w:p w:rsidR="002657BF" w:rsidRPr="0042474B" w:rsidRDefault="002657BF" w:rsidP="002657BF">
            <w:pPr>
              <w:rPr>
                <w:rFonts w:ascii="Times New Roman" w:hAnsi="Times New Roman" w:cs="Times New Roman"/>
                <w:sz w:val="24"/>
                <w:szCs w:val="24"/>
              </w:rPr>
            </w:pPr>
            <w:r w:rsidRPr="0042474B">
              <w:rPr>
                <w:rFonts w:ascii="Times New Roman" w:hAnsi="Times New Roman" w:cs="Times New Roman"/>
                <w:sz w:val="24"/>
                <w:szCs w:val="24"/>
              </w:rPr>
              <w:t>Metabolically unhealthy centrally obese adults</w:t>
            </w:r>
          </w:p>
        </w:tc>
        <w:tc>
          <w:tcPr>
            <w:tcW w:w="1788" w:type="pct"/>
            <w:tcBorders>
              <w:left w:val="nil"/>
            </w:tcBorders>
          </w:tcPr>
          <w:p w:rsidR="002657BF" w:rsidRPr="003A04D9" w:rsidRDefault="002657BF" w:rsidP="002657BF">
            <w:pPr>
              <w:rPr>
                <w:rFonts w:ascii="Times New Roman" w:hAnsi="Times New Roman" w:cs="Times New Roman"/>
                <w:sz w:val="20"/>
                <w:szCs w:val="24"/>
              </w:rPr>
            </w:pPr>
            <w:r w:rsidRPr="003A04D9">
              <w:rPr>
                <w:rFonts w:ascii="Times New Roman" w:hAnsi="Times New Roman" w:cs="Times New Roman"/>
                <w:sz w:val="20"/>
                <w:szCs w:val="24"/>
              </w:rPr>
              <w:t>1) HOMA-IR&gt;4.27 (90th percentile), 2) HDL-</w:t>
            </w:r>
            <w:proofErr w:type="gramStart"/>
            <w:r w:rsidRPr="003A04D9">
              <w:rPr>
                <w:rFonts w:ascii="Times New Roman" w:hAnsi="Times New Roman" w:cs="Times New Roman"/>
                <w:sz w:val="20"/>
                <w:szCs w:val="24"/>
              </w:rPr>
              <w:t>cholesterol  &lt;</w:t>
            </w:r>
            <w:proofErr w:type="gramEnd"/>
            <w:r w:rsidRPr="003A04D9">
              <w:rPr>
                <w:rFonts w:ascii="Times New Roman" w:hAnsi="Times New Roman" w:cs="Times New Roman"/>
                <w:sz w:val="20"/>
                <w:szCs w:val="24"/>
              </w:rPr>
              <w:t xml:space="preserve"> 1.03 </w:t>
            </w:r>
            <w:proofErr w:type="spellStart"/>
            <w:r w:rsidRPr="003A04D9">
              <w:rPr>
                <w:rFonts w:ascii="Times New Roman" w:hAnsi="Times New Roman" w:cs="Times New Roman"/>
                <w:sz w:val="20"/>
                <w:szCs w:val="24"/>
              </w:rPr>
              <w:t>mM</w:t>
            </w:r>
            <w:proofErr w:type="spellEnd"/>
            <w:r w:rsidRPr="003A04D9">
              <w:rPr>
                <w:rFonts w:ascii="Times New Roman" w:hAnsi="Times New Roman" w:cs="Times New Roman"/>
                <w:sz w:val="20"/>
                <w:szCs w:val="24"/>
              </w:rPr>
              <w:t xml:space="preserve"> in </w:t>
            </w:r>
            <w:proofErr w:type="spellStart"/>
            <w:r w:rsidRPr="003A04D9">
              <w:rPr>
                <w:rFonts w:ascii="Times New Roman" w:hAnsi="Times New Roman" w:cs="Times New Roman"/>
                <w:sz w:val="20"/>
                <w:szCs w:val="24"/>
              </w:rPr>
              <w:t>mmol</w:t>
            </w:r>
            <w:proofErr w:type="spellEnd"/>
            <w:r w:rsidRPr="003A04D9">
              <w:rPr>
                <w:rFonts w:ascii="Times New Roman" w:hAnsi="Times New Roman" w:cs="Times New Roman"/>
                <w:sz w:val="20"/>
                <w:szCs w:val="24"/>
              </w:rPr>
              <w:t xml:space="preserve">/L in men and &lt; 1.30 </w:t>
            </w:r>
            <w:proofErr w:type="spellStart"/>
            <w:r w:rsidRPr="003A04D9">
              <w:rPr>
                <w:rFonts w:ascii="Times New Roman" w:hAnsi="Times New Roman" w:cs="Times New Roman"/>
                <w:sz w:val="20"/>
                <w:szCs w:val="24"/>
              </w:rPr>
              <w:t>mmol</w:t>
            </w:r>
            <w:proofErr w:type="spellEnd"/>
            <w:r w:rsidRPr="003A04D9">
              <w:rPr>
                <w:rFonts w:ascii="Times New Roman" w:hAnsi="Times New Roman" w:cs="Times New Roman"/>
                <w:sz w:val="20"/>
                <w:szCs w:val="24"/>
              </w:rPr>
              <w:t xml:space="preserve">/L in women, 3) fasting blood glucose &gt; 5.6 </w:t>
            </w:r>
            <w:proofErr w:type="spellStart"/>
            <w:r w:rsidRPr="003A04D9">
              <w:rPr>
                <w:rFonts w:ascii="Times New Roman" w:hAnsi="Times New Roman" w:cs="Times New Roman"/>
                <w:sz w:val="20"/>
                <w:szCs w:val="24"/>
              </w:rPr>
              <w:t>mmol</w:t>
            </w:r>
            <w:proofErr w:type="spellEnd"/>
            <w:r w:rsidRPr="003A04D9">
              <w:rPr>
                <w:rFonts w:ascii="Times New Roman" w:hAnsi="Times New Roman" w:cs="Times New Roman"/>
                <w:sz w:val="20"/>
                <w:szCs w:val="24"/>
              </w:rPr>
              <w:t>/L, and 4) waist circumference &gt; 102 cm in men and &gt; 88 cm in women.</w:t>
            </w:r>
          </w:p>
        </w:tc>
      </w:tr>
      <w:tr w:rsidR="002657BF" w:rsidRPr="002913BD" w:rsidTr="002657BF">
        <w:tc>
          <w:tcPr>
            <w:tcW w:w="945" w:type="pct"/>
            <w:tcBorders>
              <w:right w:val="nil"/>
            </w:tcBorders>
          </w:tcPr>
          <w:p w:rsidR="002657BF" w:rsidRPr="0042474B" w:rsidRDefault="002657BF" w:rsidP="002657BF">
            <w:pP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{"citationID":"2e8gpmjdqa","properties":{"formattedCitation":"(Mangge et al., 2016)","plainCitation":"(Mangge et al., 2016)"},"citationItems":[{"id":2874,"uris":["http://zotero.org/users/local/uX3qe6Q2/items/C5CPC7RQ"],"uri":["http://zotero.org/users/local/uX3qe6Q2/items/C5CPC7RQ"],"itemData":{"id":2874,"type":"article-journal","title":"Branched-chain amino acids are associated with cardiometabolic risk profiles found already in lean, overweight and obese young","container-title":"The Journal of Nutritional Biochemistry","page":"123-127","volume":"32","source":"PubMed","abstract":"Cardiovascular risk is increased in obese subjects. Nevertheless, some overweight and obese remain cardiometabolically healthy (CMH), and normal-weight persons develop cardiovascular disease (CVD). Herein, we investigate the potential of branched-chain amino acids (BCAAs) to identify an increased CVD risk in a cross-sectional study of 666 adults and juveniles (age 25.3±12.8years), classified as lean, overweight or obese. Cardiometabolic groups were defined by cutoffs of systolic blood pressure&lt;130mmHg, diastolic blood pressure&lt;85mmHg, glucose&lt;125mg/dl, triglycerides&lt;150mg/dl, HDL-cholesterol&gt;40mg/dl (males), HDL-cholesterol&gt;50mg/dl (females) and HOMA-IR&lt;5. CMH had ≤1 cutoff, and cardiometabolically abnormal (CMA) had ≥2 cutoffs. Amino acids were measured by high-pressure lipid chromatography after precipitation of serum with perchloric acid and derivatization with o-phthalaldehyde. Valine correlated with 5, leucine correlated with 3 and isoleucine correlated with 5 of the cardiac risk classification factors. Valine and leucine were significantly higher in the obese (P&lt;.001, P=.015, respectively), overweight (P&lt;.001, P=.015, respectively) and lean (P=.024, P=.012, respectively) CMA compared to CMH subjects. Isoleucine showed except of the lean group the same results. Taken together, BCAAs, especially valine and leucine, are proposed as a cardiometabolic risk marker independent of body mass index (BMI) category.","DOI":"10.1016/j.jnutbio.2016.02.007","ISSN":"1873-4847","note":"PMID: 27142745","journalAbbreviation":"J. Nutr. Biochem.","language":"eng","author":[{"family":"Mangge","given":"Harald"},{"family":"Zelzer","given":"Sieglinde"},{"family":"Prüller","given":"Florian"},{"family":"Schnedl","given":"Wolfgang J."},{"family":"Weghuber","given":"Daniel"},{"family":"Enko","given":"Dietmar"},{"family":"Bergsten","given":"Peter"},{"family":"Haybaeck","given":"Johannes"},{"family":"Meinitzer","given":"Andreas"}],"issued":{"date-parts":[["2016",6]]},"PMID":"27142745"}}],"schema":"https://github.com/citation-style-language/schema/raw/master/csl-citation.json"} </w:instrText>
            </w:r>
            <w:r>
              <w:rPr>
                <w:rFonts w:ascii="Times New Roman" w:hAnsi="Times New Roman" w:cs="Times New Roman"/>
                <w:sz w:val="24"/>
                <w:szCs w:val="24"/>
              </w:rPr>
              <w:fldChar w:fldCharType="separate"/>
            </w:r>
            <w:r w:rsidRPr="00903D30">
              <w:rPr>
                <w:rFonts w:ascii="Times New Roman" w:hAnsi="Times New Roman" w:cs="Times New Roman"/>
                <w:sz w:val="24"/>
              </w:rPr>
              <w:t>(</w:t>
            </w:r>
            <w:proofErr w:type="spellStart"/>
            <w:r w:rsidRPr="00903D30">
              <w:rPr>
                <w:rFonts w:ascii="Times New Roman" w:hAnsi="Times New Roman" w:cs="Times New Roman"/>
                <w:sz w:val="24"/>
              </w:rPr>
              <w:t>Mangge</w:t>
            </w:r>
            <w:proofErr w:type="spellEnd"/>
            <w:r w:rsidRPr="00903D30">
              <w:rPr>
                <w:rFonts w:ascii="Times New Roman" w:hAnsi="Times New Roman" w:cs="Times New Roman"/>
                <w:sz w:val="24"/>
              </w:rPr>
              <w:t xml:space="preserve"> et al., 2016)</w:t>
            </w:r>
            <w:r>
              <w:rPr>
                <w:rFonts w:ascii="Times New Roman" w:hAnsi="Times New Roman" w:cs="Times New Roman"/>
                <w:sz w:val="24"/>
                <w:szCs w:val="24"/>
              </w:rPr>
              <w:fldChar w:fldCharType="end"/>
            </w:r>
          </w:p>
        </w:tc>
        <w:tc>
          <w:tcPr>
            <w:tcW w:w="1262" w:type="pct"/>
            <w:tcBorders>
              <w:left w:val="nil"/>
              <w:right w:val="nil"/>
            </w:tcBorders>
          </w:tcPr>
          <w:p w:rsidR="002657BF" w:rsidRPr="003A04D9" w:rsidRDefault="002657BF" w:rsidP="002657BF">
            <w:pPr>
              <w:rPr>
                <w:rFonts w:ascii="Times New Roman" w:hAnsi="Times New Roman" w:cs="Times New Roman"/>
                <w:sz w:val="20"/>
                <w:szCs w:val="24"/>
              </w:rPr>
            </w:pPr>
            <w:r w:rsidRPr="003A04D9">
              <w:rPr>
                <w:rFonts w:ascii="Times New Roman" w:hAnsi="Times New Roman" w:cs="Times New Roman"/>
                <w:sz w:val="20"/>
                <w:szCs w:val="24"/>
              </w:rPr>
              <w:t>↑ Arginine (OB)</w:t>
            </w:r>
          </w:p>
          <w:p w:rsidR="002657BF" w:rsidRPr="003A04D9" w:rsidRDefault="002657BF" w:rsidP="002657BF">
            <w:pPr>
              <w:rPr>
                <w:rFonts w:ascii="Times New Roman" w:hAnsi="Times New Roman" w:cs="Times New Roman"/>
                <w:sz w:val="20"/>
                <w:szCs w:val="24"/>
              </w:rPr>
            </w:pPr>
            <w:r w:rsidRPr="003A04D9">
              <w:rPr>
                <w:rFonts w:ascii="Times New Roman" w:hAnsi="Times New Roman" w:cs="Times New Roman"/>
                <w:sz w:val="20"/>
                <w:szCs w:val="24"/>
              </w:rPr>
              <w:t>↑ Phenylalanine (OW and OB)</w:t>
            </w:r>
          </w:p>
          <w:p w:rsidR="002657BF" w:rsidRPr="003A04D9" w:rsidRDefault="002657BF" w:rsidP="002657BF">
            <w:pPr>
              <w:rPr>
                <w:rFonts w:ascii="Times New Roman" w:hAnsi="Times New Roman" w:cs="Times New Roman"/>
                <w:sz w:val="20"/>
                <w:szCs w:val="24"/>
              </w:rPr>
            </w:pPr>
            <w:r w:rsidRPr="003A04D9">
              <w:rPr>
                <w:rFonts w:ascii="Times New Roman" w:hAnsi="Times New Roman" w:cs="Times New Roman"/>
                <w:sz w:val="20"/>
                <w:szCs w:val="24"/>
              </w:rPr>
              <w:t>↑ Tyrosine (OW and OB)</w:t>
            </w:r>
          </w:p>
          <w:p w:rsidR="002657BF" w:rsidRPr="003A04D9" w:rsidRDefault="002657BF" w:rsidP="002657BF">
            <w:pPr>
              <w:rPr>
                <w:rFonts w:ascii="Times New Roman" w:hAnsi="Times New Roman" w:cs="Times New Roman"/>
                <w:sz w:val="20"/>
                <w:szCs w:val="24"/>
              </w:rPr>
            </w:pPr>
            <w:r w:rsidRPr="003A04D9">
              <w:rPr>
                <w:rFonts w:ascii="Times New Roman" w:hAnsi="Times New Roman" w:cs="Times New Roman"/>
                <w:sz w:val="20"/>
                <w:szCs w:val="24"/>
              </w:rPr>
              <w:t>↑ Valine (OW and OB)</w:t>
            </w:r>
          </w:p>
          <w:p w:rsidR="002657BF" w:rsidRPr="003A04D9" w:rsidRDefault="002657BF" w:rsidP="002657BF">
            <w:pPr>
              <w:rPr>
                <w:rFonts w:ascii="Times New Roman" w:hAnsi="Times New Roman" w:cs="Times New Roman"/>
                <w:sz w:val="20"/>
                <w:szCs w:val="24"/>
              </w:rPr>
            </w:pPr>
            <w:r w:rsidRPr="003A04D9">
              <w:rPr>
                <w:rFonts w:ascii="Times New Roman" w:hAnsi="Times New Roman" w:cs="Times New Roman"/>
                <w:sz w:val="20"/>
                <w:szCs w:val="24"/>
              </w:rPr>
              <w:t xml:space="preserve">↓ </w:t>
            </w:r>
            <w:proofErr w:type="spellStart"/>
            <w:r w:rsidRPr="003A04D9">
              <w:rPr>
                <w:rFonts w:ascii="Times New Roman" w:hAnsi="Times New Roman" w:cs="Times New Roman"/>
                <w:sz w:val="20"/>
                <w:szCs w:val="24"/>
              </w:rPr>
              <w:t>Citrulline</w:t>
            </w:r>
            <w:proofErr w:type="spellEnd"/>
            <w:r w:rsidRPr="003A04D9">
              <w:rPr>
                <w:rFonts w:ascii="Times New Roman" w:hAnsi="Times New Roman" w:cs="Times New Roman"/>
                <w:sz w:val="20"/>
                <w:szCs w:val="24"/>
              </w:rPr>
              <w:t xml:space="preserve"> (LN)</w:t>
            </w:r>
          </w:p>
          <w:p w:rsidR="002657BF" w:rsidRPr="003A04D9" w:rsidRDefault="002657BF" w:rsidP="002657BF">
            <w:pPr>
              <w:rPr>
                <w:rFonts w:ascii="Times New Roman" w:hAnsi="Times New Roman" w:cs="Times New Roman"/>
                <w:sz w:val="20"/>
                <w:szCs w:val="24"/>
              </w:rPr>
            </w:pPr>
            <w:r w:rsidRPr="003A04D9">
              <w:rPr>
                <w:rFonts w:ascii="Times New Roman" w:hAnsi="Times New Roman" w:cs="Times New Roman"/>
                <w:sz w:val="20"/>
                <w:szCs w:val="24"/>
              </w:rPr>
              <w:t>↓ Glycine (LN)</w:t>
            </w:r>
          </w:p>
          <w:p w:rsidR="002657BF" w:rsidRPr="003A04D9" w:rsidRDefault="002657BF" w:rsidP="002657BF">
            <w:pPr>
              <w:rPr>
                <w:rFonts w:ascii="Times New Roman" w:hAnsi="Times New Roman" w:cs="Times New Roman"/>
                <w:sz w:val="8"/>
                <w:szCs w:val="24"/>
              </w:rPr>
            </w:pPr>
          </w:p>
          <w:p w:rsidR="002657BF" w:rsidRPr="003A04D9" w:rsidRDefault="002657BF" w:rsidP="002657BF">
            <w:pPr>
              <w:rPr>
                <w:rFonts w:ascii="Times New Roman" w:hAnsi="Times New Roman" w:cs="Times New Roman"/>
                <w:sz w:val="20"/>
                <w:szCs w:val="24"/>
              </w:rPr>
            </w:pPr>
            <w:r w:rsidRPr="003A04D9">
              <w:rPr>
                <w:rFonts w:ascii="Times New Roman" w:hAnsi="Times New Roman" w:cs="Times New Roman"/>
                <w:sz w:val="20"/>
                <w:szCs w:val="24"/>
              </w:rPr>
              <w:t>*See below</w:t>
            </w:r>
          </w:p>
        </w:tc>
        <w:tc>
          <w:tcPr>
            <w:tcW w:w="1005" w:type="pct"/>
            <w:tcBorders>
              <w:left w:val="nil"/>
              <w:right w:val="nil"/>
            </w:tcBorders>
          </w:tcPr>
          <w:p w:rsidR="002657BF" w:rsidRPr="0042474B" w:rsidRDefault="002657BF" w:rsidP="002657BF">
            <w:pPr>
              <w:rPr>
                <w:rFonts w:ascii="Times New Roman" w:hAnsi="Times New Roman" w:cs="Times New Roman"/>
                <w:sz w:val="24"/>
                <w:szCs w:val="24"/>
              </w:rPr>
            </w:pPr>
            <w:r w:rsidRPr="0042474B">
              <w:rPr>
                <w:rFonts w:ascii="Times New Roman" w:hAnsi="Times New Roman" w:cs="Times New Roman"/>
                <w:sz w:val="24"/>
                <w:szCs w:val="24"/>
              </w:rPr>
              <w:t>Adults with MS</w:t>
            </w:r>
          </w:p>
        </w:tc>
        <w:tc>
          <w:tcPr>
            <w:tcW w:w="1788" w:type="pct"/>
            <w:tcBorders>
              <w:left w:val="nil"/>
            </w:tcBorders>
          </w:tcPr>
          <w:p w:rsidR="002657BF" w:rsidRPr="003A04D9" w:rsidRDefault="002657BF" w:rsidP="002657BF">
            <w:pPr>
              <w:rPr>
                <w:rFonts w:ascii="Times New Roman" w:hAnsi="Times New Roman" w:cs="Times New Roman"/>
                <w:sz w:val="20"/>
                <w:szCs w:val="24"/>
              </w:rPr>
            </w:pPr>
            <w:r w:rsidRPr="003A04D9">
              <w:rPr>
                <w:rFonts w:ascii="Times New Roman" w:hAnsi="Times New Roman" w:cs="Times New Roman"/>
                <w:sz w:val="20"/>
                <w:szCs w:val="24"/>
              </w:rPr>
              <w:t>≥ 2 of the following: (1) impaired fasting glucose ≥ 126 mg/</w:t>
            </w:r>
            <w:proofErr w:type="spellStart"/>
            <w:r w:rsidRPr="003A04D9">
              <w:rPr>
                <w:rFonts w:ascii="Times New Roman" w:hAnsi="Times New Roman" w:cs="Times New Roman"/>
                <w:sz w:val="20"/>
                <w:szCs w:val="24"/>
              </w:rPr>
              <w:t>dL</w:t>
            </w:r>
            <w:proofErr w:type="spellEnd"/>
            <w:r w:rsidRPr="003A04D9">
              <w:rPr>
                <w:rFonts w:ascii="Times New Roman" w:hAnsi="Times New Roman" w:cs="Times New Roman"/>
                <w:sz w:val="20"/>
                <w:szCs w:val="24"/>
              </w:rPr>
              <w:t>; (2) systolic BP ≥ 130 mm Hg or diastolic BP ≥ 85 mm Hg; (3) TG ≥ 150 mg/</w:t>
            </w:r>
            <w:proofErr w:type="spellStart"/>
            <w:r w:rsidRPr="003A04D9">
              <w:rPr>
                <w:rFonts w:ascii="Times New Roman" w:hAnsi="Times New Roman" w:cs="Times New Roman"/>
                <w:sz w:val="20"/>
                <w:szCs w:val="24"/>
              </w:rPr>
              <w:t>dL</w:t>
            </w:r>
            <w:proofErr w:type="spellEnd"/>
            <w:r w:rsidRPr="003A04D9">
              <w:rPr>
                <w:rFonts w:ascii="Times New Roman" w:hAnsi="Times New Roman" w:cs="Times New Roman"/>
                <w:sz w:val="20"/>
                <w:szCs w:val="24"/>
              </w:rPr>
              <w:t>; (4) HDL-cholesterol &lt; 40 mg/</w:t>
            </w:r>
            <w:proofErr w:type="spellStart"/>
            <w:r w:rsidRPr="003A04D9">
              <w:rPr>
                <w:rFonts w:ascii="Times New Roman" w:hAnsi="Times New Roman" w:cs="Times New Roman"/>
                <w:sz w:val="20"/>
                <w:szCs w:val="24"/>
              </w:rPr>
              <w:t>dL</w:t>
            </w:r>
            <w:proofErr w:type="spellEnd"/>
            <w:r w:rsidRPr="003A04D9">
              <w:rPr>
                <w:rFonts w:ascii="Times New Roman" w:hAnsi="Times New Roman" w:cs="Times New Roman"/>
                <w:sz w:val="20"/>
                <w:szCs w:val="24"/>
              </w:rPr>
              <w:t xml:space="preserve"> in males or &lt; 50 mg/</w:t>
            </w:r>
            <w:proofErr w:type="spellStart"/>
            <w:r w:rsidRPr="003A04D9">
              <w:rPr>
                <w:rFonts w:ascii="Times New Roman" w:hAnsi="Times New Roman" w:cs="Times New Roman"/>
                <w:sz w:val="20"/>
                <w:szCs w:val="24"/>
              </w:rPr>
              <w:t>dL</w:t>
            </w:r>
            <w:proofErr w:type="spellEnd"/>
            <w:r w:rsidRPr="003A04D9">
              <w:rPr>
                <w:rFonts w:ascii="Times New Roman" w:hAnsi="Times New Roman" w:cs="Times New Roman"/>
                <w:sz w:val="20"/>
                <w:szCs w:val="24"/>
              </w:rPr>
              <w:t xml:space="preserve"> in females; and insulin resistance (HOMA-IR &gt;5).</w:t>
            </w:r>
          </w:p>
        </w:tc>
      </w:tr>
      <w:tr w:rsidR="002657BF" w:rsidRPr="002913BD" w:rsidTr="002657BF">
        <w:tc>
          <w:tcPr>
            <w:tcW w:w="945" w:type="pct"/>
            <w:tcBorders>
              <w:right w:val="nil"/>
            </w:tcBorders>
          </w:tcPr>
          <w:p w:rsidR="002657BF" w:rsidRPr="0042474B" w:rsidRDefault="002657BF" w:rsidP="002657BF">
            <w:pP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{"citationID":"1iov0t3ck","properties":{"formattedCitation":"(Sun et al., 2016)","plainCitation":"(Sun et al., 2016)"},"citationItems":[{"id":2736,"uris":["http://zotero.org/users/local/uX3qe6Q2/items/TCZ3DHXP"],"uri":["http://zotero.org/users/local/uX3qe6Q2/items/TCZ3DHXP"],"itemData":{"id":2736,"type":"article-journal","title":"Early prediction of developing type 2 diabetes by plasma acylcarnitines: A population-based study","container-title":"Diabetes Care","page":"1563-1570","volume":"39","issue":"9","source":"care.diabetesjournals.org","abstract":"OBJECTIVE Acylcarnitines were suggested as early biomarkers even prior to insulin resistance in animal studies, but their roles in predicting type 2 diabetes were unknown. Therefore, we aimed to determine whether acylcarnitines could independently predict type 2 diabetes by using a targeted metabolic profiling approach.\nRESEARCH DESIGN AND METHODS A population-based prospective study was conducted among 2,103 community-living Chinese individuals aged 50–70 years from Beijing and Shanghai with a mean follow-up duration of 6 years. Fasting glucose, glycohemoglobin, and insulin were determined at baseline and in a follow-up survey. Baseline plasma acylcarnitines were profiled by liquid chromatography–tandem mass spectrometry.\nRESULTS Over the 6-year period, 507 participants developed diabetes. A panel of acylcanitines, especially with long chain, was significantly associated with increased risk of type 2 diabetes. The relative risks of type 2 diabetes per SD increase of the predictive model score were 2.48 (95% CI 2.20–2.78) for the conventional and 9.41 (95% CI 7.62–11.62) for the full model including acylcarnitines, respectively. Moreover, adding selected acylcarnitines substantially improved predictive ability for incident diabetes, as area under the receiver operator characteristic curve improved to 0.89 in the full model compared with 0.73 in the conventional model. Similar associations were obtained when the predictive models were established separately among Beijing or Shanghai residents.\nCONCLUSIONS A panel of acylcarnitines, mainly involving mitochondrial lipid dysregulation, significantly improved predictive ability for type 2 diabetes beyond conventional risk factors. These findings need to be replicated in other populations, and the underlying mechanisms should be elucidated.","DOI":"10.2337/dc16-0232","ISSN":"0149-5992, 1935-5548","note":"PMID: 27388475","shortTitle":"Early Prediction of Developing Type 2 Diabetes by Plasma Acylcarnitines","language":"en","author":[{"family":"Sun","given":"Liang"},{"family":"Liang","given":"Liming"},{"family":"Gao","given":"Xianfu"},{"family":"Zhang","given":"Huiping"},{"family":"Yao","given":"Pang"},{"family":"Hu","given":"Yao"},{"family":"Ma","given":"Yiwei"},{"family":"Wang","given":"Feijie"},{"family":"Jin","given":"Qianlu"},{"family":"Li","given":"Huaixing"},{"family":"Li","given":"Rongxia"},{"family":"Liu","given":"Yong"},{"family":"Hu","given":"Frank B."},{"family":"Zeng","given":"Rong"},{"family":"Lin","given":"Xu"},{"family":"Wu","given":"Jiarui"}],"issued":{"date-parts":[["2016",9,1]]},"PMID":"27388475"}}],"schema":"https://github.com/citation-style-language/schema/raw/master/csl-citation.json"} </w:instrText>
            </w:r>
            <w:r>
              <w:rPr>
                <w:rFonts w:ascii="Times New Roman" w:hAnsi="Times New Roman" w:cs="Times New Roman"/>
                <w:sz w:val="24"/>
                <w:szCs w:val="24"/>
              </w:rPr>
              <w:fldChar w:fldCharType="separate"/>
            </w:r>
            <w:r w:rsidRPr="00903D30">
              <w:rPr>
                <w:rFonts w:ascii="Times New Roman" w:hAnsi="Times New Roman" w:cs="Times New Roman"/>
                <w:sz w:val="24"/>
              </w:rPr>
              <w:t>(Sun et al., 2016)</w:t>
            </w:r>
            <w:r>
              <w:rPr>
                <w:rFonts w:ascii="Times New Roman" w:hAnsi="Times New Roman" w:cs="Times New Roman"/>
                <w:sz w:val="24"/>
                <w:szCs w:val="24"/>
              </w:rPr>
              <w:fldChar w:fldCharType="end"/>
            </w:r>
          </w:p>
        </w:tc>
        <w:tc>
          <w:tcPr>
            <w:tcW w:w="1262" w:type="pct"/>
            <w:tcBorders>
              <w:left w:val="nil"/>
              <w:right w:val="nil"/>
            </w:tcBorders>
          </w:tcPr>
          <w:p w:rsidR="002657BF" w:rsidRPr="003A04D9" w:rsidRDefault="002657BF" w:rsidP="002657BF">
            <w:pPr>
              <w:rPr>
                <w:rFonts w:ascii="Times New Roman" w:hAnsi="Times New Roman" w:cs="Times New Roman"/>
                <w:sz w:val="20"/>
                <w:szCs w:val="24"/>
              </w:rPr>
            </w:pPr>
            <w:r w:rsidRPr="003A04D9">
              <w:rPr>
                <w:rFonts w:ascii="Times New Roman" w:hAnsi="Times New Roman" w:cs="Times New Roman"/>
                <w:sz w:val="20"/>
                <w:szCs w:val="24"/>
              </w:rPr>
              <w:t>↑ C0</w:t>
            </w:r>
          </w:p>
          <w:p w:rsidR="002657BF" w:rsidRPr="003A04D9" w:rsidRDefault="002657BF" w:rsidP="002657BF">
            <w:pPr>
              <w:rPr>
                <w:rFonts w:ascii="Times New Roman" w:hAnsi="Times New Roman" w:cs="Times New Roman"/>
                <w:sz w:val="20"/>
                <w:szCs w:val="24"/>
              </w:rPr>
            </w:pPr>
            <w:r w:rsidRPr="003A04D9">
              <w:rPr>
                <w:rFonts w:ascii="Times New Roman" w:hAnsi="Times New Roman" w:cs="Times New Roman"/>
                <w:sz w:val="20"/>
                <w:szCs w:val="24"/>
              </w:rPr>
              <w:t>↑ C3, 4, 5, 5:1, 5OH</w:t>
            </w:r>
          </w:p>
          <w:p w:rsidR="002657BF" w:rsidRPr="003A04D9" w:rsidRDefault="002657BF" w:rsidP="002657BF">
            <w:pPr>
              <w:rPr>
                <w:rFonts w:ascii="Times New Roman" w:hAnsi="Times New Roman" w:cs="Times New Roman"/>
                <w:sz w:val="20"/>
                <w:szCs w:val="24"/>
              </w:rPr>
            </w:pPr>
            <w:r w:rsidRPr="003A04D9">
              <w:rPr>
                <w:rFonts w:ascii="Times New Roman" w:hAnsi="Times New Roman" w:cs="Times New Roman"/>
                <w:sz w:val="20"/>
                <w:szCs w:val="24"/>
              </w:rPr>
              <w:lastRenderedPageBreak/>
              <w:t>↑ C8:1</w:t>
            </w:r>
          </w:p>
          <w:p w:rsidR="002657BF" w:rsidRPr="003A04D9" w:rsidRDefault="002657BF" w:rsidP="002657BF">
            <w:pPr>
              <w:rPr>
                <w:rFonts w:ascii="Times New Roman" w:hAnsi="Times New Roman" w:cs="Times New Roman"/>
                <w:sz w:val="20"/>
                <w:szCs w:val="24"/>
              </w:rPr>
            </w:pPr>
            <w:r w:rsidRPr="003A04D9">
              <w:rPr>
                <w:rFonts w:ascii="Times New Roman" w:hAnsi="Times New Roman" w:cs="Times New Roman"/>
                <w:sz w:val="20"/>
                <w:szCs w:val="24"/>
              </w:rPr>
              <w:t>↑ C14OH, 16, 18, 18:1, 18:2, 18OH, 20:4</w:t>
            </w:r>
          </w:p>
          <w:p w:rsidR="002657BF" w:rsidRPr="003A04D9" w:rsidRDefault="002657BF" w:rsidP="002657BF">
            <w:pPr>
              <w:rPr>
                <w:rFonts w:ascii="Times New Roman" w:hAnsi="Times New Roman" w:cs="Times New Roman"/>
                <w:sz w:val="20"/>
                <w:szCs w:val="24"/>
              </w:rPr>
            </w:pPr>
            <w:r w:rsidRPr="003A04D9">
              <w:rPr>
                <w:rFonts w:ascii="Times New Roman" w:hAnsi="Times New Roman" w:cs="Times New Roman"/>
                <w:sz w:val="20"/>
                <w:szCs w:val="24"/>
              </w:rPr>
              <w:t>↓ 3-dehydroxy and 3-dehydroC0</w:t>
            </w:r>
          </w:p>
          <w:p w:rsidR="002657BF" w:rsidRPr="003A04D9" w:rsidRDefault="002657BF" w:rsidP="002657BF">
            <w:pPr>
              <w:rPr>
                <w:rFonts w:ascii="Times New Roman" w:hAnsi="Times New Roman" w:cs="Times New Roman"/>
                <w:sz w:val="20"/>
                <w:szCs w:val="24"/>
              </w:rPr>
            </w:pPr>
            <w:r w:rsidRPr="003A04D9">
              <w:rPr>
                <w:rFonts w:ascii="Times New Roman" w:hAnsi="Times New Roman" w:cs="Times New Roman"/>
                <w:sz w:val="20"/>
                <w:szCs w:val="24"/>
              </w:rPr>
              <w:t>↓ C7DC</w:t>
            </w:r>
          </w:p>
          <w:p w:rsidR="002657BF" w:rsidRPr="003A04D9" w:rsidRDefault="002657BF" w:rsidP="002657BF">
            <w:pPr>
              <w:rPr>
                <w:rFonts w:ascii="Times New Roman" w:hAnsi="Times New Roman" w:cs="Times New Roman"/>
                <w:sz w:val="20"/>
                <w:szCs w:val="24"/>
              </w:rPr>
            </w:pPr>
            <w:r w:rsidRPr="003A04D9">
              <w:rPr>
                <w:rFonts w:ascii="Times New Roman" w:hAnsi="Times New Roman" w:cs="Times New Roman"/>
                <w:sz w:val="20"/>
                <w:szCs w:val="24"/>
              </w:rPr>
              <w:t>↓ 3-dehydroxy and 3-dehydroC0</w:t>
            </w:r>
          </w:p>
          <w:p w:rsidR="002657BF" w:rsidRPr="003A04D9" w:rsidRDefault="002657BF" w:rsidP="002657BF">
            <w:pPr>
              <w:rPr>
                <w:rFonts w:ascii="Times New Roman" w:hAnsi="Times New Roman" w:cs="Times New Roman"/>
                <w:sz w:val="20"/>
                <w:szCs w:val="24"/>
              </w:rPr>
            </w:pPr>
            <w:r w:rsidRPr="003A04D9">
              <w:rPr>
                <w:rFonts w:ascii="Times New Roman" w:hAnsi="Times New Roman" w:cs="Times New Roman"/>
                <w:sz w:val="20"/>
                <w:szCs w:val="24"/>
              </w:rPr>
              <w:t>↓ C7DC</w:t>
            </w:r>
          </w:p>
          <w:p w:rsidR="002657BF" w:rsidRPr="003A04D9" w:rsidRDefault="002657BF" w:rsidP="002657BF">
            <w:pPr>
              <w:rPr>
                <w:rFonts w:ascii="Times New Roman" w:hAnsi="Times New Roman" w:cs="Times New Roman"/>
                <w:sz w:val="20"/>
                <w:szCs w:val="24"/>
              </w:rPr>
            </w:pPr>
            <w:r w:rsidRPr="003A04D9">
              <w:rPr>
                <w:rFonts w:ascii="Times New Roman" w:hAnsi="Times New Roman" w:cs="Times New Roman"/>
                <w:sz w:val="20"/>
                <w:szCs w:val="24"/>
              </w:rPr>
              <w:t>↓ C12, 12:1</w:t>
            </w:r>
          </w:p>
        </w:tc>
        <w:tc>
          <w:tcPr>
            <w:tcW w:w="1005" w:type="pct"/>
            <w:tcBorders>
              <w:left w:val="nil"/>
              <w:right w:val="nil"/>
            </w:tcBorders>
          </w:tcPr>
          <w:p w:rsidR="002657BF" w:rsidRPr="0042474B" w:rsidRDefault="002657BF" w:rsidP="002657BF">
            <w:pPr>
              <w:rPr>
                <w:rFonts w:ascii="Times New Roman" w:hAnsi="Times New Roman" w:cs="Times New Roman"/>
                <w:sz w:val="24"/>
                <w:szCs w:val="24"/>
              </w:rPr>
            </w:pPr>
            <w:r w:rsidRPr="0042474B">
              <w:rPr>
                <w:rFonts w:ascii="Times New Roman" w:hAnsi="Times New Roman" w:cs="Times New Roman"/>
                <w:sz w:val="24"/>
                <w:szCs w:val="24"/>
              </w:rPr>
              <w:lastRenderedPageBreak/>
              <w:t>Adults with MS</w:t>
            </w:r>
          </w:p>
        </w:tc>
        <w:tc>
          <w:tcPr>
            <w:tcW w:w="1788" w:type="pct"/>
            <w:tcBorders>
              <w:left w:val="nil"/>
            </w:tcBorders>
          </w:tcPr>
          <w:p w:rsidR="002657BF" w:rsidRPr="003A04D9" w:rsidRDefault="002657BF" w:rsidP="002657BF">
            <w:pPr>
              <w:rPr>
                <w:rFonts w:ascii="Times New Roman" w:hAnsi="Times New Roman" w:cs="Times New Roman"/>
                <w:sz w:val="20"/>
                <w:szCs w:val="24"/>
              </w:rPr>
            </w:pPr>
            <w:r w:rsidRPr="003A04D9">
              <w:rPr>
                <w:rFonts w:ascii="Times New Roman" w:hAnsi="Times New Roman" w:cs="Times New Roman"/>
                <w:sz w:val="20"/>
                <w:szCs w:val="24"/>
              </w:rPr>
              <w:t>Updated ATP III criteria for Asian Americans</w:t>
            </w:r>
          </w:p>
        </w:tc>
      </w:tr>
    </w:tbl>
    <w:p w:rsidR="009536B4" w:rsidRDefault="002657BF" w:rsidP="002657BF">
      <w:pPr>
        <w:pStyle w:val="Caption"/>
      </w:pPr>
      <w:r w:rsidRPr="00BD7B38">
        <w:rPr>
          <w:rFonts w:ascii="Times New Roman" w:hAnsi="Times New Roman" w:cs="Times New Roman"/>
          <w:i w:val="0"/>
          <w:color w:val="000000" w:themeColor="text1"/>
          <w:sz w:val="20"/>
          <w:szCs w:val="24"/>
        </w:rPr>
        <w:t>*Parentheses refer to comparisons of metabolically unhealthy to metabolically healthy individuals within a specified BMI category (LN=lean, OW=overweight, OB=obese).</w:t>
      </w:r>
      <w:bookmarkStart w:id="0" w:name="_GoBack"/>
      <w:bookmarkEnd w:id="0"/>
    </w:p>
    <w:sectPr w:rsidR="009536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7BF"/>
    <w:rsid w:val="002657BF"/>
    <w:rsid w:val="007B447C"/>
    <w:rsid w:val="009724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EF0E05-2795-4ECF-B9F3-AE82FD9A7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57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657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2657BF"/>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2899</Words>
  <Characters>16528</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Libert, Diane</dc:creator>
  <cp:keywords/>
  <dc:description/>
  <cp:lastModifiedBy>Libert, Diane</cp:lastModifiedBy>
  <cp:revision>1</cp:revision>
  <dcterms:created xsi:type="dcterms:W3CDTF">2018-06-08T20:05:00Z</dcterms:created>
  <dcterms:modified xsi:type="dcterms:W3CDTF">2018-06-08T20:06:00Z</dcterms:modified>
</cp:coreProperties>
</file>