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BD" w:rsidRDefault="00956952" w:rsidP="00956952">
      <w:pPr>
        <w:pStyle w:val="Heading1"/>
      </w:pPr>
      <w:r>
        <w:t>Model Validation:</w:t>
      </w:r>
    </w:p>
    <w:p w:rsidR="00956952" w:rsidRDefault="00956952" w:rsidP="00956952"/>
    <w:p w:rsidR="00956952" w:rsidRPr="00956952" w:rsidRDefault="00956952" w:rsidP="00956952">
      <w:pPr>
        <w:spacing w:after="160" w:line="360" w:lineRule="auto"/>
        <w:rPr>
          <w:rFonts w:ascii="Times New Roman" w:eastAsia="SimSun" w:hAnsi="Times New Roman" w:cs="Arial"/>
          <w:lang w:val="en-US" w:eastAsia="ja-JP"/>
        </w:rPr>
      </w:pPr>
    </w:p>
    <w:p w:rsidR="00956952" w:rsidRPr="00956952" w:rsidRDefault="00956952" w:rsidP="00956952">
      <w:pPr>
        <w:spacing w:after="160" w:line="360" w:lineRule="auto"/>
        <w:rPr>
          <w:rFonts w:ascii="Times New Roman" w:eastAsia="SimSun" w:hAnsi="Times New Roman" w:cs="Arial"/>
          <w:lang w:val="en-US" w:eastAsia="ja-JP"/>
        </w:rPr>
      </w:pPr>
    </w:p>
    <w:tbl>
      <w:tblPr>
        <w:tblW w:w="10170" w:type="dxa"/>
        <w:jc w:val="center"/>
        <w:tblLayout w:type="fixed"/>
        <w:tblLook w:val="04A0" w:firstRow="1" w:lastRow="0" w:firstColumn="1" w:lastColumn="0" w:noHBand="0" w:noVBand="1"/>
      </w:tblPr>
      <w:tblGrid>
        <w:gridCol w:w="2430"/>
        <w:gridCol w:w="3150"/>
        <w:gridCol w:w="270"/>
        <w:gridCol w:w="2430"/>
        <w:gridCol w:w="1890"/>
      </w:tblGrid>
      <w:tr w:rsidR="00956952" w:rsidRPr="00956952" w:rsidTr="00EC0FC4">
        <w:trPr>
          <w:jc w:val="center"/>
        </w:trPr>
        <w:tc>
          <w:tcPr>
            <w:tcW w:w="10170" w:type="dxa"/>
            <w:gridSpan w:val="5"/>
            <w:tcBorders>
              <w:top w:val="single" w:sz="4" w:space="0" w:color="auto"/>
              <w:bottom w:val="single" w:sz="4" w:space="0" w:color="auto"/>
            </w:tcBorders>
            <w:shd w:val="clear" w:color="auto" w:fill="FFFFFF"/>
            <w:vAlign w:val="center"/>
          </w:tcPr>
          <w:p w:rsidR="00956952" w:rsidRPr="00956952" w:rsidRDefault="0032126D" w:rsidP="00956952">
            <w:pPr>
              <w:spacing w:before="20" w:after="20" w:line="360" w:lineRule="auto"/>
              <w:ind w:left="80" w:right="80"/>
              <w:jc w:val="both"/>
              <w:rPr>
                <w:rFonts w:ascii="Times New Roman" w:eastAsia="SimSun" w:hAnsi="Times New Roman" w:cs="Times New Roman"/>
                <w:color w:val="000000"/>
                <w:lang w:val="en-US" w:eastAsia="ja-JP"/>
              </w:rPr>
            </w:pPr>
            <w:proofErr w:type="gramStart"/>
            <w:r>
              <w:rPr>
                <w:rFonts w:ascii="Times New Roman" w:eastAsia="SimSun" w:hAnsi="Times New Roman" w:cs="Arial"/>
                <w:b/>
                <w:bCs/>
                <w:lang w:val="en-US" w:eastAsia="ja-JP"/>
              </w:rPr>
              <w:t xml:space="preserve">Table </w:t>
            </w:r>
            <w:r w:rsidR="00956952" w:rsidRPr="00956952">
              <w:rPr>
                <w:rFonts w:ascii="Times New Roman" w:eastAsia="SimSun" w:hAnsi="Times New Roman" w:cs="Arial"/>
                <w:b/>
                <w:bCs/>
                <w:lang w:val="en-US" w:eastAsia="ja-JP"/>
              </w:rPr>
              <w:t>.</w:t>
            </w:r>
            <w:proofErr w:type="gramEnd"/>
            <w:r w:rsidR="00956952" w:rsidRPr="00956952">
              <w:rPr>
                <w:rFonts w:ascii="Times New Roman" w:eastAsia="SimSun" w:hAnsi="Times New Roman" w:cs="Arial"/>
                <w:b/>
                <w:bCs/>
                <w:lang w:val="en-US" w:eastAsia="ja-JP"/>
              </w:rPr>
              <w:t xml:space="preserve"> Model diagnostics</w:t>
            </w:r>
          </w:p>
        </w:tc>
      </w:tr>
      <w:tr w:rsidR="00956952" w:rsidRPr="00956952" w:rsidTr="00EC0FC4">
        <w:trPr>
          <w:jc w:val="center"/>
        </w:trPr>
        <w:tc>
          <w:tcPr>
            <w:tcW w:w="2430" w:type="dxa"/>
            <w:tcBorders>
              <w:top w:val="single" w:sz="4" w:space="0" w:color="auto"/>
              <w:bottom w:val="single" w:sz="4" w:space="0" w:color="auto"/>
            </w:tcBorders>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Times New Roman"/>
                <w:color w:val="000000"/>
                <w:lang w:val="en-US" w:eastAsia="ja-JP"/>
              </w:rPr>
            </w:pPr>
            <w:proofErr w:type="spellStart"/>
            <w:r w:rsidRPr="00956952">
              <w:rPr>
                <w:rFonts w:ascii="Times New Roman" w:eastAsia="SimSun" w:hAnsi="Times New Roman" w:cs="Times New Roman"/>
                <w:color w:val="000000"/>
                <w:lang w:val="en-US" w:eastAsia="ja-JP"/>
              </w:rPr>
              <w:t>df</w:t>
            </w:r>
            <w:proofErr w:type="spellEnd"/>
          </w:p>
        </w:tc>
        <w:tc>
          <w:tcPr>
            <w:tcW w:w="3150" w:type="dxa"/>
            <w:tcBorders>
              <w:top w:val="single" w:sz="4" w:space="0" w:color="auto"/>
              <w:bottom w:val="single" w:sz="4" w:space="0" w:color="auto"/>
            </w:tcBorders>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Arial"/>
                <w:lang w:val="en-US" w:eastAsia="ja-JP"/>
              </w:rPr>
              <w:t>Likelihood Chi square</w:t>
            </w:r>
          </w:p>
        </w:tc>
        <w:tc>
          <w:tcPr>
            <w:tcW w:w="270" w:type="dxa"/>
            <w:tcBorders>
              <w:top w:val="single" w:sz="4" w:space="0" w:color="auto"/>
              <w:bottom w:val="single" w:sz="4" w:space="0" w:color="auto"/>
            </w:tcBorders>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Times New Roman"/>
                <w:color w:val="000000"/>
                <w:lang w:val="en-US" w:eastAsia="ja-JP"/>
              </w:rPr>
            </w:pPr>
          </w:p>
        </w:tc>
        <w:tc>
          <w:tcPr>
            <w:tcW w:w="2430" w:type="dxa"/>
            <w:tcBorders>
              <w:top w:val="single" w:sz="4" w:space="0" w:color="auto"/>
              <w:bottom w:val="single" w:sz="4" w:space="0" w:color="auto"/>
            </w:tcBorders>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Times New Roman"/>
                <w:color w:val="000000"/>
                <w:lang w:val="en-US" w:eastAsia="ja-JP"/>
              </w:rPr>
            </w:pPr>
            <w:r w:rsidRPr="00956952">
              <w:rPr>
                <w:rFonts w:ascii="Times New Roman" w:eastAsia="SimSun" w:hAnsi="Times New Roman" w:cs="Arial"/>
                <w:lang w:val="en-US" w:eastAsia="ja-JP"/>
              </w:rPr>
              <w:t xml:space="preserve">Likelihood </w:t>
            </w:r>
            <w:r w:rsidRPr="00956952">
              <w:rPr>
                <w:rFonts w:ascii="Times New Roman" w:eastAsia="SimSun" w:hAnsi="Times New Roman" w:cs="Times New Roman"/>
                <w:color w:val="000000"/>
                <w:lang w:val="en-US" w:eastAsia="ja-JP"/>
              </w:rPr>
              <w:t>P value</w:t>
            </w:r>
          </w:p>
        </w:tc>
        <w:tc>
          <w:tcPr>
            <w:tcW w:w="1890" w:type="dxa"/>
            <w:tcBorders>
              <w:top w:val="single" w:sz="4" w:space="0" w:color="auto"/>
              <w:bottom w:val="single" w:sz="4" w:space="0" w:color="auto"/>
            </w:tcBorders>
            <w:shd w:val="clear" w:color="auto" w:fill="FFFFFF"/>
          </w:tcPr>
          <w:p w:rsidR="00956952" w:rsidRPr="00956952" w:rsidRDefault="00956952" w:rsidP="00956952">
            <w:pPr>
              <w:spacing w:before="20" w:after="20" w:line="360" w:lineRule="auto"/>
              <w:ind w:left="80" w:right="80"/>
              <w:jc w:val="center"/>
              <w:rPr>
                <w:rFonts w:ascii="Times New Roman" w:eastAsia="SimSun" w:hAnsi="Times New Roman" w:cs="Times New Roman"/>
                <w:color w:val="000000"/>
                <w:lang w:val="en-US" w:eastAsia="ja-JP"/>
              </w:rPr>
            </w:pPr>
            <w:r w:rsidRPr="00956952">
              <w:rPr>
                <w:rFonts w:ascii="Times New Roman" w:eastAsia="SimSun" w:hAnsi="Times New Roman" w:cs="Times New Roman"/>
                <w:color w:val="000000"/>
                <w:lang w:val="en-US" w:eastAsia="ja-JP"/>
              </w:rPr>
              <w:t>Model Accuracy</w:t>
            </w:r>
          </w:p>
        </w:tc>
      </w:tr>
      <w:tr w:rsidR="00956952" w:rsidRPr="00956952" w:rsidTr="00EC0FC4">
        <w:trPr>
          <w:jc w:val="center"/>
        </w:trPr>
        <w:tc>
          <w:tcPr>
            <w:tcW w:w="2430" w:type="dxa"/>
            <w:tcBorders>
              <w:top w:val="single" w:sz="4" w:space="0" w:color="auto"/>
              <w:bottom w:val="single" w:sz="8" w:space="0" w:color="000000"/>
            </w:tcBorders>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Times New Roman"/>
                <w:color w:val="000000"/>
                <w:lang w:val="en-US" w:eastAsia="ja-JP"/>
              </w:rPr>
            </w:pPr>
            <w:r w:rsidRPr="00956952">
              <w:rPr>
                <w:rFonts w:ascii="Times New Roman" w:eastAsia="SimSun" w:hAnsi="Times New Roman" w:cs="Times New Roman"/>
                <w:color w:val="000000"/>
                <w:lang w:val="en-US" w:eastAsia="ja-JP"/>
              </w:rPr>
              <w:t>6</w:t>
            </w:r>
          </w:p>
        </w:tc>
        <w:tc>
          <w:tcPr>
            <w:tcW w:w="3150" w:type="dxa"/>
            <w:tcBorders>
              <w:top w:val="single" w:sz="4" w:space="0" w:color="auto"/>
              <w:bottom w:val="single" w:sz="8" w:space="0" w:color="000000"/>
            </w:tcBorders>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Arial"/>
                <w:lang w:val="en-US" w:eastAsia="ja-JP"/>
              </w:rPr>
              <w:t>41.4</w:t>
            </w:r>
          </w:p>
        </w:tc>
        <w:tc>
          <w:tcPr>
            <w:tcW w:w="270" w:type="dxa"/>
            <w:tcBorders>
              <w:top w:val="single" w:sz="4" w:space="0" w:color="auto"/>
              <w:bottom w:val="single" w:sz="8" w:space="0" w:color="000000"/>
            </w:tcBorders>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Times New Roman"/>
                <w:color w:val="000000"/>
                <w:lang w:val="en-US" w:eastAsia="ja-JP"/>
              </w:rPr>
            </w:pPr>
          </w:p>
        </w:tc>
        <w:tc>
          <w:tcPr>
            <w:tcW w:w="2430" w:type="dxa"/>
            <w:tcBorders>
              <w:top w:val="single" w:sz="4" w:space="0" w:color="auto"/>
              <w:bottom w:val="single" w:sz="8" w:space="0" w:color="000000"/>
            </w:tcBorders>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Arial"/>
                <w:lang w:val="en-US" w:eastAsia="ja-JP"/>
              </w:rPr>
              <w:t xml:space="preserve">2 x 10 </w:t>
            </w:r>
            <w:r w:rsidRPr="00956952">
              <w:rPr>
                <w:rFonts w:ascii="Times New Roman" w:eastAsia="SimSun" w:hAnsi="Times New Roman" w:cs="Arial"/>
                <w:vertAlign w:val="superscript"/>
                <w:lang w:val="en-US" w:eastAsia="ja-JP"/>
              </w:rPr>
              <w:t>-7</w:t>
            </w:r>
          </w:p>
        </w:tc>
        <w:tc>
          <w:tcPr>
            <w:tcW w:w="1890" w:type="dxa"/>
            <w:tcBorders>
              <w:top w:val="single" w:sz="4" w:space="0" w:color="auto"/>
              <w:bottom w:val="single" w:sz="8" w:space="0" w:color="000000"/>
            </w:tcBorders>
            <w:shd w:val="clear" w:color="auto" w:fill="FFFFFF"/>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Arial"/>
                <w:lang w:val="en-US" w:eastAsia="ja-JP"/>
              </w:rPr>
              <w:t>82%</w:t>
            </w:r>
          </w:p>
        </w:tc>
      </w:tr>
    </w:tbl>
    <w:p w:rsidR="00956952" w:rsidRPr="00956952" w:rsidRDefault="00956952" w:rsidP="00956952">
      <w:pPr>
        <w:spacing w:after="160" w:line="360" w:lineRule="auto"/>
        <w:rPr>
          <w:rFonts w:ascii="Times New Roman" w:eastAsia="SimSun" w:hAnsi="Times New Roman" w:cs="Arial"/>
          <w:lang w:val="en-US" w:eastAsia="ja-JP"/>
        </w:rPr>
      </w:pPr>
    </w:p>
    <w:p w:rsidR="00956952" w:rsidRPr="00956952" w:rsidRDefault="00956952" w:rsidP="00956952">
      <w:pPr>
        <w:spacing w:after="160" w:line="360" w:lineRule="auto"/>
        <w:rPr>
          <w:rFonts w:ascii="Times New Roman" w:eastAsia="SimSun" w:hAnsi="Times New Roman" w:cs="Arial"/>
          <w:lang w:val="en-US" w:eastAsia="ja-JP"/>
        </w:rPr>
      </w:pPr>
      <w:r w:rsidRPr="00956952">
        <w:rPr>
          <w:rFonts w:ascii="Times New Roman" w:eastAsia="SimSun" w:hAnsi="Times New Roman" w:cs="Arial"/>
          <w:lang w:val="en-US" w:eastAsia="ja-JP"/>
        </w:rPr>
        <w:t>Results show that the likelihood test result was significant which indicates that our model fits the data better than the Null model (model with no predictors) where the p value for the likelihood ratio test was less than 0.05.</w:t>
      </w:r>
    </w:p>
    <w:p w:rsidR="00956952" w:rsidRPr="00956952" w:rsidRDefault="00956952" w:rsidP="00956952">
      <w:pPr>
        <w:spacing w:after="160" w:line="360" w:lineRule="auto"/>
        <w:rPr>
          <w:rFonts w:ascii="Times New Roman" w:eastAsia="SimSun" w:hAnsi="Times New Roman" w:cs="Arial"/>
          <w:lang w:val="en-US" w:eastAsia="ja-JP"/>
        </w:rPr>
      </w:pPr>
      <w:r w:rsidRPr="00956952">
        <w:rPr>
          <w:rFonts w:ascii="Times New Roman" w:eastAsia="SimSun" w:hAnsi="Times New Roman" w:cs="Arial"/>
          <w:lang w:val="en-US" w:eastAsia="ja-JP"/>
        </w:rPr>
        <w:t>The model correctly classified 82% of the dependent variable which is considered fairly accurate.</w:t>
      </w:r>
    </w:p>
    <w:p w:rsidR="00956952" w:rsidRPr="00956952" w:rsidRDefault="00956952" w:rsidP="00956952">
      <w:pPr>
        <w:spacing w:after="160" w:line="360" w:lineRule="auto"/>
        <w:rPr>
          <w:rFonts w:ascii="Times New Roman" w:eastAsia="SimSun" w:hAnsi="Times New Roman" w:cs="Arial"/>
          <w:lang w:val="en-US" w:eastAsia="ja-JP"/>
        </w:rPr>
      </w:pPr>
    </w:p>
    <w:p w:rsidR="00956952" w:rsidRPr="00956952" w:rsidRDefault="00956952" w:rsidP="00956952">
      <w:pPr>
        <w:spacing w:after="160" w:line="360" w:lineRule="auto"/>
        <w:rPr>
          <w:rFonts w:ascii="Times New Roman" w:eastAsia="SimSun" w:hAnsi="Times New Roman" w:cs="Arial"/>
          <w:lang w:val="en-US" w:eastAsia="ja-JP"/>
        </w:rPr>
      </w:pPr>
    </w:p>
    <w:p w:rsidR="00956952" w:rsidRPr="00956952" w:rsidRDefault="00956952" w:rsidP="0032126D">
      <w:pPr>
        <w:spacing w:after="160" w:line="360" w:lineRule="auto"/>
        <w:rPr>
          <w:rFonts w:ascii="Times New Roman" w:eastAsia="SimSun" w:hAnsi="Times New Roman" w:cs="Arial"/>
          <w:lang w:val="en-US" w:eastAsia="ja-JP"/>
        </w:rPr>
      </w:pPr>
      <w:r w:rsidRPr="00956952">
        <w:rPr>
          <w:rFonts w:ascii="Calibri Light" w:eastAsia="SimSun" w:hAnsi="Calibri Light" w:cs="Times New Roman"/>
          <w:b/>
          <w:bCs/>
          <w:smallCaps/>
          <w:color w:val="000000"/>
          <w:sz w:val="28"/>
          <w:szCs w:val="28"/>
          <w:lang w:val="en-US" w:eastAsia="ja-JP"/>
        </w:rPr>
        <w:t>Fit measures</w:t>
      </w:r>
    </w:p>
    <w:p w:rsidR="00956952" w:rsidRPr="00956952" w:rsidRDefault="00956952" w:rsidP="00956952">
      <w:pPr>
        <w:spacing w:before="20" w:after="20" w:line="360" w:lineRule="auto"/>
        <w:ind w:left="20" w:right="20"/>
        <w:rPr>
          <w:rFonts w:ascii="Times New Roman" w:eastAsia="SimSun" w:hAnsi="Times New Roman" w:cs="Arial"/>
          <w:lang w:val="en-US" w:eastAsia="ja-JP"/>
        </w:rPr>
      </w:pPr>
    </w:p>
    <w:tbl>
      <w:tblPr>
        <w:tblW w:w="0" w:type="auto"/>
        <w:tblBorders>
          <w:top w:val="single" w:sz="8" w:space="0" w:color="000000"/>
          <w:bottom w:val="single" w:sz="8" w:space="0" w:color="000000"/>
          <w:insideH w:val="single" w:sz="4" w:space="0" w:color="auto"/>
        </w:tblBorders>
        <w:tblLook w:val="04A0" w:firstRow="1" w:lastRow="0" w:firstColumn="1" w:lastColumn="0" w:noHBand="0" w:noVBand="1"/>
      </w:tblPr>
      <w:tblGrid>
        <w:gridCol w:w="2167"/>
        <w:gridCol w:w="1091"/>
      </w:tblGrid>
      <w:tr w:rsidR="00956952" w:rsidRPr="00956952" w:rsidTr="00EC0FC4">
        <w:trPr>
          <w:tblHeader/>
        </w:trPr>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b/>
                <w:bCs/>
                <w:lang w:val="en-US" w:eastAsia="ja-JP"/>
              </w:rPr>
            </w:pPr>
            <w:r w:rsidRPr="00956952">
              <w:rPr>
                <w:rFonts w:ascii="Times New Roman" w:eastAsia="SimSun" w:hAnsi="Times New Roman" w:cs="Arial"/>
                <w:b/>
                <w:bCs/>
                <w:lang w:val="en-US" w:eastAsia="ja-JP"/>
              </w:rPr>
              <w:t>Pseudo R</w:t>
            </w:r>
            <w:r w:rsidRPr="00956952">
              <w:rPr>
                <w:rFonts w:ascii="Times New Roman" w:eastAsia="SimSun" w:hAnsi="Times New Roman" w:cs="Arial"/>
                <w:b/>
                <w:bCs/>
                <w:vertAlign w:val="superscript"/>
                <w:lang w:val="en-US" w:eastAsia="ja-JP"/>
              </w:rPr>
              <w:t>2</w:t>
            </w:r>
          </w:p>
        </w:tc>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Times New Roman"/>
                <w:b/>
                <w:color w:val="000000"/>
                <w:lang w:val="en-US" w:eastAsia="ja-JP"/>
              </w:rPr>
              <w:t>Value.</w:t>
            </w:r>
          </w:p>
        </w:tc>
      </w:tr>
      <w:tr w:rsidR="00956952" w:rsidRPr="00956952" w:rsidTr="00EC0FC4">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Times New Roman"/>
                <w:color w:val="000000"/>
                <w:lang w:val="en-US" w:eastAsia="ja-JP"/>
              </w:rPr>
              <w:t>McFadden</w:t>
            </w:r>
          </w:p>
        </w:tc>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Times New Roman"/>
                <w:color w:val="000000"/>
                <w:lang w:val="en-US" w:eastAsia="ja-JP"/>
              </w:rPr>
              <w:t>0.166</w:t>
            </w:r>
          </w:p>
        </w:tc>
      </w:tr>
      <w:tr w:rsidR="00956952" w:rsidRPr="00956952" w:rsidTr="00EC0FC4">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Times New Roman"/>
                <w:color w:val="000000"/>
                <w:lang w:val="en-US" w:eastAsia="ja-JP"/>
              </w:rPr>
              <w:t>Adjusted McFadden</w:t>
            </w:r>
          </w:p>
        </w:tc>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Times New Roman"/>
                <w:color w:val="000000"/>
                <w:lang w:val="en-US" w:eastAsia="ja-JP"/>
              </w:rPr>
              <w:t>0.102</w:t>
            </w:r>
          </w:p>
        </w:tc>
      </w:tr>
      <w:tr w:rsidR="00956952" w:rsidRPr="00956952" w:rsidTr="00EC0FC4">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Times New Roman"/>
                <w:color w:val="000000"/>
                <w:lang w:val="en-US" w:eastAsia="ja-JP"/>
              </w:rPr>
              <w:t>Cox Snell</w:t>
            </w:r>
          </w:p>
        </w:tc>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Times New Roman"/>
                <w:color w:val="000000"/>
                <w:lang w:val="en-US" w:eastAsia="ja-JP"/>
              </w:rPr>
              <w:t>0.051</w:t>
            </w:r>
          </w:p>
        </w:tc>
      </w:tr>
      <w:tr w:rsidR="00956952" w:rsidRPr="00956952" w:rsidTr="00EC0FC4">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proofErr w:type="spellStart"/>
            <w:r w:rsidRPr="00956952">
              <w:rPr>
                <w:rFonts w:ascii="Times New Roman" w:eastAsia="SimSun" w:hAnsi="Times New Roman" w:cs="Times New Roman"/>
                <w:color w:val="000000"/>
                <w:lang w:val="en-US" w:eastAsia="ja-JP"/>
              </w:rPr>
              <w:t>Nagelkerke</w:t>
            </w:r>
            <w:proofErr w:type="spellEnd"/>
          </w:p>
        </w:tc>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Times New Roman"/>
                <w:color w:val="000000"/>
                <w:lang w:val="en-US" w:eastAsia="ja-JP"/>
              </w:rPr>
              <w:t>0.189</w:t>
            </w:r>
          </w:p>
        </w:tc>
      </w:tr>
      <w:tr w:rsidR="00956952" w:rsidRPr="00956952" w:rsidTr="00EC0FC4">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Times New Roman"/>
                <w:color w:val="000000"/>
                <w:lang w:val="en-US" w:eastAsia="ja-JP"/>
              </w:rPr>
              <w:t>AIC</w:t>
            </w:r>
          </w:p>
        </w:tc>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Times New Roman"/>
                <w:color w:val="000000"/>
                <w:lang w:val="en-US" w:eastAsia="ja-JP"/>
              </w:rPr>
              <w:t>221.198</w:t>
            </w:r>
          </w:p>
        </w:tc>
      </w:tr>
      <w:tr w:rsidR="00956952" w:rsidRPr="00956952" w:rsidTr="00EC0FC4">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Times New Roman"/>
                <w:color w:val="000000"/>
                <w:lang w:val="en-US" w:eastAsia="ja-JP"/>
              </w:rPr>
              <w:t>Corrected AIC</w:t>
            </w:r>
          </w:p>
        </w:tc>
        <w:tc>
          <w:tcPr>
            <w:tcW w:w="0" w:type="auto"/>
            <w:shd w:val="clear" w:color="auto" w:fill="FFFFFF"/>
            <w:vAlign w:val="center"/>
          </w:tcPr>
          <w:p w:rsidR="00956952" w:rsidRPr="00956952" w:rsidRDefault="00956952" w:rsidP="00956952">
            <w:pPr>
              <w:spacing w:before="20" w:after="20" w:line="360" w:lineRule="auto"/>
              <w:ind w:left="80" w:right="80"/>
              <w:jc w:val="center"/>
              <w:rPr>
                <w:rFonts w:ascii="Times New Roman" w:eastAsia="SimSun" w:hAnsi="Times New Roman" w:cs="Arial"/>
                <w:lang w:val="en-US" w:eastAsia="ja-JP"/>
              </w:rPr>
            </w:pPr>
            <w:r w:rsidRPr="00956952">
              <w:rPr>
                <w:rFonts w:ascii="Times New Roman" w:eastAsia="SimSun" w:hAnsi="Times New Roman" w:cs="Times New Roman"/>
                <w:color w:val="000000"/>
                <w:lang w:val="en-US" w:eastAsia="ja-JP"/>
              </w:rPr>
              <w:t>221.341</w:t>
            </w:r>
          </w:p>
        </w:tc>
      </w:tr>
    </w:tbl>
    <w:p w:rsidR="00956952" w:rsidRPr="00956952" w:rsidRDefault="00956952" w:rsidP="00956952">
      <w:pPr>
        <w:spacing w:before="20" w:after="20" w:line="360" w:lineRule="auto"/>
        <w:ind w:left="20" w:right="20"/>
        <w:rPr>
          <w:rFonts w:ascii="Times New Roman" w:eastAsia="SimSun" w:hAnsi="Times New Roman" w:cs="Arial"/>
          <w:lang w:val="en-US" w:eastAsia="ja-JP"/>
        </w:rPr>
      </w:pPr>
    </w:p>
    <w:p w:rsidR="00956952" w:rsidRPr="00956952" w:rsidRDefault="00956952" w:rsidP="00956952">
      <w:pPr>
        <w:spacing w:before="20" w:after="20" w:line="360" w:lineRule="auto"/>
        <w:ind w:left="20" w:right="20"/>
        <w:rPr>
          <w:rFonts w:ascii="Times New Roman" w:eastAsia="SimSun" w:hAnsi="Times New Roman" w:cs="Arial"/>
          <w:lang w:val="en-US" w:eastAsia="ja-JP"/>
        </w:rPr>
      </w:pPr>
      <w:r w:rsidRPr="00956952">
        <w:rPr>
          <w:rFonts w:ascii="Times New Roman" w:eastAsia="SimSun" w:hAnsi="Times New Roman" w:cs="Arial"/>
          <w:lang w:val="en-US" w:eastAsia="ja-JP"/>
        </w:rPr>
        <w:t>While no exact equivalent to the R2 of linear regression exists, the McFadden R2 index can be used to assess the model fit. Values between 0.2 and 0.4 indicate excellent model fit. Our model has an R2 of 0.166. However, these measures cannot be used alone to judge the model.</w:t>
      </w:r>
    </w:p>
    <w:p w:rsidR="00956952" w:rsidRPr="00956952" w:rsidRDefault="00956952" w:rsidP="00956952">
      <w:pPr>
        <w:spacing w:before="20" w:after="20" w:line="360" w:lineRule="auto"/>
        <w:ind w:left="20" w:right="20"/>
        <w:rPr>
          <w:rFonts w:ascii="Times New Roman" w:eastAsia="SimSun" w:hAnsi="Times New Roman" w:cs="Arial"/>
          <w:lang w:val="en-US" w:eastAsia="ja-JP"/>
        </w:rPr>
      </w:pPr>
    </w:p>
    <w:p w:rsidR="00956952" w:rsidRPr="00956952" w:rsidRDefault="00956952" w:rsidP="00956952">
      <w:pPr>
        <w:spacing w:after="160" w:line="360" w:lineRule="auto"/>
        <w:jc w:val="both"/>
        <w:rPr>
          <w:rFonts w:ascii="Times New Roman" w:eastAsia="SimSun" w:hAnsi="Times New Roman" w:cs="Arial"/>
          <w:lang w:val="en-US" w:eastAsia="ja-JP"/>
        </w:rPr>
      </w:pPr>
    </w:p>
    <w:p w:rsidR="00956952" w:rsidRPr="00956952" w:rsidRDefault="00956952" w:rsidP="00956952">
      <w:pPr>
        <w:spacing w:after="160" w:line="360" w:lineRule="auto"/>
        <w:jc w:val="both"/>
        <w:rPr>
          <w:rFonts w:ascii="Times New Roman" w:eastAsia="SimSun" w:hAnsi="Times New Roman" w:cs="Arial"/>
          <w:lang w:val="en-US" w:eastAsia="ja-JP"/>
        </w:rPr>
      </w:pPr>
    </w:p>
    <w:p w:rsidR="00956952" w:rsidRPr="00956952" w:rsidRDefault="00956952" w:rsidP="00956952">
      <w:pPr>
        <w:spacing w:after="160" w:line="360" w:lineRule="auto"/>
        <w:jc w:val="both"/>
        <w:rPr>
          <w:rFonts w:ascii="Times New Roman" w:eastAsia="SimSun" w:hAnsi="Times New Roman" w:cs="Arial"/>
          <w:lang w:val="en-US" w:eastAsia="ja-JP"/>
        </w:rPr>
      </w:pPr>
      <w:r w:rsidRPr="00956952">
        <w:rPr>
          <w:rFonts w:ascii="Times New Roman" w:eastAsia="SimSun" w:hAnsi="Times New Roman" w:cs="Arial"/>
          <w:noProof/>
          <w:lang w:eastAsia="en-GB"/>
        </w:rPr>
        <w:drawing>
          <wp:inline distT="0" distB="0" distL="0" distR="0" wp14:anchorId="6BD07A21" wp14:editId="37EA2F5D">
            <wp:extent cx="5747657" cy="4928260"/>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2365" cy="4940871"/>
                    </a:xfrm>
                    <a:prstGeom prst="rect">
                      <a:avLst/>
                    </a:prstGeom>
                  </pic:spPr>
                </pic:pic>
              </a:graphicData>
            </a:graphic>
          </wp:inline>
        </w:drawing>
      </w:r>
    </w:p>
    <w:p w:rsidR="00956952" w:rsidRPr="00956952" w:rsidRDefault="00956952" w:rsidP="00956952">
      <w:pPr>
        <w:spacing w:after="160" w:line="360" w:lineRule="auto"/>
        <w:jc w:val="both"/>
        <w:rPr>
          <w:rFonts w:ascii="Times New Roman" w:eastAsia="SimSun" w:hAnsi="Times New Roman" w:cs="Times New Roman"/>
          <w:lang w:val="en-US" w:eastAsia="ja-JP"/>
        </w:rPr>
      </w:pPr>
      <w:r w:rsidRPr="00956952">
        <w:rPr>
          <w:rFonts w:ascii="Times New Roman" w:eastAsia="SimSun" w:hAnsi="Times New Roman" w:cs="Times New Roman"/>
          <w:lang w:val="en-US" w:eastAsia="ja-JP"/>
        </w:rPr>
        <w:t>As previously mentioned, the model correctly classified 82% of the data. The ROC curve shows that the AUC is 84.69% which indicates a good predictive power (&gt;0.8).</w:t>
      </w:r>
    </w:p>
    <w:p w:rsidR="00956952" w:rsidRPr="00956952" w:rsidRDefault="00956952" w:rsidP="00956952">
      <w:pPr>
        <w:spacing w:after="160" w:line="360" w:lineRule="auto"/>
        <w:jc w:val="both"/>
        <w:rPr>
          <w:rFonts w:ascii="Times New Roman" w:eastAsia="SimSun" w:hAnsi="Times New Roman" w:cs="Times New Roman"/>
          <w:color w:val="111111"/>
          <w:shd w:val="clear" w:color="auto" w:fill="FFFFFF"/>
          <w:lang w:val="en-US" w:eastAsia="ja-JP"/>
        </w:rPr>
      </w:pPr>
      <w:r w:rsidRPr="00956952">
        <w:rPr>
          <w:rFonts w:ascii="Times New Roman" w:eastAsia="SimSun" w:hAnsi="Times New Roman" w:cs="Times New Roman"/>
          <w:color w:val="111111"/>
          <w:shd w:val="clear" w:color="auto" w:fill="FFFFFF"/>
          <w:lang w:val="en-US" w:eastAsia="ja-JP"/>
        </w:rPr>
        <w:t>As a rule of thumb, a model with good predictive ability should have an AUC closer to 1 (1 is ideal) than to 0.5.</w:t>
      </w:r>
      <w:bookmarkStart w:id="0" w:name="_GoBack"/>
      <w:bookmarkEnd w:id="0"/>
    </w:p>
    <w:p w:rsidR="00956952" w:rsidRPr="00956952" w:rsidRDefault="00956952" w:rsidP="00956952">
      <w:pPr>
        <w:spacing w:after="160" w:line="360" w:lineRule="auto"/>
        <w:jc w:val="both"/>
        <w:rPr>
          <w:rFonts w:ascii="Times New Roman" w:eastAsia="SimSun" w:hAnsi="Times New Roman" w:cs="Times New Roman"/>
          <w:lang w:val="en-US" w:eastAsia="ja-JP"/>
        </w:rPr>
      </w:pPr>
    </w:p>
    <w:p w:rsidR="00956952" w:rsidRPr="00956952" w:rsidRDefault="00956952" w:rsidP="00956952">
      <w:pPr>
        <w:spacing w:after="160" w:line="360" w:lineRule="auto"/>
        <w:jc w:val="both"/>
        <w:rPr>
          <w:rFonts w:ascii="Times New Roman" w:eastAsia="SimSun" w:hAnsi="Times New Roman" w:cs="Arial"/>
          <w:lang w:val="en-US" w:eastAsia="ja-JP"/>
        </w:rPr>
      </w:pPr>
      <w:r w:rsidRPr="00956952">
        <w:rPr>
          <w:rFonts w:ascii="Times New Roman" w:eastAsia="SimSun" w:hAnsi="Times New Roman" w:cs="Arial"/>
          <w:noProof/>
          <w:lang w:eastAsia="en-GB"/>
        </w:rPr>
        <w:lastRenderedPageBreak/>
        <w:drawing>
          <wp:anchor distT="0" distB="0" distL="114300" distR="114300" simplePos="0" relativeHeight="251659264" behindDoc="0" locked="0" layoutInCell="1" allowOverlap="1" wp14:anchorId="2E27C180" wp14:editId="4637269D">
            <wp:simplePos x="0" y="0"/>
            <wp:positionH relativeFrom="margin">
              <wp:align>right</wp:align>
            </wp:positionH>
            <wp:positionV relativeFrom="paragraph">
              <wp:posOffset>103</wp:posOffset>
            </wp:positionV>
            <wp:extent cx="5943600" cy="748157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7481570"/>
                    </a:xfrm>
                    <a:prstGeom prst="rect">
                      <a:avLst/>
                    </a:prstGeom>
                  </pic:spPr>
                </pic:pic>
              </a:graphicData>
            </a:graphic>
          </wp:anchor>
        </w:drawing>
      </w:r>
      <w:r w:rsidRPr="00956952">
        <w:rPr>
          <w:rFonts w:ascii="Times New Roman" w:eastAsia="SimSun" w:hAnsi="Times New Roman" w:cs="Arial"/>
          <w:lang w:val="en-US" w:eastAsia="ja-JP"/>
        </w:rPr>
        <w:t>Deviance residuals also indicate that the model was a good fit for the data where the coefficients did not change significantly with the removal of any of the data points.</w:t>
      </w:r>
    </w:p>
    <w:p w:rsidR="00956952" w:rsidRPr="00956952" w:rsidRDefault="00956952" w:rsidP="00956952"/>
    <w:sectPr w:rsidR="00956952" w:rsidRPr="00956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MDA3sLAwNDYyMzVT0lEKTi0uzszPAykwrAUAh8757SwAAAA="/>
  </w:docVars>
  <w:rsids>
    <w:rsidRoot w:val="00956952"/>
    <w:rsid w:val="000171BD"/>
    <w:rsid w:val="00034CFB"/>
    <w:rsid w:val="00045A20"/>
    <w:rsid w:val="00046883"/>
    <w:rsid w:val="00064D24"/>
    <w:rsid w:val="000679AC"/>
    <w:rsid w:val="0007587D"/>
    <w:rsid w:val="000A0CE9"/>
    <w:rsid w:val="000A6BEE"/>
    <w:rsid w:val="000B56FB"/>
    <w:rsid w:val="000D480B"/>
    <w:rsid w:val="0011676C"/>
    <w:rsid w:val="00152356"/>
    <w:rsid w:val="00180576"/>
    <w:rsid w:val="00180C0E"/>
    <w:rsid w:val="00181DD0"/>
    <w:rsid w:val="0018329C"/>
    <w:rsid w:val="001A792D"/>
    <w:rsid w:val="001B05E4"/>
    <w:rsid w:val="001D7214"/>
    <w:rsid w:val="00225135"/>
    <w:rsid w:val="00242463"/>
    <w:rsid w:val="00250984"/>
    <w:rsid w:val="00271AA9"/>
    <w:rsid w:val="00296A8A"/>
    <w:rsid w:val="002B59F7"/>
    <w:rsid w:val="002D3216"/>
    <w:rsid w:val="0032126D"/>
    <w:rsid w:val="00321937"/>
    <w:rsid w:val="00326635"/>
    <w:rsid w:val="003305FB"/>
    <w:rsid w:val="00344084"/>
    <w:rsid w:val="00344283"/>
    <w:rsid w:val="0036076B"/>
    <w:rsid w:val="003732BB"/>
    <w:rsid w:val="00392D11"/>
    <w:rsid w:val="00393428"/>
    <w:rsid w:val="003C1621"/>
    <w:rsid w:val="003D2186"/>
    <w:rsid w:val="003D4543"/>
    <w:rsid w:val="00421646"/>
    <w:rsid w:val="00425900"/>
    <w:rsid w:val="004363B5"/>
    <w:rsid w:val="0044344F"/>
    <w:rsid w:val="00445C5B"/>
    <w:rsid w:val="00447263"/>
    <w:rsid w:val="0047644B"/>
    <w:rsid w:val="00477B9E"/>
    <w:rsid w:val="00485173"/>
    <w:rsid w:val="00496E10"/>
    <w:rsid w:val="004A2355"/>
    <w:rsid w:val="004D1FFC"/>
    <w:rsid w:val="004E3716"/>
    <w:rsid w:val="004F1C7E"/>
    <w:rsid w:val="004F5797"/>
    <w:rsid w:val="004F58EA"/>
    <w:rsid w:val="00504F84"/>
    <w:rsid w:val="00511075"/>
    <w:rsid w:val="00526C22"/>
    <w:rsid w:val="00554262"/>
    <w:rsid w:val="00555447"/>
    <w:rsid w:val="00555F1C"/>
    <w:rsid w:val="00564EC0"/>
    <w:rsid w:val="005A1188"/>
    <w:rsid w:val="005A1D12"/>
    <w:rsid w:val="005C74AA"/>
    <w:rsid w:val="005E1E8F"/>
    <w:rsid w:val="005E753A"/>
    <w:rsid w:val="005F792B"/>
    <w:rsid w:val="00610754"/>
    <w:rsid w:val="00625053"/>
    <w:rsid w:val="00652556"/>
    <w:rsid w:val="006539D8"/>
    <w:rsid w:val="006A00EA"/>
    <w:rsid w:val="006E02BA"/>
    <w:rsid w:val="006F2849"/>
    <w:rsid w:val="007036BF"/>
    <w:rsid w:val="00712A87"/>
    <w:rsid w:val="00716F49"/>
    <w:rsid w:val="00720D22"/>
    <w:rsid w:val="007230A6"/>
    <w:rsid w:val="0074760E"/>
    <w:rsid w:val="00760E11"/>
    <w:rsid w:val="00771BE1"/>
    <w:rsid w:val="007747C7"/>
    <w:rsid w:val="0077719D"/>
    <w:rsid w:val="007810CD"/>
    <w:rsid w:val="007B35C9"/>
    <w:rsid w:val="007E219A"/>
    <w:rsid w:val="0080187B"/>
    <w:rsid w:val="00817435"/>
    <w:rsid w:val="00842836"/>
    <w:rsid w:val="0085539E"/>
    <w:rsid w:val="00857319"/>
    <w:rsid w:val="00861852"/>
    <w:rsid w:val="0086293D"/>
    <w:rsid w:val="00895258"/>
    <w:rsid w:val="008A21DA"/>
    <w:rsid w:val="008A49A7"/>
    <w:rsid w:val="008A4CA2"/>
    <w:rsid w:val="008B1DCF"/>
    <w:rsid w:val="009026A7"/>
    <w:rsid w:val="00916712"/>
    <w:rsid w:val="00956952"/>
    <w:rsid w:val="0096602F"/>
    <w:rsid w:val="009775CF"/>
    <w:rsid w:val="00980600"/>
    <w:rsid w:val="00983911"/>
    <w:rsid w:val="009A36AD"/>
    <w:rsid w:val="009A5D0E"/>
    <w:rsid w:val="009B0A11"/>
    <w:rsid w:val="009B4D9C"/>
    <w:rsid w:val="009E05F3"/>
    <w:rsid w:val="009E5968"/>
    <w:rsid w:val="009F17BE"/>
    <w:rsid w:val="00A14B5E"/>
    <w:rsid w:val="00A56112"/>
    <w:rsid w:val="00A62058"/>
    <w:rsid w:val="00A65AE7"/>
    <w:rsid w:val="00A66FAA"/>
    <w:rsid w:val="00A67186"/>
    <w:rsid w:val="00A728F7"/>
    <w:rsid w:val="00AB4BA2"/>
    <w:rsid w:val="00AE4DCA"/>
    <w:rsid w:val="00AF0A05"/>
    <w:rsid w:val="00B00466"/>
    <w:rsid w:val="00B1704C"/>
    <w:rsid w:val="00B40909"/>
    <w:rsid w:val="00B67202"/>
    <w:rsid w:val="00B779F0"/>
    <w:rsid w:val="00BC34C8"/>
    <w:rsid w:val="00BD12EC"/>
    <w:rsid w:val="00BD14B7"/>
    <w:rsid w:val="00BD165A"/>
    <w:rsid w:val="00BF1C9D"/>
    <w:rsid w:val="00C259A8"/>
    <w:rsid w:val="00C25B68"/>
    <w:rsid w:val="00C30134"/>
    <w:rsid w:val="00C50B5B"/>
    <w:rsid w:val="00C555EA"/>
    <w:rsid w:val="00C90FD9"/>
    <w:rsid w:val="00C93154"/>
    <w:rsid w:val="00CA167C"/>
    <w:rsid w:val="00CB6934"/>
    <w:rsid w:val="00CC2EE3"/>
    <w:rsid w:val="00CD51AB"/>
    <w:rsid w:val="00CF76E4"/>
    <w:rsid w:val="00D316A2"/>
    <w:rsid w:val="00D55F9E"/>
    <w:rsid w:val="00D850BD"/>
    <w:rsid w:val="00DA18B9"/>
    <w:rsid w:val="00DA3CA7"/>
    <w:rsid w:val="00DC2666"/>
    <w:rsid w:val="00DD0D23"/>
    <w:rsid w:val="00DD6EEE"/>
    <w:rsid w:val="00DE5AB5"/>
    <w:rsid w:val="00E068F2"/>
    <w:rsid w:val="00E1305B"/>
    <w:rsid w:val="00E42920"/>
    <w:rsid w:val="00E559ED"/>
    <w:rsid w:val="00E61CA7"/>
    <w:rsid w:val="00E624B4"/>
    <w:rsid w:val="00E75580"/>
    <w:rsid w:val="00E819F9"/>
    <w:rsid w:val="00E8311C"/>
    <w:rsid w:val="00ED17A9"/>
    <w:rsid w:val="00F01448"/>
    <w:rsid w:val="00F42E62"/>
    <w:rsid w:val="00F4643D"/>
    <w:rsid w:val="00F754E2"/>
    <w:rsid w:val="00F9468E"/>
    <w:rsid w:val="00FB1ED0"/>
    <w:rsid w:val="00FE20BD"/>
    <w:rsid w:val="00FE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6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9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695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5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6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9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695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5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zahid </cp:lastModifiedBy>
  <cp:revision>2</cp:revision>
  <dcterms:created xsi:type="dcterms:W3CDTF">2018-02-22T14:08:00Z</dcterms:created>
  <dcterms:modified xsi:type="dcterms:W3CDTF">2018-02-22T14:08:00Z</dcterms:modified>
</cp:coreProperties>
</file>