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24" w:rsidRDefault="00D074E5">
      <w:pPr>
        <w:pStyle w:val="normal0"/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Material and Methods</w:t>
      </w:r>
    </w:p>
    <w:p w:rsidR="009F6124" w:rsidRDefault="00D074E5">
      <w:pPr>
        <w:pStyle w:val="normal0"/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PCR and DGGE</w:t>
      </w:r>
    </w:p>
    <w:p w:rsidR="009F6124" w:rsidRDefault="00D074E5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extracted DNA was used as target in a nested PCR reaction to amplify the 16S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gene. In the first round, the primers of the domain Bacteria 16S-F (5’-AGAGTTTGATCCTGGCTC-3’) and 16S-R (5’-CGGGAACGTATTCACCG-3’)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Ström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2002) were used. The PCR was performed with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Axygen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®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MaxyGene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™ thermal cycler (CORNING, USA) using the following conditions: an initial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denaturation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94°C/3 min, followed by 30 cycles including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denaturation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4ºC/30 sec, annealing at 52ºC/1 min and elongation at 72ºC/1 min, with a final cycle at 72ºC/10 min. The second round was conducted by a touchdown procedure described previously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(1993) using the primers 338F (5’-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CCTACGGGAGGCAGCAG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-3’) enriched with a 40-base GC clamp at 5’ end for further DGGE analysis, and 518R (5’-ATTACCGCGGCTGCTGG-3’), corresponding 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positions 341-534 to obtain 233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DNA fragments [21]. The amplification conditions were as follows: initial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denaturation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94ºC/5 min, 28 cycles including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denaturation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94ºC/1 min, annealing at 65-55ºC for 1 min (decreasing 1ºC at each cycle) and elongation 72ºC/1 min, and a final, elongation at 72ºC/10 min. All the PCR reactions (total volume reaction 25 µl) consisted of 1 x PCR buffer,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MgCl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0.2 µM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dNTPs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0.2 µM of each of the appropriate primers, 0.2 µl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polymerase (Thermo Scientific) and 2 µl of total DNA at approximately 7-11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/µl. The re-amplifications for the second round used 1 µl of the PCR product as template. The concentration and quality of total DNA and the PCR products were checked on 1.4%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agarose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gels stained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ethidium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bromide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F6124" w:rsidRDefault="00D074E5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PCR products of bacterial 16S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were separated by DGGE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® Universal Mutation Detection System (Bio-Rad, USA). Similar amounts of PCR products with fragments of V3 region were applied directly onto 8% (w/v)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polyacrylamide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gel in a gradient of chemical denaturants between 30 to 60% (100% denaturant agent was defined as 7 M urea and 40% (v/v)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deionized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Electrophoresis was set at a constant condition of 50 V 60°C 18 h. The gel was stained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archived with a UV gel documentation system (Bio-Imaging Systems,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MiniBIS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 DNNR UV,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Jerusalem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Israel).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Representative DGGE bands were excised with a sterile scalpel and DNA was eluted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deionized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-filtered water overnight at 4ºC. DNA was re-amplified and re-analyzed by DGGE to confirm the position of the excised bands. DGGE bands were sequenced by a commercial service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GeneWiz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Company, South Plainfield, USA).</w:t>
      </w:r>
    </w:p>
    <w:p w:rsidR="009F6124" w:rsidRDefault="00D074E5">
      <w:pPr>
        <w:pStyle w:val="normal0"/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Phylogenetic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analysis</w:t>
      </w:r>
    </w:p>
    <w:p w:rsidR="009F6124" w:rsidRDefault="00D074E5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Sequence were trimmed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2.1 software </w:t>
      </w:r>
      <w:r>
        <w:rPr>
          <w:color w:val="0000FF"/>
          <w:sz w:val="24"/>
          <w:szCs w:val="24"/>
        </w:rPr>
        <w:t>http://technelysium.com.au/</w:t>
      </w:r>
      <w:proofErr w:type="gramStart"/>
      <w:r>
        <w:rPr>
          <w:color w:val="0000FF"/>
          <w:sz w:val="24"/>
          <w:szCs w:val="24"/>
        </w:rPr>
        <w:t>chromas.html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color w:val="0000FF"/>
          <w:sz w:val="24"/>
          <w:szCs w:val="24"/>
        </w:rPr>
        <w:t>http://technelysium.com.au/chromas.htmlhttp://technelysium.com.au/chromas.html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"http://technelysium.com.au/chromas.html)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compared against NCBI nucleotide database using BLAST algorithm (http://www.ncbi.nlm.nih.gov/"). DGGE band sequences and reference sequences with the highest similarity (98-100%) retrieved from the NCBI were aligned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ClustalW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phylogenetic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tree was constructed by neighbor-joining method with Jukes-Cantor substitution model using MEGA 6 package. To support the nodes, 1000 replications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performed using bootstrap analysis. Taxonomic assignation of the operational taxonomic units (OTUs) was based on BLAST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phylogenetic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analyses.</w:t>
      </w:r>
    </w:p>
    <w:p w:rsidR="009F6124" w:rsidRDefault="00D074E5">
      <w:pPr>
        <w:pStyle w:val="normal0"/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GenBank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accession numbers</w:t>
      </w:r>
    </w:p>
    <w:p w:rsidR="009F6124" w:rsidRDefault="00D074E5">
      <w:pPr>
        <w:pStyle w:val="normal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nucleotide sequence data reported are available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databases under the accession numbers KY323711 to KY323720.</w:t>
      </w:r>
    </w:p>
    <w:p w:rsidR="009F6124" w:rsidRDefault="00D074E5">
      <w:pPr>
        <w:pStyle w:val="normal0"/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wp2evhaakelq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Functional prediction</w:t>
      </w:r>
    </w:p>
    <w:p w:rsidR="009F6124" w:rsidRDefault="00D074E5">
      <w:pPr>
        <w:pStyle w:val="normal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functional prediction was performed with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Phylogenetic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Investigation of Communities by Reconstruction of Unobserved States (PICRUST) software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Langille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2013), in order to assess the metabolic pathways related to hydrocarbon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xenobiotic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degradation. </w:t>
      </w:r>
      <w:r w:rsidR="000274F5">
        <w:rPr>
          <w:rFonts w:ascii="Times New Roman" w:eastAsia="Times New Roman" w:hAnsi="Times New Roman" w:cs="Times New Roman"/>
          <w:sz w:val="24"/>
          <w:szCs w:val="24"/>
        </w:rPr>
        <w:t>We filter</w:t>
      </w:r>
      <w:r w:rsidR="003A570D">
        <w:rPr>
          <w:rFonts w:ascii="Times New Roman" w:eastAsia="Times New Roman" w:hAnsi="Times New Roman" w:cs="Times New Roman"/>
          <w:sz w:val="24"/>
          <w:szCs w:val="24"/>
        </w:rPr>
        <w:t>ed</w:t>
      </w:r>
      <w:r w:rsidR="000274F5">
        <w:rPr>
          <w:rFonts w:ascii="Times New Roman" w:eastAsia="Times New Roman" w:hAnsi="Times New Roman" w:cs="Times New Roman"/>
          <w:sz w:val="24"/>
          <w:szCs w:val="24"/>
        </w:rPr>
        <w:t xml:space="preserve"> the OTU table to keep just the OTUs that were assigned</w:t>
      </w:r>
      <w:r w:rsidR="00AE697A">
        <w:rPr>
          <w:rFonts w:ascii="Times New Roman" w:eastAsia="Times New Roman" w:hAnsi="Times New Roman" w:cs="Times New Roman"/>
          <w:sz w:val="24"/>
          <w:szCs w:val="24"/>
        </w:rPr>
        <w:t xml:space="preserve"> with a </w:t>
      </w:r>
      <w:proofErr w:type="spellStart"/>
      <w:r w:rsidR="00AE697A">
        <w:rPr>
          <w:rFonts w:ascii="Times New Roman" w:eastAsia="Times New Roman" w:hAnsi="Times New Roman" w:cs="Times New Roman"/>
          <w:sz w:val="24"/>
          <w:szCs w:val="24"/>
        </w:rPr>
        <w:t>GreenG</w:t>
      </w:r>
      <w:r w:rsidR="003A570D">
        <w:rPr>
          <w:rFonts w:ascii="Times New Roman" w:eastAsia="Times New Roman" w:hAnsi="Times New Roman" w:cs="Times New Roman"/>
          <w:sz w:val="24"/>
          <w:szCs w:val="24"/>
        </w:rPr>
        <w:t>enes</w:t>
      </w:r>
      <w:proofErr w:type="spellEnd"/>
      <w:r w:rsidR="003A570D">
        <w:rPr>
          <w:rFonts w:ascii="Times New Roman" w:eastAsia="Times New Roman" w:hAnsi="Times New Roman" w:cs="Times New Roman"/>
          <w:sz w:val="24"/>
          <w:szCs w:val="24"/>
        </w:rPr>
        <w:t xml:space="preserve"> OTU identifier</w:t>
      </w:r>
      <w:r w:rsidR="00027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70D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0274F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697A">
        <w:rPr>
          <w:rFonts w:ascii="Times New Roman" w:eastAsia="Times New Roman" w:hAnsi="Times New Roman" w:cs="Times New Roman"/>
          <w:sz w:val="24"/>
          <w:szCs w:val="24"/>
        </w:rPr>
        <w:t>references OTU</w:t>
      </w:r>
      <w:r w:rsidR="000274F5">
        <w:rPr>
          <w:rFonts w:ascii="Times New Roman" w:eastAsia="Times New Roman" w:hAnsi="Times New Roman" w:cs="Times New Roman"/>
          <w:sz w:val="24"/>
          <w:szCs w:val="24"/>
        </w:rPr>
        <w:t xml:space="preserve"> picking step from the open references picking QIIME pipeline. The resulting OTU table was normalized with the </w:t>
      </w:r>
      <w:r w:rsidR="000274F5">
        <w:rPr>
          <w:rFonts w:ascii="Times New Roman" w:eastAsia="Times New Roman" w:hAnsi="Times New Roman" w:cs="Times New Roman"/>
          <w:sz w:val="24"/>
          <w:szCs w:val="24"/>
        </w:rPr>
        <w:lastRenderedPageBreak/>
        <w:t>“</w:t>
      </w:r>
      <w:r w:rsidR="000274F5" w:rsidRPr="000274F5">
        <w:rPr>
          <w:rFonts w:ascii="Times New Roman" w:eastAsia="Times New Roman" w:hAnsi="Times New Roman" w:cs="Times New Roman"/>
          <w:sz w:val="24"/>
          <w:szCs w:val="24"/>
        </w:rPr>
        <w:t>normalize_by_copy_number.py</w:t>
      </w:r>
      <w:r w:rsidR="000274F5">
        <w:rPr>
          <w:rFonts w:ascii="Times New Roman" w:eastAsia="Times New Roman" w:hAnsi="Times New Roman" w:cs="Times New Roman"/>
          <w:sz w:val="24"/>
          <w:szCs w:val="24"/>
        </w:rPr>
        <w:t xml:space="preserve">” script, thus the </w:t>
      </w:r>
      <w:proofErr w:type="spellStart"/>
      <w:r w:rsidR="000274F5">
        <w:rPr>
          <w:rFonts w:ascii="Times New Roman" w:eastAsia="Times New Roman" w:hAnsi="Times New Roman" w:cs="Times New Roman"/>
          <w:sz w:val="24"/>
          <w:szCs w:val="24"/>
        </w:rPr>
        <w:t>metagenome</w:t>
      </w:r>
      <w:proofErr w:type="spellEnd"/>
      <w:r w:rsidR="000274F5">
        <w:rPr>
          <w:rFonts w:ascii="Times New Roman" w:eastAsia="Times New Roman" w:hAnsi="Times New Roman" w:cs="Times New Roman"/>
          <w:sz w:val="24"/>
          <w:szCs w:val="24"/>
        </w:rPr>
        <w:t xml:space="preserve"> prediction was performed with the “</w:t>
      </w:r>
      <w:r w:rsidR="000274F5" w:rsidRPr="000274F5">
        <w:rPr>
          <w:rFonts w:ascii="Times New Roman" w:eastAsia="Times New Roman" w:hAnsi="Times New Roman" w:cs="Times New Roman"/>
          <w:sz w:val="24"/>
          <w:szCs w:val="24"/>
        </w:rPr>
        <w:t>predict_metagenomes.py</w:t>
      </w:r>
      <w:r w:rsidR="000274F5">
        <w:rPr>
          <w:rFonts w:ascii="Times New Roman" w:eastAsia="Times New Roman" w:hAnsi="Times New Roman" w:cs="Times New Roman"/>
          <w:sz w:val="24"/>
          <w:szCs w:val="24"/>
        </w:rPr>
        <w:t>” script</w:t>
      </w:r>
      <w:r w:rsidR="006F0F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resulting predicted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metagenome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annotated with the Kyoto Encyclopedia Gene and Genomes (KEGG;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http://www.genome.jp/kegg/pathway/ko/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database, was </w:t>
      </w:r>
      <w:r w:rsidR="006F0FCC">
        <w:rPr>
          <w:rFonts w:ascii="Times New Roman" w:eastAsia="Times New Roman" w:hAnsi="Times New Roman" w:cs="Times New Roman"/>
          <w:sz w:val="24"/>
          <w:szCs w:val="24"/>
        </w:rPr>
        <w:t>collapsed</w:t>
      </w:r>
      <w:r w:rsidR="003A570D">
        <w:rPr>
          <w:rFonts w:ascii="Times New Roman" w:eastAsia="Times New Roman" w:hAnsi="Times New Roman" w:cs="Times New Roman"/>
          <w:sz w:val="24"/>
          <w:szCs w:val="24"/>
        </w:rPr>
        <w:t xml:space="preserve"> in three categories</w:t>
      </w:r>
      <w:r w:rsidR="006F0FCC">
        <w:rPr>
          <w:rFonts w:ascii="Times New Roman" w:eastAsia="Times New Roman" w:hAnsi="Times New Roman" w:cs="Times New Roman"/>
          <w:sz w:val="24"/>
          <w:szCs w:val="24"/>
        </w:rPr>
        <w:t xml:space="preserve"> by function with the “</w:t>
      </w:r>
      <w:r w:rsidR="006F0FCC" w:rsidRPr="006F0FCC">
        <w:rPr>
          <w:rFonts w:ascii="Times New Roman" w:eastAsia="Times New Roman" w:hAnsi="Times New Roman" w:cs="Times New Roman"/>
          <w:sz w:val="24"/>
          <w:szCs w:val="24"/>
        </w:rPr>
        <w:t>categorize_by_function.py</w:t>
      </w:r>
      <w:r w:rsidR="006F0FCC">
        <w:rPr>
          <w:rFonts w:ascii="Times New Roman" w:eastAsia="Times New Roman" w:hAnsi="Times New Roman" w:cs="Times New Roman"/>
          <w:sz w:val="24"/>
          <w:szCs w:val="24"/>
        </w:rPr>
        <w:t xml:space="preserve">” script. The collapsed </w:t>
      </w:r>
      <w:r>
        <w:rPr>
          <w:rFonts w:ascii="Times New Roman" w:eastAsia="Times New Roman" w:hAnsi="Times New Roman" w:cs="Times New Roman"/>
          <w:sz w:val="24"/>
          <w:szCs w:val="24"/>
        </w:rPr>
        <w:t>functions in the hierarchical classification of the KEGG database were</w:t>
      </w:r>
      <w:r w:rsidR="00CB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exported to the STAMP (Parks et al. 2014) software to analyze the metabolic differences in the shallow and deep-sea samples</w:t>
      </w:r>
      <w:r w:rsidR="004B3894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 w:rsidR="004B3894" w:rsidRPr="004B3894">
        <w:rPr>
          <w:rFonts w:ascii="Times New Roman" w:eastAsia="Times New Roman" w:hAnsi="Times New Roman" w:cs="Times New Roman"/>
          <w:sz w:val="24"/>
          <w:szCs w:val="24"/>
        </w:rPr>
        <w:t>Xenobiotics</w:t>
      </w:r>
      <w:proofErr w:type="spellEnd"/>
      <w:r w:rsidR="004B3894" w:rsidRPr="004B3894">
        <w:rPr>
          <w:rFonts w:ascii="Times New Roman" w:eastAsia="Times New Roman" w:hAnsi="Times New Roman" w:cs="Times New Roman"/>
          <w:sz w:val="24"/>
          <w:szCs w:val="24"/>
        </w:rPr>
        <w:t xml:space="preserve"> biodegradation and metabolism</w:t>
      </w:r>
      <w:r w:rsidR="004B3894">
        <w:rPr>
          <w:rFonts w:ascii="Times New Roman" w:eastAsia="Times New Roman" w:hAnsi="Times New Roman" w:cs="Times New Roman"/>
          <w:sz w:val="24"/>
          <w:szCs w:val="24"/>
        </w:rPr>
        <w:t xml:space="preserve"> pathway category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differences in the mean proportions between two groups was tested with a two-sided Welch’s t-test, with confidence intervals at 95%,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-values were corrected with the FDR method.</w:t>
      </w:r>
    </w:p>
    <w:p w:rsidR="009F6124" w:rsidRDefault="009F6124">
      <w:pPr>
        <w:pStyle w:val="normal0"/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</w:p>
    <w:sectPr w:rsidR="009F6124" w:rsidSect="009F612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9F6124"/>
    <w:rsid w:val="000274F5"/>
    <w:rsid w:val="003A570D"/>
    <w:rsid w:val="004B3894"/>
    <w:rsid w:val="00693589"/>
    <w:rsid w:val="006F0FCC"/>
    <w:rsid w:val="009F6124"/>
    <w:rsid w:val="00AE697A"/>
    <w:rsid w:val="00B8337C"/>
    <w:rsid w:val="00CB5453"/>
    <w:rsid w:val="00D0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7C"/>
  </w:style>
  <w:style w:type="paragraph" w:styleId="Ttulo1">
    <w:name w:val="heading 1"/>
    <w:basedOn w:val="normal0"/>
    <w:next w:val="normal0"/>
    <w:rsid w:val="009F61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F61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F61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F61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F612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F61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F6124"/>
  </w:style>
  <w:style w:type="table" w:customStyle="1" w:styleId="TableNormal">
    <w:name w:val="Table Normal"/>
    <w:rsid w:val="009F61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F612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F61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nome.jp/kegg/pathway/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7</cp:revision>
  <dcterms:created xsi:type="dcterms:W3CDTF">2018-05-14T18:17:00Z</dcterms:created>
  <dcterms:modified xsi:type="dcterms:W3CDTF">2018-05-14T20:35:00Z</dcterms:modified>
</cp:coreProperties>
</file>