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C8A5" w14:textId="76D7AFDD" w:rsidR="008D5A16" w:rsidRDefault="008D5A16" w:rsidP="00965866">
      <w:pPr>
        <w:spacing w:afterLines="50" w:after="163"/>
        <w:jc w:val="left"/>
        <w:rPr>
          <w:rFonts w:ascii="Times New Roman" w:hAnsi="Times New Roman"/>
          <w:color w:val="000000" w:themeColor="text1"/>
          <w:kern w:val="0"/>
          <w:lang w:val="en-GB"/>
        </w:rPr>
      </w:pPr>
      <w:r w:rsidRPr="008E4FC0">
        <w:rPr>
          <w:rFonts w:ascii="Times New Roman" w:hAnsi="Times New Roman"/>
          <w:b/>
          <w:color w:val="000000" w:themeColor="text1"/>
          <w:kern w:val="0"/>
          <w:lang w:val="en-GB"/>
        </w:rPr>
        <w:t>Table S</w:t>
      </w:r>
      <w:r>
        <w:rPr>
          <w:rFonts w:ascii="Times New Roman" w:hAnsi="Times New Roman"/>
          <w:b/>
          <w:color w:val="000000" w:themeColor="text1"/>
          <w:kern w:val="0"/>
          <w:lang w:val="en-GB"/>
        </w:rPr>
        <w:t>1</w:t>
      </w:r>
      <w:r w:rsidRPr="008E4FC0">
        <w:rPr>
          <w:rFonts w:ascii="Times New Roman" w:hAnsi="Times New Roman"/>
          <w:b/>
          <w:color w:val="000000" w:themeColor="text1"/>
          <w:kern w:val="0"/>
          <w:lang w:val="en-GB"/>
        </w:rPr>
        <w:t>.</w:t>
      </w:r>
      <w:r w:rsidRPr="008E4FC0">
        <w:rPr>
          <w:rFonts w:ascii="Times New Roman" w:hAnsi="Times New Roman"/>
          <w:color w:val="000000" w:themeColor="text1"/>
          <w:kern w:val="0"/>
          <w:lang w:val="en-GB"/>
        </w:rPr>
        <w:t xml:space="preserve"> Alpha diversity index (α-diversity index) for the bacterial community among different </w:t>
      </w:r>
      <w:r w:rsidR="009811EC">
        <w:rPr>
          <w:rFonts w:ascii="Times New Roman" w:hAnsi="Times New Roman"/>
          <w:color w:val="000000" w:themeColor="text1"/>
          <w:kern w:val="0"/>
          <w:lang w:val="en-GB"/>
        </w:rPr>
        <w:t>grid</w:t>
      </w:r>
      <w:r w:rsidRPr="008E4FC0">
        <w:rPr>
          <w:rFonts w:ascii="Times New Roman" w:hAnsi="Times New Roman"/>
          <w:color w:val="000000" w:themeColor="text1"/>
          <w:kern w:val="0"/>
          <w:lang w:val="en-GB"/>
        </w:rPr>
        <w:t>s.</w:t>
      </w:r>
    </w:p>
    <w:tbl>
      <w:tblPr>
        <w:tblpPr w:leftFromText="180" w:rightFromText="180" w:vertAnchor="text" w:horzAnchor="margin" w:tblpY="-52"/>
        <w:tblW w:w="4878" w:type="pct"/>
        <w:tblLayout w:type="fixed"/>
        <w:tblLook w:val="04A0" w:firstRow="1" w:lastRow="0" w:firstColumn="1" w:lastColumn="0" w:noHBand="0" w:noVBand="1"/>
      </w:tblPr>
      <w:tblGrid>
        <w:gridCol w:w="2106"/>
        <w:gridCol w:w="1414"/>
        <w:gridCol w:w="1414"/>
        <w:gridCol w:w="1414"/>
        <w:gridCol w:w="1414"/>
        <w:gridCol w:w="1419"/>
      </w:tblGrid>
      <w:tr w:rsidR="008D5A16" w:rsidRPr="00B5659E" w14:paraId="68E1138F" w14:textId="77777777" w:rsidTr="00DC6B60">
        <w:trPr>
          <w:trHeight w:val="314"/>
        </w:trPr>
        <w:tc>
          <w:tcPr>
            <w:tcW w:w="18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211A70" w14:textId="77777777" w:rsidR="008D5A16" w:rsidRPr="00B5659E" w:rsidRDefault="008D5A16" w:rsidP="00965866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α-Diversity</w:t>
            </w:r>
            <w:r w:rsidRPr="00B5659E"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 xml:space="preserve"> index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012E1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Sample plot groups</w:t>
            </w:r>
          </w:p>
        </w:tc>
      </w:tr>
      <w:tr w:rsidR="008D5A16" w:rsidRPr="00B5659E" w14:paraId="0A5CD5C7" w14:textId="77777777" w:rsidTr="00DC6B60">
        <w:trPr>
          <w:trHeight w:val="314"/>
        </w:trPr>
        <w:tc>
          <w:tcPr>
            <w:tcW w:w="1859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B83C47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D35C7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Y000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4DFCC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Y010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A5A0C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Y011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D3608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Y001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EA92D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Y101</w:t>
            </w:r>
          </w:p>
        </w:tc>
      </w:tr>
      <w:tr w:rsidR="008D5A16" w:rsidRPr="00B5659E" w14:paraId="737D74CA" w14:textId="77777777" w:rsidTr="00DC6B60">
        <w:trPr>
          <w:trHeight w:val="298"/>
        </w:trPr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81F023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OTUs</w:t>
            </w: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63512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5011±105a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EE2E2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4859±57a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2CECC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4948±92a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421A8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5005±265a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BF0B1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4756±117a</w:t>
            </w:r>
          </w:p>
        </w:tc>
      </w:tr>
      <w:tr w:rsidR="008D5A16" w:rsidRPr="00B5659E" w14:paraId="1A0B3C3A" w14:textId="77777777" w:rsidTr="00DC6B60">
        <w:trPr>
          <w:trHeight w:val="298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55F5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OTUs</w:t>
            </w: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C531F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4379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±82a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DB229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4246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±62a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8D04B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4312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±75a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C1C2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4350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±176a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51AA1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4109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±90a</w:t>
            </w:r>
          </w:p>
        </w:tc>
      </w:tr>
      <w:tr w:rsidR="008D5A16" w:rsidRPr="00B5659E" w14:paraId="63FE53AA" w14:textId="77777777" w:rsidTr="00DC6B60">
        <w:trPr>
          <w:trHeight w:val="31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123737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Coverage</w:t>
            </w: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DD1106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0.9847±0.003a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E2D711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0.9843±0.003a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617061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0.985±0.006a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2124D6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0.9857±0.027a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8EF94A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0.9847±0.003a</w:t>
            </w:r>
          </w:p>
        </w:tc>
      </w:tr>
      <w:tr w:rsidR="008D5A16" w:rsidRPr="00B5659E" w14:paraId="3F7DA5E5" w14:textId="77777777" w:rsidTr="00DC6B60">
        <w:trPr>
          <w:trHeight w:val="314"/>
        </w:trPr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DC7B0C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Shannon</w:t>
            </w: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69507A" w14:textId="77777777" w:rsidR="008D5A16" w:rsidRPr="00F4658B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F4658B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10.21</w:t>
            </w:r>
            <w:r w:rsidRPr="00F4658B">
              <w:rPr>
                <w:rFonts w:ascii="Times New Roman" w:hAnsi="Times New Roman"/>
                <w:sz w:val="22"/>
                <w:szCs w:val="22"/>
                <w:lang w:val="en-GB"/>
              </w:rPr>
              <w:t>±0.084a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413F58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9.98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±0.09a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2809CE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10.1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±0.004a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0D00F9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10.02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±0.088a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B21D5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9.95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±0.098a</w:t>
            </w:r>
          </w:p>
        </w:tc>
      </w:tr>
      <w:tr w:rsidR="008D5A16" w:rsidRPr="00B5659E" w14:paraId="1D0B0F12" w14:textId="77777777" w:rsidTr="00DC6B60">
        <w:trPr>
          <w:trHeight w:val="314"/>
        </w:trPr>
        <w:tc>
          <w:tcPr>
            <w:tcW w:w="1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220E6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  <w:t>Simpson</w:t>
            </w:r>
            <w:r w:rsidRPr="00B5659E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vertAlign w:val="superscript"/>
                <w:lang w:val="en-GB"/>
              </w:rPr>
              <w:t>5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5082C" w14:textId="77777777" w:rsidR="008D5A16" w:rsidRPr="00F4658B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F4658B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0.9973</w:t>
            </w:r>
            <w:r w:rsidRPr="00F4658B">
              <w:rPr>
                <w:rFonts w:ascii="Times New Roman" w:hAnsi="Times New Roman"/>
                <w:sz w:val="22"/>
                <w:szCs w:val="22"/>
                <w:lang w:val="en-GB"/>
              </w:rPr>
              <w:t>±0.0007a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75A0D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0.9967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±0.0003a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664EF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0.997a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1837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0.9967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±0.0003a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CC554" w14:textId="77777777" w:rsidR="008D5A16" w:rsidRPr="00B5659E" w:rsidRDefault="008D5A16" w:rsidP="0096586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B5659E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0.9963</w:t>
            </w:r>
            <w:r w:rsidRPr="00B5659E">
              <w:rPr>
                <w:rFonts w:ascii="Times New Roman" w:hAnsi="Times New Roman"/>
                <w:sz w:val="22"/>
                <w:szCs w:val="22"/>
                <w:lang w:val="en-GB"/>
              </w:rPr>
              <w:t>±0.0003a</w:t>
            </w:r>
          </w:p>
        </w:tc>
      </w:tr>
    </w:tbl>
    <w:p w14:paraId="7FFA3FDE" w14:textId="4C4DDA10" w:rsidR="00963BCF" w:rsidRDefault="008D5A16" w:rsidP="00965866">
      <w:pPr>
        <w:jc w:val="left"/>
      </w:pP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Values are the mean ± standard deviation (N=3). Values within the same row followed by the same letter are not significantly different at </w:t>
      </w:r>
      <w:r w:rsidRPr="00F121ED">
        <w:rPr>
          <w:rFonts w:ascii="Times New Roman" w:hAnsi="Times New Roman"/>
          <w:i/>
          <w:color w:val="000000" w:themeColor="text1"/>
          <w:kern w:val="0"/>
          <w:sz w:val="22"/>
          <w:szCs w:val="22"/>
          <w:lang w:val="en-GB"/>
        </w:rPr>
        <w:t>P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>&gt;0.05 (</w:t>
      </w:r>
      <w:r w:rsidRPr="00B5659E">
        <w:rPr>
          <w:rFonts w:ascii="Times New Roman" w:hAnsi="Times New Roman"/>
          <w:color w:val="000000"/>
          <w:sz w:val="22"/>
          <w:szCs w:val="22"/>
          <w:lang w:val="en-GB"/>
        </w:rPr>
        <w:t xml:space="preserve">ANOVA, 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>Tukey’s analysis).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  <w:lang w:val="en-GB"/>
        </w:rPr>
        <w:t xml:space="preserve"> 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vertAlign w:val="superscript"/>
          <w:lang w:val="en-GB"/>
        </w:rPr>
        <w:t>1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 OTUs: number of operational taxonomic units (97% similarity) before normalization.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  <w:lang w:val="en-GB"/>
        </w:rPr>
        <w:t xml:space="preserve"> 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vertAlign w:val="superscript"/>
          <w:lang w:val="en-GB"/>
        </w:rPr>
        <w:t>2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 OTUs: number of operational taxonomic units (97% similarity) after normalization.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  <w:lang w:val="en-GB"/>
        </w:rPr>
        <w:t xml:space="preserve"> 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vertAlign w:val="superscript"/>
          <w:lang w:val="en-GB"/>
        </w:rPr>
        <w:t>3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 Coverage: Good’s coverage estimator.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  <w:lang w:val="en-GB"/>
        </w:rPr>
        <w:t xml:space="preserve"> 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vertAlign w:val="superscript"/>
          <w:lang w:val="en-GB"/>
        </w:rPr>
        <w:t>4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 Shannon: Shannon index.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  <w:lang w:val="en-GB"/>
        </w:rPr>
        <w:t xml:space="preserve"> 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vertAlign w:val="superscript"/>
          <w:lang w:val="en-GB"/>
        </w:rPr>
        <w:t>5</w:t>
      </w:r>
      <w:r w:rsidRPr="00B5659E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 Simpson: Simpson index.</w:t>
      </w:r>
      <w:bookmarkStart w:id="0" w:name="_GoBack"/>
      <w:bookmarkEnd w:id="0"/>
    </w:p>
    <w:sectPr w:rsidR="00963BCF" w:rsidSect="0041027D">
      <w:pgSz w:w="12247" w:h="15876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4B46D" w14:textId="77777777" w:rsidR="00AF179B" w:rsidRDefault="00AF179B" w:rsidP="008D5A16">
      <w:r>
        <w:separator/>
      </w:r>
    </w:p>
  </w:endnote>
  <w:endnote w:type="continuationSeparator" w:id="0">
    <w:p w14:paraId="7EE05DA9" w14:textId="77777777" w:rsidR="00AF179B" w:rsidRDefault="00AF179B" w:rsidP="008D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41BE" w14:textId="77777777" w:rsidR="00AF179B" w:rsidRDefault="00AF179B" w:rsidP="008D5A16">
      <w:r>
        <w:separator/>
      </w:r>
    </w:p>
  </w:footnote>
  <w:footnote w:type="continuationSeparator" w:id="0">
    <w:p w14:paraId="35A5D7B5" w14:textId="77777777" w:rsidR="00AF179B" w:rsidRDefault="00AF179B" w:rsidP="008D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FB"/>
    <w:rsid w:val="001C09F6"/>
    <w:rsid w:val="0021514F"/>
    <w:rsid w:val="0041027D"/>
    <w:rsid w:val="007015FB"/>
    <w:rsid w:val="008D5A16"/>
    <w:rsid w:val="00963BCF"/>
    <w:rsid w:val="00965866"/>
    <w:rsid w:val="009811EC"/>
    <w:rsid w:val="0098201D"/>
    <w:rsid w:val="00AF179B"/>
    <w:rsid w:val="00F121ED"/>
    <w:rsid w:val="00F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81D82"/>
  <w15:chartTrackingRefBased/>
  <w15:docId w15:val="{85E827B7-3D1D-4849-805D-A2AA22E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A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A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龚赛</dc:creator>
  <cp:keywords/>
  <dc:description/>
  <cp:lastModifiedBy>龚 赛</cp:lastModifiedBy>
  <cp:revision>6</cp:revision>
  <dcterms:created xsi:type="dcterms:W3CDTF">2018-04-21T12:47:00Z</dcterms:created>
  <dcterms:modified xsi:type="dcterms:W3CDTF">2018-08-29T15:01:00Z</dcterms:modified>
</cp:coreProperties>
</file>