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B03" w:rsidRDefault="003E3D58">
      <w:p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Supplementary material S1 (expanded methods and additional figures)</w:t>
      </w:r>
    </w:p>
    <w:p w:rsidR="00C01B03" w:rsidRDefault="003E3D5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color w:val="424242"/>
          <w:sz w:val="20"/>
          <w:szCs w:val="20"/>
          <w:highlight w:val="white"/>
        </w:rPr>
        <w:t>Searches were conducted on the ISI Web of Science (3rd March 2016) using the following criteria:</w:t>
      </w:r>
      <w:r>
        <w:rPr>
          <w:rFonts w:ascii="Arial" w:eastAsia="Arial" w:hAnsi="Arial" w:cs="Arial"/>
          <w:color w:val="424242"/>
          <w:sz w:val="20"/>
          <w:szCs w:val="20"/>
        </w:rPr>
        <w:t xml:space="preserve"> Topic =</w:t>
      </w:r>
      <w:r>
        <w:rPr>
          <w:rFonts w:ascii="Arial" w:eastAsia="Arial" w:hAnsi="Arial" w:cs="Arial"/>
          <w:color w:val="333333"/>
          <w:sz w:val="20"/>
          <w:szCs w:val="20"/>
          <w:highlight w:val="white"/>
        </w:rPr>
        <w:t xml:space="preserve"> alien OR invasive OR non-native OR exotic OR non-indigenous OR feral AND</w:t>
      </w:r>
      <w:r>
        <w:rPr>
          <w:rFonts w:ascii="Arial" w:eastAsia="Arial" w:hAnsi="Arial" w:cs="Arial"/>
          <w:color w:val="333333"/>
          <w:sz w:val="20"/>
          <w:szCs w:val="20"/>
        </w:rPr>
        <w:t xml:space="preserve"> </w:t>
      </w:r>
      <w:r>
        <w:rPr>
          <w:rFonts w:ascii="Arial" w:eastAsia="Arial" w:hAnsi="Arial" w:cs="Arial"/>
          <w:color w:val="424242"/>
          <w:sz w:val="20"/>
          <w:szCs w:val="20"/>
        </w:rPr>
        <w:t xml:space="preserve">Topic= </w:t>
      </w:r>
      <w:proofErr w:type="spellStart"/>
      <w:r>
        <w:rPr>
          <w:rFonts w:ascii="Arial" w:eastAsia="Arial" w:hAnsi="Arial" w:cs="Arial"/>
          <w:color w:val="333333"/>
          <w:sz w:val="20"/>
          <w:szCs w:val="20"/>
        </w:rPr>
        <w:t>reptil</w:t>
      </w:r>
      <w:proofErr w:type="spellEnd"/>
      <w:r>
        <w:rPr>
          <w:rFonts w:ascii="Arial" w:eastAsia="Arial" w:hAnsi="Arial" w:cs="Arial"/>
          <w:color w:val="333333"/>
          <w:sz w:val="20"/>
          <w:szCs w:val="20"/>
        </w:rPr>
        <w:t xml:space="preserve">* OR </w:t>
      </w:r>
      <w:proofErr w:type="spellStart"/>
      <w:r>
        <w:rPr>
          <w:rFonts w:ascii="Arial" w:eastAsia="Arial" w:hAnsi="Arial" w:cs="Arial"/>
          <w:color w:val="333333"/>
          <w:sz w:val="20"/>
          <w:szCs w:val="20"/>
        </w:rPr>
        <w:t>amphibia</w:t>
      </w:r>
      <w:proofErr w:type="spellEnd"/>
      <w:r>
        <w:rPr>
          <w:rFonts w:ascii="Arial" w:eastAsia="Arial" w:hAnsi="Arial" w:cs="Arial"/>
          <w:color w:val="333333"/>
          <w:sz w:val="20"/>
          <w:szCs w:val="20"/>
        </w:rPr>
        <w:t xml:space="preserve">* OR turtle* OR tortoise* OR lizard* OR </w:t>
      </w:r>
      <w:proofErr w:type="spellStart"/>
      <w:r>
        <w:rPr>
          <w:rFonts w:ascii="Arial" w:eastAsia="Arial" w:hAnsi="Arial" w:cs="Arial"/>
          <w:color w:val="333333"/>
          <w:sz w:val="20"/>
          <w:szCs w:val="20"/>
        </w:rPr>
        <w:t>herpetofauna</w:t>
      </w:r>
      <w:proofErr w:type="spellEnd"/>
      <w:r>
        <w:rPr>
          <w:rFonts w:ascii="Arial" w:eastAsia="Arial" w:hAnsi="Arial" w:cs="Arial"/>
          <w:color w:val="333333"/>
          <w:sz w:val="20"/>
          <w:szCs w:val="20"/>
        </w:rPr>
        <w:t xml:space="preserve"> OR </w:t>
      </w:r>
      <w:proofErr w:type="spellStart"/>
      <w:r>
        <w:rPr>
          <w:rFonts w:ascii="Arial" w:eastAsia="Arial" w:hAnsi="Arial" w:cs="Arial"/>
          <w:color w:val="333333"/>
          <w:sz w:val="20"/>
          <w:szCs w:val="20"/>
        </w:rPr>
        <w:t>crocod</w:t>
      </w:r>
      <w:proofErr w:type="spellEnd"/>
      <w:r>
        <w:rPr>
          <w:rFonts w:ascii="Arial" w:eastAsia="Arial" w:hAnsi="Arial" w:cs="Arial"/>
          <w:color w:val="333333"/>
          <w:sz w:val="20"/>
          <w:szCs w:val="20"/>
        </w:rPr>
        <w:t xml:space="preserve">* OR </w:t>
      </w:r>
      <w:proofErr w:type="spellStart"/>
      <w:r>
        <w:rPr>
          <w:rFonts w:ascii="Arial" w:eastAsia="Arial" w:hAnsi="Arial" w:cs="Arial"/>
          <w:color w:val="333333"/>
          <w:sz w:val="20"/>
          <w:szCs w:val="20"/>
        </w:rPr>
        <w:t>anura</w:t>
      </w:r>
      <w:proofErr w:type="spellEnd"/>
      <w:r>
        <w:rPr>
          <w:rFonts w:ascii="Arial" w:eastAsia="Arial" w:hAnsi="Arial" w:cs="Arial"/>
          <w:color w:val="333333"/>
          <w:sz w:val="20"/>
          <w:szCs w:val="20"/>
        </w:rPr>
        <w:t xml:space="preserve"> OR </w:t>
      </w:r>
      <w:proofErr w:type="spellStart"/>
      <w:r>
        <w:rPr>
          <w:rFonts w:ascii="Arial" w:eastAsia="Arial" w:hAnsi="Arial" w:cs="Arial"/>
          <w:color w:val="333333"/>
          <w:sz w:val="20"/>
          <w:szCs w:val="20"/>
        </w:rPr>
        <w:t>caudata</w:t>
      </w:r>
      <w:proofErr w:type="spellEnd"/>
      <w:r>
        <w:rPr>
          <w:rFonts w:ascii="Arial" w:eastAsia="Arial" w:hAnsi="Arial" w:cs="Arial"/>
          <w:color w:val="333333"/>
          <w:sz w:val="20"/>
          <w:szCs w:val="20"/>
        </w:rPr>
        <w:t xml:space="preserve"> OR </w:t>
      </w:r>
      <w:proofErr w:type="spellStart"/>
      <w:r>
        <w:rPr>
          <w:rFonts w:ascii="Arial" w:eastAsia="Arial" w:hAnsi="Arial" w:cs="Arial"/>
          <w:color w:val="333333"/>
          <w:sz w:val="20"/>
          <w:szCs w:val="20"/>
        </w:rPr>
        <w:t>testudin</w:t>
      </w:r>
      <w:proofErr w:type="spellEnd"/>
      <w:r>
        <w:rPr>
          <w:rFonts w:ascii="Arial" w:eastAsia="Arial" w:hAnsi="Arial" w:cs="Arial"/>
          <w:color w:val="333333"/>
          <w:sz w:val="20"/>
          <w:szCs w:val="20"/>
        </w:rPr>
        <w:t xml:space="preserve">* OR </w:t>
      </w:r>
      <w:proofErr w:type="spellStart"/>
      <w:r>
        <w:rPr>
          <w:rFonts w:ascii="Arial" w:eastAsia="Arial" w:hAnsi="Arial" w:cs="Arial"/>
          <w:color w:val="333333"/>
          <w:sz w:val="20"/>
          <w:szCs w:val="20"/>
        </w:rPr>
        <w:t>ophidia</w:t>
      </w:r>
      <w:proofErr w:type="spellEnd"/>
      <w:r>
        <w:rPr>
          <w:rFonts w:ascii="Arial" w:eastAsia="Arial" w:hAnsi="Arial" w:cs="Arial"/>
          <w:color w:val="333333"/>
          <w:sz w:val="20"/>
          <w:szCs w:val="20"/>
        </w:rPr>
        <w:t xml:space="preserve"> OR </w:t>
      </w:r>
      <w:proofErr w:type="spellStart"/>
      <w:r>
        <w:rPr>
          <w:rFonts w:ascii="Arial" w:eastAsia="Arial" w:hAnsi="Arial" w:cs="Arial"/>
          <w:color w:val="333333"/>
          <w:sz w:val="20"/>
          <w:szCs w:val="20"/>
        </w:rPr>
        <w:t>sauria</w:t>
      </w:r>
      <w:proofErr w:type="spellEnd"/>
      <w:r>
        <w:rPr>
          <w:rFonts w:ascii="Arial" w:eastAsia="Arial" w:hAnsi="Arial" w:cs="Arial"/>
          <w:color w:val="333333"/>
          <w:sz w:val="20"/>
          <w:szCs w:val="20"/>
        </w:rPr>
        <w:t xml:space="preserve"> OR </w:t>
      </w:r>
      <w:proofErr w:type="spellStart"/>
      <w:r>
        <w:rPr>
          <w:rFonts w:ascii="Arial" w:eastAsia="Arial" w:hAnsi="Arial" w:cs="Arial"/>
          <w:color w:val="333333"/>
          <w:sz w:val="20"/>
          <w:szCs w:val="20"/>
        </w:rPr>
        <w:t>squamata</w:t>
      </w:r>
      <w:proofErr w:type="spellEnd"/>
      <w:r>
        <w:rPr>
          <w:rFonts w:ascii="Arial" w:eastAsia="Arial" w:hAnsi="Arial" w:cs="Arial"/>
          <w:color w:val="333333"/>
          <w:sz w:val="20"/>
          <w:szCs w:val="20"/>
        </w:rPr>
        <w:t xml:space="preserve"> OR snake* OR frog* OR toad* OR </w:t>
      </w:r>
      <w:proofErr w:type="spellStart"/>
      <w:r>
        <w:rPr>
          <w:rFonts w:ascii="Arial" w:eastAsia="Arial" w:hAnsi="Arial" w:cs="Arial"/>
          <w:color w:val="333333"/>
          <w:sz w:val="20"/>
          <w:szCs w:val="20"/>
        </w:rPr>
        <w:t>salamand</w:t>
      </w:r>
      <w:proofErr w:type="spellEnd"/>
      <w:r>
        <w:rPr>
          <w:rFonts w:ascii="Arial" w:eastAsia="Arial" w:hAnsi="Arial" w:cs="Arial"/>
          <w:color w:val="333333"/>
          <w:sz w:val="20"/>
          <w:szCs w:val="20"/>
        </w:rPr>
        <w:t>*</w:t>
      </w:r>
      <w:r w:rsidR="00944234">
        <w:rPr>
          <w:rFonts w:ascii="Arial" w:eastAsia="Arial" w:hAnsi="Arial" w:cs="Arial"/>
          <w:color w:val="333333"/>
          <w:sz w:val="20"/>
          <w:szCs w:val="20"/>
        </w:rPr>
        <w:t xml:space="preserve"> OR newt*</w:t>
      </w:r>
      <w:r>
        <w:rPr>
          <w:rFonts w:ascii="Arial" w:eastAsia="Arial" w:hAnsi="Arial" w:cs="Arial"/>
          <w:color w:val="424242"/>
          <w:sz w:val="20"/>
          <w:szCs w:val="20"/>
        </w:rPr>
        <w:t xml:space="preserve">. </w:t>
      </w:r>
      <w:r>
        <w:rPr>
          <w:rFonts w:ascii="Arial" w:eastAsia="Arial" w:hAnsi="Arial" w:cs="Arial"/>
          <w:color w:val="424242"/>
          <w:sz w:val="20"/>
          <w:szCs w:val="20"/>
          <w:highlight w:val="white"/>
        </w:rPr>
        <w:t xml:space="preserve">This search resulted in </w:t>
      </w:r>
      <w:r>
        <w:rPr>
          <w:rFonts w:ascii="Arial" w:eastAsia="Arial" w:hAnsi="Arial" w:cs="Arial"/>
          <w:color w:val="424242"/>
          <w:sz w:val="20"/>
          <w:szCs w:val="20"/>
        </w:rPr>
        <w:t xml:space="preserve">3135 </w:t>
      </w:r>
      <w:r>
        <w:rPr>
          <w:rFonts w:ascii="Arial" w:eastAsia="Arial" w:hAnsi="Arial" w:cs="Arial"/>
          <w:color w:val="424242"/>
          <w:sz w:val="20"/>
          <w:szCs w:val="20"/>
          <w:highlight w:val="white"/>
        </w:rPr>
        <w:t>papers. Many of these papers were no</w:t>
      </w:r>
      <w:r>
        <w:rPr>
          <w:rFonts w:ascii="Arial" w:eastAsia="Arial" w:hAnsi="Arial" w:cs="Arial"/>
          <w:color w:val="424242"/>
          <w:sz w:val="20"/>
          <w:szCs w:val="20"/>
          <w:highlight w:val="white"/>
        </w:rPr>
        <w:t xml:space="preserve">t relevant to the current study and the results were further refined by excluding papers from the following disciplines (research areas): </w:t>
      </w:r>
      <w:proofErr w:type="spellStart"/>
      <w:r w:rsidR="00944234" w:rsidRPr="00944234">
        <w:rPr>
          <w:rFonts w:ascii="Arial" w:eastAsia="Arial" w:hAnsi="Arial" w:cs="Arial"/>
          <w:color w:val="424242"/>
          <w:sz w:val="20"/>
          <w:szCs w:val="20"/>
        </w:rPr>
        <w:t>Anesthesiology</w:t>
      </w:r>
      <w:proofErr w:type="spellEnd"/>
      <w:r w:rsidR="00944234" w:rsidRPr="00944234">
        <w:rPr>
          <w:rFonts w:ascii="Arial" w:eastAsia="Arial" w:hAnsi="Arial" w:cs="Arial"/>
          <w:color w:val="424242"/>
          <w:sz w:val="20"/>
          <w:szCs w:val="20"/>
        </w:rPr>
        <w:t xml:space="preserve"> ; Archaeology ; Arts Humanities Other Topics ; Audiology Speech Language Pathology; Automation Control Systems ; Biophysics ; Biotechnology Applied Microbiology ; Business Economics ; Cardiovascular System Cardiology ; Cell Biology ; Chemistry ; Computer Science ; Dentistry Oral Surgery Medicine ; Dermatology ; Emergency Medicine ; Engineering ; Entomology ; Fisheries ; Food Science Technology ; Gastroenterology </w:t>
      </w:r>
      <w:proofErr w:type="spellStart"/>
      <w:r w:rsidR="00944234" w:rsidRPr="00944234">
        <w:rPr>
          <w:rFonts w:ascii="Arial" w:eastAsia="Arial" w:hAnsi="Arial" w:cs="Arial"/>
          <w:color w:val="424242"/>
          <w:sz w:val="20"/>
          <w:szCs w:val="20"/>
        </w:rPr>
        <w:t>Hepatology</w:t>
      </w:r>
      <w:proofErr w:type="spellEnd"/>
      <w:r w:rsidR="00944234" w:rsidRPr="00944234">
        <w:rPr>
          <w:rFonts w:ascii="Arial" w:eastAsia="Arial" w:hAnsi="Arial" w:cs="Arial"/>
          <w:color w:val="424242"/>
          <w:sz w:val="20"/>
          <w:szCs w:val="20"/>
        </w:rPr>
        <w:t xml:space="preserve"> ; General Internal Medicine ; Geology ; Geriatrics Gerontology ; Health Care Sciences Services ; Immunology ; Information Science Library Science ; Medical Informatics ; Medical Laboratory Technology ; Meteorology Atmospheric Sciences ; Neurosciences Neurology ; Nutrition Dietetics ; Obstetrics </w:t>
      </w:r>
      <w:proofErr w:type="spellStart"/>
      <w:r w:rsidR="00944234" w:rsidRPr="00944234">
        <w:rPr>
          <w:rFonts w:ascii="Arial" w:eastAsia="Arial" w:hAnsi="Arial" w:cs="Arial"/>
          <w:color w:val="424242"/>
          <w:sz w:val="20"/>
          <w:szCs w:val="20"/>
        </w:rPr>
        <w:t>Gynecology</w:t>
      </w:r>
      <w:proofErr w:type="spellEnd"/>
      <w:r w:rsidR="00944234" w:rsidRPr="00944234">
        <w:rPr>
          <w:rFonts w:ascii="Arial" w:eastAsia="Arial" w:hAnsi="Arial" w:cs="Arial"/>
          <w:color w:val="424242"/>
          <w:sz w:val="20"/>
          <w:szCs w:val="20"/>
        </w:rPr>
        <w:t xml:space="preserve"> ; Oncology ; Ophthalmology ; Optics ; </w:t>
      </w:r>
      <w:proofErr w:type="spellStart"/>
      <w:r w:rsidR="00944234" w:rsidRPr="00944234">
        <w:rPr>
          <w:rFonts w:ascii="Arial" w:eastAsia="Arial" w:hAnsi="Arial" w:cs="Arial"/>
          <w:color w:val="424242"/>
          <w:sz w:val="20"/>
          <w:szCs w:val="20"/>
        </w:rPr>
        <w:t>Orthopedics</w:t>
      </w:r>
      <w:proofErr w:type="spellEnd"/>
      <w:r w:rsidR="00944234" w:rsidRPr="00944234">
        <w:rPr>
          <w:rFonts w:ascii="Arial" w:eastAsia="Arial" w:hAnsi="Arial" w:cs="Arial"/>
          <w:color w:val="424242"/>
          <w:sz w:val="20"/>
          <w:szCs w:val="20"/>
        </w:rPr>
        <w:t xml:space="preserve"> ;</w:t>
      </w:r>
      <w:proofErr w:type="spellStart"/>
      <w:r w:rsidR="00944234" w:rsidRPr="00944234">
        <w:rPr>
          <w:rFonts w:ascii="Arial" w:eastAsia="Arial" w:hAnsi="Arial" w:cs="Arial"/>
          <w:color w:val="424242"/>
          <w:sz w:val="20"/>
          <w:szCs w:val="20"/>
        </w:rPr>
        <w:t>Pediatrics</w:t>
      </w:r>
      <w:proofErr w:type="spellEnd"/>
      <w:r w:rsidR="00944234" w:rsidRPr="00944234">
        <w:rPr>
          <w:rFonts w:ascii="Arial" w:eastAsia="Arial" w:hAnsi="Arial" w:cs="Arial"/>
          <w:color w:val="424242"/>
          <w:sz w:val="20"/>
          <w:szCs w:val="20"/>
        </w:rPr>
        <w:t xml:space="preserve"> ; Pharmacology Pharmacy ; Physics ; Plant Sciences ; Psychology ; Public Environmental Occupational Health ; Radiology Nuclear Medicine Medical Imaging ; Research Experimental Medicine ; Robotics ; Sport Sciences ; Surgery ; Telecommunications ; Transplantation ; Urology Nephrology</w:t>
      </w:r>
      <w:bookmarkStart w:id="0" w:name="_GoBack"/>
      <w:bookmarkEnd w:id="0"/>
    </w:p>
    <w:p w:rsidR="00C01B03" w:rsidRDefault="00C01B03">
      <w:pPr>
        <w:spacing w:after="240" w:line="480" w:lineRule="auto"/>
        <w:jc w:val="both"/>
      </w:pPr>
    </w:p>
    <w:p w:rsidR="00C01B03" w:rsidRDefault="003E3D5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noProof/>
          <w:color w:val="000000"/>
          <w:sz w:val="24"/>
          <w:szCs w:val="24"/>
        </w:rPr>
        <w:lastRenderedPageBreak/>
        <w:drawing>
          <wp:inline distT="0" distB="0" distL="0" distR="0">
            <wp:extent cx="5731510" cy="57461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731510" cy="5746115"/>
                    </a:xfrm>
                    <a:prstGeom prst="rect">
                      <a:avLst/>
                    </a:prstGeom>
                    <a:ln/>
                  </pic:spPr>
                </pic:pic>
              </a:graphicData>
            </a:graphic>
          </wp:inline>
        </w:drawing>
      </w:r>
    </w:p>
    <w:p w:rsidR="00C01B03" w:rsidRDefault="003E3D5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b/>
          <w:color w:val="333333"/>
          <w:sz w:val="20"/>
          <w:szCs w:val="20"/>
        </w:rPr>
        <w:t>Supplementary Fig. S1.</w:t>
      </w:r>
      <w:r>
        <w:rPr>
          <w:rFonts w:ascii="Arial" w:eastAsia="Arial" w:hAnsi="Arial" w:cs="Arial"/>
          <w:color w:val="333333"/>
          <w:sz w:val="20"/>
          <w:szCs w:val="20"/>
        </w:rPr>
        <w:t xml:space="preserve"> Cumulative trend in studies of non-native amphibians and reptiles for all taxa indicates the initial lag in studies up to the start of the 21th century. Data for each of the component groups demonstrates the different trends in invasive reptile and amphib</w:t>
      </w:r>
      <w:r>
        <w:rPr>
          <w:rFonts w:ascii="Arial" w:eastAsia="Arial" w:hAnsi="Arial" w:cs="Arial"/>
          <w:color w:val="333333"/>
          <w:sz w:val="20"/>
          <w:szCs w:val="20"/>
        </w:rPr>
        <w:t xml:space="preserve">ian studies. </w:t>
      </w:r>
    </w:p>
    <w:p w:rsidR="00C01B03" w:rsidRDefault="003E3D58">
      <w:pPr>
        <w:spacing w:line="480" w:lineRule="auto"/>
        <w:jc w:val="both"/>
        <w:rPr>
          <w:rFonts w:ascii="Arial" w:eastAsia="Arial" w:hAnsi="Arial" w:cs="Arial"/>
          <w:color w:val="000000"/>
        </w:rPr>
      </w:pPr>
      <w:r>
        <w:br w:type="page"/>
      </w:r>
    </w:p>
    <w:p w:rsidR="00C01B03" w:rsidRDefault="003E3D5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Arial" w:eastAsia="Arial" w:hAnsi="Arial" w:cs="Arial"/>
          <w:color w:val="000000"/>
        </w:rPr>
        <w:lastRenderedPageBreak/>
        <w:t>Supplementary Material S2</w:t>
      </w:r>
    </w:p>
    <w:p w:rsidR="00C01B03" w:rsidRDefault="003E3D58">
      <w:pPr>
        <w:spacing w:after="240" w:line="480" w:lineRule="auto"/>
        <w:jc w:val="both"/>
      </w:pPr>
      <w:r>
        <w:t>Details of the 8</w:t>
      </w:r>
      <w:r w:rsidR="00F94F64">
        <w:t>36</w:t>
      </w:r>
      <w:r>
        <w:t xml:space="preserve"> papers included in the systematic review and the species recorded within each of these papers, as well as the geographic scope (at country level) of the papers are available as a supplementary Ex</w:t>
      </w:r>
      <w:r>
        <w:t>cel spreadsheet.</w:t>
      </w:r>
    </w:p>
    <w:p w:rsidR="00C01B03" w:rsidRDefault="00C01B03"/>
    <w:sectPr w:rsidR="00C01B0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01B03"/>
    <w:rsid w:val="003E3D58"/>
    <w:rsid w:val="00944234"/>
    <w:rsid w:val="00C01B03"/>
    <w:rsid w:val="00F94F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DF9BC-A5C2-4EBC-8B32-93AA9BC6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Bredenkamp</cp:lastModifiedBy>
  <cp:revision>2</cp:revision>
  <dcterms:created xsi:type="dcterms:W3CDTF">2018-09-17T12:37:00Z</dcterms:created>
  <dcterms:modified xsi:type="dcterms:W3CDTF">2018-09-17T18:47:00Z</dcterms:modified>
</cp:coreProperties>
</file>