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5B9" w:rsidRPr="005D05B9" w:rsidRDefault="005D05B9" w:rsidP="005D05B9">
      <w:pPr>
        <w:pStyle w:val="ab"/>
        <w:keepNext/>
        <w:rPr>
          <w:rFonts w:ascii="Times New Roman" w:hAnsi="Times New Roman" w:cs="Times New Roman"/>
          <w:b w:val="0"/>
          <w:sz w:val="24"/>
          <w:szCs w:val="24"/>
        </w:rPr>
      </w:pPr>
      <w:r w:rsidRPr="005D05B9">
        <w:rPr>
          <w:rFonts w:ascii="Times New Roman" w:hAnsi="Times New Roman" w:cs="Times New Roman"/>
          <w:b w:val="0"/>
          <w:sz w:val="24"/>
          <w:szCs w:val="24"/>
        </w:rPr>
        <w:t>Supplementary Information</w:t>
      </w:r>
    </w:p>
    <w:p w:rsidR="005D05B9" w:rsidRPr="005D05B9" w:rsidRDefault="005D05B9" w:rsidP="005D05B9">
      <w:pPr>
        <w:pStyle w:val="ab"/>
        <w:keepNext/>
        <w:rPr>
          <w:rFonts w:ascii="Times New Roman" w:hAnsi="Times New Roman" w:cs="Times New Roman"/>
          <w:b w:val="0"/>
          <w:sz w:val="24"/>
          <w:szCs w:val="24"/>
        </w:rPr>
      </w:pPr>
      <w:r w:rsidRPr="005D05B9">
        <w:rPr>
          <w:rFonts w:ascii="Times New Roman" w:hAnsi="Times New Roman" w:cs="Times New Roman"/>
          <w:b w:val="0"/>
          <w:sz w:val="24"/>
          <w:szCs w:val="24"/>
        </w:rPr>
        <w:t>Supplementary Table S</w:t>
      </w:r>
      <w:r w:rsidRPr="005D05B9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5D05B9">
        <w:rPr>
          <w:rFonts w:ascii="Times New Roman" w:hAnsi="Times New Roman" w:cs="Times New Roman"/>
          <w:b w:val="0"/>
          <w:sz w:val="24"/>
          <w:szCs w:val="24"/>
        </w:rPr>
        <w:instrText xml:space="preserve"> SEQ Supplementary_Table_S \* ARABIC </w:instrText>
      </w:r>
      <w:r w:rsidRPr="005D05B9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1</w:t>
      </w:r>
      <w:r w:rsidRPr="005D05B9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5D05B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F1592" w:rsidRPr="005D05B9">
        <w:rPr>
          <w:rFonts w:ascii="Times New Roman" w:hAnsi="Times New Roman" w:cs="Times New Roman"/>
          <w:b w:val="0"/>
          <w:sz w:val="24"/>
          <w:szCs w:val="24"/>
        </w:rPr>
        <w:t>description</w:t>
      </w:r>
      <w:r w:rsidRPr="005D05B9">
        <w:rPr>
          <w:rFonts w:ascii="Times New Roman" w:hAnsi="Times New Roman" w:cs="Times New Roman"/>
          <w:b w:val="0"/>
          <w:sz w:val="24"/>
          <w:szCs w:val="24"/>
        </w:rPr>
        <w:t xml:space="preserve"> of radiomics features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3608"/>
        <w:gridCol w:w="78"/>
        <w:gridCol w:w="1507"/>
      </w:tblGrid>
      <w:tr w:rsidR="005D05B9" w:rsidRPr="005D05B9" w:rsidTr="00D2166D">
        <w:trPr>
          <w:trHeight w:val="562"/>
        </w:trPr>
        <w:tc>
          <w:tcPr>
            <w:tcW w:w="626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05B9">
              <w:rPr>
                <w:rFonts w:ascii="Times New Roman" w:hAnsi="Times New Roman" w:cs="Times New Roman"/>
                <w:b/>
                <w:szCs w:val="20"/>
              </w:rPr>
              <w:t>Classes of texture features</w:t>
            </w:r>
          </w:p>
        </w:tc>
        <w:tc>
          <w:tcPr>
            <w:tcW w:w="629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05B9">
              <w:rPr>
                <w:rFonts w:ascii="Times New Roman" w:hAnsi="Times New Roman" w:cs="Times New Roman"/>
                <w:b/>
                <w:szCs w:val="20"/>
              </w:rPr>
              <w:t>Based methods</w:t>
            </w: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05B9">
              <w:rPr>
                <w:rFonts w:ascii="Times New Roman" w:hAnsi="Times New Roman" w:cs="Times New Roman"/>
                <w:b/>
                <w:szCs w:val="20"/>
              </w:rPr>
              <w:t>Parameter</w:t>
            </w:r>
          </w:p>
        </w:tc>
        <w:tc>
          <w:tcPr>
            <w:tcW w:w="2001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05B9">
              <w:rPr>
                <w:rFonts w:ascii="Times New Roman" w:hAnsi="Times New Roman" w:cs="Times New Roman"/>
                <w:b/>
                <w:szCs w:val="20"/>
              </w:rPr>
              <w:t>Formula</w:t>
            </w:r>
          </w:p>
        </w:tc>
        <w:tc>
          <w:tcPr>
            <w:tcW w:w="879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05B9">
              <w:rPr>
                <w:rFonts w:ascii="Times New Roman" w:hAnsi="Times New Roman" w:cs="Times New Roman"/>
                <w:b/>
                <w:szCs w:val="20"/>
              </w:rPr>
              <w:t>Description</w:t>
            </w:r>
          </w:p>
        </w:tc>
      </w:tr>
      <w:tr w:rsidR="005D05B9" w:rsidRPr="005D05B9" w:rsidTr="00D2166D">
        <w:tc>
          <w:tcPr>
            <w:tcW w:w="626" w:type="pct"/>
            <w:vMerge w:val="restar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05B9">
              <w:rPr>
                <w:rFonts w:ascii="Times New Roman" w:hAnsi="Times New Roman" w:cs="Times New Roman"/>
                <w:b/>
                <w:szCs w:val="20"/>
              </w:rPr>
              <w:t>Statistical based</w:t>
            </w:r>
          </w:p>
        </w:tc>
        <w:tc>
          <w:tcPr>
            <w:tcW w:w="629" w:type="pct"/>
            <w:vMerge w:val="restar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05B9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5D05B9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st</w:t>
            </w:r>
            <w:r w:rsidRPr="005D05B9">
              <w:rPr>
                <w:rFonts w:ascii="Times New Roman" w:hAnsi="Times New Roman" w:cs="Times New Roman"/>
                <w:b/>
                <w:szCs w:val="20"/>
              </w:rPr>
              <w:t xml:space="preserve"> order features</w:t>
            </w:r>
            <w:r w:rsidRPr="005D05B9">
              <w:rPr>
                <w:rFonts w:ascii="Times New Roman" w:hAnsi="Times New Roman" w:cs="Times New Roman"/>
                <w:szCs w:val="20"/>
              </w:rPr>
              <w:t xml:space="preserve"> (Histogram based features)</w:t>
            </w: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Maximum</w:t>
            </w:r>
          </w:p>
        </w:tc>
        <w:tc>
          <w:tcPr>
            <w:tcW w:w="2001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Max=max(X</m:t>
                </m:r>
                <m:d>
                  <m:dPr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i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)</m:t>
                </m:r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denote the 3d image matrix</w:t>
            </w:r>
          </w:p>
        </w:tc>
        <w:tc>
          <w:tcPr>
            <w:tcW w:w="879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Measures maximum intensity value of a histogram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Minimum</w:t>
            </w:r>
          </w:p>
        </w:tc>
        <w:tc>
          <w:tcPr>
            <w:tcW w:w="2001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Min=min(X</m:t>
                </m:r>
                <m:d>
                  <m:dPr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i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)</m:t>
                </m:r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denote the 3d image matrix</w:t>
            </w:r>
          </w:p>
        </w:tc>
        <w:tc>
          <w:tcPr>
            <w:tcW w:w="879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Measures minimum intensity value of a histogram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Median</w:t>
            </w:r>
          </w:p>
        </w:tc>
        <w:tc>
          <w:tcPr>
            <w:tcW w:w="2001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Median=</m:t>
                </m:r>
                <m:f>
                  <m:fPr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X(i)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denote the 3d image matrix</w:t>
            </w:r>
          </w:p>
        </w:tc>
        <w:tc>
          <w:tcPr>
            <w:tcW w:w="879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Measures median intensity value of a histogram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Mean</w:t>
            </w:r>
          </w:p>
        </w:tc>
        <w:tc>
          <w:tcPr>
            <w:tcW w:w="2001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Mean=</m:t>
                </m:r>
                <m:f>
                  <m:fPr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X(i)</m:t>
                    </m:r>
                  </m:e>
                </m:nary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denote the 3d image matrix with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N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voxel.</w:t>
            </w:r>
          </w:p>
        </w:tc>
        <w:tc>
          <w:tcPr>
            <w:tcW w:w="879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Measures mean intensity value of a histogram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Variance</w:t>
            </w:r>
          </w:p>
        </w:tc>
        <w:tc>
          <w:tcPr>
            <w:tcW w:w="2001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Variance=</m:t>
                </m:r>
                <m:f>
                  <m:fPr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N-1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맑은 고딕" w:hAnsi="Cambria Math" w:cs="Times New Roman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맑은 고딕" w:hAnsi="Cambria Math" w:cs="Times New Roman"/>
                                    <w:szCs w:val="20"/>
                                  </w:rPr>
                                  <m:t>i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맑은 고딕" w:hAnsi="Cambria Math" w:cs="Times New Roman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맑은 고딕" w:hAnsi="Cambria Math" w:cs="Times New Roman"/>
                                    <w:szCs w:val="20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Measures squared distances of each value of a histogram from the mean 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5D05B9">
              <w:rPr>
                <w:rFonts w:ascii="Times New Roman" w:hAnsi="Times New Roman" w:cs="Times New Roman"/>
                <w:i/>
                <w:szCs w:val="20"/>
              </w:rPr>
              <w:t>Energy</w:t>
            </w:r>
          </w:p>
        </w:tc>
        <w:tc>
          <w:tcPr>
            <w:tcW w:w="2001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Energy=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X(i)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denote the 3d image matrix with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N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voxel.</w:t>
            </w:r>
          </w:p>
        </w:tc>
        <w:tc>
          <w:tcPr>
            <w:tcW w:w="879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eastAsiaTheme="minorHAnsi" w:hAnsi="Times New Roman" w:cs="Times New Roman"/>
                <w:szCs w:val="20"/>
              </w:rPr>
              <w:t xml:space="preserve">Measures squared </w:t>
            </w:r>
            <w:r w:rsidRPr="005D05B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magnitude value of a histogram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Standard deviation</w:t>
            </w:r>
          </w:p>
        </w:tc>
        <w:tc>
          <w:tcPr>
            <w:tcW w:w="2001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Std=</m:t>
                </m:r>
                <m:sSup>
                  <m:sSupPr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N-1</m:t>
                            </m:r>
                          </m:den>
                        </m:f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</m:ctrlPr>
                          </m:naryPr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i=1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N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맑은 고딕" w:hAnsi="Cambria Math" w:cs="Times New Roman"/>
                                    <w:szCs w:val="20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맑은 고딕" w:hAnsi="Cambria Math" w:cs="Times New Roman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맑은 고딕" w:hAnsi="Cambria Math" w:cs="Times New Roman"/>
                                        <w:szCs w:val="20"/>
                                      </w:rPr>
                                      <m:t>X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맑은 고딕" w:hAnsi="Cambria Math" w:cs="Times New Roman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맑은 고딕" w:hAnsi="Cambria Math" w:cs="Times New Roman"/>
                                            <w:szCs w:val="20"/>
                                          </w:rPr>
                                          <m:t>i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맑은 고딕" w:hAnsi="Cambria Math" w:cs="Times New Roman"/>
                                        <w:szCs w:val="20"/>
                                      </w:rPr>
                                      <m:t>-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="맑은 고딕" w:hAnsi="Cambria Math" w:cs="Times New Roman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맑은 고딕" w:hAnsi="Cambria Math" w:cs="Times New Roman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맑은 고딕" w:hAnsi="Cambria Math" w:cs="Times New Roman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1/2</m:t>
                    </m:r>
                  </m:sup>
                </m:sSup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denote the 3d image matrix with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N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voxel.</w:t>
            </w:r>
          </w:p>
        </w:tc>
        <w:tc>
          <w:tcPr>
            <w:tcW w:w="879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eastAsiaTheme="minorHAnsi" w:hAnsi="Times New Roman" w:cs="Times New Roman"/>
                <w:szCs w:val="20"/>
              </w:rPr>
              <w:t>Measures amount of variation of a histogram.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Skewness</w:t>
            </w:r>
          </w:p>
        </w:tc>
        <w:tc>
          <w:tcPr>
            <w:tcW w:w="2001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Skewness=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E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(x-μ)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σ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μ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is the mean of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σ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is the standard deviation of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E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is the expectation operator.</w:t>
            </w:r>
          </w:p>
        </w:tc>
        <w:tc>
          <w:tcPr>
            <w:tcW w:w="879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eastAsiaTheme="minorHAnsi" w:hAnsi="Times New Roman" w:cs="Times New Roman"/>
                <w:szCs w:val="20"/>
              </w:rPr>
              <w:t>Measures asymmetry of a histogram.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Kurtosis</w:t>
            </w:r>
          </w:p>
        </w:tc>
        <w:tc>
          <w:tcPr>
            <w:tcW w:w="2001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Kurtosis=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E(x-μ)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σ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μ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is the mean of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 xml:space="preserve"> x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σ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is the standard deviation of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E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is the expectation operator.</w:t>
            </w:r>
          </w:p>
        </w:tc>
        <w:tc>
          <w:tcPr>
            <w:tcW w:w="879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eastAsiaTheme="minorHAnsi" w:hAnsi="Times New Roman" w:cs="Times New Roman"/>
                <w:szCs w:val="20"/>
              </w:rPr>
              <w:t>Measures “peakedeness” of a histogram (flatness of histogram)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Root mean square (RMS)</w:t>
            </w:r>
          </w:p>
        </w:tc>
        <w:tc>
          <w:tcPr>
            <w:tcW w:w="2001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RMS=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den>
                    </m:f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rad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denote the 3d image matrix with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N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voxel.</w:t>
            </w:r>
          </w:p>
        </w:tc>
        <w:tc>
          <w:tcPr>
            <w:tcW w:w="879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eastAsiaTheme="minorHAnsi" w:hAnsi="Times New Roman" w:cs="Times New Roman"/>
                <w:szCs w:val="20"/>
              </w:rPr>
              <w:t xml:space="preserve">Measures the </w:t>
            </w:r>
            <w:r w:rsidRPr="005D05B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square-root of the mean of the squares of the values of the histogram. This feature is another measure </w:t>
            </w:r>
            <w:r w:rsidRPr="005D05B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of the magnitude of a histogram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Inter quartile range</w:t>
            </w:r>
          </w:p>
        </w:tc>
        <w:tc>
          <w:tcPr>
            <w:tcW w:w="2001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IQR=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0"/>
                      </w:rPr>
                      <m:t>1</m:t>
                    </m:r>
                  </m:sub>
                </m:sSub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3</m:t>
                  </m:r>
                </m:sub>
              </m:sSub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denote the 3</w:t>
            </w:r>
            <w:r w:rsidRPr="005D05B9">
              <w:rPr>
                <w:rFonts w:ascii="Times New Roman" w:hAnsi="Times New Roman" w:cs="Times New Roman"/>
                <w:szCs w:val="20"/>
                <w:vertAlign w:val="superscript"/>
              </w:rPr>
              <w:t>rd</w:t>
            </w:r>
            <w:r w:rsidRPr="005D05B9">
              <w:rPr>
                <w:rFonts w:ascii="Times New Roman" w:hAnsi="Times New Roman" w:cs="Times New Roman"/>
                <w:szCs w:val="20"/>
              </w:rPr>
              <w:t xml:space="preserve"> quartile of histogram,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sub>
              </m:sSub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denote the 1</w:t>
            </w:r>
            <w:r w:rsidRPr="005D05B9"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 w:rsidRPr="005D05B9">
              <w:rPr>
                <w:rFonts w:ascii="Times New Roman" w:hAnsi="Times New Roman" w:cs="Times New Roman"/>
                <w:szCs w:val="20"/>
              </w:rPr>
              <w:t xml:space="preserve">  quartile of histogram</w:t>
            </w:r>
          </w:p>
        </w:tc>
        <w:tc>
          <w:tcPr>
            <w:tcW w:w="879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color w:val="252525"/>
                <w:szCs w:val="20"/>
                <w:shd w:val="clear" w:color="auto" w:fill="FFFFFF"/>
              </w:rPr>
              <w:t>Measures of variability, based on dividing a histogram into quartiles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Range</w:t>
            </w:r>
          </w:p>
        </w:tc>
        <w:tc>
          <w:tcPr>
            <w:tcW w:w="2001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Range=range(X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)</m:t>
                </m:r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Measures difference between the highest and lowest voxel values of a histogram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Entropy</w:t>
            </w:r>
          </w:p>
        </w:tc>
        <w:tc>
          <w:tcPr>
            <w:tcW w:w="2001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Entropy=-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sub>
                    </m:sSub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P(i)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P(i)</m:t>
                        </m:r>
                      </m:e>
                    </m:func>
                  </m:e>
                </m:nary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P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denote the first order histogram with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l</m:t>
                  </m:r>
                </m:sub>
              </m:sSub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discrete intensity levels.</w:t>
            </w:r>
          </w:p>
        </w:tc>
        <w:tc>
          <w:tcPr>
            <w:tcW w:w="879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eastAsiaTheme="minorHAnsi" w:hAnsi="Times New Roman" w:cs="Times New Roman"/>
                <w:szCs w:val="20"/>
              </w:rPr>
              <w:t>Measures irregularity of a histogram.</w:t>
            </w:r>
          </w:p>
        </w:tc>
      </w:tr>
      <w:tr w:rsidR="005D05B9" w:rsidRPr="005D05B9" w:rsidTr="00D2166D">
        <w:trPr>
          <w:trHeight w:val="1178"/>
        </w:trPr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Uniformity</w:t>
            </w:r>
          </w:p>
        </w:tc>
        <w:tc>
          <w:tcPr>
            <w:tcW w:w="2001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Uniformity=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sub>
                    </m:sSub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P(i)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P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denote the first order histogram with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l</m:t>
                  </m:r>
                </m:sub>
              </m:sSub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discrete intensity levels.</w:t>
            </w:r>
          </w:p>
        </w:tc>
        <w:tc>
          <w:tcPr>
            <w:tcW w:w="879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eastAsiaTheme="minorHAnsi" w:hAnsi="Times New Roman" w:cs="Times New Roman"/>
                <w:szCs w:val="20"/>
              </w:rPr>
              <w:t>Measures uniformity of a histogram.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Percentile</w:t>
            </w:r>
          </w:p>
        </w:tc>
        <w:tc>
          <w:tcPr>
            <w:tcW w:w="2001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Percentile=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th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 xml:space="preserve"> percentile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100</m:t>
                        </m:r>
                      </m:den>
                    </m:f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 xml:space="preserve"> X(i)</m:t>
                </m:r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eastAsiaTheme="minorHAnsi" w:hAnsi="Times New Roman" w:cs="Times New Roman"/>
                <w:szCs w:val="20"/>
              </w:rPr>
              <w:t>Measures intensity value at the 2.5</w:t>
            </w:r>
            <w:r w:rsidRPr="005D05B9">
              <w:rPr>
                <w:rFonts w:ascii="Times New Roman" w:eastAsiaTheme="minorHAnsi" w:hAnsi="Times New Roman" w:cs="Times New Roman"/>
                <w:szCs w:val="20"/>
                <w:vertAlign w:val="superscript"/>
              </w:rPr>
              <w:t>th</w:t>
            </w:r>
            <w:r w:rsidRPr="005D05B9">
              <w:rPr>
                <w:rFonts w:ascii="Times New Roman" w:eastAsiaTheme="minorHAnsi" w:hAnsi="Times New Roman" w:cs="Times New Roman"/>
                <w:szCs w:val="20"/>
              </w:rPr>
              <w:t xml:space="preserve"> , 25</w:t>
            </w:r>
            <w:r w:rsidRPr="005D05B9">
              <w:rPr>
                <w:rFonts w:ascii="Times New Roman" w:eastAsiaTheme="minorHAnsi" w:hAnsi="Times New Roman" w:cs="Times New Roman"/>
                <w:szCs w:val="20"/>
                <w:vertAlign w:val="superscript"/>
              </w:rPr>
              <w:t>th</w:t>
            </w:r>
            <w:r w:rsidRPr="005D05B9">
              <w:rPr>
                <w:rFonts w:ascii="Times New Roman" w:eastAsiaTheme="minorHAnsi" w:hAnsi="Times New Roman" w:cs="Times New Roman"/>
                <w:szCs w:val="20"/>
              </w:rPr>
              <w:t xml:space="preserve"> ,50</w:t>
            </w:r>
            <w:r w:rsidRPr="005D05B9">
              <w:rPr>
                <w:rFonts w:ascii="Times New Roman" w:eastAsiaTheme="minorHAnsi" w:hAnsi="Times New Roman" w:cs="Times New Roman"/>
                <w:szCs w:val="20"/>
                <w:vertAlign w:val="superscript"/>
              </w:rPr>
              <w:t>th</w:t>
            </w:r>
            <w:r w:rsidRPr="005D05B9">
              <w:rPr>
                <w:rFonts w:ascii="Times New Roman" w:eastAsiaTheme="minorHAnsi" w:hAnsi="Times New Roman" w:cs="Times New Roman"/>
                <w:szCs w:val="20"/>
              </w:rPr>
              <w:t xml:space="preserve"> ,75</w:t>
            </w:r>
            <w:r w:rsidRPr="005D05B9">
              <w:rPr>
                <w:rFonts w:ascii="Times New Roman" w:eastAsiaTheme="minorHAnsi" w:hAnsi="Times New Roman" w:cs="Times New Roman"/>
                <w:szCs w:val="20"/>
                <w:vertAlign w:val="superscript"/>
              </w:rPr>
              <w:t>th</w:t>
            </w:r>
            <w:r w:rsidRPr="005D05B9">
              <w:rPr>
                <w:rFonts w:ascii="Times New Roman" w:eastAsiaTheme="minorHAnsi" w:hAnsi="Times New Roman" w:cs="Times New Roman"/>
                <w:szCs w:val="20"/>
              </w:rPr>
              <w:t xml:space="preserve"> , and 97.5</w:t>
            </w:r>
            <w:r w:rsidRPr="005D05B9">
              <w:rPr>
                <w:rFonts w:ascii="Times New Roman" w:eastAsiaTheme="minorHAnsi" w:hAnsi="Times New Roman" w:cs="Times New Roman"/>
                <w:szCs w:val="20"/>
                <w:vertAlign w:val="superscript"/>
              </w:rPr>
              <w:t>th</w:t>
            </w:r>
            <w:r w:rsidRPr="005D05B9">
              <w:rPr>
                <w:rFonts w:ascii="Times New Roman" w:eastAsiaTheme="minorHAnsi" w:hAnsi="Times New Roman" w:cs="Times New Roman"/>
                <w:szCs w:val="20"/>
              </w:rPr>
              <w:t xml:space="preserve"> percentile on histogram</w:t>
            </w:r>
          </w:p>
        </w:tc>
      </w:tr>
      <w:tr w:rsidR="00D2166D" w:rsidRPr="005D05B9" w:rsidTr="00D2166D">
        <w:tc>
          <w:tcPr>
            <w:tcW w:w="626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 w:val="restart"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05B9">
              <w:rPr>
                <w:rFonts w:ascii="Times New Roman" w:hAnsi="Times New Roman" w:cs="Times New Roman"/>
                <w:b/>
                <w:szCs w:val="20"/>
              </w:rPr>
              <w:t>Higher order features</w:t>
            </w:r>
          </w:p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(GLCM based features)</w:t>
            </w:r>
          </w:p>
        </w:tc>
        <w:tc>
          <w:tcPr>
            <w:tcW w:w="865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hAnsi="Times New Roman" w:cs="Times New Roman"/>
                <w:szCs w:val="20"/>
              </w:rPr>
              <w:t>Autocorrelation</w:t>
            </w:r>
          </w:p>
        </w:tc>
        <w:tc>
          <w:tcPr>
            <w:tcW w:w="2001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Autocorrelation 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ij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(i,j)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eastAsiaTheme="minorHAnsi" w:hAnsi="Times New Roman" w:cs="Times New Roman"/>
                <w:szCs w:val="20"/>
              </w:rPr>
              <w:t>Measures of the magnitude of the fineness and coarseness of texture</w:t>
            </w:r>
          </w:p>
        </w:tc>
      </w:tr>
      <w:tr w:rsidR="00D2166D" w:rsidRPr="005D05B9" w:rsidTr="00D2166D">
        <w:tc>
          <w:tcPr>
            <w:tcW w:w="626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hAnsi="Times New Roman" w:cs="Times New Roman"/>
                <w:szCs w:val="20"/>
              </w:rPr>
              <w:t>Cluster tendency</w:t>
            </w:r>
          </w:p>
        </w:tc>
        <w:tc>
          <w:tcPr>
            <w:tcW w:w="2001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Cluster tendency=</m:t>
                </m:r>
              </m:oMath>
            </m:oMathPara>
          </w:p>
          <w:p w:rsidR="00D2166D" w:rsidRPr="00D2166D" w:rsidRDefault="00996170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i+j-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 xml:space="preserve"> 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y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(i,j)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eastAsiaTheme="minorHAnsi" w:hAnsi="Times New Roman" w:cs="Times New Roman"/>
                <w:szCs w:val="20"/>
              </w:rPr>
              <w:t>Measures of the homogeneity of GLCM</w:t>
            </w:r>
          </w:p>
        </w:tc>
      </w:tr>
      <w:tr w:rsidR="00D2166D" w:rsidRPr="005D05B9" w:rsidTr="00D2166D">
        <w:tc>
          <w:tcPr>
            <w:tcW w:w="626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hAnsi="Times New Roman" w:cs="Times New Roman"/>
                <w:szCs w:val="20"/>
              </w:rPr>
              <w:t>Maximum probability</w:t>
            </w:r>
          </w:p>
        </w:tc>
        <w:tc>
          <w:tcPr>
            <w:tcW w:w="2001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Maximum probability=max⁡{P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i,j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}</m:t>
                </m:r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eastAsiaTheme="minorHAnsi" w:hAnsi="Times New Roman" w:cs="Times New Roman"/>
                <w:szCs w:val="20"/>
              </w:rPr>
              <w:t>Measures maximum value of GLCM matrix</w:t>
            </w:r>
          </w:p>
        </w:tc>
      </w:tr>
      <w:tr w:rsidR="00D2166D" w:rsidRPr="005D05B9" w:rsidTr="00D2166D">
        <w:tc>
          <w:tcPr>
            <w:tcW w:w="626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hAnsi="Times New Roman" w:cs="Times New Roman"/>
                <w:szCs w:val="20"/>
              </w:rPr>
              <w:t>Contrast</w:t>
            </w:r>
          </w:p>
        </w:tc>
        <w:tc>
          <w:tcPr>
            <w:tcW w:w="2001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Contrast=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i-j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(i,j)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hAnsi="Times New Roman" w:cs="Times New Roman"/>
                <w:szCs w:val="20"/>
                <w:shd w:val="clear" w:color="auto" w:fill="FFFFFF"/>
              </w:rPr>
              <w:t>Measures of the local intensity variation of GLCM</w:t>
            </w:r>
          </w:p>
        </w:tc>
      </w:tr>
      <w:tr w:rsidR="00D2166D" w:rsidRPr="005D05B9" w:rsidTr="00D2166D">
        <w:tc>
          <w:tcPr>
            <w:tcW w:w="626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hAnsi="Times New Roman" w:cs="Times New Roman"/>
                <w:szCs w:val="20"/>
              </w:rPr>
              <w:t>Difference entropy</w:t>
            </w:r>
          </w:p>
        </w:tc>
        <w:tc>
          <w:tcPr>
            <w:tcW w:w="2001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Difference entropy=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szCs w:val="20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x-y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(i)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[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x-y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(i)</m:t>
                        </m:r>
                      </m:e>
                    </m:func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]</m:t>
                </m:r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eastAsiaTheme="minorHAnsi" w:hAnsi="Times New Roman" w:cs="Times New Roman"/>
                <w:szCs w:val="20"/>
              </w:rPr>
              <w:t>Measures entropy of processed GLCM matrix Px-y</w:t>
            </w:r>
          </w:p>
        </w:tc>
      </w:tr>
      <w:tr w:rsidR="00D2166D" w:rsidRPr="005D05B9" w:rsidTr="00D2166D">
        <w:tc>
          <w:tcPr>
            <w:tcW w:w="626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hAnsi="Times New Roman" w:cs="Times New Roman"/>
                <w:szCs w:val="20"/>
              </w:rPr>
              <w:t>Dissimilarity</w:t>
            </w:r>
          </w:p>
        </w:tc>
        <w:tc>
          <w:tcPr>
            <w:tcW w:w="2001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Dissimilarity=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i-j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(i,j)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eastAsiaTheme="minorHAnsi" w:hAnsi="Times New Roman" w:cs="Times New Roman"/>
                <w:szCs w:val="20"/>
              </w:rPr>
              <w:t>Measures differences of entries in GLCM</w:t>
            </w:r>
          </w:p>
        </w:tc>
      </w:tr>
      <w:tr w:rsidR="00D2166D" w:rsidRPr="005D05B9" w:rsidTr="00D2166D">
        <w:tc>
          <w:tcPr>
            <w:tcW w:w="626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hAnsi="Times New Roman" w:cs="Times New Roman"/>
                <w:szCs w:val="20"/>
              </w:rPr>
              <w:t>Energy</w:t>
            </w:r>
          </w:p>
        </w:tc>
        <w:tc>
          <w:tcPr>
            <w:tcW w:w="2001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Energy=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i,j</m:t>
                                    </m:r>
                                  </m:e>
                                </m:d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eastAsiaTheme="minorHAnsi" w:hAnsi="Times New Roman" w:cs="Times New Roman"/>
                <w:szCs w:val="20"/>
              </w:rPr>
              <w:t>Measures of the homogeneity of GLCM</w:t>
            </w:r>
          </w:p>
        </w:tc>
      </w:tr>
      <w:tr w:rsidR="00D2166D" w:rsidRPr="005D05B9" w:rsidTr="00D2166D">
        <w:tc>
          <w:tcPr>
            <w:tcW w:w="626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hAnsi="Times New Roman" w:cs="Times New Roman"/>
                <w:szCs w:val="20"/>
              </w:rPr>
              <w:t>Entropy</w:t>
            </w:r>
          </w:p>
        </w:tc>
        <w:tc>
          <w:tcPr>
            <w:tcW w:w="2001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Entropy=-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(i,j)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[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i,j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]</m:t>
                            </m:r>
                          </m:e>
                        </m:func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eastAsiaTheme="minorHAnsi" w:hAnsi="Times New Roman" w:cs="Times New Roman"/>
                <w:szCs w:val="20"/>
              </w:rPr>
              <w:t>Measures irregularity of GLCM</w:t>
            </w:r>
          </w:p>
        </w:tc>
      </w:tr>
      <w:tr w:rsidR="00D2166D" w:rsidRPr="005D05B9" w:rsidTr="00D2166D">
        <w:tc>
          <w:tcPr>
            <w:tcW w:w="626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hAnsi="Times New Roman" w:cs="Times New Roman"/>
                <w:szCs w:val="20"/>
              </w:rPr>
              <w:t>Homogeneity1</w:t>
            </w:r>
          </w:p>
        </w:tc>
        <w:tc>
          <w:tcPr>
            <w:tcW w:w="2001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Homogeneity1=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i,j</m:t>
                                </m:r>
                              </m:e>
                            </m: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1+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i-j</m:t>
                                </m:r>
                              </m:e>
                            </m:d>
                          </m:den>
                        </m:f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eastAsiaTheme="minorHAnsi" w:hAnsi="Times New Roman" w:cs="Times New Roman"/>
                <w:szCs w:val="20"/>
              </w:rPr>
              <w:t>Measures closeness of GLCM</w:t>
            </w:r>
          </w:p>
        </w:tc>
      </w:tr>
      <w:tr w:rsidR="00D2166D" w:rsidRPr="005D05B9" w:rsidTr="00D2166D">
        <w:tc>
          <w:tcPr>
            <w:tcW w:w="626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hAnsi="Times New Roman" w:cs="Times New Roman"/>
                <w:szCs w:val="20"/>
              </w:rPr>
              <w:t>Informational measure of correlation 1 (IMC1)</w:t>
            </w:r>
          </w:p>
        </w:tc>
        <w:tc>
          <w:tcPr>
            <w:tcW w:w="2001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IMC1=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HXY-HXY1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max⁡{HX,HY}</m:t>
                    </m:r>
                  </m:den>
                </m:f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eastAsiaTheme="minorHAnsi" w:hAnsi="Times New Roman" w:cs="Times New Roman"/>
                <w:szCs w:val="20"/>
              </w:rPr>
              <w:t>Secondary measure of Homogeneity1</w:t>
            </w:r>
          </w:p>
        </w:tc>
      </w:tr>
      <w:tr w:rsidR="00D2166D" w:rsidRPr="005D05B9" w:rsidTr="00D2166D">
        <w:tc>
          <w:tcPr>
            <w:tcW w:w="626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hAnsi="Times New Roman" w:cs="Times New Roman"/>
                <w:szCs w:val="20"/>
              </w:rPr>
              <w:t>Variance</w:t>
            </w:r>
          </w:p>
        </w:tc>
        <w:tc>
          <w:tcPr>
            <w:tcW w:w="2001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Variance=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i-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x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P(i,j)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D2166D">
              <w:rPr>
                <w:rFonts w:ascii="Times New Roman" w:eastAsiaTheme="minorHAnsi" w:hAnsi="Times New Roman" w:cs="Times New Roman"/>
                <w:szCs w:val="20"/>
              </w:rPr>
              <w:t xml:space="preserve">Measures </w:t>
            </w:r>
            <w:r w:rsidRPr="00D2166D">
              <w:rPr>
                <w:rFonts w:ascii="Times New Roman" w:hAnsi="Times New Roman" w:cs="Times New Roman"/>
                <w:szCs w:val="20"/>
                <w:shd w:val="clear" w:color="auto" w:fill="FFFFFF"/>
              </w:rPr>
              <w:t>dispersion of the parameter values around the mean of the combinations of reference and neighborhood pixels</w:t>
            </w:r>
          </w:p>
        </w:tc>
      </w:tr>
      <w:tr w:rsidR="00D2166D" w:rsidRPr="005D05B9" w:rsidTr="00D2166D">
        <w:tc>
          <w:tcPr>
            <w:tcW w:w="626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hAnsi="Times New Roman" w:cs="Times New Roman"/>
                <w:szCs w:val="20"/>
              </w:rPr>
              <w:t>Sum average</w:t>
            </w:r>
          </w:p>
        </w:tc>
        <w:tc>
          <w:tcPr>
            <w:tcW w:w="2001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Sum average 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0"/>
                      </w:rPr>
                      <m:t>i=2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0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i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x+y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i</m:t>
                            </m:r>
                          </m:e>
                        </m:d>
                      </m:e>
                    </m:d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D2166D">
              <w:rPr>
                <w:rFonts w:ascii="Times New Roman" w:eastAsiaTheme="minorHAnsi" w:hAnsi="Times New Roman" w:cs="Times New Roman"/>
                <w:szCs w:val="20"/>
              </w:rPr>
              <w:t>Measures the relationship between occurrences of pairs with lower and higher intensity values</w:t>
            </w:r>
          </w:p>
        </w:tc>
      </w:tr>
      <w:tr w:rsidR="00D2166D" w:rsidRPr="005D05B9" w:rsidTr="00D2166D">
        <w:tc>
          <w:tcPr>
            <w:tcW w:w="626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hAnsi="Times New Roman" w:cs="Times New Roman"/>
                <w:szCs w:val="20"/>
              </w:rPr>
              <w:t>Sum entropy</w:t>
            </w:r>
          </w:p>
        </w:tc>
        <w:tc>
          <w:tcPr>
            <w:tcW w:w="2001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Sum entropy =-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0"/>
                      </w:rPr>
                      <m:t>i=2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0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x+y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0"/>
                      </w:rPr>
                      <m:t>(i)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ub>
                        </m:sSub>
                      </m:fName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x+y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</m:e>
                    </m:func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D2166D">
              <w:rPr>
                <w:rFonts w:ascii="Times New Roman" w:eastAsiaTheme="minorHAnsi" w:hAnsi="Times New Roman" w:cs="Times New Roman"/>
                <w:szCs w:val="20"/>
              </w:rPr>
              <w:t>Sum of neighborhood intensity value differences</w:t>
            </w:r>
          </w:p>
        </w:tc>
      </w:tr>
      <w:tr w:rsidR="00D2166D" w:rsidRPr="005D05B9" w:rsidTr="00D2166D">
        <w:tc>
          <w:tcPr>
            <w:tcW w:w="626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hAnsi="Times New Roman" w:cs="Times New Roman"/>
                <w:szCs w:val="20"/>
              </w:rPr>
              <w:t>Sum variance</w:t>
            </w:r>
          </w:p>
        </w:tc>
        <w:tc>
          <w:tcPr>
            <w:tcW w:w="2001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Sum variance=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0"/>
                      </w:rPr>
                      <m:t>i=2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0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i-SA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x+y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0"/>
                      </w:rPr>
                      <m:t>(i)</m:t>
                    </m:r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D2166D" w:rsidRPr="005D05B9" w:rsidTr="00D2166D">
        <w:tc>
          <w:tcPr>
            <w:tcW w:w="626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hAnsi="Times New Roman" w:cs="Times New Roman"/>
                <w:szCs w:val="20"/>
              </w:rPr>
              <w:t>Inverse variance</w:t>
            </w:r>
          </w:p>
        </w:tc>
        <w:tc>
          <w:tcPr>
            <w:tcW w:w="2001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inverse variance=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P(i,j)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0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i-j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, i≠j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D2166D" w:rsidRPr="005D05B9" w:rsidTr="00D2166D">
        <w:tc>
          <w:tcPr>
            <w:tcW w:w="626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D2166D" w:rsidRPr="005D05B9" w:rsidRDefault="00D2166D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2166D">
              <w:rPr>
                <w:rFonts w:ascii="Times New Roman" w:hAnsi="Times New Roman" w:cs="Times New Roman"/>
                <w:szCs w:val="20"/>
              </w:rPr>
              <w:t>Inverse Difference Moment Normalized (IDMN)</w:t>
            </w:r>
          </w:p>
        </w:tc>
        <w:tc>
          <w:tcPr>
            <w:tcW w:w="2001" w:type="pct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IDMN=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P(i,j)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1+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Cs w:val="20"/>
                                              </w:rPr>
                                              <m:t>i-j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0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e>
                            </m:d>
                          </m:den>
                        </m:f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D2166D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D2166D">
              <w:rPr>
                <w:rFonts w:ascii="Times New Roman" w:eastAsiaTheme="minorHAnsi" w:hAnsi="Times New Roman" w:cs="Times New Roman"/>
                <w:szCs w:val="20"/>
              </w:rPr>
              <w:t>Measures the local homogeneity of an image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45" w:type="pct"/>
            <w:gridSpan w:val="4"/>
            <w:vAlign w:val="center"/>
          </w:tcPr>
          <w:p w:rsidR="00D2166D" w:rsidRPr="00B51BD1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B51BD1">
              <w:rPr>
                <w:rFonts w:ascii="Times New Roman" w:hAnsi="Times New Roman"/>
                <w:szCs w:val="20"/>
              </w:rPr>
              <w:t xml:space="preserve">Where </w:t>
            </w:r>
            <m:oMath>
              <m:r>
                <m:rPr>
                  <m:sty m:val="b"/>
                </m:rPr>
                <w:rPr>
                  <w:rFonts w:ascii="Cambria Math" w:hAnsi="Cambria Math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i,j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 xml:space="preserve"> </m:t>
              </m:r>
            </m:oMath>
            <w:r w:rsidRPr="00B51BD1">
              <w:rPr>
                <w:rFonts w:ascii="Times New Roman" w:hAnsi="Times New Roman"/>
                <w:szCs w:val="20"/>
              </w:rPr>
              <w:t>is the gray level co-occurrence matrix for (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δ=1, α=0)</m:t>
              </m:r>
            </m:oMath>
            <w:r w:rsidRPr="00B51BD1">
              <w:rPr>
                <w:rFonts w:ascii="Times New Roman" w:hAnsi="Times New Roman"/>
                <w:szCs w:val="20"/>
              </w:rPr>
              <w:t>,</w:t>
            </w:r>
          </w:p>
          <w:p w:rsidR="00D2166D" w:rsidRPr="00B51BD1" w:rsidRDefault="00996170" w:rsidP="00D2166D">
            <w:pPr>
              <w:wordWrap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 xml:space="preserve"> </m:t>
              </m:r>
            </m:oMath>
            <w:r w:rsidR="00D2166D" w:rsidRPr="00B51BD1">
              <w:rPr>
                <w:rFonts w:ascii="Times New Roman" w:hAnsi="Times New Roman"/>
                <w:szCs w:val="20"/>
              </w:rPr>
              <w:t>is the number of discrete intensity value in the image,</w:t>
            </w:r>
          </w:p>
          <w:p w:rsidR="00D2166D" w:rsidRPr="00B51BD1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N</m:t>
              </m:r>
            </m:oMath>
            <w:r w:rsidRPr="00B51BD1">
              <w:rPr>
                <w:rFonts w:ascii="Times New Roman" w:hAnsi="Times New Roman"/>
                <w:szCs w:val="20"/>
              </w:rPr>
              <w:t xml:space="preserve"> is the number of voxels in the ROI,</w:t>
            </w:r>
          </w:p>
          <w:p w:rsidR="00D2166D" w:rsidRPr="00B51BD1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μ</m:t>
              </m:r>
            </m:oMath>
            <w:r w:rsidRPr="00B51BD1">
              <w:rPr>
                <w:rFonts w:ascii="Times New Roman" w:hAnsi="Times New Roman"/>
                <w:szCs w:val="20"/>
              </w:rPr>
              <w:t xml:space="preserve"> is the mean of </w:t>
            </w:r>
            <m:oMath>
              <m:r>
                <m:rPr>
                  <m:sty m:val="b"/>
                </m:rPr>
                <w:rPr>
                  <w:rFonts w:ascii="Cambria Math" w:hAnsi="Cambria Math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i,j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,</m:t>
              </m:r>
            </m:oMath>
          </w:p>
          <w:p w:rsidR="00D2166D" w:rsidRPr="00B51BD1" w:rsidRDefault="00996170" w:rsidP="00D2166D">
            <w:pPr>
              <w:wordWrap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j=1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g</m:t>
                      </m:r>
                    </m:sub>
                  </m:sSub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0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(i,j)</m:t>
                  </m:r>
                </m:e>
              </m:nary>
            </m:oMath>
            <w:r w:rsidR="00D2166D" w:rsidRPr="00B51BD1">
              <w:rPr>
                <w:rFonts w:ascii="Times New Roman" w:hAnsi="Times New Roman"/>
                <w:szCs w:val="20"/>
              </w:rPr>
              <w:t xml:space="preserve"> is the marginal row probabilities,</w:t>
            </w:r>
          </w:p>
          <w:p w:rsidR="00D2166D" w:rsidRPr="00B51BD1" w:rsidRDefault="00996170" w:rsidP="00D2166D">
            <w:pPr>
              <w:wordWrap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g</m:t>
                      </m:r>
                    </m:sub>
                  </m:sSub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0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(i,j)</m:t>
                  </m:r>
                </m:e>
              </m:nary>
            </m:oMath>
            <w:r w:rsidR="00D2166D" w:rsidRPr="00B51BD1">
              <w:rPr>
                <w:rFonts w:ascii="Times New Roman" w:hAnsi="Times New Roman"/>
                <w:szCs w:val="20"/>
              </w:rPr>
              <w:t xml:space="preserve"> is the marginal column probabilities,</w:t>
            </w:r>
          </w:p>
          <w:p w:rsidR="00D2166D" w:rsidRPr="00B51BD1" w:rsidRDefault="00996170" w:rsidP="00D2166D">
            <w:pPr>
              <w:wordWrap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x</m:t>
                  </m:r>
                </m:sub>
              </m:sSub>
            </m:oMath>
            <w:r w:rsidR="00D2166D" w:rsidRPr="00B51BD1">
              <w:rPr>
                <w:rFonts w:ascii="Times New Roman" w:hAnsi="Times New Roman"/>
                <w:szCs w:val="20"/>
              </w:rPr>
              <w:t xml:space="preserve"> is the expected value of marginal row probability,</w:t>
            </w:r>
          </w:p>
          <w:p w:rsidR="00D2166D" w:rsidRPr="00B51BD1" w:rsidRDefault="00996170" w:rsidP="00D2166D">
            <w:pPr>
              <w:wordWrap/>
              <w:spacing w:line="360" w:lineRule="auto"/>
              <w:jc w:val="center"/>
              <w:rPr>
                <w:rFonts w:ascii="Times New Roman" w:hAnsi="Times New Roman"/>
                <w:strike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y</m:t>
                  </m:r>
                </m:sub>
              </m:sSub>
            </m:oMath>
            <w:r w:rsidR="00D2166D" w:rsidRPr="00B51BD1">
              <w:rPr>
                <w:rFonts w:ascii="Times New Roman" w:hAnsi="Times New Roman"/>
                <w:szCs w:val="20"/>
              </w:rPr>
              <w:t xml:space="preserve"> is the expected value of marginal column probability,</w:t>
            </w:r>
          </w:p>
          <w:p w:rsidR="00D2166D" w:rsidRPr="00B51BD1" w:rsidRDefault="00996170" w:rsidP="00D2166D">
            <w:pPr>
              <w:wordWrap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x</m:t>
                  </m:r>
                </m:sub>
              </m:sSub>
            </m:oMath>
            <w:r w:rsidR="00D2166D" w:rsidRPr="00B51BD1">
              <w:rPr>
                <w:rFonts w:ascii="Times New Roman" w:hAnsi="Times New Roman"/>
                <w:szCs w:val="20"/>
              </w:rPr>
              <w:t xml:space="preserve"> is the standard deviation of 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x</m:t>
                  </m:r>
                </m:sub>
              </m:sSub>
            </m:oMath>
            <w:r w:rsidR="00D2166D" w:rsidRPr="00B51BD1">
              <w:rPr>
                <w:rFonts w:ascii="Times New Roman" w:hAnsi="Times New Roman"/>
                <w:szCs w:val="20"/>
              </w:rPr>
              <w:t>,</w:t>
            </w:r>
          </w:p>
          <w:p w:rsidR="00D2166D" w:rsidRPr="00B51BD1" w:rsidRDefault="00996170" w:rsidP="00D2166D">
            <w:pPr>
              <w:wordWrap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y</m:t>
                  </m:r>
                </m:sub>
              </m:sSub>
            </m:oMath>
            <w:r w:rsidR="00D2166D" w:rsidRPr="00B51BD1">
              <w:rPr>
                <w:rFonts w:ascii="Times New Roman" w:hAnsi="Times New Roman"/>
                <w:szCs w:val="20"/>
              </w:rPr>
              <w:t xml:space="preserve"> is the standard deviation of 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y</m:t>
                  </m:r>
                </m:sub>
              </m:sSub>
            </m:oMath>
            <w:r w:rsidR="00D2166D" w:rsidRPr="00B51BD1">
              <w:rPr>
                <w:rFonts w:ascii="Times New Roman" w:hAnsi="Times New Roman"/>
                <w:szCs w:val="20"/>
              </w:rPr>
              <w:t>,</w:t>
            </w:r>
          </w:p>
          <w:p w:rsidR="00D2166D" w:rsidRPr="00B51BD1" w:rsidRDefault="00996170" w:rsidP="00D2166D">
            <w:pPr>
              <w:wordWrap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x+y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k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g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j=1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g</m:t>
                          </m:r>
                        </m:sub>
                      </m:sSub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0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i,j</m:t>
                          </m:r>
                        </m:e>
                      </m:d>
                    </m:e>
                  </m:nary>
                </m:e>
              </m:nary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 xml:space="preserve"> , i+j=k, k=2,3,…,2</m:t>
              </m:r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g</m:t>
                  </m:r>
                </m:sub>
              </m:sSub>
            </m:oMath>
            <w:r w:rsidR="00D2166D" w:rsidRPr="00B51BD1">
              <w:rPr>
                <w:rFonts w:ascii="Times New Roman" w:hAnsi="Times New Roman"/>
                <w:szCs w:val="20"/>
              </w:rPr>
              <w:t>,</w:t>
            </w:r>
          </w:p>
          <w:p w:rsidR="00D2166D" w:rsidRPr="00B51BD1" w:rsidRDefault="00996170" w:rsidP="00D2166D">
            <w:pPr>
              <w:wordWrap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x-y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k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g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j=1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g</m:t>
                          </m:r>
                        </m:sub>
                      </m:sSub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0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i,j</m:t>
                          </m:r>
                        </m:e>
                      </m:d>
                    </m:e>
                  </m:nary>
                </m:e>
              </m:nary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 xml:space="preserve"> ,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 xml:space="preserve"> i-j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=k, k=0,1,…,</m:t>
              </m:r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-1</m:t>
              </m:r>
            </m:oMath>
            <w:r w:rsidR="00D2166D" w:rsidRPr="00B51BD1">
              <w:rPr>
                <w:rFonts w:ascii="Times New Roman" w:hAnsi="Times New Roman"/>
                <w:szCs w:val="20"/>
              </w:rPr>
              <w:t>,</w:t>
            </w:r>
          </w:p>
          <w:p w:rsidR="00D2166D" w:rsidRPr="00B51BD1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HX=-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g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0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(i)</m:t>
                  </m:r>
                  <m:func>
                    <m:func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b>
                      </m:sSub>
                    </m:fNam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x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(i)</m:t>
                          </m:r>
                        </m:e>
                      </m:d>
                    </m:e>
                  </m:func>
                </m:e>
              </m:nary>
            </m:oMath>
            <w:r w:rsidRPr="00B51BD1">
              <w:rPr>
                <w:rFonts w:ascii="Times New Roman" w:hAnsi="Times New Roman"/>
                <w:szCs w:val="20"/>
              </w:rPr>
              <w:t xml:space="preserve"> is the entropy of 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x</m:t>
                  </m:r>
                </m:sub>
              </m:sSub>
            </m:oMath>
            <w:r w:rsidRPr="00B51BD1">
              <w:rPr>
                <w:rFonts w:ascii="Times New Roman" w:hAnsi="Times New Roman"/>
                <w:szCs w:val="20"/>
              </w:rPr>
              <w:t>,</w:t>
            </w:r>
          </w:p>
          <w:p w:rsidR="00D2166D" w:rsidRPr="00B51BD1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HY=-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g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0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(i)</m:t>
                  </m:r>
                  <m:func>
                    <m:func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b>
                      </m:sSub>
                    </m:fNam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y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(i)</m:t>
                          </m:r>
                        </m:e>
                      </m:d>
                    </m:e>
                  </m:func>
                </m:e>
              </m:nary>
            </m:oMath>
            <w:r w:rsidRPr="00B51BD1">
              <w:rPr>
                <w:rFonts w:ascii="Times New Roman" w:hAnsi="Times New Roman"/>
                <w:szCs w:val="20"/>
              </w:rPr>
              <w:t xml:space="preserve"> is the entropy of 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y</m:t>
                  </m:r>
                </m:sub>
              </m:sSub>
            </m:oMath>
            <w:r w:rsidRPr="00B51BD1">
              <w:rPr>
                <w:rFonts w:ascii="Times New Roman" w:hAnsi="Times New Roman"/>
                <w:szCs w:val="20"/>
              </w:rPr>
              <w:t>,</w:t>
            </w:r>
          </w:p>
          <w:p w:rsidR="00D2166D" w:rsidRPr="00B51BD1" w:rsidRDefault="00D2166D" w:rsidP="00D2166D">
            <w:pPr>
              <w:wordWrap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HXY=-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g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j=1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g</m:t>
                          </m:r>
                        </m:sub>
                      </m:sSub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0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i,j</m:t>
                          </m:r>
                        </m:e>
                      </m:d>
                    </m:e>
                  </m:nary>
                </m:e>
              </m:nary>
              <m:func>
                <m:funcPr>
                  <m:ctrlPr>
                    <w:rPr>
                      <w:rFonts w:ascii="Cambria Math" w:hAnsi="Cambria Math"/>
                      <w:szCs w:val="2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0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(i,j)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 xml:space="preserve"> </m:t>
              </m:r>
            </m:oMath>
            <w:r w:rsidRPr="00B51BD1">
              <w:rPr>
                <w:rFonts w:ascii="Times New Roman" w:hAnsi="Times New Roman"/>
                <w:szCs w:val="20"/>
              </w:rPr>
              <w:t xml:space="preserve">is the entropy of </w:t>
            </w:r>
            <m:oMath>
              <m:r>
                <m:rPr>
                  <m:sty m:val="b"/>
                </m:rPr>
                <w:rPr>
                  <w:rFonts w:ascii="Cambria Math" w:hAnsi="Cambria Math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i,j</m:t>
                  </m:r>
                </m:e>
              </m:d>
            </m:oMath>
          </w:p>
          <w:p w:rsidR="005D05B9" w:rsidRPr="00D2166D" w:rsidRDefault="00D2166D" w:rsidP="00D2166D">
            <w:pPr>
              <w:wordWrap/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HXY1=-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g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j=1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g</m:t>
                          </m:r>
                        </m:sub>
                      </m:sSub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0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i,j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log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x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i</m:t>
                              </m:r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y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j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)</m:t>
                          </m:r>
                        </m:e>
                      </m:func>
                    </m:e>
                  </m:nary>
                </m:e>
              </m:nary>
            </m:oMath>
            <w:r w:rsidRPr="00B51BD1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 w:val="restar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05B9">
              <w:rPr>
                <w:rFonts w:ascii="Times New Roman" w:hAnsi="Times New Roman" w:cs="Times New Roman"/>
                <w:b/>
                <w:szCs w:val="20"/>
              </w:rPr>
              <w:t>Higher order features</w:t>
            </w:r>
          </w:p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(</w:t>
            </w:r>
            <w:r w:rsidR="00DF2FF3">
              <w:rPr>
                <w:rFonts w:ascii="Times New Roman" w:hAnsi="Times New Roman" w:cs="Times New Roman" w:hint="eastAsia"/>
                <w:szCs w:val="20"/>
              </w:rPr>
              <w:t>ISZ</w:t>
            </w:r>
            <w:r w:rsidRPr="005D05B9">
              <w:rPr>
                <w:rFonts w:ascii="Times New Roman" w:hAnsi="Times New Roman" w:cs="Times New Roman"/>
                <w:szCs w:val="20"/>
              </w:rPr>
              <w:t xml:space="preserve"> based features)</w:t>
            </w: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Size-zone variability</w:t>
            </w:r>
          </w:p>
        </w:tc>
        <w:tc>
          <w:tcPr>
            <w:tcW w:w="2044" w:type="pct"/>
            <w:gridSpan w:val="2"/>
            <w:vAlign w:val="center"/>
          </w:tcPr>
          <w:p w:rsidR="005D05B9" w:rsidRPr="005D05B9" w:rsidRDefault="00996170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Θ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m=1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M</m:t>
                        </m:r>
                      </m:sup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naryPr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n=1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N</m:t>
                                </m:r>
                              </m:sup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m,n</m:t>
                                    </m:r>
                                  </m:e>
                                </m:d>
                              </m:e>
                            </m:nary>
                          </m:e>
                        </m:d>
                      </m:e>
                    </m:nary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36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Variability in the size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Intensity variability</w:t>
            </w:r>
          </w:p>
        </w:tc>
        <w:tc>
          <w:tcPr>
            <w:tcW w:w="2044" w:type="pct"/>
            <w:gridSpan w:val="2"/>
            <w:vAlign w:val="center"/>
          </w:tcPr>
          <w:p w:rsidR="005D05B9" w:rsidRPr="005D05B9" w:rsidRDefault="00996170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Θ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sup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naryPr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m=1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M</m:t>
                                </m:r>
                              </m:sup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m,n</m:t>
                                    </m:r>
                                  </m:e>
                                </m:d>
                              </m:e>
                            </m:nary>
                          </m:e>
                        </m:d>
                      </m:e>
                    </m:nary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36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Variability in the intensity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45" w:type="pct"/>
            <w:gridSpan w:val="4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eastAsiaTheme="minorHAnsi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szCs w:val="20"/>
                </w:rPr>
                <m:t>P</m:t>
              </m:r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HAnsi" w:hAnsi="Cambria Math" w:cs="Times New Roman"/>
                      <w:szCs w:val="20"/>
                    </w:rPr>
                    <m:t>m,n</m:t>
                  </m:r>
                </m:e>
              </m:d>
            </m:oMath>
            <w:r w:rsidRPr="005D05B9">
              <w:rPr>
                <w:rFonts w:ascii="Times New Roman" w:eastAsiaTheme="minorHAnsi" w:hAnsi="Times New Roman" w:cs="Times New Roman"/>
                <w:szCs w:val="20"/>
              </w:rPr>
              <w:t xml:space="preserve"> is the intensity size zone matrix </w:t>
            </w:r>
          </w:p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Cs w:val="20"/>
                </w:rPr>
                <m:t>Θ</m:t>
              </m:r>
            </m:oMath>
            <w:r w:rsidRPr="005D05B9">
              <w:rPr>
                <w:rFonts w:ascii="Times New Roman" w:eastAsiaTheme="minorHAnsi" w:hAnsi="Times New Roman" w:cs="Times New Roman"/>
                <w:szCs w:val="20"/>
              </w:rPr>
              <w:t xml:space="preserve"> represents the number of homogeneous areas in tumor,</w:t>
            </w:r>
          </w:p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m:oMath>
              <m:r>
                <w:rPr>
                  <w:rFonts w:ascii="Cambria Math" w:eastAsiaTheme="minorHAnsi" w:hAnsi="Cambria Math" w:cs="Times New Roman"/>
                  <w:szCs w:val="20"/>
                </w:rPr>
                <m:t>M</m:t>
              </m:r>
            </m:oMath>
            <w:r w:rsidRPr="005D05B9">
              <w:rPr>
                <w:rFonts w:ascii="Times New Roman" w:eastAsiaTheme="minorHAnsi" w:hAnsi="Times New Roman" w:cs="Times New Roman"/>
                <w:szCs w:val="20"/>
              </w:rPr>
              <w:t xml:space="preserve"> is the number of distinct intensity values,</w:t>
            </w:r>
          </w:p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>
              <m:r>
                <w:rPr>
                  <w:rFonts w:ascii="Cambria Math" w:eastAsiaTheme="minorHAnsi" w:hAnsi="Cambria Math" w:cs="Times New Roman"/>
                  <w:szCs w:val="20"/>
                </w:rPr>
                <w:lastRenderedPageBreak/>
                <m:t>N</m:t>
              </m:r>
            </m:oMath>
            <w:r w:rsidRPr="005D05B9">
              <w:rPr>
                <w:rFonts w:ascii="Times New Roman" w:eastAsiaTheme="minorHAnsi" w:hAnsi="Times New Roman" w:cs="Times New Roman"/>
                <w:szCs w:val="20"/>
              </w:rPr>
              <w:t xml:space="preserve"> is the size of homogeneous area in the matrix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szCs w:val="20"/>
                </w:rPr>
                <m:t>P</m:t>
              </m:r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HAnsi" w:hAnsi="Cambria Math" w:cs="Times New Roman"/>
                      <w:szCs w:val="20"/>
                    </w:rPr>
                    <m:t>m,n</m:t>
                  </m:r>
                </m:e>
              </m:d>
            </m:oMath>
          </w:p>
        </w:tc>
      </w:tr>
      <w:tr w:rsidR="005D05B9" w:rsidRPr="005D05B9" w:rsidTr="00D2166D">
        <w:tc>
          <w:tcPr>
            <w:tcW w:w="626" w:type="pct"/>
            <w:vMerge w:val="restar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05B9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Morphological features</w:t>
            </w:r>
          </w:p>
        </w:tc>
        <w:tc>
          <w:tcPr>
            <w:tcW w:w="629" w:type="pct"/>
            <w:vMerge w:val="restar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05B9">
              <w:rPr>
                <w:rFonts w:ascii="Times New Roman" w:hAnsi="Times New Roman" w:cs="Times New Roman"/>
                <w:b/>
                <w:szCs w:val="20"/>
              </w:rPr>
              <w:t>Shape and Size based features</w:t>
            </w: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Compactness</w:t>
            </w:r>
          </w:p>
        </w:tc>
        <w:tc>
          <w:tcPr>
            <w:tcW w:w="2044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Compactness=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V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π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Where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 xml:space="preserve">  V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denote the volume and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A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denote the surface area of the volume of interest (VOI)</w:t>
            </w:r>
          </w:p>
        </w:tc>
        <w:tc>
          <w:tcPr>
            <w:tcW w:w="836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eastAsiaTheme="minorHAnsi" w:hAnsi="Times New Roman" w:cs="Times New Roman"/>
                <w:szCs w:val="20"/>
              </w:rPr>
              <w:t>Quantifies how close an object to the smoothest shape, the circle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Surface area</w:t>
            </w:r>
          </w:p>
        </w:tc>
        <w:tc>
          <w:tcPr>
            <w:tcW w:w="2044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SA=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2</m:t>
                        </m:r>
                      </m:den>
                    </m:f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N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is the total number triangle (coved surface area) and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a,b, c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are edge vectors</w:t>
            </w:r>
          </w:p>
        </w:tc>
        <w:tc>
          <w:tcPr>
            <w:tcW w:w="836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eastAsiaTheme="minorHAnsi" w:hAnsi="Times New Roman" w:cs="Times New Roman"/>
                <w:szCs w:val="20"/>
              </w:rPr>
              <w:t xml:space="preserve">The surface area of the ROI 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Convexity</w:t>
            </w:r>
          </w:p>
        </w:tc>
        <w:tc>
          <w:tcPr>
            <w:tcW w:w="2044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Convexity=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V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V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'</m:t>
                        </m:r>
                      </m:sup>
                    </m:sSup>
                  </m:den>
                </m:f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D05B9">
              <w:rPr>
                <w:rFonts w:ascii="Times New Roman" w:eastAsia="맑은 고딕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V</m:t>
              </m:r>
            </m:oMath>
            <w:r w:rsidRPr="005D05B9">
              <w:rPr>
                <w:rFonts w:ascii="Times New Roman" w:eastAsia="맑은 고딕" w:hAnsi="Times New Roman" w:cs="Times New Roman"/>
                <w:szCs w:val="20"/>
              </w:rPr>
              <w:t xml:space="preserve"> denote tumor volume and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'</m:t>
                  </m:r>
                </m:sup>
              </m:sSup>
            </m:oMath>
            <w:r w:rsidRPr="005D05B9">
              <w:rPr>
                <w:rFonts w:ascii="Times New Roman" w:eastAsia="맑은 고딕" w:hAnsi="Times New Roman" w:cs="Times New Roman"/>
                <w:szCs w:val="20"/>
              </w:rPr>
              <w:t xml:space="preserve"> denote convex hull volume</w:t>
            </w:r>
          </w:p>
        </w:tc>
        <w:tc>
          <w:tcPr>
            <w:tcW w:w="836" w:type="pct"/>
            <w:vAlign w:val="center"/>
          </w:tcPr>
          <w:p w:rsidR="005D05B9" w:rsidRPr="005D05B9" w:rsidRDefault="005D05B9" w:rsidP="00D2166D">
            <w:pPr>
              <w:wordWrap/>
              <w:adjustRightInd w:val="0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kern w:val="0"/>
                <w:szCs w:val="20"/>
              </w:rPr>
              <w:t>Measures ratio of the ROI volume contained within the tumor to the calculated convex hull volume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Sphericity</w:t>
            </w:r>
          </w:p>
        </w:tc>
        <w:tc>
          <w:tcPr>
            <w:tcW w:w="2044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Sphericity=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36π×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(V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)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3</m:t>
                            </m:r>
                          </m:den>
                        </m:f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A</m:t>
                    </m:r>
                  </m:den>
                </m:f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A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denote area and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V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denote tumor volume</w:t>
            </w:r>
          </w:p>
        </w:tc>
        <w:tc>
          <w:tcPr>
            <w:tcW w:w="836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Measures of the roundness of the ROI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Maximum 3D diameter</w:t>
            </w:r>
          </w:p>
        </w:tc>
        <w:tc>
          <w:tcPr>
            <w:tcW w:w="2044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D05B9">
              <w:rPr>
                <w:rFonts w:ascii="Times New Roman" w:eastAsia="맑은 고딕" w:hAnsi="Times New Roman" w:cs="Times New Roman"/>
                <w:szCs w:val="20"/>
              </w:rPr>
              <w:t>See description in the next column</w:t>
            </w:r>
          </w:p>
        </w:tc>
        <w:tc>
          <w:tcPr>
            <w:tcW w:w="836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Measures of the maximum 3D ROI diameter. It is measured as the largest pairwise Euclidean distance, between surface voxels of the ROI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Spherical disproportion</w:t>
            </w:r>
          </w:p>
        </w:tc>
        <w:tc>
          <w:tcPr>
            <w:tcW w:w="2044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Spherical disproportion=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4π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R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is the radius of a sphere with the same volume as the ROI</w:t>
            </w:r>
          </w:p>
        </w:tc>
        <w:tc>
          <w:tcPr>
            <w:tcW w:w="836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The ratio of the surface area of the ROI to the surface area of a sphere with the same volume as the ROI</w:t>
            </w:r>
          </w:p>
        </w:tc>
      </w:tr>
      <w:tr w:rsidR="005D05B9" w:rsidRPr="005D05B9" w:rsidTr="00D2166D"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Surface to volume ratio (SVR)</w:t>
            </w:r>
          </w:p>
        </w:tc>
        <w:tc>
          <w:tcPr>
            <w:tcW w:w="2044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SVR=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V</m:t>
                    </m:r>
                  </m:den>
                </m:f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A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is area and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V</m:t>
              </m:r>
            </m:oMath>
            <w:r w:rsidRPr="005D05B9">
              <w:rPr>
                <w:rFonts w:ascii="Times New Roman" w:hAnsi="Times New Roman" w:cs="Times New Roman"/>
                <w:szCs w:val="20"/>
              </w:rPr>
              <w:t xml:space="preserve"> is volume</w:t>
            </w:r>
          </w:p>
        </w:tc>
        <w:tc>
          <w:tcPr>
            <w:tcW w:w="836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eastAsiaTheme="minorHAnsi" w:hAnsi="Times New Roman" w:cs="Times New Roman"/>
                <w:szCs w:val="20"/>
              </w:rPr>
              <w:t xml:space="preserve">Surface to volume ratio </w:t>
            </w:r>
          </w:p>
        </w:tc>
      </w:tr>
      <w:tr w:rsidR="005D05B9" w:rsidRPr="005D05B9" w:rsidTr="00D2166D">
        <w:trPr>
          <w:trHeight w:val="940"/>
        </w:trPr>
        <w:tc>
          <w:tcPr>
            <w:tcW w:w="626" w:type="pct"/>
            <w:vMerge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b/>
                <w:szCs w:val="20"/>
              </w:rPr>
              <w:t>Physical based features</w:t>
            </w:r>
          </w:p>
        </w:tc>
        <w:tc>
          <w:tcPr>
            <w:tcW w:w="865" w:type="pct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D05B9">
              <w:rPr>
                <w:rFonts w:ascii="Times New Roman" w:hAnsi="Times New Roman" w:cs="Times New Roman"/>
                <w:szCs w:val="20"/>
              </w:rPr>
              <w:t>Volume</w:t>
            </w:r>
          </w:p>
        </w:tc>
        <w:tc>
          <w:tcPr>
            <w:tcW w:w="2044" w:type="pct"/>
            <w:gridSpan w:val="2"/>
            <w:vAlign w:val="center"/>
          </w:tcPr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Volume=R*number of voxels</m:t>
                </m:r>
              </m:oMath>
            </m:oMathPara>
          </w:p>
          <w:p w:rsidR="005D05B9" w:rsidRPr="005D05B9" w:rsidRDefault="005D05B9" w:rsidP="00D2166D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D05B9">
              <w:rPr>
                <w:rFonts w:ascii="Times New Roman" w:eastAsia="맑은 고딕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eastAsia="맑은 고딕" w:hAnsi="Cambria Math" w:cs="Times New Roman"/>
                  <w:szCs w:val="20"/>
                </w:rPr>
                <m:t>R</m:t>
              </m:r>
            </m:oMath>
            <w:r w:rsidRPr="005D05B9">
              <w:rPr>
                <w:rFonts w:ascii="Times New Roman" w:eastAsia="맑은 고딕" w:hAnsi="Times New Roman" w:cs="Times New Roman"/>
                <w:szCs w:val="20"/>
              </w:rPr>
              <w:t xml:space="preserve"> denote the 3d image resolution</w:t>
            </w:r>
          </w:p>
        </w:tc>
        <w:tc>
          <w:tcPr>
            <w:tcW w:w="836" w:type="pct"/>
            <w:vAlign w:val="center"/>
          </w:tcPr>
          <w:p w:rsidR="005D05B9" w:rsidRPr="005D05B9" w:rsidRDefault="005D05B9" w:rsidP="005D05B9">
            <w:pPr>
              <w:keepNext/>
              <w:rPr>
                <w:rFonts w:ascii="Times New Roman" w:eastAsiaTheme="minorHAnsi" w:hAnsi="Times New Roman" w:cs="Times New Roman"/>
                <w:szCs w:val="20"/>
              </w:rPr>
            </w:pPr>
            <w:r w:rsidRPr="005D05B9">
              <w:rPr>
                <w:rFonts w:ascii="Times New Roman" w:eastAsiaTheme="minorHAnsi" w:hAnsi="Times New Roman" w:cs="Times New Roman"/>
                <w:szCs w:val="20"/>
              </w:rPr>
              <w:t>Volume of tumor (ROI)</w:t>
            </w:r>
          </w:p>
        </w:tc>
      </w:tr>
    </w:tbl>
    <w:p w:rsidR="005D05B9" w:rsidRPr="005D05B9" w:rsidRDefault="005D05B9" w:rsidP="003066A3">
      <w:pPr>
        <w:keepNext/>
        <w:rPr>
          <w:rFonts w:ascii="Times New Roman" w:hAnsi="Times New Roman" w:cs="Times New Roman"/>
        </w:rPr>
      </w:pPr>
      <w:bookmarkStart w:id="0" w:name="_GoBack"/>
      <w:bookmarkEnd w:id="0"/>
    </w:p>
    <w:sectPr w:rsidR="005D05B9" w:rsidRPr="005D05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70" w:rsidRDefault="00996170" w:rsidP="000679F6">
      <w:pPr>
        <w:spacing w:after="0" w:line="240" w:lineRule="auto"/>
      </w:pPr>
      <w:r>
        <w:separator/>
      </w:r>
    </w:p>
  </w:endnote>
  <w:endnote w:type="continuationSeparator" w:id="0">
    <w:p w:rsidR="00996170" w:rsidRDefault="00996170" w:rsidP="0006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70" w:rsidRDefault="00996170" w:rsidP="000679F6">
      <w:pPr>
        <w:spacing w:after="0" w:line="240" w:lineRule="auto"/>
      </w:pPr>
      <w:r>
        <w:separator/>
      </w:r>
    </w:p>
  </w:footnote>
  <w:footnote w:type="continuationSeparator" w:id="0">
    <w:p w:rsidR="00996170" w:rsidRDefault="00996170" w:rsidP="00067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354B"/>
    <w:multiLevelType w:val="hybridMultilevel"/>
    <w:tmpl w:val="9FD40480"/>
    <w:lvl w:ilvl="0" w:tplc="8E98E3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tTAxNTcwNTM0NLVQ0lEKTi0uzszPAykwrgUAZxgXFCwAAAA="/>
  </w:docVars>
  <w:rsids>
    <w:rsidRoot w:val="0081305D"/>
    <w:rsid w:val="00003B55"/>
    <w:rsid w:val="00060A14"/>
    <w:rsid w:val="000679F6"/>
    <w:rsid w:val="00137AEE"/>
    <w:rsid w:val="003066A3"/>
    <w:rsid w:val="00366143"/>
    <w:rsid w:val="005C657E"/>
    <w:rsid w:val="005D05B9"/>
    <w:rsid w:val="00693416"/>
    <w:rsid w:val="007F1592"/>
    <w:rsid w:val="0081305D"/>
    <w:rsid w:val="00830E8B"/>
    <w:rsid w:val="008362B8"/>
    <w:rsid w:val="008A1231"/>
    <w:rsid w:val="008B7AA4"/>
    <w:rsid w:val="00996170"/>
    <w:rsid w:val="009F110C"/>
    <w:rsid w:val="00BB0750"/>
    <w:rsid w:val="00C84DC2"/>
    <w:rsid w:val="00D2166D"/>
    <w:rsid w:val="00DF2FF3"/>
    <w:rsid w:val="00F762AF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6E558-0EB2-4699-B9EE-7532203A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5D"/>
    <w:pPr>
      <w:ind w:leftChars="400" w:left="800"/>
    </w:pPr>
  </w:style>
  <w:style w:type="table" w:styleId="a4">
    <w:name w:val="Table Grid"/>
    <w:basedOn w:val="a1"/>
    <w:uiPriority w:val="39"/>
    <w:rsid w:val="0081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풍선 도움말 텍스트 Char"/>
    <w:basedOn w:val="a0"/>
    <w:link w:val="a5"/>
    <w:uiPriority w:val="99"/>
    <w:semiHidden/>
    <w:rsid w:val="008130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8130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머리글 Char"/>
    <w:basedOn w:val="a0"/>
    <w:link w:val="a6"/>
    <w:uiPriority w:val="99"/>
    <w:rsid w:val="0081305D"/>
  </w:style>
  <w:style w:type="paragraph" w:styleId="a6">
    <w:name w:val="header"/>
    <w:basedOn w:val="a"/>
    <w:link w:val="Char0"/>
    <w:uiPriority w:val="99"/>
    <w:unhideWhenUsed/>
    <w:rsid w:val="0081305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1305D"/>
  </w:style>
  <w:style w:type="paragraph" w:styleId="a7">
    <w:name w:val="footer"/>
    <w:basedOn w:val="a"/>
    <w:link w:val="Char1"/>
    <w:uiPriority w:val="99"/>
    <w:unhideWhenUsed/>
    <w:rsid w:val="0081305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메모 텍스트 Char"/>
    <w:basedOn w:val="a0"/>
    <w:link w:val="a8"/>
    <w:uiPriority w:val="99"/>
    <w:rsid w:val="0081305D"/>
  </w:style>
  <w:style w:type="paragraph" w:styleId="a8">
    <w:name w:val="annotation text"/>
    <w:basedOn w:val="a"/>
    <w:link w:val="Char2"/>
    <w:uiPriority w:val="99"/>
    <w:unhideWhenUsed/>
    <w:rsid w:val="0081305D"/>
    <w:pPr>
      <w:jc w:val="left"/>
    </w:pPr>
  </w:style>
  <w:style w:type="character" w:customStyle="1" w:styleId="Char3">
    <w:name w:val="메모 주제 Char"/>
    <w:basedOn w:val="Char2"/>
    <w:link w:val="a9"/>
    <w:uiPriority w:val="99"/>
    <w:semiHidden/>
    <w:rsid w:val="0081305D"/>
    <w:rPr>
      <w:b/>
      <w:bCs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1305D"/>
    <w:rPr>
      <w:b/>
      <w:bCs/>
    </w:rPr>
  </w:style>
  <w:style w:type="character" w:styleId="aa">
    <w:name w:val="Placeholder Text"/>
    <w:basedOn w:val="a0"/>
    <w:uiPriority w:val="99"/>
    <w:semiHidden/>
    <w:rsid w:val="00BB0750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5D05B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</dc:creator>
  <cp:keywords/>
  <dc:description/>
  <cp:lastModifiedBy>Park Hyunjin</cp:lastModifiedBy>
  <cp:revision>12</cp:revision>
  <dcterms:created xsi:type="dcterms:W3CDTF">2017-02-09T02:13:00Z</dcterms:created>
  <dcterms:modified xsi:type="dcterms:W3CDTF">2018-08-06T01:01:00Z</dcterms:modified>
</cp:coreProperties>
</file>