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FE4" w:rsidRPr="00F35134" w:rsidRDefault="00844FE4" w:rsidP="00844FE4">
      <w:pPr>
        <w:pStyle w:val="Heading2"/>
        <w:rPr>
          <w:rFonts w:ascii="Times New Roman" w:hAnsi="Times New Roman" w:cs="Times New Roman"/>
          <w:color w:val="auto"/>
          <w:sz w:val="24"/>
          <w:szCs w:val="24"/>
        </w:rPr>
      </w:pPr>
      <w:r w:rsidRPr="00F35134">
        <w:rPr>
          <w:rFonts w:ascii="Times New Roman" w:hAnsi="Times New Roman" w:cs="Times New Roman"/>
          <w:color w:val="auto"/>
          <w:sz w:val="24"/>
          <w:szCs w:val="24"/>
        </w:rPr>
        <w:t xml:space="preserve">Supplement 2: Laboratory protocols </w:t>
      </w:r>
    </w:p>
    <w:p w:rsidR="00844FE4" w:rsidRPr="00F35134" w:rsidRDefault="00844FE4" w:rsidP="00844FE4">
      <w:pPr>
        <w:rPr>
          <w:rFonts w:ascii="Times New Roman" w:hAnsi="Times New Roman" w:cs="Times New Roman"/>
          <w:sz w:val="24"/>
          <w:szCs w:val="24"/>
        </w:rPr>
      </w:pPr>
    </w:p>
    <w:p w:rsidR="00844FE4" w:rsidRPr="00F35134" w:rsidRDefault="00844FE4" w:rsidP="00844FE4">
      <w:pPr>
        <w:pStyle w:val="Heading4"/>
        <w:spacing w:line="480" w:lineRule="auto"/>
        <w:rPr>
          <w:rFonts w:ascii="Times New Roman" w:hAnsi="Times New Roman" w:cs="Times New Roman"/>
          <w:color w:val="auto"/>
          <w:sz w:val="24"/>
          <w:szCs w:val="24"/>
        </w:rPr>
      </w:pPr>
      <w:r w:rsidRPr="00F35134">
        <w:rPr>
          <w:rFonts w:ascii="Times New Roman" w:hAnsi="Times New Roman" w:cs="Times New Roman"/>
          <w:color w:val="auto"/>
          <w:sz w:val="24"/>
          <w:szCs w:val="24"/>
        </w:rPr>
        <w:t>DNA microsatellite genotyping</w:t>
      </w:r>
    </w:p>
    <w:p w:rsidR="00844FE4" w:rsidRPr="00F35134" w:rsidRDefault="00844FE4" w:rsidP="00844FE4">
      <w:pPr>
        <w:spacing w:line="480" w:lineRule="auto"/>
        <w:rPr>
          <w:rFonts w:ascii="Times New Roman" w:hAnsi="Times New Roman" w:cs="Times New Roman"/>
          <w:sz w:val="24"/>
          <w:szCs w:val="24"/>
        </w:rPr>
      </w:pPr>
      <w:r w:rsidRPr="00F35134">
        <w:rPr>
          <w:rFonts w:ascii="Times New Roman" w:hAnsi="Times New Roman" w:cs="Times New Roman"/>
          <w:sz w:val="24"/>
          <w:szCs w:val="24"/>
        </w:rPr>
        <w:t xml:space="preserve">Fourteen DNA microsatellite loci were amplified with a forward primer labelled with fluorescent dye and a non-labelled reverse primer. Primers were pooled in four multiplex panels with 3-5 loci each. The primer dilutions were optimized for each panel based on the amplification results of preliminary analyses. Primer details for each panel are presented in Table 1. The primers were added to 5 </w:t>
      </w:r>
      <w:proofErr w:type="spellStart"/>
      <w:r w:rsidRPr="00F35134">
        <w:rPr>
          <w:rFonts w:ascii="Times New Roman" w:hAnsi="Times New Roman" w:cs="Times New Roman"/>
          <w:sz w:val="24"/>
          <w:szCs w:val="24"/>
        </w:rPr>
        <w:t>μl</w:t>
      </w:r>
      <w:proofErr w:type="spellEnd"/>
      <w:r w:rsidRPr="00F35134">
        <w:rPr>
          <w:rFonts w:ascii="Times New Roman" w:hAnsi="Times New Roman" w:cs="Times New Roman"/>
          <w:sz w:val="24"/>
          <w:szCs w:val="24"/>
        </w:rPr>
        <w:t xml:space="preserve"> of Type-it Microsatellite PCR solution (</w:t>
      </w:r>
      <w:proofErr w:type="spellStart"/>
      <w:r w:rsidRPr="00F35134">
        <w:rPr>
          <w:rFonts w:ascii="Times New Roman" w:hAnsi="Times New Roman" w:cs="Times New Roman"/>
          <w:sz w:val="24"/>
          <w:szCs w:val="24"/>
        </w:rPr>
        <w:t>Qiagen</w:t>
      </w:r>
      <w:proofErr w:type="spellEnd"/>
      <w:r w:rsidRPr="00F35134">
        <w:rPr>
          <w:rFonts w:ascii="Times New Roman" w:hAnsi="Times New Roman" w:cs="Times New Roman"/>
          <w:sz w:val="24"/>
          <w:szCs w:val="24"/>
        </w:rPr>
        <w:t xml:space="preserve">) and 1 </w:t>
      </w:r>
      <w:proofErr w:type="spellStart"/>
      <w:r w:rsidRPr="00F35134">
        <w:rPr>
          <w:rFonts w:ascii="Times New Roman" w:hAnsi="Times New Roman" w:cs="Times New Roman"/>
          <w:sz w:val="24"/>
          <w:szCs w:val="24"/>
        </w:rPr>
        <w:t>μl</w:t>
      </w:r>
      <w:proofErr w:type="spellEnd"/>
      <w:r w:rsidRPr="00F35134">
        <w:rPr>
          <w:rFonts w:ascii="Times New Roman" w:hAnsi="Times New Roman" w:cs="Times New Roman"/>
          <w:sz w:val="24"/>
          <w:szCs w:val="24"/>
        </w:rPr>
        <w:t xml:space="preserve"> of undiluted sample DNA, and the reaction volume was adjusted to 10 </w:t>
      </w:r>
      <w:proofErr w:type="spellStart"/>
      <w:r w:rsidRPr="00F35134">
        <w:rPr>
          <w:rFonts w:ascii="Times New Roman" w:hAnsi="Times New Roman" w:cs="Times New Roman"/>
          <w:sz w:val="24"/>
          <w:szCs w:val="24"/>
        </w:rPr>
        <w:t>μl</w:t>
      </w:r>
      <w:proofErr w:type="spellEnd"/>
      <w:r w:rsidRPr="00F35134">
        <w:rPr>
          <w:rFonts w:ascii="Times New Roman" w:hAnsi="Times New Roman" w:cs="Times New Roman"/>
          <w:sz w:val="24"/>
          <w:szCs w:val="24"/>
        </w:rPr>
        <w:t xml:space="preserve"> with </w:t>
      </w:r>
      <w:proofErr w:type="spellStart"/>
      <w:r w:rsidRPr="00F35134">
        <w:rPr>
          <w:rFonts w:ascii="Times New Roman" w:hAnsi="Times New Roman" w:cs="Times New Roman"/>
          <w:sz w:val="24"/>
          <w:szCs w:val="24"/>
        </w:rPr>
        <w:t>MilliQ</w:t>
      </w:r>
      <w:proofErr w:type="spellEnd"/>
      <w:r w:rsidRPr="00F35134">
        <w:rPr>
          <w:rFonts w:ascii="Times New Roman" w:hAnsi="Times New Roman" w:cs="Times New Roman"/>
          <w:sz w:val="24"/>
          <w:szCs w:val="24"/>
        </w:rPr>
        <w:t xml:space="preserve"> water.</w:t>
      </w:r>
    </w:p>
    <w:p w:rsidR="00844FE4" w:rsidRPr="00F35134" w:rsidRDefault="00844FE4" w:rsidP="00844FE4">
      <w:pPr>
        <w:pStyle w:val="Heading3"/>
        <w:spacing w:line="480" w:lineRule="auto"/>
        <w:rPr>
          <w:rFonts w:ascii="Times New Roman" w:hAnsi="Times New Roman" w:cs="Times New Roman"/>
          <w:color w:val="auto"/>
        </w:rPr>
      </w:pPr>
      <w:r w:rsidRPr="00F35134">
        <w:rPr>
          <w:rFonts w:ascii="Times New Roman" w:hAnsi="Times New Roman" w:cs="Times New Roman"/>
          <w:color w:val="auto"/>
        </w:rPr>
        <w:t xml:space="preserve">The following PCR protocol was used for all panels: initial denaturation at 95˚C for 5 minutes; 29 cycles at 95˚C for 30 seconds, 57˚C for 90 seconds and 72˚C for 30 seconds; and final elongation at 60˚C for 30 minutes. PCR products were diluted 1/200 and analyzed in a 3730 ABI 3730 DNA analyzer using </w:t>
      </w:r>
      <w:proofErr w:type="spellStart"/>
      <w:r w:rsidRPr="00F35134">
        <w:rPr>
          <w:rFonts w:ascii="Times New Roman" w:hAnsi="Times New Roman" w:cs="Times New Roman"/>
          <w:color w:val="auto"/>
        </w:rPr>
        <w:t>formamide</w:t>
      </w:r>
      <w:proofErr w:type="spellEnd"/>
      <w:r w:rsidRPr="00F35134">
        <w:rPr>
          <w:rFonts w:ascii="Times New Roman" w:hAnsi="Times New Roman" w:cs="Times New Roman"/>
          <w:color w:val="auto"/>
        </w:rPr>
        <w:t xml:space="preserve"> as the buffer and </w:t>
      </w:r>
      <w:proofErr w:type="spellStart"/>
      <w:r w:rsidRPr="00F35134">
        <w:rPr>
          <w:rFonts w:ascii="Times New Roman" w:hAnsi="Times New Roman" w:cs="Times New Roman"/>
          <w:color w:val="auto"/>
        </w:rPr>
        <w:t>GeneScan</w:t>
      </w:r>
      <w:proofErr w:type="spellEnd"/>
      <w:r w:rsidRPr="00F35134">
        <w:rPr>
          <w:rFonts w:ascii="Times New Roman" w:hAnsi="Times New Roman" w:cs="Times New Roman"/>
          <w:color w:val="auto"/>
        </w:rPr>
        <w:t xml:space="preserve"> 500 ROX (</w:t>
      </w:r>
      <w:proofErr w:type="spellStart"/>
      <w:r w:rsidRPr="00F35134">
        <w:rPr>
          <w:rFonts w:ascii="Times New Roman" w:hAnsi="Times New Roman" w:cs="Times New Roman"/>
          <w:color w:val="auto"/>
        </w:rPr>
        <w:t>Thermo</w:t>
      </w:r>
      <w:proofErr w:type="spellEnd"/>
      <w:r w:rsidRPr="00F35134">
        <w:rPr>
          <w:rFonts w:ascii="Times New Roman" w:hAnsi="Times New Roman" w:cs="Times New Roman"/>
          <w:color w:val="auto"/>
        </w:rPr>
        <w:t xml:space="preserve"> Fisher Scientific) as the size standard.</w:t>
      </w:r>
    </w:p>
    <w:p w:rsidR="00844FE4" w:rsidRPr="00F35134" w:rsidRDefault="00844FE4" w:rsidP="00844FE4">
      <w:pPr>
        <w:rPr>
          <w:rFonts w:ascii="Times New Roman" w:hAnsi="Times New Roman" w:cs="Times New Roman"/>
          <w:sz w:val="24"/>
          <w:szCs w:val="24"/>
        </w:rPr>
      </w:pPr>
    </w:p>
    <w:p w:rsidR="00844FE4" w:rsidRPr="00F35134" w:rsidRDefault="00844FE4" w:rsidP="00844FE4">
      <w:pPr>
        <w:pStyle w:val="Heading4"/>
        <w:spacing w:line="480" w:lineRule="auto"/>
        <w:rPr>
          <w:rFonts w:ascii="Times New Roman" w:hAnsi="Times New Roman" w:cs="Times New Roman"/>
          <w:color w:val="auto"/>
          <w:sz w:val="24"/>
          <w:szCs w:val="24"/>
        </w:rPr>
      </w:pPr>
      <w:proofErr w:type="spellStart"/>
      <w:proofErr w:type="gramStart"/>
      <w:r w:rsidRPr="00F35134">
        <w:rPr>
          <w:rFonts w:ascii="Times New Roman" w:hAnsi="Times New Roman" w:cs="Times New Roman"/>
          <w:color w:val="auto"/>
          <w:sz w:val="24"/>
          <w:szCs w:val="24"/>
        </w:rPr>
        <w:t>mtDNA</w:t>
      </w:r>
      <w:proofErr w:type="spellEnd"/>
      <w:proofErr w:type="gramEnd"/>
      <w:r w:rsidRPr="00F35134">
        <w:rPr>
          <w:rFonts w:ascii="Times New Roman" w:hAnsi="Times New Roman" w:cs="Times New Roman"/>
          <w:color w:val="auto"/>
          <w:sz w:val="24"/>
          <w:szCs w:val="24"/>
        </w:rPr>
        <w:t xml:space="preserve"> sequencing for DNA barcoding</w:t>
      </w:r>
    </w:p>
    <w:p w:rsidR="00844FE4" w:rsidRDefault="00844FE4" w:rsidP="00844FE4">
      <w:pPr>
        <w:tabs>
          <w:tab w:val="left" w:pos="4035"/>
        </w:tabs>
        <w:spacing w:line="480" w:lineRule="auto"/>
        <w:rPr>
          <w:rFonts w:ascii="Times New Roman" w:hAnsi="Times New Roman" w:cs="Times New Roman"/>
          <w:sz w:val="24"/>
          <w:szCs w:val="24"/>
        </w:rPr>
      </w:pPr>
      <w:r w:rsidRPr="00F35134">
        <w:rPr>
          <w:rFonts w:ascii="Times New Roman" w:hAnsi="Times New Roman" w:cs="Times New Roman"/>
          <w:sz w:val="24"/>
          <w:szCs w:val="24"/>
        </w:rPr>
        <w:t xml:space="preserve">Part of the COI gene was amplified with PCR primers designed by </w:t>
      </w:r>
      <w:r w:rsidRPr="00F35134">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{"citationItems":[{"id":"ITEM-1","itemData":{"ISBN":"1994-4136","ISSN":"19944136","abstract":"Species identification forms the basis for understanding the diversity of the living world, but it is also a prerequisite for understanding many evolutionary patterns and processes. The most promising approach for correctly delimiting and identifying species is to integrate many types of information in the same study. Our aim was to test how cuticular hydro- carbons, traditional morphometrics, genetic polymorphisms in nuclear markers (allozymes and DNA microsatellites) and DNA barcoding (partial mitochondrial COI gene) perform in delimiting species. As an example, we used two closely related Formica ants, F. fusca and F. lemani, sampled from a sympatric population in the northern part of their distribu- tion. Morphological characters vary and overlap in different parts of their distribution areas, but cuticular hydrocarbons include a strong taxonomic signal and our aim is to test the degree to which morphological and genetic data correspond to the chemical data. In the morphological analysis, species were best separated by the combined number of hairs on pro- notum and mesonotum, but individual workers overlapped in hair numbers, as previously noted by several authors. Nests of the two species were separated but not clustered according to species in a Principal Component Analysis made on nuclear genetic data. However, model-based Bayesian clustering resulted in perfect separation of the species and gave no indication of hybridization. Furthermore, F. lemani and F. fusca did not share any mitochondrial haplotypes, and the species were perfectly separated in a phylogenetic tree. We conclude that F. fusca and F. lemani are valid species that can be separated in our study area relatively well with all methods employed. However, the unusually small genetic differen- tiation in nuclear markers (FST = 0.12) shows that they are closely related, and occasional hybridization between F. fusca and F. lemani cannot be ruled out.","author":[{"dropping-particle":"","family":"Seppä","given":"Perttu","non-dropping-particle":"","parse-names":false,"suffix":""},{"dropping-particle":"","family":"Helanterä","given":"Heikki","non-dropping-particle":"","parse-names":false,"suffix":""},{"dropping-particle":"","family":"Trontti","given":"Kalevi","non-dropping-particle":"","parse-names":false,"suffix":""},{"dropping-particle":"","family":"Punttila","given":"Pekka","non-dropping-particle":"","parse-names":false,"suffix":""},{"dropping-particle":"","family":"Chernenko","given":"Anton","non-dropping-particle":"","parse-names":false,"suffix":""},{"dropping-particle":"","family":"Martin","given":"Stephen J.","non-dropping-particle":"","parse-names":false,"suffix":""},{"dropping-particle":"","family":"Sundström","given":"Liselotte","non-dropping-particle":"","parse-names":false,"suffix":""}],"container-title":"Myrmecological News","id":"ITEM-1","issued":{"date-parts":[["2011"]]},"page":"31-41","title":"The many ways to delimit species: Hairs, genes and surface chemistry","type":"article-journal","volume":"15"},"uris":["http://www.mendeley.com/documents/?uuid=5a2db0c5-15af-4498-9590-5e4444e49764"]}],"mendeley":{"formattedCitation":"(Seppä et al., 2011)","manualFormatting":"Seppä et al. (2011)","plainTextFormattedCitation":"(Seppä et al., 2011)","previouslyFormattedCitation":"(Seppä et al., 2011)"},"properties":{"noteIndex":0},"schema":"https://github.com/citation-style-language/schema/raw/master/csl-citation.json"}</w:instrText>
      </w:r>
      <w:r w:rsidRPr="00F35134">
        <w:rPr>
          <w:rStyle w:val="FootnoteReference"/>
          <w:rFonts w:ascii="Times New Roman" w:hAnsi="Times New Roman" w:cs="Times New Roman"/>
          <w:sz w:val="24"/>
          <w:szCs w:val="24"/>
        </w:rPr>
        <w:fldChar w:fldCharType="separate"/>
      </w:r>
      <w:r w:rsidRPr="00F35134">
        <w:rPr>
          <w:rFonts w:ascii="Times New Roman" w:hAnsi="Times New Roman" w:cs="Times New Roman"/>
          <w:noProof/>
          <w:sz w:val="24"/>
          <w:szCs w:val="24"/>
        </w:rPr>
        <w:t>Seppä et al. (2011)</w:t>
      </w:r>
      <w:r w:rsidRPr="00F35134">
        <w:rPr>
          <w:rStyle w:val="FootnoteReference"/>
          <w:rFonts w:ascii="Times New Roman" w:hAnsi="Times New Roman" w:cs="Times New Roman"/>
          <w:sz w:val="24"/>
          <w:szCs w:val="24"/>
        </w:rPr>
        <w:fldChar w:fldCharType="end"/>
      </w:r>
      <w:r w:rsidRPr="00F35134">
        <w:rPr>
          <w:rFonts w:ascii="Times New Roman" w:hAnsi="Times New Roman" w:cs="Times New Roman"/>
          <w:sz w:val="24"/>
          <w:szCs w:val="24"/>
        </w:rPr>
        <w:t xml:space="preserve"> using </w:t>
      </w:r>
      <w:proofErr w:type="spellStart"/>
      <w:r w:rsidRPr="00F35134">
        <w:rPr>
          <w:rFonts w:ascii="Times New Roman" w:hAnsi="Times New Roman" w:cs="Times New Roman"/>
          <w:sz w:val="24"/>
          <w:szCs w:val="24"/>
        </w:rPr>
        <w:t>Phusion</w:t>
      </w:r>
      <w:proofErr w:type="spellEnd"/>
      <w:r w:rsidRPr="00F35134">
        <w:rPr>
          <w:rFonts w:ascii="Times New Roman" w:hAnsi="Times New Roman" w:cs="Times New Roman"/>
          <w:sz w:val="24"/>
          <w:szCs w:val="24"/>
        </w:rPr>
        <w:t xml:space="preserve"> PCR kit (</w:t>
      </w:r>
      <w:proofErr w:type="spellStart"/>
      <w:r w:rsidRPr="00F35134">
        <w:rPr>
          <w:rFonts w:ascii="Times New Roman" w:hAnsi="Times New Roman" w:cs="Times New Roman"/>
          <w:sz w:val="24"/>
          <w:szCs w:val="24"/>
        </w:rPr>
        <w:t>Finnzymes</w:t>
      </w:r>
      <w:proofErr w:type="spellEnd"/>
      <w:r w:rsidRPr="00F35134">
        <w:rPr>
          <w:rFonts w:ascii="Times New Roman" w:hAnsi="Times New Roman" w:cs="Times New Roman"/>
          <w:sz w:val="24"/>
          <w:szCs w:val="24"/>
        </w:rPr>
        <w:t xml:space="preserve">). The 20 </w:t>
      </w:r>
      <w:proofErr w:type="spellStart"/>
      <w:r w:rsidRPr="00F35134">
        <w:rPr>
          <w:rFonts w:ascii="Times New Roman" w:hAnsi="Times New Roman" w:cs="Times New Roman"/>
          <w:sz w:val="24"/>
          <w:szCs w:val="24"/>
        </w:rPr>
        <w:t>μl</w:t>
      </w:r>
      <w:proofErr w:type="spellEnd"/>
      <w:r w:rsidRPr="00F35134">
        <w:rPr>
          <w:rFonts w:ascii="Times New Roman" w:hAnsi="Times New Roman" w:cs="Times New Roman"/>
          <w:sz w:val="24"/>
          <w:szCs w:val="24"/>
        </w:rPr>
        <w:t xml:space="preserve"> reactions included 0.1 </w:t>
      </w:r>
      <w:proofErr w:type="spellStart"/>
      <w:r w:rsidRPr="00F35134">
        <w:rPr>
          <w:rFonts w:ascii="Times New Roman" w:hAnsi="Times New Roman" w:cs="Times New Roman"/>
          <w:sz w:val="24"/>
          <w:szCs w:val="24"/>
        </w:rPr>
        <w:t>μl</w:t>
      </w:r>
      <w:proofErr w:type="spellEnd"/>
      <w:r w:rsidRPr="00F35134">
        <w:rPr>
          <w:rFonts w:ascii="Times New Roman" w:hAnsi="Times New Roman" w:cs="Times New Roman"/>
          <w:sz w:val="24"/>
          <w:szCs w:val="24"/>
        </w:rPr>
        <w:t xml:space="preserve"> of forward and 0.1 </w:t>
      </w:r>
      <w:proofErr w:type="spellStart"/>
      <w:r w:rsidRPr="00F35134">
        <w:rPr>
          <w:rFonts w:ascii="Times New Roman" w:hAnsi="Times New Roman" w:cs="Times New Roman"/>
          <w:sz w:val="24"/>
          <w:szCs w:val="24"/>
        </w:rPr>
        <w:t>μl</w:t>
      </w:r>
      <w:proofErr w:type="spellEnd"/>
      <w:r w:rsidRPr="00F35134">
        <w:rPr>
          <w:rFonts w:ascii="Times New Roman" w:hAnsi="Times New Roman" w:cs="Times New Roman"/>
          <w:sz w:val="24"/>
          <w:szCs w:val="24"/>
        </w:rPr>
        <w:t xml:space="preserve"> of reverse primers (Oligomer. 100μM), 4 </w:t>
      </w:r>
      <w:proofErr w:type="spellStart"/>
      <w:r w:rsidRPr="00F35134">
        <w:rPr>
          <w:rFonts w:ascii="Times New Roman" w:hAnsi="Times New Roman" w:cs="Times New Roman"/>
          <w:sz w:val="24"/>
          <w:szCs w:val="24"/>
        </w:rPr>
        <w:t>μl</w:t>
      </w:r>
      <w:proofErr w:type="spellEnd"/>
      <w:r w:rsidRPr="00F35134">
        <w:rPr>
          <w:rFonts w:ascii="Times New Roman" w:hAnsi="Times New Roman" w:cs="Times New Roman"/>
          <w:sz w:val="24"/>
          <w:szCs w:val="24"/>
        </w:rPr>
        <w:t xml:space="preserve"> of </w:t>
      </w:r>
      <w:proofErr w:type="spellStart"/>
      <w:r w:rsidRPr="00F35134">
        <w:rPr>
          <w:rFonts w:ascii="Times New Roman" w:hAnsi="Times New Roman" w:cs="Times New Roman"/>
          <w:sz w:val="24"/>
          <w:szCs w:val="24"/>
        </w:rPr>
        <w:t>Phusion</w:t>
      </w:r>
      <w:proofErr w:type="spellEnd"/>
      <w:r w:rsidRPr="00F35134">
        <w:rPr>
          <w:rFonts w:ascii="Times New Roman" w:hAnsi="Times New Roman" w:cs="Times New Roman"/>
          <w:sz w:val="24"/>
          <w:szCs w:val="24"/>
        </w:rPr>
        <w:t xml:space="preserve"> HF Buffer (5x), 0.4 </w:t>
      </w:r>
      <w:proofErr w:type="spellStart"/>
      <w:r w:rsidRPr="00F35134">
        <w:rPr>
          <w:rFonts w:ascii="Times New Roman" w:hAnsi="Times New Roman" w:cs="Times New Roman"/>
          <w:sz w:val="24"/>
          <w:szCs w:val="24"/>
        </w:rPr>
        <w:t>μl</w:t>
      </w:r>
      <w:proofErr w:type="spellEnd"/>
      <w:r w:rsidRPr="00F35134">
        <w:rPr>
          <w:rFonts w:ascii="Times New Roman" w:hAnsi="Times New Roman" w:cs="Times New Roman"/>
          <w:sz w:val="24"/>
          <w:szCs w:val="24"/>
        </w:rPr>
        <w:t xml:space="preserve"> of dNTP (10mM), 0.2 </w:t>
      </w:r>
      <w:proofErr w:type="spellStart"/>
      <w:r w:rsidRPr="00F35134">
        <w:rPr>
          <w:rFonts w:ascii="Times New Roman" w:hAnsi="Times New Roman" w:cs="Times New Roman"/>
          <w:sz w:val="24"/>
          <w:szCs w:val="24"/>
        </w:rPr>
        <w:t>μl</w:t>
      </w:r>
      <w:proofErr w:type="spellEnd"/>
      <w:r w:rsidRPr="00F35134">
        <w:rPr>
          <w:rFonts w:ascii="Times New Roman" w:hAnsi="Times New Roman" w:cs="Times New Roman"/>
          <w:sz w:val="24"/>
          <w:szCs w:val="24"/>
        </w:rPr>
        <w:t xml:space="preserve"> </w:t>
      </w:r>
      <w:proofErr w:type="spellStart"/>
      <w:r w:rsidRPr="00F35134">
        <w:rPr>
          <w:rFonts w:ascii="Times New Roman" w:hAnsi="Times New Roman" w:cs="Times New Roman"/>
          <w:sz w:val="24"/>
          <w:szCs w:val="24"/>
        </w:rPr>
        <w:t>Phusion</w:t>
      </w:r>
      <w:proofErr w:type="spellEnd"/>
      <w:r w:rsidRPr="00F35134">
        <w:rPr>
          <w:rFonts w:ascii="Times New Roman" w:hAnsi="Times New Roman" w:cs="Times New Roman"/>
          <w:sz w:val="24"/>
          <w:szCs w:val="24"/>
        </w:rPr>
        <w:t xml:space="preserve"> High-Fidelity DNA Polymerase, 13.2 </w:t>
      </w:r>
      <w:proofErr w:type="spellStart"/>
      <w:r w:rsidRPr="00F35134">
        <w:rPr>
          <w:rFonts w:ascii="Times New Roman" w:hAnsi="Times New Roman" w:cs="Times New Roman"/>
          <w:sz w:val="24"/>
          <w:szCs w:val="24"/>
        </w:rPr>
        <w:t>μl</w:t>
      </w:r>
      <w:proofErr w:type="spellEnd"/>
      <w:r w:rsidRPr="00F35134">
        <w:rPr>
          <w:rFonts w:ascii="Times New Roman" w:hAnsi="Times New Roman" w:cs="Times New Roman"/>
          <w:sz w:val="24"/>
          <w:szCs w:val="24"/>
        </w:rPr>
        <w:t xml:space="preserve"> </w:t>
      </w:r>
      <w:proofErr w:type="spellStart"/>
      <w:r w:rsidRPr="00F35134">
        <w:rPr>
          <w:rFonts w:ascii="Times New Roman" w:hAnsi="Times New Roman" w:cs="Times New Roman"/>
          <w:sz w:val="24"/>
          <w:szCs w:val="24"/>
        </w:rPr>
        <w:t>MilliQ</w:t>
      </w:r>
      <w:proofErr w:type="spellEnd"/>
      <w:r w:rsidRPr="00F35134">
        <w:rPr>
          <w:rFonts w:ascii="Times New Roman" w:hAnsi="Times New Roman" w:cs="Times New Roman"/>
          <w:sz w:val="24"/>
          <w:szCs w:val="24"/>
        </w:rPr>
        <w:t xml:space="preserve"> water, and 2 </w:t>
      </w:r>
      <w:proofErr w:type="spellStart"/>
      <w:r w:rsidRPr="00F35134">
        <w:rPr>
          <w:rFonts w:ascii="Times New Roman" w:hAnsi="Times New Roman" w:cs="Times New Roman"/>
          <w:sz w:val="24"/>
          <w:szCs w:val="24"/>
        </w:rPr>
        <w:t>μl</w:t>
      </w:r>
      <w:proofErr w:type="spellEnd"/>
      <w:r w:rsidRPr="00F35134">
        <w:rPr>
          <w:rFonts w:ascii="Times New Roman" w:hAnsi="Times New Roman" w:cs="Times New Roman"/>
          <w:sz w:val="24"/>
          <w:szCs w:val="24"/>
        </w:rPr>
        <w:t xml:space="preserve"> of sample DNA. The DNA was undiluted for most of the samples but for some samples 1/5 dilution gave a better result. The following PCR protocol was used for most samples: initial denaturation at 98˚C for 30 seconds; 35 cycles at 98˚C for 10 seconds, 56˚C for 30 seconds and 72˚C for 30 seconds; and final elongation at 72˚C for 7 minutes. For </w:t>
      </w:r>
      <w:r w:rsidRPr="00F35134">
        <w:rPr>
          <w:rFonts w:ascii="Times New Roman" w:hAnsi="Times New Roman" w:cs="Times New Roman"/>
          <w:sz w:val="24"/>
          <w:szCs w:val="24"/>
        </w:rPr>
        <w:lastRenderedPageBreak/>
        <w:t>poorly amplifying samples the program was lengthened with 5 additional cycles. PCR products were purified and sequenced 1-3 times per sample in the Institute of Biotechnology of University of Helsinki using the aforementioned primers (both forward and reverse).</w:t>
      </w:r>
    </w:p>
    <w:p w:rsidR="00844FE4" w:rsidRPr="00844FE4" w:rsidRDefault="00844FE4" w:rsidP="00844FE4">
      <w:pPr>
        <w:tabs>
          <w:tab w:val="left" w:pos="4035"/>
        </w:tabs>
        <w:spacing w:line="480" w:lineRule="auto"/>
        <w:rPr>
          <w:rFonts w:ascii="Times New Roman" w:eastAsia="Calibri" w:hAnsi="Times New Roman" w:cs="Times New Roman"/>
          <w:sz w:val="24"/>
          <w:szCs w:val="24"/>
        </w:rPr>
      </w:pPr>
      <w:r w:rsidRPr="00844FE4">
        <w:rPr>
          <w:rFonts w:ascii="Times New Roman" w:eastAsia="Calibri" w:hAnsi="Times New Roman" w:cs="Times New Roman"/>
          <w:b/>
          <w:bCs/>
          <w:noProof/>
          <w:sz w:val="24"/>
          <w:szCs w:val="24"/>
        </w:rPr>
        <w:t>Supplement 2, Table 1.</w:t>
      </w:r>
      <w:r w:rsidRPr="00844FE4">
        <w:rPr>
          <w:rFonts w:ascii="Times New Roman" w:eastAsia="Calibri" w:hAnsi="Times New Roman" w:cs="Times New Roman"/>
          <w:noProof/>
          <w:sz w:val="24"/>
          <w:szCs w:val="24"/>
        </w:rPr>
        <w:t xml:space="preserve"> DNA microsatellite primer details for the multiplex reactions.</w:t>
      </w:r>
      <w:r w:rsidRPr="00844FE4">
        <w:rPr>
          <w:rFonts w:ascii="Times New Roman" w:eastAsia="Calibri" w:hAnsi="Times New Roman" w:cs="Times New Roman"/>
          <w:sz w:val="24"/>
          <w:szCs w:val="24"/>
        </w:rPr>
        <w:t xml:space="preserve"> </w:t>
      </w:r>
    </w:p>
    <w:tbl>
      <w:tblPr>
        <w:tblStyle w:val="TableGrid"/>
        <w:tblW w:w="10464" w:type="dxa"/>
        <w:tblLook w:val="04A0" w:firstRow="1" w:lastRow="0" w:firstColumn="1" w:lastColumn="0" w:noHBand="0" w:noVBand="1"/>
      </w:tblPr>
      <w:tblGrid>
        <w:gridCol w:w="1440"/>
        <w:gridCol w:w="1060"/>
        <w:gridCol w:w="2732"/>
        <w:gridCol w:w="1467"/>
        <w:gridCol w:w="1060"/>
        <w:gridCol w:w="2705"/>
      </w:tblGrid>
      <w:tr w:rsidR="00844FE4" w:rsidRPr="00844FE4" w:rsidTr="00695B63">
        <w:trPr>
          <w:trHeight w:val="300"/>
        </w:trPr>
        <w:tc>
          <w:tcPr>
            <w:tcW w:w="1440" w:type="dxa"/>
            <w:noWrap/>
            <w:hideMark/>
          </w:tcPr>
          <w:p w:rsidR="00844FE4" w:rsidRPr="00844FE4" w:rsidRDefault="00844FE4" w:rsidP="00844FE4">
            <w:pPr>
              <w:pStyle w:val="NoSpacing"/>
              <w:rPr>
                <w:b/>
                <w:noProof/>
              </w:rPr>
            </w:pPr>
            <w:r w:rsidRPr="00844FE4">
              <w:rPr>
                <w:b/>
                <w:noProof/>
              </w:rPr>
              <w:t>Panel 1</w:t>
            </w:r>
          </w:p>
        </w:tc>
        <w:tc>
          <w:tcPr>
            <w:tcW w:w="1060" w:type="dxa"/>
            <w:noWrap/>
            <w:hideMark/>
          </w:tcPr>
          <w:p w:rsidR="00844FE4" w:rsidRPr="00844FE4" w:rsidRDefault="00844FE4" w:rsidP="00844FE4">
            <w:pPr>
              <w:pStyle w:val="NoSpacing"/>
              <w:rPr>
                <w:b/>
                <w:noProof/>
              </w:rPr>
            </w:pPr>
            <w:r w:rsidRPr="00844FE4">
              <w:rPr>
                <w:b/>
                <w:noProof/>
              </w:rPr>
              <w:t> </w:t>
            </w:r>
          </w:p>
        </w:tc>
        <w:tc>
          <w:tcPr>
            <w:tcW w:w="2732" w:type="dxa"/>
            <w:noWrap/>
            <w:hideMark/>
          </w:tcPr>
          <w:p w:rsidR="00844FE4" w:rsidRPr="00844FE4" w:rsidRDefault="00844FE4" w:rsidP="00844FE4">
            <w:pPr>
              <w:pStyle w:val="NoSpacing"/>
              <w:rPr>
                <w:b/>
                <w:noProof/>
              </w:rPr>
            </w:pPr>
            <w:r w:rsidRPr="00844FE4">
              <w:rPr>
                <w:b/>
                <w:noProof/>
              </w:rPr>
              <w:t> </w:t>
            </w:r>
          </w:p>
        </w:tc>
        <w:tc>
          <w:tcPr>
            <w:tcW w:w="1467" w:type="dxa"/>
            <w:noWrap/>
            <w:hideMark/>
          </w:tcPr>
          <w:p w:rsidR="00844FE4" w:rsidRPr="00844FE4" w:rsidRDefault="00844FE4" w:rsidP="00844FE4">
            <w:pPr>
              <w:pStyle w:val="NoSpacing"/>
              <w:rPr>
                <w:b/>
                <w:noProof/>
              </w:rPr>
            </w:pPr>
            <w:r w:rsidRPr="00844FE4">
              <w:rPr>
                <w:b/>
                <w:noProof/>
              </w:rPr>
              <w:t>Panel 2</w:t>
            </w:r>
          </w:p>
        </w:tc>
        <w:tc>
          <w:tcPr>
            <w:tcW w:w="1060" w:type="dxa"/>
            <w:noWrap/>
            <w:hideMark/>
          </w:tcPr>
          <w:p w:rsidR="00844FE4" w:rsidRPr="00844FE4" w:rsidRDefault="00844FE4" w:rsidP="00844FE4">
            <w:pPr>
              <w:pStyle w:val="NoSpacing"/>
              <w:rPr>
                <w:b/>
                <w:noProof/>
              </w:rPr>
            </w:pPr>
            <w:r w:rsidRPr="00844FE4">
              <w:rPr>
                <w:b/>
                <w:noProof/>
              </w:rPr>
              <w:t> </w:t>
            </w:r>
          </w:p>
        </w:tc>
        <w:tc>
          <w:tcPr>
            <w:tcW w:w="2705" w:type="dxa"/>
            <w:noWrap/>
            <w:hideMark/>
          </w:tcPr>
          <w:p w:rsidR="00844FE4" w:rsidRPr="00844FE4" w:rsidRDefault="00844FE4" w:rsidP="00844FE4">
            <w:pPr>
              <w:pStyle w:val="NoSpacing"/>
              <w:rPr>
                <w:b/>
                <w:noProof/>
              </w:rPr>
            </w:pPr>
            <w:r w:rsidRPr="00844FE4">
              <w:rPr>
                <w:b/>
                <w:noProof/>
              </w:rPr>
              <w:t> </w:t>
            </w:r>
          </w:p>
        </w:tc>
      </w:tr>
      <w:tr w:rsidR="00844FE4" w:rsidRPr="00844FE4" w:rsidTr="00695B63">
        <w:trPr>
          <w:trHeight w:val="300"/>
        </w:trPr>
        <w:tc>
          <w:tcPr>
            <w:tcW w:w="1440" w:type="dxa"/>
            <w:noWrap/>
            <w:hideMark/>
          </w:tcPr>
          <w:p w:rsidR="00844FE4" w:rsidRPr="00844FE4" w:rsidRDefault="00844FE4" w:rsidP="00844FE4">
            <w:pPr>
              <w:pStyle w:val="NoSpacing"/>
              <w:rPr>
                <w:noProof/>
              </w:rPr>
            </w:pPr>
            <w:r w:rsidRPr="00844FE4">
              <w:rPr>
                <w:noProof/>
              </w:rPr>
              <w:t>Primer</w:t>
            </w:r>
          </w:p>
        </w:tc>
        <w:tc>
          <w:tcPr>
            <w:tcW w:w="1060" w:type="dxa"/>
            <w:noWrap/>
            <w:hideMark/>
          </w:tcPr>
          <w:p w:rsidR="00844FE4" w:rsidRPr="00844FE4" w:rsidRDefault="00844FE4" w:rsidP="00844FE4">
            <w:pPr>
              <w:pStyle w:val="NoSpacing"/>
              <w:rPr>
                <w:noProof/>
              </w:rPr>
            </w:pPr>
            <w:r w:rsidRPr="00844FE4">
              <w:rPr>
                <w:noProof/>
              </w:rPr>
              <w:t>Amount*</w:t>
            </w:r>
          </w:p>
        </w:tc>
        <w:tc>
          <w:tcPr>
            <w:tcW w:w="2732" w:type="dxa"/>
            <w:noWrap/>
            <w:hideMark/>
          </w:tcPr>
          <w:p w:rsidR="00844FE4" w:rsidRPr="00844FE4" w:rsidRDefault="00844FE4" w:rsidP="00844FE4">
            <w:pPr>
              <w:pStyle w:val="NoSpacing"/>
              <w:rPr>
                <w:noProof/>
              </w:rPr>
            </w:pPr>
            <w:r w:rsidRPr="00844FE4">
              <w:rPr>
                <w:noProof/>
              </w:rPr>
              <w:t>Reference</w:t>
            </w:r>
          </w:p>
        </w:tc>
        <w:tc>
          <w:tcPr>
            <w:tcW w:w="1467" w:type="dxa"/>
            <w:noWrap/>
            <w:hideMark/>
          </w:tcPr>
          <w:p w:rsidR="00844FE4" w:rsidRPr="00844FE4" w:rsidRDefault="00844FE4" w:rsidP="00844FE4">
            <w:pPr>
              <w:pStyle w:val="NoSpacing"/>
              <w:rPr>
                <w:noProof/>
              </w:rPr>
            </w:pPr>
            <w:r w:rsidRPr="00844FE4">
              <w:rPr>
                <w:noProof/>
              </w:rPr>
              <w:t>Primer</w:t>
            </w:r>
          </w:p>
        </w:tc>
        <w:tc>
          <w:tcPr>
            <w:tcW w:w="1060" w:type="dxa"/>
            <w:noWrap/>
            <w:hideMark/>
          </w:tcPr>
          <w:p w:rsidR="00844FE4" w:rsidRPr="00844FE4" w:rsidRDefault="00844FE4" w:rsidP="00844FE4">
            <w:pPr>
              <w:pStyle w:val="NoSpacing"/>
              <w:rPr>
                <w:noProof/>
              </w:rPr>
            </w:pPr>
            <w:r w:rsidRPr="00844FE4">
              <w:rPr>
                <w:noProof/>
              </w:rPr>
              <w:t>Amount*</w:t>
            </w:r>
          </w:p>
        </w:tc>
        <w:tc>
          <w:tcPr>
            <w:tcW w:w="2705" w:type="dxa"/>
            <w:noWrap/>
            <w:hideMark/>
          </w:tcPr>
          <w:p w:rsidR="00844FE4" w:rsidRPr="00844FE4" w:rsidRDefault="00844FE4" w:rsidP="00844FE4">
            <w:pPr>
              <w:pStyle w:val="NoSpacing"/>
              <w:rPr>
                <w:noProof/>
              </w:rPr>
            </w:pPr>
            <w:r w:rsidRPr="00844FE4">
              <w:rPr>
                <w:noProof/>
              </w:rPr>
              <w:t>Reference</w:t>
            </w:r>
          </w:p>
        </w:tc>
      </w:tr>
      <w:tr w:rsidR="00844FE4" w:rsidRPr="00844FE4" w:rsidTr="00695B63">
        <w:trPr>
          <w:trHeight w:val="300"/>
        </w:trPr>
        <w:tc>
          <w:tcPr>
            <w:tcW w:w="1440" w:type="dxa"/>
            <w:noWrap/>
            <w:hideMark/>
          </w:tcPr>
          <w:p w:rsidR="00844FE4" w:rsidRPr="00844FE4" w:rsidRDefault="00844FE4" w:rsidP="00844FE4">
            <w:pPr>
              <w:pStyle w:val="NoSpacing"/>
              <w:rPr>
                <w:noProof/>
              </w:rPr>
            </w:pPr>
            <w:r w:rsidRPr="00844FE4">
              <w:rPr>
                <w:noProof/>
              </w:rPr>
              <w:t>Fe51 (hex)</w:t>
            </w:r>
          </w:p>
        </w:tc>
        <w:tc>
          <w:tcPr>
            <w:tcW w:w="1060" w:type="dxa"/>
            <w:noWrap/>
            <w:hideMark/>
          </w:tcPr>
          <w:p w:rsidR="00844FE4" w:rsidRPr="00844FE4" w:rsidRDefault="00844FE4" w:rsidP="00844FE4">
            <w:pPr>
              <w:pStyle w:val="NoSpacing"/>
              <w:rPr>
                <w:noProof/>
              </w:rPr>
            </w:pPr>
            <w:r w:rsidRPr="00844FE4">
              <w:rPr>
                <w:noProof/>
              </w:rPr>
              <w:t>0.015 μl</w:t>
            </w:r>
          </w:p>
        </w:tc>
        <w:tc>
          <w:tcPr>
            <w:tcW w:w="2732" w:type="dxa"/>
            <w:vMerge w:val="restart"/>
            <w:noWrap/>
            <w:hideMark/>
          </w:tcPr>
          <w:p w:rsidR="00844FE4" w:rsidRPr="00844FE4" w:rsidRDefault="00844FE4" w:rsidP="00844FE4">
            <w:pPr>
              <w:pStyle w:val="NoSpacing"/>
              <w:rPr>
                <w:noProof/>
              </w:rPr>
            </w:pPr>
            <w:r w:rsidRPr="00844FE4">
              <w:rPr>
                <w:noProof/>
              </w:rPr>
              <w:t>Gyllenstrand et al. 2002</w:t>
            </w:r>
          </w:p>
        </w:tc>
        <w:tc>
          <w:tcPr>
            <w:tcW w:w="1467" w:type="dxa"/>
            <w:noWrap/>
            <w:hideMark/>
          </w:tcPr>
          <w:p w:rsidR="00844FE4" w:rsidRPr="00844FE4" w:rsidRDefault="00844FE4" w:rsidP="00844FE4">
            <w:pPr>
              <w:pStyle w:val="NoSpacing"/>
              <w:rPr>
                <w:noProof/>
              </w:rPr>
            </w:pPr>
            <w:r w:rsidRPr="00844FE4">
              <w:rPr>
                <w:noProof/>
              </w:rPr>
              <w:t>Fe16 (fam)</w:t>
            </w:r>
          </w:p>
        </w:tc>
        <w:tc>
          <w:tcPr>
            <w:tcW w:w="1060" w:type="dxa"/>
            <w:noWrap/>
            <w:hideMark/>
          </w:tcPr>
          <w:p w:rsidR="00844FE4" w:rsidRPr="00844FE4" w:rsidRDefault="00844FE4" w:rsidP="00844FE4">
            <w:pPr>
              <w:pStyle w:val="NoSpacing"/>
              <w:rPr>
                <w:noProof/>
              </w:rPr>
            </w:pPr>
            <w:r w:rsidRPr="00844FE4">
              <w:rPr>
                <w:noProof/>
              </w:rPr>
              <w:t>0.03 μl</w:t>
            </w:r>
          </w:p>
        </w:tc>
        <w:tc>
          <w:tcPr>
            <w:tcW w:w="2705" w:type="dxa"/>
            <w:vMerge w:val="restart"/>
            <w:hideMark/>
          </w:tcPr>
          <w:p w:rsidR="00844FE4" w:rsidRPr="00844FE4" w:rsidRDefault="00844FE4" w:rsidP="00844FE4">
            <w:pPr>
              <w:pStyle w:val="NoSpacing"/>
              <w:rPr>
                <w:noProof/>
              </w:rPr>
            </w:pPr>
            <w:r w:rsidRPr="00844FE4">
              <w:rPr>
                <w:noProof/>
              </w:rPr>
              <w:t>Gyllenstrand et al. 2002</w:t>
            </w:r>
          </w:p>
        </w:tc>
      </w:tr>
      <w:tr w:rsidR="00844FE4" w:rsidRPr="00844FE4" w:rsidTr="00695B63">
        <w:trPr>
          <w:trHeight w:val="300"/>
        </w:trPr>
        <w:tc>
          <w:tcPr>
            <w:tcW w:w="1440" w:type="dxa"/>
            <w:noWrap/>
            <w:hideMark/>
          </w:tcPr>
          <w:p w:rsidR="00844FE4" w:rsidRPr="00844FE4" w:rsidRDefault="00844FE4" w:rsidP="00844FE4">
            <w:pPr>
              <w:pStyle w:val="NoSpacing"/>
              <w:rPr>
                <w:noProof/>
              </w:rPr>
            </w:pPr>
            <w:r w:rsidRPr="00844FE4">
              <w:rPr>
                <w:noProof/>
              </w:rPr>
              <w:t>Fe13 (tamra)</w:t>
            </w:r>
          </w:p>
        </w:tc>
        <w:tc>
          <w:tcPr>
            <w:tcW w:w="1060" w:type="dxa"/>
            <w:noWrap/>
            <w:hideMark/>
          </w:tcPr>
          <w:p w:rsidR="00844FE4" w:rsidRPr="00844FE4" w:rsidRDefault="00844FE4" w:rsidP="00844FE4">
            <w:pPr>
              <w:pStyle w:val="NoSpacing"/>
              <w:rPr>
                <w:noProof/>
              </w:rPr>
            </w:pPr>
            <w:r w:rsidRPr="00844FE4">
              <w:rPr>
                <w:noProof/>
              </w:rPr>
              <w:t>0.03 μl</w:t>
            </w:r>
          </w:p>
        </w:tc>
        <w:tc>
          <w:tcPr>
            <w:tcW w:w="2732" w:type="dxa"/>
            <w:vMerge/>
            <w:hideMark/>
          </w:tcPr>
          <w:p w:rsidR="00844FE4" w:rsidRPr="00844FE4" w:rsidRDefault="00844FE4" w:rsidP="00844FE4">
            <w:pPr>
              <w:pStyle w:val="NoSpacing"/>
              <w:rPr>
                <w:noProof/>
              </w:rPr>
            </w:pPr>
          </w:p>
        </w:tc>
        <w:tc>
          <w:tcPr>
            <w:tcW w:w="1467" w:type="dxa"/>
            <w:noWrap/>
            <w:hideMark/>
          </w:tcPr>
          <w:p w:rsidR="00844FE4" w:rsidRPr="00844FE4" w:rsidRDefault="00844FE4" w:rsidP="00844FE4">
            <w:pPr>
              <w:pStyle w:val="NoSpacing"/>
              <w:rPr>
                <w:noProof/>
              </w:rPr>
            </w:pPr>
            <w:r w:rsidRPr="00844FE4">
              <w:rPr>
                <w:noProof/>
              </w:rPr>
              <w:t>Fe21 (hex)</w:t>
            </w:r>
          </w:p>
        </w:tc>
        <w:tc>
          <w:tcPr>
            <w:tcW w:w="1060" w:type="dxa"/>
            <w:noWrap/>
            <w:hideMark/>
          </w:tcPr>
          <w:p w:rsidR="00844FE4" w:rsidRPr="00844FE4" w:rsidRDefault="00844FE4" w:rsidP="00844FE4">
            <w:pPr>
              <w:pStyle w:val="NoSpacing"/>
              <w:rPr>
                <w:noProof/>
              </w:rPr>
            </w:pPr>
            <w:r w:rsidRPr="00844FE4">
              <w:rPr>
                <w:noProof/>
              </w:rPr>
              <w:t>0.02 μl</w:t>
            </w:r>
          </w:p>
        </w:tc>
        <w:tc>
          <w:tcPr>
            <w:tcW w:w="2705" w:type="dxa"/>
            <w:vMerge/>
            <w:hideMark/>
          </w:tcPr>
          <w:p w:rsidR="00844FE4" w:rsidRPr="00844FE4" w:rsidRDefault="00844FE4" w:rsidP="00844FE4">
            <w:pPr>
              <w:pStyle w:val="NoSpacing"/>
              <w:rPr>
                <w:noProof/>
              </w:rPr>
            </w:pPr>
          </w:p>
        </w:tc>
      </w:tr>
      <w:tr w:rsidR="00844FE4" w:rsidRPr="00844FE4" w:rsidTr="00695B63">
        <w:trPr>
          <w:trHeight w:val="300"/>
        </w:trPr>
        <w:tc>
          <w:tcPr>
            <w:tcW w:w="1440" w:type="dxa"/>
            <w:noWrap/>
            <w:hideMark/>
          </w:tcPr>
          <w:p w:rsidR="00844FE4" w:rsidRPr="00844FE4" w:rsidRDefault="00844FE4" w:rsidP="00844FE4">
            <w:pPr>
              <w:pStyle w:val="NoSpacing"/>
              <w:rPr>
                <w:noProof/>
              </w:rPr>
            </w:pPr>
            <w:r w:rsidRPr="00844FE4">
              <w:rPr>
                <w:noProof/>
              </w:rPr>
              <w:t>Fe19 (fam)</w:t>
            </w:r>
          </w:p>
        </w:tc>
        <w:tc>
          <w:tcPr>
            <w:tcW w:w="1060" w:type="dxa"/>
            <w:noWrap/>
            <w:hideMark/>
          </w:tcPr>
          <w:p w:rsidR="00844FE4" w:rsidRPr="00844FE4" w:rsidRDefault="00844FE4" w:rsidP="00844FE4">
            <w:pPr>
              <w:pStyle w:val="NoSpacing"/>
              <w:rPr>
                <w:noProof/>
              </w:rPr>
            </w:pPr>
            <w:r w:rsidRPr="00844FE4">
              <w:rPr>
                <w:noProof/>
              </w:rPr>
              <w:t>0.02 μl</w:t>
            </w:r>
          </w:p>
        </w:tc>
        <w:tc>
          <w:tcPr>
            <w:tcW w:w="2732" w:type="dxa"/>
            <w:vMerge/>
            <w:hideMark/>
          </w:tcPr>
          <w:p w:rsidR="00844FE4" w:rsidRPr="00844FE4" w:rsidRDefault="00844FE4" w:rsidP="00844FE4">
            <w:pPr>
              <w:pStyle w:val="NoSpacing"/>
              <w:rPr>
                <w:noProof/>
              </w:rPr>
            </w:pPr>
          </w:p>
        </w:tc>
        <w:tc>
          <w:tcPr>
            <w:tcW w:w="1467" w:type="dxa"/>
            <w:noWrap/>
            <w:hideMark/>
          </w:tcPr>
          <w:p w:rsidR="00844FE4" w:rsidRPr="00844FE4" w:rsidRDefault="00844FE4" w:rsidP="00844FE4">
            <w:pPr>
              <w:pStyle w:val="NoSpacing"/>
              <w:rPr>
                <w:noProof/>
              </w:rPr>
            </w:pPr>
            <w:r w:rsidRPr="00844FE4">
              <w:rPr>
                <w:noProof/>
              </w:rPr>
              <w:t>Fy7 (tamra)</w:t>
            </w:r>
          </w:p>
        </w:tc>
        <w:tc>
          <w:tcPr>
            <w:tcW w:w="1060" w:type="dxa"/>
            <w:noWrap/>
            <w:hideMark/>
          </w:tcPr>
          <w:p w:rsidR="00844FE4" w:rsidRPr="00844FE4" w:rsidRDefault="00844FE4" w:rsidP="00844FE4">
            <w:pPr>
              <w:pStyle w:val="NoSpacing"/>
              <w:rPr>
                <w:noProof/>
              </w:rPr>
            </w:pPr>
            <w:r w:rsidRPr="00844FE4">
              <w:rPr>
                <w:noProof/>
              </w:rPr>
              <w:t>0.02 μl</w:t>
            </w:r>
          </w:p>
        </w:tc>
        <w:tc>
          <w:tcPr>
            <w:tcW w:w="2705" w:type="dxa"/>
            <w:noWrap/>
            <w:hideMark/>
          </w:tcPr>
          <w:p w:rsidR="00844FE4" w:rsidRPr="00844FE4" w:rsidRDefault="00844FE4" w:rsidP="00844FE4">
            <w:pPr>
              <w:pStyle w:val="NoSpacing"/>
              <w:rPr>
                <w:noProof/>
              </w:rPr>
            </w:pPr>
            <w:r w:rsidRPr="00844FE4">
              <w:rPr>
                <w:noProof/>
              </w:rPr>
              <w:t>Hasegawa &amp; Imai 2004</w:t>
            </w:r>
          </w:p>
        </w:tc>
      </w:tr>
      <w:tr w:rsidR="00844FE4" w:rsidRPr="00844FE4" w:rsidTr="00695B63">
        <w:trPr>
          <w:trHeight w:val="300"/>
        </w:trPr>
        <w:tc>
          <w:tcPr>
            <w:tcW w:w="1440" w:type="dxa"/>
            <w:noWrap/>
            <w:hideMark/>
          </w:tcPr>
          <w:p w:rsidR="00844FE4" w:rsidRPr="00844FE4" w:rsidRDefault="00844FE4" w:rsidP="00844FE4">
            <w:pPr>
              <w:pStyle w:val="NoSpacing"/>
              <w:rPr>
                <w:noProof/>
              </w:rPr>
            </w:pPr>
            <w:r w:rsidRPr="00844FE4">
              <w:rPr>
                <w:noProof/>
              </w:rPr>
              <w:t>Fe42 (hex)</w:t>
            </w:r>
          </w:p>
        </w:tc>
        <w:tc>
          <w:tcPr>
            <w:tcW w:w="1060" w:type="dxa"/>
            <w:noWrap/>
            <w:hideMark/>
          </w:tcPr>
          <w:p w:rsidR="00844FE4" w:rsidRPr="00844FE4" w:rsidRDefault="00844FE4" w:rsidP="00844FE4">
            <w:pPr>
              <w:pStyle w:val="NoSpacing"/>
              <w:rPr>
                <w:noProof/>
              </w:rPr>
            </w:pPr>
            <w:r w:rsidRPr="00844FE4">
              <w:rPr>
                <w:noProof/>
              </w:rPr>
              <w:t>0.025 μl</w:t>
            </w:r>
          </w:p>
        </w:tc>
        <w:tc>
          <w:tcPr>
            <w:tcW w:w="2732" w:type="dxa"/>
            <w:vMerge/>
            <w:hideMark/>
          </w:tcPr>
          <w:p w:rsidR="00844FE4" w:rsidRPr="00844FE4" w:rsidRDefault="00844FE4" w:rsidP="00844FE4">
            <w:pPr>
              <w:pStyle w:val="NoSpacing"/>
              <w:rPr>
                <w:noProof/>
              </w:rPr>
            </w:pPr>
          </w:p>
        </w:tc>
        <w:tc>
          <w:tcPr>
            <w:tcW w:w="1467" w:type="dxa"/>
            <w:noWrap/>
            <w:hideMark/>
          </w:tcPr>
          <w:p w:rsidR="00844FE4" w:rsidRPr="00844FE4" w:rsidRDefault="00844FE4" w:rsidP="00844FE4">
            <w:pPr>
              <w:pStyle w:val="NoSpacing"/>
              <w:rPr>
                <w:noProof/>
              </w:rPr>
            </w:pPr>
            <w:r w:rsidRPr="00844FE4">
              <w:rPr>
                <w:noProof/>
              </w:rPr>
              <w:t> </w:t>
            </w:r>
          </w:p>
        </w:tc>
        <w:tc>
          <w:tcPr>
            <w:tcW w:w="1060" w:type="dxa"/>
            <w:noWrap/>
            <w:hideMark/>
          </w:tcPr>
          <w:p w:rsidR="00844FE4" w:rsidRPr="00844FE4" w:rsidRDefault="00844FE4" w:rsidP="00844FE4">
            <w:pPr>
              <w:pStyle w:val="NoSpacing"/>
              <w:rPr>
                <w:noProof/>
              </w:rPr>
            </w:pPr>
            <w:r w:rsidRPr="00844FE4">
              <w:rPr>
                <w:noProof/>
              </w:rPr>
              <w:t> </w:t>
            </w:r>
          </w:p>
        </w:tc>
        <w:tc>
          <w:tcPr>
            <w:tcW w:w="2705" w:type="dxa"/>
            <w:noWrap/>
            <w:hideMark/>
          </w:tcPr>
          <w:p w:rsidR="00844FE4" w:rsidRPr="00844FE4" w:rsidRDefault="00844FE4" w:rsidP="00844FE4">
            <w:pPr>
              <w:pStyle w:val="NoSpacing"/>
              <w:rPr>
                <w:noProof/>
              </w:rPr>
            </w:pPr>
            <w:r w:rsidRPr="00844FE4">
              <w:rPr>
                <w:noProof/>
              </w:rPr>
              <w:t> </w:t>
            </w:r>
          </w:p>
        </w:tc>
      </w:tr>
      <w:tr w:rsidR="00844FE4" w:rsidRPr="00844FE4" w:rsidTr="00695B63">
        <w:trPr>
          <w:trHeight w:val="315"/>
        </w:trPr>
        <w:tc>
          <w:tcPr>
            <w:tcW w:w="1440" w:type="dxa"/>
            <w:noWrap/>
            <w:hideMark/>
          </w:tcPr>
          <w:p w:rsidR="00844FE4" w:rsidRPr="00844FE4" w:rsidRDefault="00844FE4" w:rsidP="00844FE4">
            <w:pPr>
              <w:pStyle w:val="NoSpacing"/>
              <w:rPr>
                <w:noProof/>
              </w:rPr>
            </w:pPr>
            <w:r w:rsidRPr="00844FE4">
              <w:rPr>
                <w:noProof/>
              </w:rPr>
              <w:t>Fy4 (fam)</w:t>
            </w:r>
          </w:p>
        </w:tc>
        <w:tc>
          <w:tcPr>
            <w:tcW w:w="1060" w:type="dxa"/>
            <w:noWrap/>
            <w:hideMark/>
          </w:tcPr>
          <w:p w:rsidR="00844FE4" w:rsidRPr="00844FE4" w:rsidRDefault="00844FE4" w:rsidP="00844FE4">
            <w:pPr>
              <w:pStyle w:val="NoSpacing"/>
              <w:rPr>
                <w:noProof/>
              </w:rPr>
            </w:pPr>
            <w:r w:rsidRPr="00844FE4">
              <w:rPr>
                <w:noProof/>
              </w:rPr>
              <w:t>0.035 μl</w:t>
            </w:r>
          </w:p>
        </w:tc>
        <w:tc>
          <w:tcPr>
            <w:tcW w:w="2732" w:type="dxa"/>
            <w:noWrap/>
            <w:hideMark/>
          </w:tcPr>
          <w:p w:rsidR="00844FE4" w:rsidRPr="00844FE4" w:rsidRDefault="00844FE4" w:rsidP="00844FE4">
            <w:pPr>
              <w:pStyle w:val="NoSpacing"/>
              <w:rPr>
                <w:noProof/>
              </w:rPr>
            </w:pPr>
            <w:r w:rsidRPr="00844FE4">
              <w:rPr>
                <w:noProof/>
              </w:rPr>
              <w:t>Hasegawa &amp; Imai 2004</w:t>
            </w:r>
          </w:p>
        </w:tc>
        <w:tc>
          <w:tcPr>
            <w:tcW w:w="1467" w:type="dxa"/>
            <w:noWrap/>
            <w:hideMark/>
          </w:tcPr>
          <w:p w:rsidR="00844FE4" w:rsidRPr="00844FE4" w:rsidRDefault="00844FE4" w:rsidP="00844FE4">
            <w:pPr>
              <w:pStyle w:val="NoSpacing"/>
              <w:rPr>
                <w:noProof/>
              </w:rPr>
            </w:pPr>
            <w:r w:rsidRPr="00844FE4">
              <w:rPr>
                <w:noProof/>
              </w:rPr>
              <w:t> </w:t>
            </w:r>
          </w:p>
        </w:tc>
        <w:tc>
          <w:tcPr>
            <w:tcW w:w="1060" w:type="dxa"/>
            <w:noWrap/>
            <w:hideMark/>
          </w:tcPr>
          <w:p w:rsidR="00844FE4" w:rsidRPr="00844FE4" w:rsidRDefault="00844FE4" w:rsidP="00844FE4">
            <w:pPr>
              <w:pStyle w:val="NoSpacing"/>
              <w:rPr>
                <w:noProof/>
              </w:rPr>
            </w:pPr>
            <w:r w:rsidRPr="00844FE4">
              <w:rPr>
                <w:noProof/>
              </w:rPr>
              <w:t> </w:t>
            </w:r>
          </w:p>
        </w:tc>
        <w:tc>
          <w:tcPr>
            <w:tcW w:w="2705" w:type="dxa"/>
            <w:noWrap/>
            <w:hideMark/>
          </w:tcPr>
          <w:p w:rsidR="00844FE4" w:rsidRPr="00844FE4" w:rsidRDefault="00844FE4" w:rsidP="00844FE4">
            <w:pPr>
              <w:pStyle w:val="NoSpacing"/>
              <w:rPr>
                <w:noProof/>
              </w:rPr>
            </w:pPr>
            <w:r w:rsidRPr="00844FE4">
              <w:rPr>
                <w:noProof/>
              </w:rPr>
              <w:t> </w:t>
            </w:r>
          </w:p>
        </w:tc>
      </w:tr>
      <w:tr w:rsidR="00844FE4" w:rsidRPr="00844FE4" w:rsidTr="00695B63">
        <w:trPr>
          <w:trHeight w:val="300"/>
        </w:trPr>
        <w:tc>
          <w:tcPr>
            <w:tcW w:w="1440" w:type="dxa"/>
            <w:noWrap/>
            <w:hideMark/>
          </w:tcPr>
          <w:p w:rsidR="00844FE4" w:rsidRPr="00844FE4" w:rsidRDefault="00844FE4" w:rsidP="00844FE4">
            <w:pPr>
              <w:pStyle w:val="NoSpacing"/>
              <w:rPr>
                <w:b/>
                <w:noProof/>
              </w:rPr>
            </w:pPr>
            <w:r w:rsidRPr="00844FE4">
              <w:rPr>
                <w:b/>
                <w:noProof/>
              </w:rPr>
              <w:t>Panel 3</w:t>
            </w:r>
          </w:p>
        </w:tc>
        <w:tc>
          <w:tcPr>
            <w:tcW w:w="1060" w:type="dxa"/>
            <w:noWrap/>
            <w:hideMark/>
          </w:tcPr>
          <w:p w:rsidR="00844FE4" w:rsidRPr="00844FE4" w:rsidRDefault="00844FE4" w:rsidP="00844FE4">
            <w:pPr>
              <w:pStyle w:val="NoSpacing"/>
              <w:rPr>
                <w:b/>
                <w:noProof/>
              </w:rPr>
            </w:pPr>
            <w:r w:rsidRPr="00844FE4">
              <w:rPr>
                <w:b/>
                <w:noProof/>
              </w:rPr>
              <w:t> </w:t>
            </w:r>
          </w:p>
        </w:tc>
        <w:tc>
          <w:tcPr>
            <w:tcW w:w="2732" w:type="dxa"/>
            <w:noWrap/>
            <w:hideMark/>
          </w:tcPr>
          <w:p w:rsidR="00844FE4" w:rsidRPr="00844FE4" w:rsidRDefault="00844FE4" w:rsidP="00844FE4">
            <w:pPr>
              <w:pStyle w:val="NoSpacing"/>
              <w:rPr>
                <w:b/>
                <w:noProof/>
              </w:rPr>
            </w:pPr>
            <w:r w:rsidRPr="00844FE4">
              <w:rPr>
                <w:b/>
                <w:noProof/>
              </w:rPr>
              <w:t> </w:t>
            </w:r>
          </w:p>
        </w:tc>
        <w:tc>
          <w:tcPr>
            <w:tcW w:w="1467" w:type="dxa"/>
            <w:noWrap/>
            <w:hideMark/>
          </w:tcPr>
          <w:p w:rsidR="00844FE4" w:rsidRPr="00844FE4" w:rsidRDefault="00844FE4" w:rsidP="00844FE4">
            <w:pPr>
              <w:pStyle w:val="NoSpacing"/>
              <w:rPr>
                <w:b/>
                <w:noProof/>
              </w:rPr>
            </w:pPr>
            <w:r w:rsidRPr="00844FE4">
              <w:rPr>
                <w:b/>
                <w:noProof/>
              </w:rPr>
              <w:t>Panel 4</w:t>
            </w:r>
          </w:p>
        </w:tc>
        <w:tc>
          <w:tcPr>
            <w:tcW w:w="1060" w:type="dxa"/>
            <w:noWrap/>
            <w:hideMark/>
          </w:tcPr>
          <w:p w:rsidR="00844FE4" w:rsidRPr="00844FE4" w:rsidRDefault="00844FE4" w:rsidP="00844FE4">
            <w:pPr>
              <w:pStyle w:val="NoSpacing"/>
              <w:rPr>
                <w:b/>
                <w:noProof/>
              </w:rPr>
            </w:pPr>
            <w:r w:rsidRPr="00844FE4">
              <w:rPr>
                <w:b/>
                <w:noProof/>
              </w:rPr>
              <w:t> </w:t>
            </w:r>
          </w:p>
        </w:tc>
        <w:tc>
          <w:tcPr>
            <w:tcW w:w="2705" w:type="dxa"/>
            <w:noWrap/>
            <w:hideMark/>
          </w:tcPr>
          <w:p w:rsidR="00844FE4" w:rsidRPr="00844FE4" w:rsidRDefault="00844FE4" w:rsidP="00844FE4">
            <w:pPr>
              <w:pStyle w:val="NoSpacing"/>
              <w:rPr>
                <w:b/>
                <w:noProof/>
              </w:rPr>
            </w:pPr>
            <w:r w:rsidRPr="00844FE4">
              <w:rPr>
                <w:b/>
                <w:noProof/>
              </w:rPr>
              <w:t> </w:t>
            </w:r>
          </w:p>
        </w:tc>
      </w:tr>
      <w:tr w:rsidR="00844FE4" w:rsidRPr="00844FE4" w:rsidTr="00695B63">
        <w:trPr>
          <w:trHeight w:val="300"/>
        </w:trPr>
        <w:tc>
          <w:tcPr>
            <w:tcW w:w="1440" w:type="dxa"/>
            <w:noWrap/>
            <w:hideMark/>
          </w:tcPr>
          <w:p w:rsidR="00844FE4" w:rsidRPr="00844FE4" w:rsidRDefault="00844FE4" w:rsidP="00844FE4">
            <w:pPr>
              <w:pStyle w:val="NoSpacing"/>
              <w:rPr>
                <w:noProof/>
              </w:rPr>
            </w:pPr>
            <w:r w:rsidRPr="00844FE4">
              <w:rPr>
                <w:noProof/>
              </w:rPr>
              <w:t>Primer</w:t>
            </w:r>
          </w:p>
        </w:tc>
        <w:tc>
          <w:tcPr>
            <w:tcW w:w="1060" w:type="dxa"/>
            <w:noWrap/>
            <w:hideMark/>
          </w:tcPr>
          <w:p w:rsidR="00844FE4" w:rsidRPr="00844FE4" w:rsidRDefault="00844FE4" w:rsidP="00844FE4">
            <w:pPr>
              <w:pStyle w:val="NoSpacing"/>
              <w:rPr>
                <w:noProof/>
              </w:rPr>
            </w:pPr>
            <w:r w:rsidRPr="00844FE4">
              <w:rPr>
                <w:noProof/>
              </w:rPr>
              <w:t>Amount*</w:t>
            </w:r>
          </w:p>
        </w:tc>
        <w:tc>
          <w:tcPr>
            <w:tcW w:w="2732" w:type="dxa"/>
            <w:noWrap/>
            <w:hideMark/>
          </w:tcPr>
          <w:p w:rsidR="00844FE4" w:rsidRPr="00844FE4" w:rsidRDefault="00844FE4" w:rsidP="00844FE4">
            <w:pPr>
              <w:pStyle w:val="NoSpacing"/>
              <w:rPr>
                <w:noProof/>
              </w:rPr>
            </w:pPr>
            <w:r w:rsidRPr="00844FE4">
              <w:rPr>
                <w:noProof/>
              </w:rPr>
              <w:t>Reference</w:t>
            </w:r>
          </w:p>
        </w:tc>
        <w:tc>
          <w:tcPr>
            <w:tcW w:w="1467" w:type="dxa"/>
            <w:noWrap/>
            <w:hideMark/>
          </w:tcPr>
          <w:p w:rsidR="00844FE4" w:rsidRPr="00844FE4" w:rsidRDefault="00844FE4" w:rsidP="00844FE4">
            <w:pPr>
              <w:pStyle w:val="NoSpacing"/>
              <w:rPr>
                <w:noProof/>
              </w:rPr>
            </w:pPr>
            <w:r w:rsidRPr="00844FE4">
              <w:rPr>
                <w:noProof/>
              </w:rPr>
              <w:t>Primer</w:t>
            </w:r>
          </w:p>
        </w:tc>
        <w:tc>
          <w:tcPr>
            <w:tcW w:w="1060" w:type="dxa"/>
            <w:noWrap/>
            <w:hideMark/>
          </w:tcPr>
          <w:p w:rsidR="00844FE4" w:rsidRPr="00844FE4" w:rsidRDefault="00844FE4" w:rsidP="00844FE4">
            <w:pPr>
              <w:pStyle w:val="NoSpacing"/>
              <w:rPr>
                <w:noProof/>
              </w:rPr>
            </w:pPr>
            <w:r w:rsidRPr="00844FE4">
              <w:rPr>
                <w:noProof/>
              </w:rPr>
              <w:t>Amount*</w:t>
            </w:r>
          </w:p>
        </w:tc>
        <w:tc>
          <w:tcPr>
            <w:tcW w:w="2705" w:type="dxa"/>
            <w:noWrap/>
            <w:hideMark/>
          </w:tcPr>
          <w:p w:rsidR="00844FE4" w:rsidRPr="00844FE4" w:rsidRDefault="00844FE4" w:rsidP="00844FE4">
            <w:pPr>
              <w:pStyle w:val="NoSpacing"/>
              <w:rPr>
                <w:noProof/>
              </w:rPr>
            </w:pPr>
            <w:r w:rsidRPr="00844FE4">
              <w:rPr>
                <w:noProof/>
              </w:rPr>
              <w:t>Reference</w:t>
            </w:r>
          </w:p>
        </w:tc>
      </w:tr>
      <w:tr w:rsidR="00844FE4" w:rsidRPr="00844FE4" w:rsidTr="00695B63">
        <w:trPr>
          <w:trHeight w:val="300"/>
        </w:trPr>
        <w:tc>
          <w:tcPr>
            <w:tcW w:w="1440" w:type="dxa"/>
            <w:noWrap/>
            <w:hideMark/>
          </w:tcPr>
          <w:p w:rsidR="00844FE4" w:rsidRPr="00844FE4" w:rsidRDefault="00844FE4" w:rsidP="00844FE4">
            <w:pPr>
              <w:pStyle w:val="NoSpacing"/>
              <w:rPr>
                <w:noProof/>
              </w:rPr>
            </w:pPr>
            <w:r w:rsidRPr="00844FE4">
              <w:rPr>
                <w:noProof/>
              </w:rPr>
              <w:t>Fe11 (tamra)</w:t>
            </w:r>
          </w:p>
        </w:tc>
        <w:tc>
          <w:tcPr>
            <w:tcW w:w="1060" w:type="dxa"/>
            <w:noWrap/>
            <w:hideMark/>
          </w:tcPr>
          <w:p w:rsidR="00844FE4" w:rsidRPr="00844FE4" w:rsidRDefault="00844FE4" w:rsidP="00844FE4">
            <w:pPr>
              <w:pStyle w:val="NoSpacing"/>
              <w:rPr>
                <w:noProof/>
              </w:rPr>
            </w:pPr>
            <w:r w:rsidRPr="00844FE4">
              <w:rPr>
                <w:noProof/>
              </w:rPr>
              <w:t>0.015 μl</w:t>
            </w:r>
          </w:p>
        </w:tc>
        <w:tc>
          <w:tcPr>
            <w:tcW w:w="2732" w:type="dxa"/>
            <w:vMerge w:val="restart"/>
            <w:hideMark/>
          </w:tcPr>
          <w:p w:rsidR="00844FE4" w:rsidRPr="00844FE4" w:rsidRDefault="00844FE4" w:rsidP="00844FE4">
            <w:pPr>
              <w:pStyle w:val="NoSpacing"/>
              <w:rPr>
                <w:noProof/>
              </w:rPr>
            </w:pPr>
            <w:r w:rsidRPr="00844FE4">
              <w:rPr>
                <w:noProof/>
              </w:rPr>
              <w:t>Gyllenstrand et al. 2002</w:t>
            </w:r>
          </w:p>
        </w:tc>
        <w:tc>
          <w:tcPr>
            <w:tcW w:w="1467" w:type="dxa"/>
            <w:noWrap/>
            <w:hideMark/>
          </w:tcPr>
          <w:p w:rsidR="00844FE4" w:rsidRPr="00844FE4" w:rsidRDefault="00844FE4" w:rsidP="00844FE4">
            <w:pPr>
              <w:pStyle w:val="NoSpacing"/>
              <w:rPr>
                <w:noProof/>
              </w:rPr>
            </w:pPr>
            <w:r w:rsidRPr="00844FE4">
              <w:rPr>
                <w:noProof/>
              </w:rPr>
              <w:t>Fe37 (fam)</w:t>
            </w:r>
          </w:p>
        </w:tc>
        <w:tc>
          <w:tcPr>
            <w:tcW w:w="1060" w:type="dxa"/>
            <w:noWrap/>
            <w:hideMark/>
          </w:tcPr>
          <w:p w:rsidR="00844FE4" w:rsidRPr="00844FE4" w:rsidRDefault="00844FE4" w:rsidP="00844FE4">
            <w:pPr>
              <w:pStyle w:val="NoSpacing"/>
              <w:rPr>
                <w:noProof/>
              </w:rPr>
            </w:pPr>
            <w:r w:rsidRPr="00844FE4">
              <w:rPr>
                <w:noProof/>
              </w:rPr>
              <w:t>0.04 μl</w:t>
            </w:r>
          </w:p>
        </w:tc>
        <w:tc>
          <w:tcPr>
            <w:tcW w:w="2705" w:type="dxa"/>
            <w:vMerge w:val="restart"/>
            <w:hideMark/>
          </w:tcPr>
          <w:p w:rsidR="00844FE4" w:rsidRPr="00844FE4" w:rsidRDefault="00844FE4" w:rsidP="00844FE4">
            <w:pPr>
              <w:pStyle w:val="NoSpacing"/>
              <w:rPr>
                <w:noProof/>
              </w:rPr>
            </w:pPr>
            <w:r w:rsidRPr="00844FE4">
              <w:rPr>
                <w:noProof/>
              </w:rPr>
              <w:t>Gyllenstrand et al. 2002</w:t>
            </w:r>
          </w:p>
        </w:tc>
      </w:tr>
      <w:tr w:rsidR="00844FE4" w:rsidRPr="00844FE4" w:rsidTr="00695B63">
        <w:trPr>
          <w:trHeight w:val="300"/>
        </w:trPr>
        <w:tc>
          <w:tcPr>
            <w:tcW w:w="1440" w:type="dxa"/>
            <w:noWrap/>
            <w:hideMark/>
          </w:tcPr>
          <w:p w:rsidR="00844FE4" w:rsidRPr="00844FE4" w:rsidRDefault="00844FE4" w:rsidP="00844FE4">
            <w:pPr>
              <w:pStyle w:val="NoSpacing"/>
              <w:rPr>
                <w:noProof/>
              </w:rPr>
            </w:pPr>
            <w:r w:rsidRPr="00844FE4">
              <w:rPr>
                <w:noProof/>
              </w:rPr>
              <w:t>Fe38 (hex)</w:t>
            </w:r>
          </w:p>
        </w:tc>
        <w:tc>
          <w:tcPr>
            <w:tcW w:w="1060" w:type="dxa"/>
            <w:noWrap/>
            <w:hideMark/>
          </w:tcPr>
          <w:p w:rsidR="00844FE4" w:rsidRPr="00844FE4" w:rsidRDefault="00844FE4" w:rsidP="00844FE4">
            <w:pPr>
              <w:pStyle w:val="NoSpacing"/>
              <w:rPr>
                <w:noProof/>
              </w:rPr>
            </w:pPr>
            <w:r w:rsidRPr="00844FE4">
              <w:rPr>
                <w:noProof/>
              </w:rPr>
              <w:t>0.015 μl</w:t>
            </w:r>
          </w:p>
        </w:tc>
        <w:tc>
          <w:tcPr>
            <w:tcW w:w="2732" w:type="dxa"/>
            <w:vMerge/>
            <w:hideMark/>
          </w:tcPr>
          <w:p w:rsidR="00844FE4" w:rsidRPr="00844FE4" w:rsidRDefault="00844FE4" w:rsidP="00844FE4">
            <w:pPr>
              <w:pStyle w:val="NoSpacing"/>
              <w:rPr>
                <w:noProof/>
              </w:rPr>
            </w:pPr>
          </w:p>
        </w:tc>
        <w:tc>
          <w:tcPr>
            <w:tcW w:w="1467" w:type="dxa"/>
            <w:noWrap/>
            <w:hideMark/>
          </w:tcPr>
          <w:p w:rsidR="00844FE4" w:rsidRPr="00844FE4" w:rsidRDefault="00844FE4" w:rsidP="00844FE4">
            <w:pPr>
              <w:pStyle w:val="NoSpacing"/>
              <w:rPr>
                <w:noProof/>
              </w:rPr>
            </w:pPr>
            <w:r w:rsidRPr="00844FE4">
              <w:rPr>
                <w:noProof/>
              </w:rPr>
              <w:t>** Fe17 (hex)</w:t>
            </w:r>
          </w:p>
        </w:tc>
        <w:tc>
          <w:tcPr>
            <w:tcW w:w="1060" w:type="dxa"/>
            <w:noWrap/>
            <w:hideMark/>
          </w:tcPr>
          <w:p w:rsidR="00844FE4" w:rsidRPr="00844FE4" w:rsidRDefault="00844FE4" w:rsidP="00844FE4">
            <w:pPr>
              <w:pStyle w:val="NoSpacing"/>
              <w:rPr>
                <w:noProof/>
              </w:rPr>
            </w:pPr>
            <w:r w:rsidRPr="00844FE4">
              <w:rPr>
                <w:noProof/>
              </w:rPr>
              <w:t>0.04 μl</w:t>
            </w:r>
          </w:p>
        </w:tc>
        <w:tc>
          <w:tcPr>
            <w:tcW w:w="2705" w:type="dxa"/>
            <w:vMerge/>
            <w:hideMark/>
          </w:tcPr>
          <w:p w:rsidR="00844FE4" w:rsidRPr="00844FE4" w:rsidRDefault="00844FE4" w:rsidP="00844FE4">
            <w:pPr>
              <w:pStyle w:val="NoSpacing"/>
              <w:rPr>
                <w:noProof/>
              </w:rPr>
            </w:pPr>
          </w:p>
        </w:tc>
        <w:bookmarkStart w:id="0" w:name="_GoBack"/>
        <w:bookmarkEnd w:id="0"/>
      </w:tr>
      <w:tr w:rsidR="00844FE4" w:rsidRPr="00844FE4" w:rsidTr="00695B63">
        <w:trPr>
          <w:trHeight w:val="315"/>
        </w:trPr>
        <w:tc>
          <w:tcPr>
            <w:tcW w:w="1440" w:type="dxa"/>
            <w:noWrap/>
            <w:hideMark/>
          </w:tcPr>
          <w:p w:rsidR="00844FE4" w:rsidRPr="00844FE4" w:rsidRDefault="00844FE4" w:rsidP="00844FE4">
            <w:pPr>
              <w:pStyle w:val="NoSpacing"/>
              <w:rPr>
                <w:noProof/>
              </w:rPr>
            </w:pPr>
            <w:r w:rsidRPr="00844FE4">
              <w:rPr>
                <w:noProof/>
              </w:rPr>
              <w:t>Fl21 (fam)</w:t>
            </w:r>
          </w:p>
        </w:tc>
        <w:tc>
          <w:tcPr>
            <w:tcW w:w="1060" w:type="dxa"/>
            <w:noWrap/>
            <w:hideMark/>
          </w:tcPr>
          <w:p w:rsidR="00844FE4" w:rsidRPr="00844FE4" w:rsidRDefault="00844FE4" w:rsidP="00844FE4">
            <w:pPr>
              <w:pStyle w:val="NoSpacing"/>
              <w:rPr>
                <w:noProof/>
              </w:rPr>
            </w:pPr>
            <w:r w:rsidRPr="00844FE4">
              <w:rPr>
                <w:noProof/>
              </w:rPr>
              <w:t>0.04 μl</w:t>
            </w:r>
          </w:p>
        </w:tc>
        <w:tc>
          <w:tcPr>
            <w:tcW w:w="2732" w:type="dxa"/>
            <w:noWrap/>
            <w:hideMark/>
          </w:tcPr>
          <w:p w:rsidR="00844FE4" w:rsidRPr="00844FE4" w:rsidRDefault="00844FE4" w:rsidP="00844FE4">
            <w:pPr>
              <w:pStyle w:val="NoSpacing"/>
              <w:rPr>
                <w:noProof/>
              </w:rPr>
            </w:pPr>
            <w:r w:rsidRPr="00844FE4">
              <w:rPr>
                <w:noProof/>
              </w:rPr>
              <w:t>Chapuisat 1996</w:t>
            </w:r>
          </w:p>
        </w:tc>
        <w:tc>
          <w:tcPr>
            <w:tcW w:w="1467" w:type="dxa"/>
            <w:noWrap/>
            <w:hideMark/>
          </w:tcPr>
          <w:p w:rsidR="00844FE4" w:rsidRPr="00844FE4" w:rsidRDefault="00844FE4" w:rsidP="00844FE4">
            <w:pPr>
              <w:pStyle w:val="NoSpacing"/>
              <w:rPr>
                <w:noProof/>
              </w:rPr>
            </w:pPr>
            <w:r w:rsidRPr="00844FE4">
              <w:rPr>
                <w:noProof/>
              </w:rPr>
              <w:t>P22 (tamra)</w:t>
            </w:r>
          </w:p>
        </w:tc>
        <w:tc>
          <w:tcPr>
            <w:tcW w:w="1060" w:type="dxa"/>
            <w:noWrap/>
            <w:hideMark/>
          </w:tcPr>
          <w:p w:rsidR="00844FE4" w:rsidRPr="00844FE4" w:rsidRDefault="00844FE4" w:rsidP="00844FE4">
            <w:pPr>
              <w:pStyle w:val="NoSpacing"/>
              <w:rPr>
                <w:noProof/>
              </w:rPr>
            </w:pPr>
            <w:r w:rsidRPr="00844FE4">
              <w:rPr>
                <w:noProof/>
              </w:rPr>
              <w:t>0.005 μl</w:t>
            </w:r>
          </w:p>
        </w:tc>
        <w:tc>
          <w:tcPr>
            <w:tcW w:w="2705" w:type="dxa"/>
            <w:noWrap/>
            <w:hideMark/>
          </w:tcPr>
          <w:p w:rsidR="00844FE4" w:rsidRPr="00844FE4" w:rsidRDefault="00844FE4" w:rsidP="00844FE4">
            <w:pPr>
              <w:pStyle w:val="NoSpacing"/>
              <w:rPr>
                <w:noProof/>
              </w:rPr>
            </w:pPr>
            <w:r w:rsidRPr="00844FE4">
              <w:rPr>
                <w:noProof/>
              </w:rPr>
              <w:t>Trontti et al. 2003</w:t>
            </w:r>
          </w:p>
        </w:tc>
      </w:tr>
      <w:tr w:rsidR="00844FE4" w:rsidRPr="00844FE4" w:rsidTr="00695B63">
        <w:trPr>
          <w:trHeight w:val="660"/>
        </w:trPr>
        <w:tc>
          <w:tcPr>
            <w:tcW w:w="10464" w:type="dxa"/>
            <w:gridSpan w:val="6"/>
            <w:hideMark/>
          </w:tcPr>
          <w:p w:rsidR="00844FE4" w:rsidRPr="00844FE4" w:rsidRDefault="00844FE4" w:rsidP="00844FE4">
            <w:pPr>
              <w:pStyle w:val="NoSpacing"/>
              <w:rPr>
                <w:noProof/>
              </w:rPr>
            </w:pPr>
            <w:r w:rsidRPr="00844FE4">
              <w:rPr>
                <w:noProof/>
              </w:rPr>
              <w:t>* The mentioned amounts of both forward and reverse primer stock solutions (Oligomer. 100μM) were used in each reaction.</w:t>
            </w:r>
          </w:p>
        </w:tc>
      </w:tr>
      <w:tr w:rsidR="00844FE4" w:rsidRPr="00844FE4" w:rsidTr="00695B63">
        <w:trPr>
          <w:trHeight w:val="285"/>
        </w:trPr>
        <w:tc>
          <w:tcPr>
            <w:tcW w:w="10464" w:type="dxa"/>
            <w:gridSpan w:val="6"/>
            <w:hideMark/>
          </w:tcPr>
          <w:p w:rsidR="00844FE4" w:rsidRPr="00844FE4" w:rsidRDefault="00844FE4" w:rsidP="00844FE4">
            <w:pPr>
              <w:pStyle w:val="NoSpacing"/>
              <w:rPr>
                <w:noProof/>
              </w:rPr>
            </w:pPr>
            <w:r w:rsidRPr="00844FE4">
              <w:rPr>
                <w:noProof/>
              </w:rPr>
              <w:t xml:space="preserve">** Locus was removed from the dataset after the initial analysis due to poor amplification in </w:t>
            </w:r>
            <w:r w:rsidRPr="00844FE4">
              <w:rPr>
                <w:i/>
                <w:iCs/>
                <w:noProof/>
              </w:rPr>
              <w:t>F. forsslundi.</w:t>
            </w:r>
            <w:r w:rsidRPr="00844FE4">
              <w:rPr>
                <w:noProof/>
              </w:rPr>
              <w:t xml:space="preserve"> </w:t>
            </w:r>
          </w:p>
        </w:tc>
      </w:tr>
    </w:tbl>
    <w:p w:rsidR="00844FE4" w:rsidRDefault="00844FE4">
      <w:pPr>
        <w:spacing w:after="160" w:line="259" w:lineRule="auto"/>
        <w:rPr>
          <w:rFonts w:ascii="Times New Roman" w:hAnsi="Times New Roman" w:cs="Times New Roman"/>
          <w:b/>
          <w:noProof/>
          <w:sz w:val="24"/>
          <w:szCs w:val="24"/>
        </w:rPr>
      </w:pPr>
    </w:p>
    <w:p w:rsidR="00844FE4" w:rsidRPr="00F35134" w:rsidRDefault="00844FE4" w:rsidP="00844FE4">
      <w:pPr>
        <w:rPr>
          <w:rFonts w:ascii="Times New Roman" w:hAnsi="Times New Roman" w:cs="Times New Roman"/>
          <w:b/>
          <w:noProof/>
          <w:sz w:val="24"/>
          <w:szCs w:val="24"/>
        </w:rPr>
      </w:pPr>
      <w:r w:rsidRPr="00F35134">
        <w:rPr>
          <w:rFonts w:ascii="Times New Roman" w:hAnsi="Times New Roman" w:cs="Times New Roman"/>
          <w:b/>
          <w:noProof/>
          <w:sz w:val="24"/>
          <w:szCs w:val="24"/>
        </w:rPr>
        <w:t>References:</w:t>
      </w:r>
    </w:p>
    <w:p w:rsidR="00844FE4" w:rsidRPr="00F35134" w:rsidRDefault="00844FE4" w:rsidP="00844FE4">
      <w:pPr>
        <w:widowControl w:val="0"/>
        <w:autoSpaceDE w:val="0"/>
        <w:autoSpaceDN w:val="0"/>
        <w:adjustRightInd w:val="0"/>
        <w:spacing w:after="140" w:line="480" w:lineRule="auto"/>
        <w:ind w:left="480" w:hanging="480"/>
        <w:rPr>
          <w:rFonts w:ascii="Times New Roman" w:hAnsi="Times New Roman" w:cs="Times New Roman"/>
          <w:noProof/>
          <w:sz w:val="24"/>
          <w:szCs w:val="24"/>
        </w:rPr>
      </w:pPr>
      <w:r w:rsidRPr="00F35134">
        <w:rPr>
          <w:rFonts w:ascii="Times New Roman" w:hAnsi="Times New Roman" w:cs="Times New Roman"/>
          <w:noProof/>
          <w:sz w:val="24"/>
          <w:szCs w:val="24"/>
        </w:rPr>
        <w:t>Chapuisat. M. (1996). Characterization of microsatellite loci in Formica lugubris B and their variability in other ant species. Molecular Ecology. 5. 599–601.</w:t>
      </w:r>
    </w:p>
    <w:p w:rsidR="00844FE4" w:rsidRPr="00F35134" w:rsidRDefault="00844FE4" w:rsidP="00844FE4">
      <w:pPr>
        <w:widowControl w:val="0"/>
        <w:autoSpaceDE w:val="0"/>
        <w:autoSpaceDN w:val="0"/>
        <w:adjustRightInd w:val="0"/>
        <w:spacing w:after="140" w:line="480" w:lineRule="auto"/>
        <w:ind w:left="480" w:hanging="480"/>
        <w:rPr>
          <w:rFonts w:ascii="Times New Roman" w:hAnsi="Times New Roman" w:cs="Times New Roman"/>
          <w:noProof/>
          <w:sz w:val="24"/>
          <w:szCs w:val="24"/>
        </w:rPr>
      </w:pPr>
      <w:r w:rsidRPr="00844FE4">
        <w:rPr>
          <w:rFonts w:ascii="Times New Roman" w:hAnsi="Times New Roman" w:cs="Times New Roman"/>
          <w:noProof/>
          <w:sz w:val="24"/>
          <w:szCs w:val="24"/>
          <w:lang w:val="sv-SE"/>
        </w:rPr>
        <w:t xml:space="preserve">Gyllenstrand. N.. Gertsch. P. J.. </w:t>
      </w:r>
      <w:r w:rsidRPr="00F35134">
        <w:rPr>
          <w:rFonts w:ascii="Times New Roman" w:hAnsi="Times New Roman" w:cs="Times New Roman"/>
          <w:noProof/>
          <w:sz w:val="24"/>
          <w:szCs w:val="24"/>
        </w:rPr>
        <w:t>&amp; Pamilo. P. (2002). Polymorphic microsatellite DNA markers in the ant Formica exsecta. Molecular Ecology Notes. 2. 67–69.</w:t>
      </w:r>
    </w:p>
    <w:p w:rsidR="00844FE4" w:rsidRPr="00F35134" w:rsidRDefault="00844FE4" w:rsidP="00844FE4">
      <w:pPr>
        <w:widowControl w:val="0"/>
        <w:autoSpaceDE w:val="0"/>
        <w:autoSpaceDN w:val="0"/>
        <w:adjustRightInd w:val="0"/>
        <w:spacing w:after="140" w:line="480" w:lineRule="auto"/>
        <w:ind w:left="480" w:hanging="480"/>
        <w:rPr>
          <w:rFonts w:ascii="Times New Roman" w:hAnsi="Times New Roman" w:cs="Times New Roman"/>
          <w:noProof/>
          <w:sz w:val="24"/>
          <w:szCs w:val="24"/>
        </w:rPr>
      </w:pPr>
      <w:r w:rsidRPr="00F35134">
        <w:rPr>
          <w:rFonts w:ascii="Times New Roman" w:hAnsi="Times New Roman" w:cs="Times New Roman"/>
          <w:noProof/>
          <w:sz w:val="24"/>
          <w:szCs w:val="24"/>
        </w:rPr>
        <w:t>Hasegawa. E.. &amp; Imai. S. (2004). Characterization of microsatellite loci in red wood ants Formica (s. str.) spp. and the related genus Polyergus. Molecular Ecology Notes. 4. 200–203.</w:t>
      </w:r>
    </w:p>
    <w:p w:rsidR="00844FE4" w:rsidRPr="00F35134" w:rsidRDefault="00844FE4" w:rsidP="00844FE4">
      <w:pPr>
        <w:widowControl w:val="0"/>
        <w:autoSpaceDE w:val="0"/>
        <w:autoSpaceDN w:val="0"/>
        <w:adjustRightInd w:val="0"/>
        <w:spacing w:after="140" w:line="480" w:lineRule="auto"/>
        <w:ind w:left="480" w:hanging="480"/>
        <w:rPr>
          <w:rFonts w:ascii="Times New Roman" w:hAnsi="Times New Roman" w:cs="Times New Roman"/>
          <w:noProof/>
          <w:sz w:val="24"/>
          <w:szCs w:val="24"/>
        </w:rPr>
      </w:pPr>
      <w:r w:rsidRPr="00F35134">
        <w:rPr>
          <w:rFonts w:ascii="Times New Roman" w:hAnsi="Times New Roman" w:cs="Times New Roman"/>
          <w:noProof/>
          <w:sz w:val="24"/>
          <w:szCs w:val="24"/>
        </w:rPr>
        <w:t>Trontti. K.. Tay. W. T.. &amp; Sundström. L. (2003). Polymorphic microsatellite markers for the ant Plagiolepis pygmaea. Molecular Ecology Notes. 3. 575–577.</w:t>
      </w:r>
    </w:p>
    <w:p w:rsidR="00844FE4" w:rsidRPr="00F35134" w:rsidRDefault="00844FE4" w:rsidP="00844FE4">
      <w:pPr>
        <w:widowControl w:val="0"/>
        <w:autoSpaceDE w:val="0"/>
        <w:autoSpaceDN w:val="0"/>
        <w:adjustRightInd w:val="0"/>
        <w:spacing w:after="140" w:line="480" w:lineRule="auto"/>
        <w:ind w:left="480" w:hanging="480"/>
        <w:rPr>
          <w:rFonts w:ascii="Times New Roman" w:hAnsi="Times New Roman" w:cs="Times New Roman"/>
          <w:noProof/>
          <w:sz w:val="20"/>
          <w:szCs w:val="20"/>
        </w:rPr>
      </w:pPr>
      <w:r w:rsidRPr="00F35134">
        <w:rPr>
          <w:rFonts w:ascii="Times New Roman" w:hAnsi="Times New Roman" w:cs="Times New Roman"/>
          <w:noProof/>
          <w:sz w:val="24"/>
          <w:szCs w:val="24"/>
        </w:rPr>
        <w:lastRenderedPageBreak/>
        <w:t xml:space="preserve">Seppä. P.. Helanterä. H.. Trontti. K.. Punttila. P.. Chernenko. A.. Martin. S. J.. &amp; Sundström. L. (2011). The many ways to delimit species: hairs. genes and surface chemistry. </w:t>
      </w:r>
      <w:r w:rsidRPr="00F35134">
        <w:rPr>
          <w:rFonts w:ascii="Times New Roman" w:hAnsi="Times New Roman" w:cs="Times New Roman"/>
          <w:i/>
          <w:iCs/>
          <w:noProof/>
          <w:sz w:val="24"/>
          <w:szCs w:val="24"/>
        </w:rPr>
        <w:t>Myrmecological News</w:t>
      </w:r>
      <w:r w:rsidRPr="00F35134">
        <w:rPr>
          <w:rFonts w:ascii="Times New Roman" w:hAnsi="Times New Roman" w:cs="Times New Roman"/>
          <w:noProof/>
          <w:sz w:val="24"/>
          <w:szCs w:val="24"/>
        </w:rPr>
        <w:t xml:space="preserve">. </w:t>
      </w:r>
      <w:r w:rsidRPr="00F35134">
        <w:rPr>
          <w:rFonts w:ascii="Times New Roman" w:hAnsi="Times New Roman" w:cs="Times New Roman"/>
          <w:b/>
          <w:iCs/>
          <w:noProof/>
          <w:sz w:val="24"/>
          <w:szCs w:val="24"/>
        </w:rPr>
        <w:t>15</w:t>
      </w:r>
      <w:r w:rsidRPr="00F35134">
        <w:rPr>
          <w:rFonts w:ascii="Times New Roman" w:hAnsi="Times New Roman" w:cs="Times New Roman"/>
          <w:noProof/>
          <w:sz w:val="24"/>
          <w:szCs w:val="24"/>
        </w:rPr>
        <w:t>. 31–41.</w:t>
      </w:r>
      <w:r w:rsidRPr="00F35134">
        <w:rPr>
          <w:rFonts w:ascii="Times New Roman" w:hAnsi="Times New Roman" w:cs="Times New Roman"/>
          <w:noProof/>
          <w:sz w:val="24"/>
          <w:szCs w:val="24"/>
        </w:rPr>
        <w:br w:type="page"/>
      </w:r>
    </w:p>
    <w:p w:rsidR="00C934D1" w:rsidRPr="00844FE4" w:rsidRDefault="00C934D1" w:rsidP="00844FE4"/>
    <w:sectPr w:rsidR="00C934D1" w:rsidRPr="00844FE4">
      <w:pgSz w:w="12240" w:h="15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D1"/>
    <w:rsid w:val="000F501F"/>
    <w:rsid w:val="0026580D"/>
    <w:rsid w:val="002C215B"/>
    <w:rsid w:val="004435D3"/>
    <w:rsid w:val="005B080B"/>
    <w:rsid w:val="007A371E"/>
    <w:rsid w:val="00844FE4"/>
    <w:rsid w:val="009168B1"/>
    <w:rsid w:val="009E3C62"/>
    <w:rsid w:val="00A02DE2"/>
    <w:rsid w:val="00A70A12"/>
    <w:rsid w:val="00A87403"/>
    <w:rsid w:val="00C934D1"/>
    <w:rsid w:val="00C9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AEBA10E-0DBB-406B-A96A-CA8CB0243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01F"/>
    <w:pPr>
      <w:spacing w:after="200" w:line="276" w:lineRule="auto"/>
    </w:pPr>
  </w:style>
  <w:style w:type="paragraph" w:styleId="Heading1">
    <w:name w:val="heading 1"/>
    <w:basedOn w:val="Normal"/>
    <w:next w:val="Normal"/>
    <w:link w:val="Heading1Char"/>
    <w:uiPriority w:val="9"/>
    <w:qFormat/>
    <w:rsid w:val="000F501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F501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F50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F501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01F"/>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0F501F"/>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0F501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F501F"/>
    <w:rPr>
      <w:rFonts w:asciiTheme="majorHAnsi" w:eastAsiaTheme="majorEastAsia" w:hAnsiTheme="majorHAnsi" w:cstheme="majorBidi"/>
      <w:i/>
      <w:iCs/>
      <w:color w:val="2E74B5" w:themeColor="accent1" w:themeShade="BF"/>
    </w:rPr>
  </w:style>
  <w:style w:type="character" w:customStyle="1" w:styleId="text-with-line-breaks">
    <w:name w:val="text-with-line-breaks"/>
    <w:basedOn w:val="DefaultParagraphFont"/>
    <w:rsid w:val="000F501F"/>
  </w:style>
  <w:style w:type="character" w:customStyle="1" w:styleId="hoch">
    <w:name w:val="hoch"/>
    <w:basedOn w:val="DefaultParagraphFont"/>
    <w:rsid w:val="000F501F"/>
  </w:style>
  <w:style w:type="character" w:customStyle="1" w:styleId="shorttext">
    <w:name w:val="short_text"/>
    <w:basedOn w:val="DefaultParagraphFont"/>
    <w:rsid w:val="000F501F"/>
  </w:style>
  <w:style w:type="character" w:customStyle="1" w:styleId="CommentTextChar">
    <w:name w:val="Comment Text Char"/>
    <w:basedOn w:val="DefaultParagraphFont"/>
    <w:link w:val="CommentText"/>
    <w:uiPriority w:val="99"/>
    <w:rsid w:val="000F501F"/>
    <w:rPr>
      <w:sz w:val="20"/>
      <w:szCs w:val="20"/>
    </w:rPr>
  </w:style>
  <w:style w:type="paragraph" w:styleId="CommentText">
    <w:name w:val="annotation text"/>
    <w:basedOn w:val="Normal"/>
    <w:link w:val="CommentTextChar"/>
    <w:uiPriority w:val="99"/>
    <w:unhideWhenUsed/>
    <w:rsid w:val="000F501F"/>
    <w:pPr>
      <w:spacing w:line="240" w:lineRule="auto"/>
    </w:pPr>
    <w:rPr>
      <w:sz w:val="20"/>
      <w:szCs w:val="20"/>
    </w:rPr>
  </w:style>
  <w:style w:type="character" w:customStyle="1" w:styleId="CommentSubjectChar">
    <w:name w:val="Comment Subject Char"/>
    <w:basedOn w:val="CommentTextChar"/>
    <w:link w:val="CommentSubject"/>
    <w:uiPriority w:val="99"/>
    <w:semiHidden/>
    <w:rsid w:val="000F501F"/>
    <w:rPr>
      <w:b/>
      <w:bCs/>
      <w:sz w:val="20"/>
      <w:szCs w:val="20"/>
    </w:rPr>
  </w:style>
  <w:style w:type="paragraph" w:styleId="CommentSubject">
    <w:name w:val="annotation subject"/>
    <w:basedOn w:val="CommentText"/>
    <w:next w:val="CommentText"/>
    <w:link w:val="CommentSubjectChar"/>
    <w:uiPriority w:val="99"/>
    <w:semiHidden/>
    <w:unhideWhenUsed/>
    <w:rsid w:val="000F501F"/>
    <w:rPr>
      <w:b/>
      <w:bCs/>
    </w:rPr>
  </w:style>
  <w:style w:type="character" w:customStyle="1" w:styleId="BalloonTextChar">
    <w:name w:val="Balloon Text Char"/>
    <w:basedOn w:val="DefaultParagraphFont"/>
    <w:link w:val="BalloonText"/>
    <w:uiPriority w:val="99"/>
    <w:semiHidden/>
    <w:rsid w:val="000F501F"/>
    <w:rPr>
      <w:rFonts w:ascii="Segoe UI" w:hAnsi="Segoe UI" w:cs="Segoe UI"/>
      <w:sz w:val="18"/>
      <w:szCs w:val="18"/>
    </w:rPr>
  </w:style>
  <w:style w:type="paragraph" w:styleId="BalloonText">
    <w:name w:val="Balloon Text"/>
    <w:basedOn w:val="Normal"/>
    <w:link w:val="BalloonTextChar"/>
    <w:uiPriority w:val="99"/>
    <w:semiHidden/>
    <w:unhideWhenUsed/>
    <w:rsid w:val="000F501F"/>
    <w:pPr>
      <w:spacing w:after="0" w:line="240" w:lineRule="auto"/>
    </w:pPr>
    <w:rPr>
      <w:rFonts w:ascii="Segoe UI" w:hAnsi="Segoe UI" w:cs="Segoe UI"/>
      <w:sz w:val="18"/>
      <w:szCs w:val="18"/>
    </w:rPr>
  </w:style>
  <w:style w:type="character" w:customStyle="1" w:styleId="gt-baf-word-clickable">
    <w:name w:val="gt-baf-word-clickable"/>
    <w:basedOn w:val="DefaultParagraphFont"/>
    <w:rsid w:val="000F501F"/>
  </w:style>
  <w:style w:type="character" w:customStyle="1" w:styleId="PlainTextChar">
    <w:name w:val="Plain Text Char"/>
    <w:basedOn w:val="DefaultParagraphFont"/>
    <w:link w:val="PlainText"/>
    <w:uiPriority w:val="99"/>
    <w:rsid w:val="000F501F"/>
    <w:rPr>
      <w:rFonts w:ascii="Calibri" w:hAnsi="Calibri"/>
      <w:szCs w:val="21"/>
      <w:lang w:val="en-GB"/>
    </w:rPr>
  </w:style>
  <w:style w:type="paragraph" w:styleId="PlainText">
    <w:name w:val="Plain Text"/>
    <w:basedOn w:val="Normal"/>
    <w:link w:val="PlainTextChar"/>
    <w:uiPriority w:val="99"/>
    <w:unhideWhenUsed/>
    <w:rsid w:val="000F501F"/>
    <w:pPr>
      <w:spacing w:after="0" w:line="240" w:lineRule="auto"/>
    </w:pPr>
    <w:rPr>
      <w:rFonts w:ascii="Calibri" w:hAnsi="Calibri"/>
      <w:szCs w:val="21"/>
      <w:lang w:val="en-GB"/>
    </w:rPr>
  </w:style>
  <w:style w:type="paragraph" w:customStyle="1" w:styleId="paragraphstyle1">
    <w:name w:val="paragraph_style_1"/>
    <w:basedOn w:val="Normal"/>
    <w:rsid w:val="000F501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tyle">
    <w:name w:val="style"/>
    <w:basedOn w:val="DefaultParagraphFont"/>
    <w:rsid w:val="000F501F"/>
  </w:style>
  <w:style w:type="character" w:customStyle="1" w:styleId="style1">
    <w:name w:val="style_1"/>
    <w:basedOn w:val="DefaultParagraphFont"/>
    <w:rsid w:val="000F501F"/>
  </w:style>
  <w:style w:type="paragraph" w:customStyle="1" w:styleId="Default">
    <w:name w:val="Default"/>
    <w:rsid w:val="000F501F"/>
    <w:pPr>
      <w:autoSpaceDE w:val="0"/>
      <w:autoSpaceDN w:val="0"/>
      <w:adjustRightInd w:val="0"/>
      <w:spacing w:after="0" w:line="240" w:lineRule="auto"/>
    </w:pPr>
    <w:rPr>
      <w:rFonts w:ascii="Georgia" w:hAnsi="Georgia" w:cs="Georgia"/>
      <w:color w:val="000000"/>
      <w:sz w:val="24"/>
      <w:szCs w:val="24"/>
      <w:lang w:val="fi-FI"/>
    </w:rPr>
  </w:style>
  <w:style w:type="character" w:customStyle="1" w:styleId="HeaderChar">
    <w:name w:val="Header Char"/>
    <w:basedOn w:val="DefaultParagraphFont"/>
    <w:link w:val="Header"/>
    <w:uiPriority w:val="99"/>
    <w:rsid w:val="000F501F"/>
  </w:style>
  <w:style w:type="paragraph" w:styleId="Header">
    <w:name w:val="header"/>
    <w:basedOn w:val="Normal"/>
    <w:link w:val="HeaderChar"/>
    <w:uiPriority w:val="99"/>
    <w:unhideWhenUsed/>
    <w:rsid w:val="000F501F"/>
    <w:pPr>
      <w:tabs>
        <w:tab w:val="center" w:pos="4986"/>
        <w:tab w:val="right" w:pos="9972"/>
      </w:tabs>
      <w:spacing w:after="0" w:line="240" w:lineRule="auto"/>
    </w:pPr>
  </w:style>
  <w:style w:type="character" w:customStyle="1" w:styleId="FooterChar">
    <w:name w:val="Footer Char"/>
    <w:basedOn w:val="DefaultParagraphFont"/>
    <w:link w:val="Footer"/>
    <w:uiPriority w:val="99"/>
    <w:rsid w:val="000F501F"/>
  </w:style>
  <w:style w:type="paragraph" w:styleId="Footer">
    <w:name w:val="footer"/>
    <w:basedOn w:val="Normal"/>
    <w:link w:val="FooterChar"/>
    <w:uiPriority w:val="99"/>
    <w:unhideWhenUsed/>
    <w:rsid w:val="000F501F"/>
    <w:pPr>
      <w:tabs>
        <w:tab w:val="center" w:pos="4986"/>
        <w:tab w:val="right" w:pos="9972"/>
      </w:tabs>
      <w:spacing w:after="0" w:line="240" w:lineRule="auto"/>
    </w:pPr>
  </w:style>
  <w:style w:type="character" w:customStyle="1" w:styleId="HTMLPreformattedChar">
    <w:name w:val="HTML Preformatted Char"/>
    <w:basedOn w:val="DefaultParagraphFont"/>
    <w:link w:val="HTMLPreformatted"/>
    <w:uiPriority w:val="99"/>
    <w:rsid w:val="000F501F"/>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godmdahbbpb">
    <w:name w:val="godmdahbbpb"/>
    <w:basedOn w:val="DefaultParagraphFont"/>
    <w:rsid w:val="000F501F"/>
  </w:style>
  <w:style w:type="character" w:customStyle="1" w:styleId="godmdahbbob">
    <w:name w:val="godmdahbbob"/>
    <w:basedOn w:val="DefaultParagraphFont"/>
    <w:rsid w:val="000F501F"/>
  </w:style>
  <w:style w:type="character" w:customStyle="1" w:styleId="reference-text">
    <w:name w:val="reference-text"/>
    <w:basedOn w:val="DefaultParagraphFont"/>
    <w:rsid w:val="000F501F"/>
  </w:style>
  <w:style w:type="character" w:customStyle="1" w:styleId="FootnoteTextChar">
    <w:name w:val="Footnote Text Char"/>
    <w:basedOn w:val="DefaultParagraphFont"/>
    <w:link w:val="FootnoteText"/>
    <w:uiPriority w:val="99"/>
    <w:semiHidden/>
    <w:rsid w:val="000F501F"/>
    <w:rPr>
      <w:sz w:val="20"/>
      <w:szCs w:val="20"/>
    </w:rPr>
  </w:style>
  <w:style w:type="paragraph" w:styleId="FootnoteText">
    <w:name w:val="footnote text"/>
    <w:basedOn w:val="Normal"/>
    <w:link w:val="FootnoteTextChar"/>
    <w:uiPriority w:val="99"/>
    <w:semiHidden/>
    <w:unhideWhenUsed/>
    <w:rsid w:val="000F501F"/>
    <w:pPr>
      <w:spacing w:after="0" w:line="240" w:lineRule="auto"/>
    </w:pPr>
    <w:rPr>
      <w:sz w:val="20"/>
      <w:szCs w:val="20"/>
    </w:rPr>
  </w:style>
  <w:style w:type="character" w:customStyle="1" w:styleId="st">
    <w:name w:val="st"/>
    <w:basedOn w:val="DefaultParagraphFont"/>
    <w:rsid w:val="000F501F"/>
  </w:style>
  <w:style w:type="character" w:styleId="Strong">
    <w:name w:val="Strong"/>
    <w:basedOn w:val="DefaultParagraphFont"/>
    <w:uiPriority w:val="22"/>
    <w:qFormat/>
    <w:rsid w:val="000F501F"/>
    <w:rPr>
      <w:b/>
      <w:bCs/>
    </w:rPr>
  </w:style>
  <w:style w:type="paragraph" w:styleId="NoSpacing">
    <w:name w:val="No Spacing"/>
    <w:uiPriority w:val="1"/>
    <w:qFormat/>
    <w:rsid w:val="00A87403"/>
    <w:pPr>
      <w:spacing w:after="0" w:line="240" w:lineRule="auto"/>
    </w:pPr>
  </w:style>
  <w:style w:type="character" w:styleId="Hyperlink">
    <w:name w:val="Hyperlink"/>
    <w:basedOn w:val="DefaultParagraphFont"/>
    <w:uiPriority w:val="99"/>
    <w:unhideWhenUsed/>
    <w:rsid w:val="00A87403"/>
    <w:rPr>
      <w:color w:val="0563C1"/>
      <w:u w:val="single"/>
    </w:rPr>
  </w:style>
  <w:style w:type="paragraph" w:styleId="NormalWeb">
    <w:name w:val="Normal (Web)"/>
    <w:basedOn w:val="Normal"/>
    <w:uiPriority w:val="99"/>
    <w:unhideWhenUsed/>
    <w:rsid w:val="00A874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7403"/>
    <w:rPr>
      <w:i/>
      <w:iCs/>
    </w:rPr>
  </w:style>
  <w:style w:type="paragraph" w:styleId="TOCHeading">
    <w:name w:val="TOC Heading"/>
    <w:basedOn w:val="Heading1"/>
    <w:next w:val="Normal"/>
    <w:uiPriority w:val="39"/>
    <w:unhideWhenUsed/>
    <w:qFormat/>
    <w:rsid w:val="00A87403"/>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A87403"/>
    <w:pPr>
      <w:spacing w:after="100"/>
    </w:pPr>
  </w:style>
  <w:style w:type="paragraph" w:styleId="TOC2">
    <w:name w:val="toc 2"/>
    <w:basedOn w:val="Normal"/>
    <w:next w:val="Normal"/>
    <w:autoRedefine/>
    <w:uiPriority w:val="39"/>
    <w:unhideWhenUsed/>
    <w:rsid w:val="00A87403"/>
    <w:pPr>
      <w:spacing w:after="100"/>
      <w:ind w:left="220"/>
    </w:pPr>
  </w:style>
  <w:style w:type="paragraph" w:styleId="TOC3">
    <w:name w:val="toc 3"/>
    <w:basedOn w:val="Normal"/>
    <w:next w:val="Normal"/>
    <w:autoRedefine/>
    <w:uiPriority w:val="39"/>
    <w:unhideWhenUsed/>
    <w:rsid w:val="00A87403"/>
    <w:pPr>
      <w:spacing w:after="100"/>
      <w:ind w:left="440"/>
    </w:pPr>
  </w:style>
  <w:style w:type="character" w:styleId="FollowedHyperlink">
    <w:name w:val="FollowedHyperlink"/>
    <w:basedOn w:val="DefaultParagraphFont"/>
    <w:uiPriority w:val="99"/>
    <w:semiHidden/>
    <w:unhideWhenUsed/>
    <w:rsid w:val="00A87403"/>
    <w:rPr>
      <w:color w:val="954F72" w:themeColor="followedHyperlink"/>
      <w:u w:val="single"/>
    </w:rPr>
  </w:style>
  <w:style w:type="character" w:styleId="CommentReference">
    <w:name w:val="annotation reference"/>
    <w:basedOn w:val="DefaultParagraphFont"/>
    <w:uiPriority w:val="99"/>
    <w:semiHidden/>
    <w:unhideWhenUsed/>
    <w:rsid w:val="00A87403"/>
    <w:rPr>
      <w:sz w:val="16"/>
      <w:szCs w:val="16"/>
    </w:rPr>
  </w:style>
  <w:style w:type="paragraph" w:styleId="Revision">
    <w:name w:val="Revision"/>
    <w:hidden/>
    <w:uiPriority w:val="99"/>
    <w:semiHidden/>
    <w:rsid w:val="00A87403"/>
    <w:pPr>
      <w:spacing w:after="0" w:line="240" w:lineRule="auto"/>
    </w:pPr>
  </w:style>
  <w:style w:type="character" w:styleId="LineNumber">
    <w:name w:val="line number"/>
    <w:basedOn w:val="DefaultParagraphFont"/>
    <w:uiPriority w:val="99"/>
    <w:semiHidden/>
    <w:unhideWhenUsed/>
    <w:rsid w:val="00A87403"/>
  </w:style>
  <w:style w:type="character" w:styleId="FootnoteReference">
    <w:name w:val="footnote reference"/>
    <w:basedOn w:val="DefaultParagraphFont"/>
    <w:uiPriority w:val="99"/>
    <w:semiHidden/>
    <w:unhideWhenUsed/>
    <w:rsid w:val="00A87403"/>
    <w:rPr>
      <w:vertAlign w:val="superscript"/>
    </w:rPr>
  </w:style>
  <w:style w:type="table" w:styleId="TableGrid">
    <w:name w:val="Table Grid"/>
    <w:basedOn w:val="TableNormal"/>
    <w:uiPriority w:val="59"/>
    <w:rsid w:val="00A87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Hakala, Sanja M</dc:creator>
  <cp:keywords/>
  <dc:description/>
  <cp:lastModifiedBy>Hakala, Sanja M</cp:lastModifiedBy>
  <cp:revision>2</cp:revision>
  <dcterms:created xsi:type="dcterms:W3CDTF">2018-06-19T08:27:00Z</dcterms:created>
  <dcterms:modified xsi:type="dcterms:W3CDTF">2018-06-19T08:27:00Z</dcterms:modified>
</cp:coreProperties>
</file>