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F" w:rsidRPr="0004704C" w:rsidRDefault="0052475F" w:rsidP="0052475F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04704C">
        <w:rPr>
          <w:rFonts w:ascii="Times New Roman" w:eastAsia="宋体" w:hAnsi="Times New Roman"/>
          <w:szCs w:val="21"/>
        </w:rPr>
        <w:t>Table S</w:t>
      </w:r>
      <w:r w:rsidR="00284A8E">
        <w:rPr>
          <w:rFonts w:ascii="Times New Roman" w:eastAsia="宋体" w:hAnsi="Times New Roman"/>
          <w:szCs w:val="21"/>
        </w:rPr>
        <w:t>8</w:t>
      </w:r>
      <w:bookmarkStart w:id="0" w:name="_GoBack"/>
      <w:bookmarkEnd w:id="0"/>
      <w:r w:rsidRPr="0004704C">
        <w:rPr>
          <w:rFonts w:ascii="Times New Roman" w:eastAsia="宋体" w:hAnsi="Times New Roman"/>
          <w:szCs w:val="21"/>
        </w:rPr>
        <w:t xml:space="preserve"> Thresholds estiamted by Maxent for the fitted model of </w:t>
      </w:r>
      <w:r w:rsidRPr="0004704C">
        <w:rPr>
          <w:rFonts w:ascii="Times New Roman" w:eastAsia="宋体" w:hAnsi="Times New Roman"/>
          <w:i/>
          <w:szCs w:val="21"/>
        </w:rPr>
        <w:t>Magnolia sprengeri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99"/>
        <w:gridCol w:w="1097"/>
        <w:gridCol w:w="2314"/>
        <w:gridCol w:w="1305"/>
        <w:gridCol w:w="1198"/>
        <w:gridCol w:w="1093"/>
      </w:tblGrid>
      <w:tr w:rsidR="0052475F" w:rsidRPr="0004704C" w:rsidTr="0004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Cumulative threshold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Cloglog threshold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Fractional predicted area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Training omission rate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b w:val="0"/>
                <w:bCs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Test omission rate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1.000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0.013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0.238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0.011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0.007</w:t>
            </w:r>
          </w:p>
        </w:tc>
      </w:tr>
      <w:tr w:rsidR="0052475F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5.000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0.058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0.130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0.023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0.014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10.000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0.127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Fixed cumulative value 10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0.085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0.068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  <w:tr w:rsidR="0052475F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0.630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Minimum training presence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0.268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11.696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0.156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10 percentile training presence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0.075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0.091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0.071</w:t>
            </w:r>
          </w:p>
        </w:tc>
      </w:tr>
      <w:tr w:rsidR="0052475F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10.902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0.140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Equal training sensitivity and specificity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0.080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0.080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0.064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9.028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0.114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Maximum training sensitivity plus specificity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0.091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0.029</w:t>
            </w:r>
          </w:p>
        </w:tc>
      </w:tr>
      <w:tr w:rsidR="0052475F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11.716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0.156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Equal test sensitivity and specificity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0.075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0.102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0.079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9.028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0.114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Maximum test sensitivity plus specificity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0.091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0.045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0.029</w:t>
            </w:r>
          </w:p>
        </w:tc>
      </w:tr>
      <w:tr w:rsidR="0052475F" w:rsidRPr="0004704C" w:rsidTr="0004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0.630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Balance training omission, predicted area and threshold value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0.268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0.000</w:t>
            </w:r>
          </w:p>
        </w:tc>
      </w:tr>
      <w:tr w:rsidR="0052475F" w:rsidRPr="0004704C" w:rsidTr="0004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rPr>
                <w:rFonts w:ascii="Simsun" w:eastAsia="宋体" w:hAnsi="Simsun" w:cs="宋体" w:hint="eastAsia"/>
                <w:b w:val="0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b w:val="0"/>
                <w:sz w:val="18"/>
                <w:szCs w:val="18"/>
              </w:rPr>
              <w:t>10.261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0.131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Equate entropy of thresholded and original distributions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0.083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0.068</w:t>
            </w:r>
          </w:p>
        </w:tc>
        <w:tc>
          <w:tcPr>
            <w:tcW w:w="0" w:type="auto"/>
            <w:hideMark/>
          </w:tcPr>
          <w:p w:rsidR="0052475F" w:rsidRPr="0004704C" w:rsidRDefault="0052475F" w:rsidP="000470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宋体" w:hAnsi="Simsun" w:cs="宋体" w:hint="eastAsia"/>
                <w:sz w:val="18"/>
                <w:szCs w:val="18"/>
              </w:rPr>
            </w:pPr>
            <w:r w:rsidRPr="0004704C">
              <w:rPr>
                <w:rFonts w:ascii="Simsun" w:eastAsia="宋体" w:hAnsi="Simsun" w:cs="宋体" w:hint="eastAsia"/>
                <w:sz w:val="18"/>
                <w:szCs w:val="18"/>
              </w:rPr>
              <w:t>0.043</w:t>
            </w:r>
          </w:p>
        </w:tc>
      </w:tr>
    </w:tbl>
    <w:p w:rsidR="0052475F" w:rsidRPr="0004704C" w:rsidRDefault="0052475F" w:rsidP="0052475F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04704C"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F</w:t>
      </w:r>
      <w:r w:rsidRPr="0004704C">
        <w:rPr>
          <w:rFonts w:ascii="Times New Roman" w:eastAsia="宋体" w:hAnsi="Times New Roman"/>
          <w:szCs w:val="21"/>
        </w:rPr>
        <w:t xml:space="preserve">ractional predicted area” </w:t>
      </w:r>
      <w:r>
        <w:rPr>
          <w:rFonts w:ascii="Times New Roman" w:eastAsia="宋体" w:hAnsi="Times New Roman"/>
          <w:szCs w:val="21"/>
        </w:rPr>
        <w:t xml:space="preserve">is </w:t>
      </w:r>
      <w:r w:rsidRPr="0004704C">
        <w:rPr>
          <w:rFonts w:ascii="Times New Roman" w:eastAsia="宋体" w:hAnsi="Times New Roman"/>
          <w:szCs w:val="21"/>
        </w:rPr>
        <w:t>the fraction of the total study area</w:t>
      </w:r>
      <w:r>
        <w:rPr>
          <w:rFonts w:ascii="Times New Roman" w:eastAsia="宋体" w:hAnsi="Times New Roman"/>
          <w:szCs w:val="21"/>
        </w:rPr>
        <w:t xml:space="preserve"> </w:t>
      </w:r>
      <w:r w:rsidRPr="00A9303F">
        <w:rPr>
          <w:rFonts w:ascii="Times New Roman" w:eastAsia="宋体" w:hAnsi="Times New Roman"/>
          <w:szCs w:val="21"/>
        </w:rPr>
        <w:t>predicted present</w:t>
      </w:r>
      <w:r>
        <w:rPr>
          <w:rFonts w:ascii="Times New Roman" w:eastAsia="宋体" w:hAnsi="Times New Roman"/>
          <w:szCs w:val="21"/>
        </w:rPr>
        <w:t>.</w:t>
      </w:r>
      <w:r w:rsidRPr="0004704C"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“</w:t>
      </w:r>
      <w:r w:rsidRPr="0004704C">
        <w:rPr>
          <w:rFonts w:ascii="Times New Roman" w:eastAsia="宋体" w:hAnsi="Times New Roman"/>
          <w:szCs w:val="21"/>
        </w:rPr>
        <w:t>Test omission rate</w:t>
      </w:r>
      <w:r>
        <w:rPr>
          <w:rFonts w:ascii="Times New Roman" w:eastAsia="宋体" w:hAnsi="Times New Roman"/>
          <w:szCs w:val="21"/>
        </w:rPr>
        <w:t>”</w:t>
      </w:r>
      <w:r w:rsidRPr="0004704C">
        <w:rPr>
          <w:rFonts w:ascii="Times New Roman" w:eastAsia="宋体" w:hAnsi="Times New Roman"/>
          <w:szCs w:val="21"/>
        </w:rPr>
        <w:t xml:space="preserve"> is the </w:t>
      </w:r>
      <w:r w:rsidRPr="00A9303F">
        <w:rPr>
          <w:rFonts w:ascii="Times New Roman" w:eastAsia="宋体" w:hAnsi="Times New Roman"/>
          <w:szCs w:val="21"/>
        </w:rPr>
        <w:t>proportion of the test localities falling outside the prediction</w:t>
      </w:r>
      <w:r>
        <w:rPr>
          <w:rFonts w:ascii="Times New Roman" w:eastAsia="宋体" w:hAnsi="Times New Roman"/>
          <w:szCs w:val="21"/>
        </w:rPr>
        <w:t>. “</w:t>
      </w:r>
      <w:r w:rsidRPr="00354FC0">
        <w:rPr>
          <w:rFonts w:ascii="Times New Roman" w:eastAsia="宋体" w:hAnsi="Times New Roman"/>
          <w:szCs w:val="21"/>
        </w:rPr>
        <w:t>Training omission rate</w:t>
      </w:r>
      <w:r>
        <w:rPr>
          <w:rFonts w:ascii="Times New Roman" w:eastAsia="宋体" w:hAnsi="Times New Roman"/>
          <w:szCs w:val="21"/>
        </w:rPr>
        <w:t xml:space="preserve">” </w:t>
      </w:r>
      <w:r w:rsidRPr="0004704C">
        <w:rPr>
          <w:rFonts w:ascii="Times New Roman" w:eastAsia="宋体" w:hAnsi="Times New Roman"/>
          <w:szCs w:val="21"/>
        </w:rPr>
        <w:t xml:space="preserve">is the </w:t>
      </w:r>
      <w:r w:rsidRPr="00A9303F">
        <w:rPr>
          <w:rFonts w:ascii="Times New Roman" w:eastAsia="宋体" w:hAnsi="Times New Roman"/>
          <w:szCs w:val="21"/>
        </w:rPr>
        <w:t xml:space="preserve">proportion of the </w:t>
      </w:r>
      <w:r>
        <w:rPr>
          <w:rFonts w:ascii="Times New Roman" w:eastAsia="宋体" w:hAnsi="Times New Roman"/>
          <w:szCs w:val="21"/>
        </w:rPr>
        <w:t>train</w:t>
      </w:r>
      <w:r w:rsidRPr="00A9303F">
        <w:rPr>
          <w:rFonts w:ascii="Times New Roman" w:eastAsia="宋体" w:hAnsi="Times New Roman"/>
          <w:szCs w:val="21"/>
        </w:rPr>
        <w:t xml:space="preserve"> localities falling outside the prediction</w:t>
      </w:r>
      <w:r>
        <w:rPr>
          <w:rFonts w:ascii="Times New Roman" w:eastAsia="宋体" w:hAnsi="Times New Roman"/>
          <w:szCs w:val="21"/>
        </w:rPr>
        <w:t>.</w:t>
      </w:r>
    </w:p>
    <w:p w:rsidR="0052475F" w:rsidRDefault="0052475F" w:rsidP="0052475F">
      <w:pPr>
        <w:spacing w:line="480" w:lineRule="auto"/>
        <w:ind w:firstLineChars="200" w:firstLine="420"/>
        <w:jc w:val="left"/>
        <w:rPr>
          <w:rFonts w:ascii="Times New Roman" w:eastAsia="宋体" w:hAnsi="Times New Roman"/>
          <w:szCs w:val="21"/>
        </w:rPr>
      </w:pPr>
    </w:p>
    <w:p w:rsidR="00975136" w:rsidRDefault="00975136"/>
    <w:sectPr w:rsidR="0097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29" w:rsidRDefault="00D16729" w:rsidP="0052475F">
      <w:r>
        <w:separator/>
      </w:r>
    </w:p>
  </w:endnote>
  <w:endnote w:type="continuationSeparator" w:id="0">
    <w:p w:rsidR="00D16729" w:rsidRDefault="00D16729" w:rsidP="005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29" w:rsidRDefault="00D16729" w:rsidP="0052475F">
      <w:r>
        <w:separator/>
      </w:r>
    </w:p>
  </w:footnote>
  <w:footnote w:type="continuationSeparator" w:id="0">
    <w:p w:rsidR="00D16729" w:rsidRDefault="00D16729" w:rsidP="0052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7"/>
    <w:rsid w:val="00045C97"/>
    <w:rsid w:val="00284A8E"/>
    <w:rsid w:val="0052475F"/>
    <w:rsid w:val="00975136"/>
    <w:rsid w:val="00A80F35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26DB"/>
  <w15:chartTrackingRefBased/>
  <w15:docId w15:val="{0816E008-8430-40AB-836B-3E1C031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5F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75F"/>
    <w:rPr>
      <w:sz w:val="18"/>
      <w:szCs w:val="18"/>
    </w:rPr>
  </w:style>
  <w:style w:type="table" w:styleId="2">
    <w:name w:val="List Table 2"/>
    <w:basedOn w:val="a1"/>
    <w:uiPriority w:val="47"/>
    <w:rsid w:val="0052475F"/>
    <w:rPr>
      <w:rFonts w:ascii="DengXian" w:eastAsia="DengXian" w:hAnsi="DengXi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2018-10-22T06:27:00Z</dcterms:created>
  <dcterms:modified xsi:type="dcterms:W3CDTF">2018-10-23T06:02:00Z</dcterms:modified>
</cp:coreProperties>
</file>