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55" w:rsidRDefault="00CC58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C5823">
        <w:rPr>
          <w:rFonts w:ascii="Times New Roman" w:hAnsi="Times New Roman" w:cs="Times New Roman"/>
          <w:b/>
          <w:bCs/>
          <w:sz w:val="28"/>
          <w:szCs w:val="28"/>
        </w:rPr>
        <w:t>Supplementary material</w:t>
      </w:r>
    </w:p>
    <w:p w:rsidR="00CC5823" w:rsidRDefault="00CC58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5823" w:rsidRDefault="00CC582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bidi="hi-IN"/>
        </w:rPr>
        <w:drawing>
          <wp:inline distT="0" distB="0" distL="0" distR="0">
            <wp:extent cx="6618514" cy="3309257"/>
            <wp:effectExtent l="19050" t="0" r="0" b="0"/>
            <wp:docPr id="1" name="Picture 1" descr="C:\Users\Shashi Singh\Desktop\peerj\figures\Supp Fig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shi Singh\Desktop\peerj\figures\Supp Fig-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514" cy="3309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823" w:rsidRDefault="00CC58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5823" w:rsidRPr="003A79AE" w:rsidRDefault="00CC5823" w:rsidP="00CC58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9AE">
        <w:rPr>
          <w:rFonts w:ascii="Times New Roman" w:hAnsi="Times New Roman" w:cs="Times New Roman"/>
          <w:b/>
          <w:sz w:val="24"/>
          <w:szCs w:val="24"/>
        </w:rPr>
        <w:t>Figure S1</w:t>
      </w:r>
      <w:r w:rsidRPr="003A7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</w:t>
      </w:r>
      <w:r w:rsidRPr="003A79AE">
        <w:rPr>
          <w:rFonts w:ascii="Times New Roman" w:hAnsi="Times New Roman" w:cs="Times New Roman"/>
          <w:sz w:val="24"/>
          <w:szCs w:val="24"/>
        </w:rPr>
        <w:t xml:space="preserve">attern of distribution of particles in </w:t>
      </w:r>
      <w:proofErr w:type="spellStart"/>
      <w:r w:rsidRPr="003A79AE">
        <w:rPr>
          <w:rFonts w:ascii="Times New Roman" w:hAnsi="Times New Roman" w:cs="Times New Roman"/>
          <w:sz w:val="24"/>
          <w:szCs w:val="24"/>
        </w:rPr>
        <w:t>MilliQ</w:t>
      </w:r>
      <w:proofErr w:type="spellEnd"/>
      <w:r w:rsidRPr="003A79AE">
        <w:rPr>
          <w:rFonts w:ascii="Times New Roman" w:hAnsi="Times New Roman" w:cs="Times New Roman"/>
          <w:sz w:val="24"/>
          <w:szCs w:val="24"/>
        </w:rPr>
        <w:t xml:space="preserve"> and salt water. DLS </w:t>
      </w:r>
      <w:r>
        <w:rPr>
          <w:rFonts w:ascii="Times New Roman" w:hAnsi="Times New Roman" w:cs="Times New Roman"/>
          <w:sz w:val="24"/>
          <w:szCs w:val="24"/>
        </w:rPr>
        <w:t xml:space="preserve">measurements were made up to 48 </w:t>
      </w:r>
      <w:r w:rsidRPr="003A79AE">
        <w:rPr>
          <w:rFonts w:ascii="Times New Roman" w:hAnsi="Times New Roman" w:cs="Times New Roman"/>
          <w:sz w:val="24"/>
          <w:szCs w:val="24"/>
        </w:rPr>
        <w:t xml:space="preserve">h. We show increase in </w:t>
      </w:r>
      <w:r>
        <w:rPr>
          <w:rFonts w:ascii="Times New Roman" w:hAnsi="Times New Roman" w:cs="Times New Roman"/>
          <w:sz w:val="24"/>
          <w:szCs w:val="24"/>
        </w:rPr>
        <w:t>aggregates</w:t>
      </w:r>
      <w:r w:rsidRPr="003A79AE">
        <w:rPr>
          <w:rFonts w:ascii="Times New Roman" w:hAnsi="Times New Roman" w:cs="Times New Roman"/>
          <w:sz w:val="24"/>
          <w:szCs w:val="24"/>
        </w:rPr>
        <w:t xml:space="preserve"> size for some of the </w:t>
      </w:r>
      <w:proofErr w:type="spellStart"/>
      <w:r w:rsidRPr="003A79AE">
        <w:rPr>
          <w:rFonts w:ascii="Times New Roman" w:hAnsi="Times New Roman" w:cs="Times New Roman"/>
          <w:sz w:val="24"/>
          <w:szCs w:val="24"/>
        </w:rPr>
        <w:t>nanoparticles</w:t>
      </w:r>
      <w:proofErr w:type="spellEnd"/>
      <w:r w:rsidRPr="003A79AE">
        <w:rPr>
          <w:rFonts w:ascii="Times New Roman" w:hAnsi="Times New Roman" w:cs="Times New Roman"/>
          <w:sz w:val="24"/>
          <w:szCs w:val="24"/>
        </w:rPr>
        <w:t xml:space="preserve">. Except </w:t>
      </w:r>
      <w:r>
        <w:rPr>
          <w:rFonts w:ascii="Times New Roman" w:hAnsi="Times New Roman" w:cs="Times New Roman"/>
          <w:sz w:val="24"/>
          <w:szCs w:val="24"/>
        </w:rPr>
        <w:t>TiO</w:t>
      </w:r>
      <w:r w:rsidRPr="006E68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A79AE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SiO</w:t>
      </w:r>
      <w:r w:rsidRPr="006E68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A79AE">
        <w:rPr>
          <w:rFonts w:ascii="Times New Roman" w:hAnsi="Times New Roman" w:cs="Times New Roman"/>
          <w:sz w:val="24"/>
          <w:szCs w:val="24"/>
        </w:rPr>
        <w:t>; most of the particles remain suspended and do not show visible sediment.</w:t>
      </w:r>
    </w:p>
    <w:p w:rsidR="00CC5823" w:rsidRDefault="00CC58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5823" w:rsidRDefault="00CC582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bidi="hi-IN"/>
        </w:rPr>
        <w:lastRenderedPageBreak/>
        <w:drawing>
          <wp:inline distT="0" distB="0" distL="0" distR="0">
            <wp:extent cx="6251121" cy="4239137"/>
            <wp:effectExtent l="19050" t="0" r="0" b="0"/>
            <wp:docPr id="2" name="Picture 2" descr="C:\Users\Shashi Singh\Desktop\peerj\figures\Supp Fig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shi Singh\Desktop\peerj\figures\Supp Fig 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534" cy="4238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823" w:rsidRPr="003A79AE" w:rsidRDefault="00BE1583" w:rsidP="00CC58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83">
        <w:rPr>
          <w:rFonts w:ascii="Times New Roman" w:hAnsi="Times New Roman" w:cs="Times New Roman"/>
          <w:b/>
          <w:bCs/>
          <w:sz w:val="24"/>
          <w:szCs w:val="24"/>
        </w:rPr>
        <w:t>Figure S2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823" w:rsidRPr="003A79AE">
        <w:rPr>
          <w:rFonts w:ascii="Times New Roman" w:hAnsi="Times New Roman" w:cs="Times New Roman"/>
          <w:sz w:val="24"/>
          <w:szCs w:val="24"/>
        </w:rPr>
        <w:t xml:space="preserve">Images of </w:t>
      </w:r>
      <w:proofErr w:type="spellStart"/>
      <w:r w:rsidR="00CC5823" w:rsidRPr="003A79AE">
        <w:rPr>
          <w:rFonts w:ascii="Times New Roman" w:hAnsi="Times New Roman" w:cs="Times New Roman"/>
          <w:i/>
          <w:sz w:val="24"/>
          <w:szCs w:val="24"/>
        </w:rPr>
        <w:t>Artemia</w:t>
      </w:r>
      <w:proofErr w:type="spellEnd"/>
      <w:r w:rsidR="00CC58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5823" w:rsidRPr="003A79AE">
        <w:rPr>
          <w:rFonts w:ascii="Times New Roman" w:hAnsi="Times New Roman" w:cs="Times New Roman"/>
          <w:sz w:val="24"/>
          <w:szCs w:val="24"/>
        </w:rPr>
        <w:t xml:space="preserve">hatched in presence of </w:t>
      </w:r>
      <w:proofErr w:type="spellStart"/>
      <w:r w:rsidR="00CC5823" w:rsidRPr="003A79AE">
        <w:rPr>
          <w:rFonts w:ascii="Times New Roman" w:hAnsi="Times New Roman" w:cs="Times New Roman"/>
          <w:sz w:val="24"/>
          <w:szCs w:val="24"/>
        </w:rPr>
        <w:t>nanoparticles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CC5823" w:rsidRPr="003A79AE">
        <w:rPr>
          <w:rFonts w:ascii="Times New Roman" w:hAnsi="Times New Roman" w:cs="Times New Roman"/>
          <w:sz w:val="24"/>
          <w:szCs w:val="24"/>
        </w:rPr>
        <w:t xml:space="preserve"> a</w:t>
      </w:r>
      <w:r w:rsidR="00CC5823">
        <w:rPr>
          <w:rFonts w:ascii="Times New Roman" w:hAnsi="Times New Roman" w:cs="Times New Roman"/>
          <w:sz w:val="24"/>
          <w:szCs w:val="24"/>
        </w:rPr>
        <w:t xml:space="preserve"> -</w:t>
      </w:r>
      <w:r w:rsidR="00CC5823" w:rsidRPr="003A79AE">
        <w:rPr>
          <w:rFonts w:ascii="Times New Roman" w:hAnsi="Times New Roman" w:cs="Times New Roman"/>
          <w:sz w:val="24"/>
          <w:szCs w:val="24"/>
        </w:rPr>
        <w:t xml:space="preserve"> control, b, g -silver </w:t>
      </w:r>
      <w:proofErr w:type="spellStart"/>
      <w:r w:rsidR="00CC5823" w:rsidRPr="003A79AE">
        <w:rPr>
          <w:rFonts w:ascii="Times New Roman" w:hAnsi="Times New Roman" w:cs="Times New Roman"/>
          <w:sz w:val="24"/>
          <w:szCs w:val="24"/>
        </w:rPr>
        <w:t>nanoparticles</w:t>
      </w:r>
      <w:proofErr w:type="spellEnd"/>
      <w:r w:rsidR="00CC5823" w:rsidRPr="003A79AE">
        <w:rPr>
          <w:rFonts w:ascii="Times New Roman" w:hAnsi="Times New Roman" w:cs="Times New Roman"/>
          <w:sz w:val="24"/>
          <w:szCs w:val="24"/>
        </w:rPr>
        <w:t>, c-</w:t>
      </w:r>
      <w:proofErr w:type="spellStart"/>
      <w:r w:rsidR="00CC5823" w:rsidRPr="003A79AE">
        <w:rPr>
          <w:rFonts w:ascii="Times New Roman" w:hAnsi="Times New Roman" w:cs="Times New Roman"/>
          <w:sz w:val="24"/>
          <w:szCs w:val="24"/>
        </w:rPr>
        <w:t>CuO</w:t>
      </w:r>
      <w:proofErr w:type="spellEnd"/>
      <w:r w:rsidR="00CC5823" w:rsidRPr="003A7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823" w:rsidRPr="003A79AE">
        <w:rPr>
          <w:rFonts w:ascii="Times New Roman" w:hAnsi="Times New Roman" w:cs="Times New Roman"/>
          <w:sz w:val="24"/>
          <w:szCs w:val="24"/>
        </w:rPr>
        <w:t>nanoparticles</w:t>
      </w:r>
      <w:proofErr w:type="spellEnd"/>
      <w:r w:rsidR="00CC5823" w:rsidRPr="003A79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5823" w:rsidRPr="003A79AE">
        <w:rPr>
          <w:rFonts w:ascii="Times New Roman" w:hAnsi="Times New Roman" w:cs="Times New Roman"/>
          <w:sz w:val="24"/>
          <w:szCs w:val="24"/>
        </w:rPr>
        <w:t>Nauplii</w:t>
      </w:r>
      <w:proofErr w:type="spellEnd"/>
      <w:r w:rsidR="00CC5823" w:rsidRPr="003A79AE">
        <w:rPr>
          <w:rFonts w:ascii="Times New Roman" w:hAnsi="Times New Roman" w:cs="Times New Roman"/>
          <w:sz w:val="24"/>
          <w:szCs w:val="24"/>
        </w:rPr>
        <w:t xml:space="preserve"> do not show any gross abnormality but often one sees still-dead </w:t>
      </w:r>
      <w:proofErr w:type="spellStart"/>
      <w:r w:rsidR="00CC5823" w:rsidRPr="003A79AE">
        <w:rPr>
          <w:rFonts w:ascii="Times New Roman" w:hAnsi="Times New Roman" w:cs="Times New Roman"/>
          <w:sz w:val="24"/>
          <w:szCs w:val="24"/>
        </w:rPr>
        <w:t>nauplii</w:t>
      </w:r>
      <w:proofErr w:type="spellEnd"/>
      <w:r w:rsidR="00CC5823" w:rsidRPr="003A79AE">
        <w:rPr>
          <w:rFonts w:ascii="Times New Roman" w:hAnsi="Times New Roman" w:cs="Times New Roman"/>
          <w:sz w:val="24"/>
          <w:szCs w:val="24"/>
        </w:rPr>
        <w:t xml:space="preserve"> enclosed in </w:t>
      </w:r>
      <w:r w:rsidR="00CC5823">
        <w:rPr>
          <w:rFonts w:ascii="Times New Roman" w:hAnsi="Times New Roman" w:cs="Times New Roman"/>
          <w:sz w:val="24"/>
          <w:szCs w:val="24"/>
        </w:rPr>
        <w:t xml:space="preserve">the </w:t>
      </w:r>
      <w:r w:rsidR="00CC5823" w:rsidRPr="003A79AE">
        <w:rPr>
          <w:rFonts w:ascii="Times New Roman" w:hAnsi="Times New Roman" w:cs="Times New Roman"/>
          <w:sz w:val="24"/>
          <w:szCs w:val="24"/>
        </w:rPr>
        <w:t xml:space="preserve">membrane (e, f) where appendages are not free. </w:t>
      </w:r>
    </w:p>
    <w:p w:rsidR="00CC5823" w:rsidRDefault="00CC58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5823" w:rsidRDefault="00CC5823" w:rsidP="00CC58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bidi="hi-IN"/>
        </w:rPr>
        <w:lastRenderedPageBreak/>
        <w:drawing>
          <wp:inline distT="0" distB="0" distL="0" distR="0">
            <wp:extent cx="3091542" cy="3091542"/>
            <wp:effectExtent l="19050" t="0" r="0" b="0"/>
            <wp:docPr id="3" name="Picture 3" descr="C:\Users\Shashi Singh\Desktop\peerj\figures\Supp Fi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shi Singh\Desktop\peerj\figures\Supp Fig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542" cy="3091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823" w:rsidRDefault="00BE1583" w:rsidP="00CC58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83">
        <w:rPr>
          <w:rFonts w:ascii="Times New Roman" w:hAnsi="Times New Roman" w:cs="Times New Roman"/>
          <w:b/>
          <w:bCs/>
          <w:iCs/>
          <w:sz w:val="24"/>
          <w:szCs w:val="24"/>
        </w:rPr>
        <w:t>Figure S3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5823" w:rsidRPr="003A79AE">
        <w:rPr>
          <w:rFonts w:ascii="Times New Roman" w:hAnsi="Times New Roman" w:cs="Times New Roman"/>
          <w:i/>
          <w:sz w:val="24"/>
          <w:szCs w:val="24"/>
        </w:rPr>
        <w:t>Artemia</w:t>
      </w:r>
      <w:proofErr w:type="spellEnd"/>
      <w:r w:rsidR="00CC5823" w:rsidRPr="003A79AE">
        <w:rPr>
          <w:rFonts w:ascii="Times New Roman" w:hAnsi="Times New Roman" w:cs="Times New Roman"/>
          <w:sz w:val="24"/>
          <w:szCs w:val="24"/>
        </w:rPr>
        <w:t xml:space="preserve"> hatched in </w:t>
      </w:r>
      <w:r w:rsidR="00CC5823">
        <w:rPr>
          <w:rFonts w:ascii="Times New Roman" w:hAnsi="Times New Roman" w:cs="Times New Roman"/>
          <w:sz w:val="24"/>
          <w:szCs w:val="24"/>
        </w:rPr>
        <w:t xml:space="preserve">the </w:t>
      </w:r>
      <w:r w:rsidR="00CC5823" w:rsidRPr="003A79AE">
        <w:rPr>
          <w:rFonts w:ascii="Times New Roman" w:hAnsi="Times New Roman" w:cs="Times New Roman"/>
          <w:sz w:val="24"/>
          <w:szCs w:val="24"/>
        </w:rPr>
        <w:t xml:space="preserve">presence of </w:t>
      </w:r>
      <w:r>
        <w:rPr>
          <w:rFonts w:ascii="Times New Roman" w:hAnsi="Times New Roman" w:cs="Times New Roman"/>
          <w:sz w:val="24"/>
          <w:szCs w:val="24"/>
        </w:rPr>
        <w:t xml:space="preserve">silver </w:t>
      </w:r>
      <w:proofErr w:type="spellStart"/>
      <w:r w:rsidR="00CC5823" w:rsidRPr="003A79AE">
        <w:rPr>
          <w:rFonts w:ascii="Times New Roman" w:hAnsi="Times New Roman" w:cs="Times New Roman"/>
          <w:sz w:val="24"/>
          <w:szCs w:val="24"/>
        </w:rPr>
        <w:t>nanoparticles</w:t>
      </w:r>
      <w:proofErr w:type="spellEnd"/>
      <w:r w:rsidR="00CC5823" w:rsidRPr="003A79AE">
        <w:rPr>
          <w:rFonts w:ascii="Times New Roman" w:hAnsi="Times New Roman" w:cs="Times New Roman"/>
          <w:sz w:val="24"/>
          <w:szCs w:val="24"/>
        </w:rPr>
        <w:t>, were stained for reactive oxygen species</w:t>
      </w:r>
      <w:r w:rsidR="00CC5823">
        <w:rPr>
          <w:rFonts w:ascii="Times New Roman" w:hAnsi="Times New Roman" w:cs="Times New Roman"/>
          <w:sz w:val="24"/>
          <w:szCs w:val="24"/>
        </w:rPr>
        <w:t xml:space="preserve"> using DCFDA, and 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CC5823" w:rsidRPr="003A79AE">
        <w:rPr>
          <w:rFonts w:ascii="Times New Roman" w:hAnsi="Times New Roman" w:cs="Times New Roman"/>
          <w:sz w:val="24"/>
          <w:szCs w:val="24"/>
        </w:rPr>
        <w:t xml:space="preserve">ead </w:t>
      </w:r>
      <w:proofErr w:type="spellStart"/>
      <w:r w:rsidR="00CC5823" w:rsidRPr="003A79AE">
        <w:rPr>
          <w:rFonts w:ascii="Times New Roman" w:hAnsi="Times New Roman" w:cs="Times New Roman"/>
          <w:sz w:val="24"/>
          <w:szCs w:val="24"/>
        </w:rPr>
        <w:t>nauplii</w:t>
      </w:r>
      <w:proofErr w:type="spellEnd"/>
      <w:r w:rsidR="00CC5823" w:rsidRPr="003A79AE">
        <w:rPr>
          <w:rFonts w:ascii="Times New Roman" w:hAnsi="Times New Roman" w:cs="Times New Roman"/>
          <w:sz w:val="24"/>
          <w:szCs w:val="24"/>
        </w:rPr>
        <w:t xml:space="preserve"> showed the staining in gu</w:t>
      </w:r>
      <w:r>
        <w:rPr>
          <w:rFonts w:ascii="Times New Roman" w:hAnsi="Times New Roman" w:cs="Times New Roman"/>
          <w:sz w:val="24"/>
          <w:szCs w:val="24"/>
        </w:rPr>
        <w:t xml:space="preserve">t (V), and whole body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still</w:t>
      </w:r>
      <w:r w:rsidR="00CC5823" w:rsidRPr="003A79AE">
        <w:rPr>
          <w:rFonts w:ascii="Times New Roman" w:hAnsi="Times New Roman" w:cs="Times New Roman"/>
          <w:sz w:val="24"/>
          <w:szCs w:val="24"/>
        </w:rPr>
        <w:t>dead</w:t>
      </w:r>
      <w:proofErr w:type="spellEnd"/>
      <w:r w:rsidR="00CC5823" w:rsidRPr="003A7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823" w:rsidRPr="003A79AE">
        <w:rPr>
          <w:rFonts w:ascii="Times New Roman" w:hAnsi="Times New Roman" w:cs="Times New Roman"/>
          <w:sz w:val="24"/>
          <w:szCs w:val="24"/>
        </w:rPr>
        <w:t>unhatched</w:t>
      </w:r>
      <w:proofErr w:type="spellEnd"/>
      <w:r w:rsidR="00CC5823" w:rsidRPr="003A7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823" w:rsidRPr="003A79AE">
        <w:rPr>
          <w:rFonts w:ascii="Times New Roman" w:hAnsi="Times New Roman" w:cs="Times New Roman"/>
          <w:sz w:val="24"/>
          <w:szCs w:val="24"/>
        </w:rPr>
        <w:t>nauplii</w:t>
      </w:r>
      <w:proofErr w:type="spellEnd"/>
      <w:r w:rsidR="00CC5823">
        <w:rPr>
          <w:rFonts w:ascii="Times New Roman" w:hAnsi="Times New Roman" w:cs="Times New Roman"/>
          <w:sz w:val="24"/>
          <w:szCs w:val="24"/>
        </w:rPr>
        <w:t xml:space="preserve"> with</w:t>
      </w:r>
      <w:r>
        <w:rPr>
          <w:rFonts w:ascii="Times New Roman" w:hAnsi="Times New Roman" w:cs="Times New Roman"/>
          <w:sz w:val="24"/>
          <w:szCs w:val="24"/>
        </w:rPr>
        <w:t>in the</w:t>
      </w:r>
      <w:r w:rsidR="00CC5823">
        <w:rPr>
          <w:rFonts w:ascii="Times New Roman" w:hAnsi="Times New Roman" w:cs="Times New Roman"/>
          <w:sz w:val="24"/>
          <w:szCs w:val="24"/>
        </w:rPr>
        <w:t xml:space="preserve"> membrane [C-F]</w:t>
      </w:r>
      <w:r w:rsidR="00CC5823" w:rsidRPr="003A79AE">
        <w:rPr>
          <w:rFonts w:ascii="Times New Roman" w:hAnsi="Times New Roman" w:cs="Times New Roman"/>
          <w:sz w:val="24"/>
          <w:szCs w:val="24"/>
        </w:rPr>
        <w:t>.</w:t>
      </w:r>
    </w:p>
    <w:p w:rsidR="00CC5823" w:rsidRDefault="00CC58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5823" w:rsidRPr="00BE1583" w:rsidRDefault="00CC5823" w:rsidP="00CC5823">
      <w:pPr>
        <w:rPr>
          <w:rFonts w:ascii="Times New Roman" w:hAnsi="Times New Roman" w:cs="Times New Roman"/>
          <w:sz w:val="24"/>
          <w:szCs w:val="24"/>
        </w:rPr>
      </w:pPr>
      <w:r w:rsidRPr="00BE1583">
        <w:rPr>
          <w:rFonts w:ascii="Times New Roman" w:hAnsi="Times New Roman" w:cs="Times New Roman"/>
          <w:sz w:val="24"/>
          <w:szCs w:val="24"/>
        </w:rPr>
        <w:t>Supplementary</w:t>
      </w:r>
      <w:r w:rsidR="00BE1583" w:rsidRPr="00BE1583">
        <w:rPr>
          <w:rFonts w:ascii="Times New Roman" w:hAnsi="Times New Roman" w:cs="Times New Roman"/>
          <w:sz w:val="24"/>
          <w:szCs w:val="24"/>
        </w:rPr>
        <w:t xml:space="preserve"> Table 1</w:t>
      </w:r>
    </w:p>
    <w:p w:rsidR="00CC5823" w:rsidRPr="00BE1583" w:rsidRDefault="00CC5823" w:rsidP="00CC58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1583">
        <w:rPr>
          <w:rFonts w:ascii="Times New Roman" w:hAnsi="Times New Roman" w:cs="Times New Roman"/>
          <w:sz w:val="24"/>
          <w:szCs w:val="24"/>
        </w:rPr>
        <w:t xml:space="preserve">Percent hatching of </w:t>
      </w:r>
      <w:proofErr w:type="spellStart"/>
      <w:r w:rsidRPr="00BE1583">
        <w:rPr>
          <w:rFonts w:ascii="Times New Roman" w:hAnsi="Times New Roman" w:cs="Times New Roman"/>
          <w:i/>
          <w:iCs/>
          <w:sz w:val="24"/>
          <w:szCs w:val="24"/>
        </w:rPr>
        <w:t>Artemia</w:t>
      </w:r>
      <w:proofErr w:type="spellEnd"/>
      <w:r w:rsidRPr="00BE1583">
        <w:rPr>
          <w:rFonts w:ascii="Times New Roman" w:hAnsi="Times New Roman" w:cs="Times New Roman"/>
          <w:sz w:val="24"/>
          <w:szCs w:val="24"/>
        </w:rPr>
        <w:t xml:space="preserve"> in presence of SiO</w:t>
      </w:r>
      <w:r w:rsidRPr="00BE15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E1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583">
        <w:rPr>
          <w:rFonts w:ascii="Times New Roman" w:hAnsi="Times New Roman" w:cs="Times New Roman"/>
          <w:sz w:val="24"/>
          <w:szCs w:val="24"/>
        </w:rPr>
        <w:t>na</w:t>
      </w:r>
      <w:r w:rsidR="00BE1583">
        <w:rPr>
          <w:rFonts w:ascii="Times New Roman" w:hAnsi="Times New Roman" w:cs="Times New Roman"/>
          <w:sz w:val="24"/>
          <w:szCs w:val="24"/>
        </w:rPr>
        <w:t>noparticles</w:t>
      </w:r>
      <w:proofErr w:type="spellEnd"/>
      <w:r w:rsidR="00BE15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E15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1583">
        <w:rPr>
          <w:rFonts w:ascii="Times New Roman" w:hAnsi="Times New Roman" w:cs="Times New Roman"/>
          <w:sz w:val="24"/>
          <w:szCs w:val="24"/>
        </w:rPr>
        <w:t xml:space="preserve">Data of individual </w:t>
      </w:r>
      <w:r w:rsidRPr="00BE1583">
        <w:rPr>
          <w:rFonts w:ascii="Times New Roman" w:hAnsi="Times New Roman" w:cs="Times New Roman"/>
          <w:sz w:val="24"/>
          <w:szCs w:val="24"/>
        </w:rPr>
        <w:t>experiments to show that at lower concentrations of SiO</w:t>
      </w:r>
      <w:r w:rsidRPr="00BE15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E1583">
        <w:rPr>
          <w:rFonts w:ascii="Times New Roman" w:hAnsi="Times New Roman" w:cs="Times New Roman"/>
          <w:sz w:val="24"/>
          <w:szCs w:val="24"/>
        </w:rPr>
        <w:t>NPs the hatching rate was higher.</w:t>
      </w:r>
      <w:proofErr w:type="gramEnd"/>
    </w:p>
    <w:p w:rsidR="00CC5823" w:rsidRPr="00CC5823" w:rsidRDefault="00CC5823" w:rsidP="00CC5823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/>
      </w:tblPr>
      <w:tblGrid>
        <w:gridCol w:w="1090"/>
        <w:gridCol w:w="905"/>
        <w:gridCol w:w="931"/>
        <w:gridCol w:w="953"/>
        <w:gridCol w:w="953"/>
        <w:gridCol w:w="953"/>
        <w:gridCol w:w="953"/>
        <w:gridCol w:w="953"/>
        <w:gridCol w:w="954"/>
        <w:gridCol w:w="931"/>
      </w:tblGrid>
      <w:tr w:rsidR="00CC5823" w:rsidRPr="00CC5823" w:rsidTr="00387EEC">
        <w:tc>
          <w:tcPr>
            <w:tcW w:w="573" w:type="pct"/>
            <w:vAlign w:val="bottom"/>
          </w:tcPr>
          <w:p w:rsidR="00CC5823" w:rsidRPr="00CC5823" w:rsidRDefault="00CC5823" w:rsidP="00387EEC">
            <w:pPr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470" w:type="pct"/>
            <w:vAlign w:val="bottom"/>
          </w:tcPr>
          <w:p w:rsidR="00CC5823" w:rsidRPr="00CC5823" w:rsidRDefault="00CC5823" w:rsidP="00387E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CC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Percent hatching</w:t>
            </w:r>
          </w:p>
        </w:tc>
        <w:tc>
          <w:tcPr>
            <w:tcW w:w="472" w:type="pct"/>
            <w:vAlign w:val="bottom"/>
          </w:tcPr>
          <w:p w:rsidR="00CC5823" w:rsidRPr="00CC5823" w:rsidRDefault="00CC5823" w:rsidP="00387E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CC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Percent hatching</w:t>
            </w:r>
          </w:p>
        </w:tc>
        <w:tc>
          <w:tcPr>
            <w:tcW w:w="501" w:type="pct"/>
            <w:vAlign w:val="bottom"/>
          </w:tcPr>
          <w:p w:rsidR="00CC5823" w:rsidRPr="00CC5823" w:rsidRDefault="00CC5823" w:rsidP="00387E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CC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Percent hatching</w:t>
            </w:r>
          </w:p>
        </w:tc>
        <w:tc>
          <w:tcPr>
            <w:tcW w:w="501" w:type="pct"/>
            <w:vAlign w:val="bottom"/>
          </w:tcPr>
          <w:p w:rsidR="00CC5823" w:rsidRPr="00CC5823" w:rsidRDefault="00CC5823" w:rsidP="00387E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CC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Percent hatching</w:t>
            </w:r>
          </w:p>
        </w:tc>
        <w:tc>
          <w:tcPr>
            <w:tcW w:w="501" w:type="pct"/>
            <w:vAlign w:val="bottom"/>
          </w:tcPr>
          <w:p w:rsidR="00CC5823" w:rsidRPr="00CC5823" w:rsidRDefault="00CC5823" w:rsidP="00387E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CC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Percent hatching</w:t>
            </w:r>
          </w:p>
        </w:tc>
        <w:tc>
          <w:tcPr>
            <w:tcW w:w="501" w:type="pct"/>
            <w:vAlign w:val="bottom"/>
          </w:tcPr>
          <w:p w:rsidR="00CC5823" w:rsidRPr="00CC5823" w:rsidRDefault="00CC5823" w:rsidP="00387E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CC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Percent hatching</w:t>
            </w:r>
          </w:p>
        </w:tc>
        <w:tc>
          <w:tcPr>
            <w:tcW w:w="501" w:type="pct"/>
            <w:vAlign w:val="bottom"/>
          </w:tcPr>
          <w:p w:rsidR="00CC5823" w:rsidRPr="00CC5823" w:rsidRDefault="00CC5823" w:rsidP="00387E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CC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Percent hatching</w:t>
            </w:r>
          </w:p>
        </w:tc>
        <w:tc>
          <w:tcPr>
            <w:tcW w:w="501" w:type="pct"/>
            <w:vAlign w:val="bottom"/>
          </w:tcPr>
          <w:p w:rsidR="00CC5823" w:rsidRPr="00CC5823" w:rsidRDefault="00CC5823" w:rsidP="00387E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CC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Mean percent hatching</w:t>
            </w:r>
          </w:p>
        </w:tc>
        <w:tc>
          <w:tcPr>
            <w:tcW w:w="477" w:type="pct"/>
          </w:tcPr>
          <w:p w:rsidR="00CC5823" w:rsidRPr="00CC5823" w:rsidRDefault="00CC5823" w:rsidP="00387E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CC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SD</w:t>
            </w:r>
          </w:p>
        </w:tc>
      </w:tr>
      <w:tr w:rsidR="00CC5823" w:rsidRPr="00CC5823" w:rsidTr="00387EEC">
        <w:tc>
          <w:tcPr>
            <w:tcW w:w="573" w:type="pct"/>
            <w:vAlign w:val="bottom"/>
          </w:tcPr>
          <w:p w:rsidR="00CC5823" w:rsidRPr="00CC5823" w:rsidRDefault="00CC5823" w:rsidP="00387EEC">
            <w:pPr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CC5823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blank</w:t>
            </w:r>
          </w:p>
        </w:tc>
        <w:tc>
          <w:tcPr>
            <w:tcW w:w="470" w:type="pct"/>
            <w:vAlign w:val="bottom"/>
          </w:tcPr>
          <w:p w:rsidR="00CC5823" w:rsidRPr="00CC5823" w:rsidRDefault="00CC5823" w:rsidP="00387EE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CC5823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50</w:t>
            </w:r>
          </w:p>
        </w:tc>
        <w:tc>
          <w:tcPr>
            <w:tcW w:w="472" w:type="pct"/>
            <w:vAlign w:val="bottom"/>
          </w:tcPr>
          <w:p w:rsidR="00CC5823" w:rsidRPr="00CC5823" w:rsidRDefault="00CC5823" w:rsidP="00387EE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CC5823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97.974</w:t>
            </w:r>
          </w:p>
        </w:tc>
        <w:tc>
          <w:tcPr>
            <w:tcW w:w="501" w:type="pct"/>
            <w:vAlign w:val="bottom"/>
          </w:tcPr>
          <w:p w:rsidR="00CC5823" w:rsidRPr="00CC5823" w:rsidRDefault="00CC5823" w:rsidP="00387EE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CC5823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71.9</w:t>
            </w:r>
          </w:p>
        </w:tc>
        <w:tc>
          <w:tcPr>
            <w:tcW w:w="501" w:type="pct"/>
            <w:vAlign w:val="bottom"/>
          </w:tcPr>
          <w:p w:rsidR="00CC5823" w:rsidRPr="00CC5823" w:rsidRDefault="00CC5823" w:rsidP="00387EE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CC5823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70</w:t>
            </w:r>
          </w:p>
        </w:tc>
        <w:tc>
          <w:tcPr>
            <w:tcW w:w="501" w:type="pct"/>
            <w:vAlign w:val="bottom"/>
          </w:tcPr>
          <w:p w:rsidR="00CC5823" w:rsidRPr="00CC5823" w:rsidRDefault="00CC5823" w:rsidP="00387EE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CC5823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75</w:t>
            </w:r>
          </w:p>
        </w:tc>
        <w:tc>
          <w:tcPr>
            <w:tcW w:w="501" w:type="pct"/>
            <w:vAlign w:val="bottom"/>
          </w:tcPr>
          <w:p w:rsidR="00CC5823" w:rsidRPr="00CC5823" w:rsidRDefault="00CC5823" w:rsidP="00387EE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CC5823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49.46</w:t>
            </w:r>
          </w:p>
        </w:tc>
        <w:tc>
          <w:tcPr>
            <w:tcW w:w="501" w:type="pct"/>
            <w:vAlign w:val="bottom"/>
          </w:tcPr>
          <w:p w:rsidR="00CC5823" w:rsidRPr="00CC5823" w:rsidRDefault="00CC5823" w:rsidP="00387EE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CC5823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79.19</w:t>
            </w:r>
          </w:p>
        </w:tc>
        <w:tc>
          <w:tcPr>
            <w:tcW w:w="501" w:type="pct"/>
            <w:vAlign w:val="bottom"/>
          </w:tcPr>
          <w:p w:rsidR="00CC5823" w:rsidRPr="00CC5823" w:rsidRDefault="00CC5823" w:rsidP="00387EE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CC5823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70.5034</w:t>
            </w:r>
          </w:p>
        </w:tc>
        <w:tc>
          <w:tcPr>
            <w:tcW w:w="477" w:type="pct"/>
            <w:vAlign w:val="bottom"/>
          </w:tcPr>
          <w:p w:rsidR="00CC5823" w:rsidRPr="00CC5823" w:rsidRDefault="00CC5823" w:rsidP="00387EE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5823">
              <w:rPr>
                <w:rFonts w:ascii="Times New Roman" w:hAnsi="Times New Roman" w:cs="Times New Roman"/>
                <w:color w:val="000000"/>
              </w:rPr>
              <w:t>16.910</w:t>
            </w:r>
          </w:p>
        </w:tc>
      </w:tr>
      <w:tr w:rsidR="00CC5823" w:rsidRPr="00CC5823" w:rsidTr="00387EEC">
        <w:tc>
          <w:tcPr>
            <w:tcW w:w="573" w:type="pct"/>
            <w:vAlign w:val="bottom"/>
          </w:tcPr>
          <w:p w:rsidR="00CC5823" w:rsidRPr="00CC5823" w:rsidRDefault="00CC5823" w:rsidP="00387EEC">
            <w:pPr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CC5823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SiO2-100mg/L</w:t>
            </w:r>
          </w:p>
        </w:tc>
        <w:tc>
          <w:tcPr>
            <w:tcW w:w="470" w:type="pct"/>
            <w:vAlign w:val="bottom"/>
          </w:tcPr>
          <w:p w:rsidR="00CC5823" w:rsidRPr="00CC5823" w:rsidRDefault="00CC5823" w:rsidP="00387EE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CC5823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44.14</w:t>
            </w:r>
          </w:p>
        </w:tc>
        <w:tc>
          <w:tcPr>
            <w:tcW w:w="472" w:type="pct"/>
            <w:vAlign w:val="bottom"/>
          </w:tcPr>
          <w:p w:rsidR="00CC5823" w:rsidRPr="00CC5823" w:rsidRDefault="00CC5823" w:rsidP="00387EE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CC5823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79.9633</w:t>
            </w:r>
          </w:p>
        </w:tc>
        <w:tc>
          <w:tcPr>
            <w:tcW w:w="501" w:type="pct"/>
            <w:vAlign w:val="bottom"/>
          </w:tcPr>
          <w:p w:rsidR="00CC5823" w:rsidRPr="00CC5823" w:rsidRDefault="00CC5823" w:rsidP="00387EEC">
            <w:pPr>
              <w:jc w:val="right"/>
              <w:rPr>
                <w:rFonts w:ascii="Times New Roman" w:eastAsia="Times New Roman" w:hAnsi="Times New Roman" w:cs="Times New Roman"/>
                <w:lang w:bidi="hi-IN"/>
              </w:rPr>
            </w:pPr>
            <w:r w:rsidRPr="00CC5823">
              <w:rPr>
                <w:rFonts w:ascii="Times New Roman" w:eastAsia="Times New Roman" w:hAnsi="Times New Roman" w:cs="Times New Roman"/>
                <w:lang w:bidi="hi-IN"/>
              </w:rPr>
              <w:t>58.8</w:t>
            </w:r>
          </w:p>
        </w:tc>
        <w:tc>
          <w:tcPr>
            <w:tcW w:w="501" w:type="pct"/>
            <w:vAlign w:val="bottom"/>
          </w:tcPr>
          <w:p w:rsidR="00CC5823" w:rsidRPr="00CC5823" w:rsidRDefault="00CC5823" w:rsidP="00387EE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CC5823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50</w:t>
            </w:r>
          </w:p>
        </w:tc>
        <w:tc>
          <w:tcPr>
            <w:tcW w:w="501" w:type="pct"/>
            <w:vAlign w:val="bottom"/>
          </w:tcPr>
          <w:p w:rsidR="00CC5823" w:rsidRPr="00CC5823" w:rsidRDefault="00CC5823" w:rsidP="00387EE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CC5823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30</w:t>
            </w:r>
          </w:p>
        </w:tc>
        <w:tc>
          <w:tcPr>
            <w:tcW w:w="501" w:type="pct"/>
            <w:vAlign w:val="bottom"/>
          </w:tcPr>
          <w:p w:rsidR="00CC5823" w:rsidRPr="00CC5823" w:rsidRDefault="00CC5823" w:rsidP="00387EE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CC5823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11.76</w:t>
            </w:r>
          </w:p>
        </w:tc>
        <w:tc>
          <w:tcPr>
            <w:tcW w:w="501" w:type="pct"/>
            <w:vAlign w:val="bottom"/>
          </w:tcPr>
          <w:p w:rsidR="00CC5823" w:rsidRPr="00CC5823" w:rsidRDefault="00CC5823" w:rsidP="00387EEC">
            <w:pPr>
              <w:jc w:val="right"/>
              <w:rPr>
                <w:rFonts w:ascii="Times New Roman" w:eastAsia="Times New Roman" w:hAnsi="Times New Roman" w:cs="Times New Roman"/>
                <w:lang w:bidi="hi-IN"/>
              </w:rPr>
            </w:pPr>
            <w:r w:rsidRPr="00CC5823">
              <w:rPr>
                <w:rFonts w:ascii="Times New Roman" w:eastAsia="Times New Roman" w:hAnsi="Times New Roman" w:cs="Times New Roman"/>
                <w:lang w:bidi="hi-IN"/>
              </w:rPr>
              <w:t>60.86</w:t>
            </w:r>
          </w:p>
        </w:tc>
        <w:tc>
          <w:tcPr>
            <w:tcW w:w="501" w:type="pct"/>
            <w:vAlign w:val="bottom"/>
          </w:tcPr>
          <w:p w:rsidR="00CC5823" w:rsidRPr="00CC5823" w:rsidRDefault="00CC5823" w:rsidP="00387EE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CC5823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48.5638</w:t>
            </w:r>
          </w:p>
        </w:tc>
        <w:tc>
          <w:tcPr>
            <w:tcW w:w="477" w:type="pct"/>
            <w:vAlign w:val="bottom"/>
          </w:tcPr>
          <w:p w:rsidR="00CC5823" w:rsidRPr="00CC5823" w:rsidRDefault="00CC5823" w:rsidP="00387EE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5823">
              <w:rPr>
                <w:rFonts w:ascii="Times New Roman" w:hAnsi="Times New Roman" w:cs="Times New Roman"/>
                <w:color w:val="000000"/>
              </w:rPr>
              <w:t>22.210</w:t>
            </w:r>
          </w:p>
        </w:tc>
      </w:tr>
      <w:tr w:rsidR="00CC5823" w:rsidRPr="00CC5823" w:rsidTr="00387EEC">
        <w:tc>
          <w:tcPr>
            <w:tcW w:w="573" w:type="pct"/>
            <w:vAlign w:val="bottom"/>
          </w:tcPr>
          <w:p w:rsidR="00CC5823" w:rsidRPr="00CC5823" w:rsidRDefault="00CC5823" w:rsidP="00387EEC">
            <w:pPr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CC5823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SiO2-10mg/L</w:t>
            </w:r>
          </w:p>
        </w:tc>
        <w:tc>
          <w:tcPr>
            <w:tcW w:w="470" w:type="pct"/>
            <w:vAlign w:val="bottom"/>
          </w:tcPr>
          <w:p w:rsidR="00CC5823" w:rsidRPr="00CC5823" w:rsidRDefault="00CC5823" w:rsidP="00387EEC">
            <w:pPr>
              <w:jc w:val="right"/>
              <w:rPr>
                <w:rFonts w:ascii="Times New Roman" w:eastAsia="Times New Roman" w:hAnsi="Times New Roman" w:cs="Times New Roman"/>
                <w:color w:val="FF0000"/>
                <w:lang w:bidi="hi-IN"/>
              </w:rPr>
            </w:pPr>
            <w:r w:rsidRPr="00CC5823">
              <w:rPr>
                <w:rFonts w:ascii="Times New Roman" w:eastAsia="Times New Roman" w:hAnsi="Times New Roman" w:cs="Times New Roman"/>
                <w:color w:val="FF0000"/>
                <w:lang w:bidi="hi-IN"/>
              </w:rPr>
              <w:t>80.5</w:t>
            </w:r>
          </w:p>
        </w:tc>
        <w:tc>
          <w:tcPr>
            <w:tcW w:w="472" w:type="pct"/>
            <w:vAlign w:val="bottom"/>
          </w:tcPr>
          <w:p w:rsidR="00CC5823" w:rsidRPr="00CC5823" w:rsidRDefault="00CC5823" w:rsidP="00387EE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CC5823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91.8233</w:t>
            </w:r>
          </w:p>
        </w:tc>
        <w:tc>
          <w:tcPr>
            <w:tcW w:w="501" w:type="pct"/>
            <w:vAlign w:val="bottom"/>
          </w:tcPr>
          <w:p w:rsidR="00CC5823" w:rsidRPr="00CC5823" w:rsidRDefault="00CC5823" w:rsidP="00387EEC">
            <w:pPr>
              <w:jc w:val="right"/>
              <w:rPr>
                <w:rFonts w:ascii="Times New Roman" w:eastAsia="Times New Roman" w:hAnsi="Times New Roman" w:cs="Times New Roman"/>
                <w:color w:val="FF0000"/>
                <w:lang w:bidi="hi-IN"/>
              </w:rPr>
            </w:pPr>
            <w:r w:rsidRPr="00CC5823">
              <w:rPr>
                <w:rFonts w:ascii="Times New Roman" w:eastAsia="Times New Roman" w:hAnsi="Times New Roman" w:cs="Times New Roman"/>
                <w:color w:val="FF0000"/>
                <w:lang w:bidi="hi-IN"/>
              </w:rPr>
              <w:t>80.5</w:t>
            </w:r>
          </w:p>
        </w:tc>
        <w:tc>
          <w:tcPr>
            <w:tcW w:w="501" w:type="pct"/>
            <w:vAlign w:val="bottom"/>
          </w:tcPr>
          <w:p w:rsidR="00CC5823" w:rsidRPr="00CC5823" w:rsidRDefault="00CC5823" w:rsidP="00387EE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CC5823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82</w:t>
            </w:r>
          </w:p>
        </w:tc>
        <w:tc>
          <w:tcPr>
            <w:tcW w:w="501" w:type="pct"/>
            <w:vAlign w:val="bottom"/>
          </w:tcPr>
          <w:p w:rsidR="00CC5823" w:rsidRPr="00CC5823" w:rsidRDefault="00CC5823" w:rsidP="00387EE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CC5823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28.85</w:t>
            </w:r>
          </w:p>
        </w:tc>
        <w:tc>
          <w:tcPr>
            <w:tcW w:w="501" w:type="pct"/>
            <w:vAlign w:val="bottom"/>
          </w:tcPr>
          <w:p w:rsidR="00CC5823" w:rsidRPr="00CC5823" w:rsidRDefault="00CC5823" w:rsidP="00387EE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CC5823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45.45</w:t>
            </w:r>
          </w:p>
        </w:tc>
        <w:tc>
          <w:tcPr>
            <w:tcW w:w="501" w:type="pct"/>
            <w:vAlign w:val="bottom"/>
          </w:tcPr>
          <w:p w:rsidR="00CC5823" w:rsidRPr="00CC5823" w:rsidRDefault="00CC5823" w:rsidP="00387EEC">
            <w:pPr>
              <w:jc w:val="right"/>
              <w:rPr>
                <w:rFonts w:ascii="Times New Roman" w:eastAsia="Times New Roman" w:hAnsi="Times New Roman" w:cs="Times New Roman"/>
                <w:color w:val="FF0000"/>
                <w:lang w:bidi="hi-IN"/>
              </w:rPr>
            </w:pPr>
            <w:r w:rsidRPr="00CC5823">
              <w:rPr>
                <w:rFonts w:ascii="Times New Roman" w:eastAsia="Times New Roman" w:hAnsi="Times New Roman" w:cs="Times New Roman"/>
                <w:color w:val="FF0000"/>
                <w:lang w:bidi="hi-IN"/>
              </w:rPr>
              <w:t>74.64</w:t>
            </w:r>
          </w:p>
        </w:tc>
        <w:tc>
          <w:tcPr>
            <w:tcW w:w="501" w:type="pct"/>
            <w:vAlign w:val="bottom"/>
          </w:tcPr>
          <w:p w:rsidR="00CC5823" w:rsidRPr="00CC5823" w:rsidRDefault="00CC5823" w:rsidP="00387EE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CC5823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67.2105</w:t>
            </w:r>
          </w:p>
        </w:tc>
        <w:tc>
          <w:tcPr>
            <w:tcW w:w="477" w:type="pct"/>
            <w:vAlign w:val="bottom"/>
          </w:tcPr>
          <w:p w:rsidR="00CC5823" w:rsidRPr="00CC5823" w:rsidRDefault="00CC5823" w:rsidP="00387EE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5823">
              <w:rPr>
                <w:rFonts w:ascii="Times New Roman" w:hAnsi="Times New Roman" w:cs="Times New Roman"/>
                <w:color w:val="000000"/>
              </w:rPr>
              <w:t>22.9229</w:t>
            </w:r>
          </w:p>
        </w:tc>
      </w:tr>
      <w:tr w:rsidR="00CC5823" w:rsidRPr="00CC5823" w:rsidTr="00387EEC">
        <w:tc>
          <w:tcPr>
            <w:tcW w:w="573" w:type="pct"/>
            <w:vAlign w:val="bottom"/>
          </w:tcPr>
          <w:p w:rsidR="00CC5823" w:rsidRPr="00CC5823" w:rsidRDefault="00CC5823" w:rsidP="00387EEC">
            <w:pPr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CC5823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SiO2-1mg/L</w:t>
            </w:r>
          </w:p>
        </w:tc>
        <w:tc>
          <w:tcPr>
            <w:tcW w:w="470" w:type="pct"/>
            <w:vAlign w:val="bottom"/>
          </w:tcPr>
          <w:p w:rsidR="00CC5823" w:rsidRPr="00CC5823" w:rsidRDefault="00CC5823" w:rsidP="00387EEC">
            <w:pPr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CC5823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-</w:t>
            </w:r>
          </w:p>
        </w:tc>
        <w:tc>
          <w:tcPr>
            <w:tcW w:w="472" w:type="pct"/>
            <w:vAlign w:val="bottom"/>
          </w:tcPr>
          <w:p w:rsidR="00CC5823" w:rsidRPr="00CC5823" w:rsidRDefault="00CC5823" w:rsidP="00387EEC">
            <w:pPr>
              <w:jc w:val="right"/>
              <w:rPr>
                <w:rFonts w:ascii="Times New Roman" w:eastAsia="Times New Roman" w:hAnsi="Times New Roman" w:cs="Times New Roman"/>
                <w:color w:val="FF0000"/>
                <w:lang w:bidi="hi-IN"/>
              </w:rPr>
            </w:pPr>
            <w:r w:rsidRPr="00CC5823">
              <w:rPr>
                <w:rFonts w:ascii="Times New Roman" w:eastAsia="Times New Roman" w:hAnsi="Times New Roman" w:cs="Times New Roman"/>
                <w:color w:val="FF0000"/>
                <w:lang w:bidi="hi-IN"/>
              </w:rPr>
              <w:t>89.46</w:t>
            </w:r>
          </w:p>
        </w:tc>
        <w:tc>
          <w:tcPr>
            <w:tcW w:w="501" w:type="pct"/>
            <w:vAlign w:val="bottom"/>
          </w:tcPr>
          <w:p w:rsidR="00CC5823" w:rsidRPr="00CC5823" w:rsidRDefault="00CC5823" w:rsidP="00387EEC">
            <w:pPr>
              <w:jc w:val="right"/>
              <w:rPr>
                <w:rFonts w:ascii="Times New Roman" w:eastAsia="Times New Roman" w:hAnsi="Times New Roman" w:cs="Times New Roman"/>
                <w:color w:val="FF0000"/>
                <w:lang w:bidi="hi-IN"/>
              </w:rPr>
            </w:pPr>
            <w:r w:rsidRPr="00CC5823">
              <w:rPr>
                <w:rFonts w:ascii="Times New Roman" w:eastAsia="Times New Roman" w:hAnsi="Times New Roman" w:cs="Times New Roman"/>
                <w:color w:val="FF0000"/>
                <w:lang w:bidi="hi-IN"/>
              </w:rPr>
              <w:t>91</w:t>
            </w:r>
          </w:p>
        </w:tc>
        <w:tc>
          <w:tcPr>
            <w:tcW w:w="501" w:type="pct"/>
            <w:vAlign w:val="bottom"/>
          </w:tcPr>
          <w:p w:rsidR="00CC5823" w:rsidRPr="00CC5823" w:rsidRDefault="00CC5823" w:rsidP="00387EEC">
            <w:pPr>
              <w:jc w:val="right"/>
              <w:rPr>
                <w:rFonts w:ascii="Times New Roman" w:eastAsia="Times New Roman" w:hAnsi="Times New Roman" w:cs="Times New Roman"/>
                <w:color w:val="FF0000"/>
                <w:lang w:bidi="hi-IN"/>
              </w:rPr>
            </w:pPr>
            <w:r w:rsidRPr="00CC5823">
              <w:rPr>
                <w:rFonts w:ascii="Times New Roman" w:eastAsia="Times New Roman" w:hAnsi="Times New Roman" w:cs="Times New Roman"/>
                <w:color w:val="FF0000"/>
                <w:lang w:bidi="hi-IN"/>
              </w:rPr>
              <w:t>86.6</w:t>
            </w:r>
          </w:p>
        </w:tc>
        <w:tc>
          <w:tcPr>
            <w:tcW w:w="501" w:type="pct"/>
            <w:vAlign w:val="bottom"/>
          </w:tcPr>
          <w:p w:rsidR="00CC5823" w:rsidRPr="00CC5823" w:rsidRDefault="00CC5823" w:rsidP="00387EEC">
            <w:pPr>
              <w:jc w:val="right"/>
              <w:rPr>
                <w:rFonts w:ascii="Times New Roman" w:eastAsia="Times New Roman" w:hAnsi="Times New Roman" w:cs="Times New Roman"/>
                <w:color w:val="FF0000"/>
                <w:lang w:bidi="hi-IN"/>
              </w:rPr>
            </w:pPr>
            <w:r w:rsidRPr="00CC5823">
              <w:rPr>
                <w:rFonts w:ascii="Times New Roman" w:eastAsia="Times New Roman" w:hAnsi="Times New Roman" w:cs="Times New Roman"/>
                <w:color w:val="FF0000"/>
                <w:lang w:bidi="hi-IN"/>
              </w:rPr>
              <w:t>77.32</w:t>
            </w:r>
          </w:p>
        </w:tc>
        <w:tc>
          <w:tcPr>
            <w:tcW w:w="501" w:type="pct"/>
            <w:vAlign w:val="bottom"/>
          </w:tcPr>
          <w:p w:rsidR="00CC5823" w:rsidRPr="00CC5823" w:rsidRDefault="00CC5823" w:rsidP="00387EEC">
            <w:pPr>
              <w:jc w:val="right"/>
              <w:rPr>
                <w:rFonts w:ascii="Times New Roman" w:eastAsia="Times New Roman" w:hAnsi="Times New Roman" w:cs="Times New Roman"/>
                <w:color w:val="FF0000"/>
                <w:lang w:bidi="hi-IN"/>
              </w:rPr>
            </w:pPr>
            <w:r w:rsidRPr="00CC5823">
              <w:rPr>
                <w:rFonts w:ascii="Times New Roman" w:eastAsia="Times New Roman" w:hAnsi="Times New Roman" w:cs="Times New Roman"/>
                <w:color w:val="FF0000"/>
                <w:lang w:bidi="hi-IN"/>
              </w:rPr>
              <w:t>63.4</w:t>
            </w:r>
          </w:p>
        </w:tc>
        <w:tc>
          <w:tcPr>
            <w:tcW w:w="501" w:type="pct"/>
            <w:vAlign w:val="bottom"/>
          </w:tcPr>
          <w:p w:rsidR="00CC5823" w:rsidRPr="00CC5823" w:rsidRDefault="00CC5823" w:rsidP="00387EEC">
            <w:pPr>
              <w:rPr>
                <w:rFonts w:ascii="Times New Roman" w:eastAsia="Times New Roman" w:hAnsi="Times New Roman" w:cs="Times New Roman"/>
                <w:color w:val="FF0000"/>
                <w:lang w:bidi="hi-IN"/>
              </w:rPr>
            </w:pPr>
            <w:r w:rsidRPr="00CC5823">
              <w:rPr>
                <w:rFonts w:ascii="Times New Roman" w:eastAsia="Times New Roman" w:hAnsi="Times New Roman" w:cs="Times New Roman"/>
                <w:color w:val="FF0000"/>
                <w:lang w:bidi="hi-IN"/>
              </w:rPr>
              <w:t>-</w:t>
            </w:r>
          </w:p>
        </w:tc>
        <w:tc>
          <w:tcPr>
            <w:tcW w:w="501" w:type="pct"/>
            <w:vAlign w:val="bottom"/>
          </w:tcPr>
          <w:p w:rsidR="00CC5823" w:rsidRPr="00CC5823" w:rsidRDefault="00CC5823" w:rsidP="00387EE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CC5823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81.556</w:t>
            </w:r>
          </w:p>
        </w:tc>
        <w:tc>
          <w:tcPr>
            <w:tcW w:w="477" w:type="pct"/>
            <w:vAlign w:val="bottom"/>
          </w:tcPr>
          <w:p w:rsidR="00CC5823" w:rsidRPr="00CC5823" w:rsidRDefault="00CC5823" w:rsidP="00387EE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5823">
              <w:rPr>
                <w:rFonts w:ascii="Times New Roman" w:hAnsi="Times New Roman" w:cs="Times New Roman"/>
                <w:color w:val="000000"/>
              </w:rPr>
              <w:t>11.453</w:t>
            </w:r>
          </w:p>
        </w:tc>
      </w:tr>
    </w:tbl>
    <w:p w:rsidR="00CC5823" w:rsidRPr="00CC5823" w:rsidRDefault="00CC5823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C5823" w:rsidRPr="00CC5823" w:rsidSect="00951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CC5823"/>
    <w:rsid w:val="003851AF"/>
    <w:rsid w:val="006B140A"/>
    <w:rsid w:val="00951855"/>
    <w:rsid w:val="009F39A6"/>
    <w:rsid w:val="00BE1583"/>
    <w:rsid w:val="00CC5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8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C5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Shashi Singh</dc:creator>
  <cp:lastModifiedBy>Shashi Singh</cp:lastModifiedBy>
  <cp:revision>3</cp:revision>
  <dcterms:created xsi:type="dcterms:W3CDTF">2018-11-12T07:22:00Z</dcterms:created>
  <dcterms:modified xsi:type="dcterms:W3CDTF">2018-11-14T08:09:00Z</dcterms:modified>
</cp:coreProperties>
</file>