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1287"/>
        <w:gridCol w:w="5427"/>
      </w:tblGrid>
      <w:tr w:rsidR="000E6FC2" w:rsidRPr="009D2864" w:rsidTr="00EA6E73">
        <w:trPr>
          <w:trHeight w:val="446"/>
        </w:trPr>
        <w:tc>
          <w:tcPr>
            <w:tcW w:w="2122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Environmental factor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Condition of pressure or resilience</w:t>
            </w:r>
          </w:p>
        </w:tc>
      </w:tr>
      <w:tr w:rsidR="000E6FC2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Healthy habitat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occurrence of odor due to blue tide or other organisms, mass death of organisms, or outbreak of specific species</w:t>
            </w:r>
            <w:r>
              <w:rPr>
                <w:rFonts w:ascii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16B94">
              <w:rPr>
                <w:rFonts w:ascii="Times New Roman" w:cs="Times New Roman"/>
                <w:i/>
                <w:sz w:val="22"/>
                <w:szCs w:val="22"/>
                <w:lang w:val="en-US"/>
              </w:rPr>
              <w:t>Ulva.</w:t>
            </w:r>
            <w:r>
              <w:rPr>
                <w:rFonts w:ascii="Times New Roman" w:cs="Times New Roman"/>
                <w:sz w:val="22"/>
                <w:szCs w:val="22"/>
                <w:lang w:val="en-US"/>
              </w:rPr>
              <w:t>sp</w:t>
            </w:r>
            <w:proofErr w:type="spellEnd"/>
            <w:r>
              <w:rPr>
                <w:rFonts w:asci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0E6FC2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Occurrence of them</w:t>
            </w:r>
            <w:r w:rsidRPr="009D2864" w:rsidDel="00E0210B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0E6FC2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Stability of ground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erosion or subsidence</w:t>
            </w:r>
          </w:p>
        </w:tc>
      </w:tr>
      <w:tr w:rsidR="000E6FC2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Occurrence of erosion or subsidence</w:t>
            </w:r>
          </w:p>
        </w:tc>
      </w:tr>
      <w:tr w:rsidR="000E6FC2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Management groups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 xml:space="preserve">Presence of management groups about amenities </w:t>
            </w:r>
          </w:p>
        </w:tc>
      </w:tr>
      <w:tr w:rsidR="000E6FC2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Absence of them</w:t>
            </w:r>
          </w:p>
        </w:tc>
      </w:tr>
      <w:tr w:rsidR="000E6FC2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Attracting visitors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Presence of sports, fishing, or clamming events</w:t>
            </w:r>
          </w:p>
        </w:tc>
      </w:tr>
      <w:tr w:rsidR="000E6FC2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Absence of them</w:t>
            </w:r>
          </w:p>
        </w:tc>
      </w:tr>
      <w:tr w:rsidR="000E6FC2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Publicity work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Presence of public relations via the web and distribution of advertisements</w:t>
            </w:r>
          </w:p>
        </w:tc>
      </w:tr>
      <w:tr w:rsidR="000E6FC2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 xml:space="preserve">Absence of them </w:t>
            </w:r>
          </w:p>
        </w:tc>
      </w:tr>
      <w:tr w:rsidR="000E6FC2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Incidental facilities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Presence of rest huts, public toilets, event rooms, etc.</w:t>
            </w:r>
          </w:p>
        </w:tc>
      </w:tr>
      <w:tr w:rsidR="000E6FC2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Absence of them</w:t>
            </w:r>
          </w:p>
        </w:tc>
      </w:tr>
      <w:tr w:rsidR="000E6FC2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Accessibility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Presence of public transport station or parking </w:t>
            </w:r>
          </w:p>
        </w:tc>
      </w:tr>
      <w:tr w:rsidR="000E6FC2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6FC2" w:rsidRPr="009D2864" w:rsidRDefault="000E6FC2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Lack of them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DAB" w:rsidRDefault="00592DAB" w:rsidP="00616E27">
      <w:r>
        <w:separator/>
      </w:r>
    </w:p>
  </w:endnote>
  <w:endnote w:type="continuationSeparator" w:id="0">
    <w:p w:rsidR="00592DAB" w:rsidRDefault="00592DAB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DAB" w:rsidRDefault="00592DAB" w:rsidP="00616E27">
      <w:r>
        <w:separator/>
      </w:r>
    </w:p>
  </w:footnote>
  <w:footnote w:type="continuationSeparator" w:id="0">
    <w:p w:rsidR="00592DAB" w:rsidRDefault="00592DAB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6FC2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92DAB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F343D-AA37-40AD-A42A-11D5EC14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2018-10-05T08:22:00Z</dcterms:modified>
</cp:coreProperties>
</file>