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3080C" w14:textId="7DC66FE7" w:rsidR="00551B62" w:rsidRDefault="00551B62" w:rsidP="00551B62">
      <w:pPr>
        <w:rPr>
          <w:rFonts w:cstheme="minorHAnsi"/>
          <w:sz w:val="24"/>
          <w:szCs w:val="24"/>
        </w:rPr>
      </w:pPr>
      <w:r>
        <w:rPr>
          <w:rFonts w:cstheme="minorHAnsi"/>
          <w:sz w:val="24"/>
          <w:szCs w:val="24"/>
        </w:rPr>
        <w:t>T</w:t>
      </w:r>
      <w:r w:rsidR="00031468">
        <w:rPr>
          <w:rFonts w:cstheme="minorHAnsi"/>
          <w:sz w:val="24"/>
          <w:szCs w:val="24"/>
        </w:rPr>
        <w:t>able</w:t>
      </w:r>
      <w:r>
        <w:rPr>
          <w:rFonts w:cstheme="minorHAnsi"/>
          <w:sz w:val="24"/>
          <w:szCs w:val="24"/>
        </w:rPr>
        <w:t xml:space="preserve"> S1. Concentrations and diffusion zone breakpoints for resistance to antimicrobial drugs tested in this study</w:t>
      </w:r>
    </w:p>
    <w:tbl>
      <w:tblPr>
        <w:tblStyle w:val="TableGrid"/>
        <w:tblW w:w="13715" w:type="dxa"/>
        <w:tblInd w:w="-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3889"/>
        <w:gridCol w:w="1840"/>
        <w:gridCol w:w="2207"/>
        <w:gridCol w:w="1890"/>
      </w:tblGrid>
      <w:tr w:rsidR="00551B62" w14:paraId="345B9912" w14:textId="77777777" w:rsidTr="00457716">
        <w:tc>
          <w:tcPr>
            <w:tcW w:w="3889" w:type="dxa"/>
            <w:tcBorders>
              <w:top w:val="nil"/>
              <w:left w:val="nil"/>
              <w:bottom w:val="single" w:sz="4" w:space="0" w:color="auto"/>
              <w:right w:val="nil"/>
            </w:tcBorders>
            <w:vAlign w:val="center"/>
            <w:hideMark/>
          </w:tcPr>
          <w:p w14:paraId="1A985EA0" w14:textId="77777777" w:rsidR="00551B62" w:rsidRDefault="00551B62">
            <w:pPr>
              <w:spacing w:line="240" w:lineRule="auto"/>
              <w:jc w:val="center"/>
              <w:rPr>
                <w:rFonts w:cstheme="minorHAnsi"/>
                <w:b/>
                <w:sz w:val="24"/>
                <w:szCs w:val="24"/>
              </w:rPr>
            </w:pPr>
            <w:r>
              <w:rPr>
                <w:rFonts w:cstheme="minorHAnsi"/>
                <w:b/>
                <w:sz w:val="24"/>
                <w:szCs w:val="24"/>
              </w:rPr>
              <w:t>Drug class</w:t>
            </w:r>
          </w:p>
        </w:tc>
        <w:tc>
          <w:tcPr>
            <w:tcW w:w="3889" w:type="dxa"/>
            <w:tcBorders>
              <w:top w:val="nil"/>
              <w:left w:val="nil"/>
              <w:bottom w:val="single" w:sz="4" w:space="0" w:color="auto"/>
              <w:right w:val="nil"/>
            </w:tcBorders>
            <w:vAlign w:val="center"/>
            <w:hideMark/>
          </w:tcPr>
          <w:p w14:paraId="6272D550" w14:textId="77777777" w:rsidR="00551B62" w:rsidRDefault="00551B62">
            <w:pPr>
              <w:spacing w:line="240" w:lineRule="auto"/>
              <w:jc w:val="center"/>
              <w:rPr>
                <w:rFonts w:cstheme="minorHAnsi"/>
                <w:b/>
                <w:sz w:val="24"/>
                <w:szCs w:val="24"/>
              </w:rPr>
            </w:pPr>
            <w:r>
              <w:rPr>
                <w:rFonts w:cstheme="minorHAnsi"/>
                <w:b/>
                <w:sz w:val="24"/>
                <w:szCs w:val="24"/>
              </w:rPr>
              <w:t>Antimicrobial drug*</w:t>
            </w:r>
          </w:p>
        </w:tc>
        <w:tc>
          <w:tcPr>
            <w:tcW w:w="1840" w:type="dxa"/>
            <w:tcBorders>
              <w:top w:val="nil"/>
              <w:left w:val="nil"/>
              <w:bottom w:val="single" w:sz="4" w:space="0" w:color="auto"/>
              <w:right w:val="nil"/>
            </w:tcBorders>
            <w:vAlign w:val="center"/>
            <w:hideMark/>
          </w:tcPr>
          <w:p w14:paraId="6A6E4DAA" w14:textId="77777777" w:rsidR="00551B62" w:rsidRDefault="00551B62">
            <w:pPr>
              <w:spacing w:line="240" w:lineRule="auto"/>
              <w:jc w:val="center"/>
              <w:rPr>
                <w:rFonts w:cstheme="minorHAnsi"/>
                <w:b/>
                <w:sz w:val="24"/>
                <w:szCs w:val="24"/>
              </w:rPr>
            </w:pPr>
            <w:r>
              <w:rPr>
                <w:rFonts w:cstheme="minorHAnsi"/>
                <w:b/>
                <w:sz w:val="24"/>
                <w:szCs w:val="24"/>
              </w:rPr>
              <w:t>Drug quantity/disc</w:t>
            </w:r>
          </w:p>
        </w:tc>
        <w:tc>
          <w:tcPr>
            <w:tcW w:w="2207" w:type="dxa"/>
            <w:tcBorders>
              <w:top w:val="nil"/>
              <w:left w:val="nil"/>
              <w:bottom w:val="single" w:sz="4" w:space="0" w:color="auto"/>
              <w:right w:val="nil"/>
            </w:tcBorders>
            <w:vAlign w:val="center"/>
            <w:hideMark/>
          </w:tcPr>
          <w:p w14:paraId="24A674FC" w14:textId="55CB5707" w:rsidR="00551B62" w:rsidRDefault="00551B62">
            <w:pPr>
              <w:spacing w:line="240" w:lineRule="auto"/>
              <w:jc w:val="center"/>
              <w:rPr>
                <w:rFonts w:cstheme="minorHAnsi"/>
                <w:b/>
                <w:sz w:val="24"/>
                <w:szCs w:val="24"/>
              </w:rPr>
            </w:pPr>
            <w:r>
              <w:rPr>
                <w:rFonts w:cstheme="minorHAnsi"/>
                <w:b/>
                <w:sz w:val="24"/>
                <w:szCs w:val="24"/>
              </w:rPr>
              <w:t>Inhibition zone breakpoints</w:t>
            </w:r>
            <w:r w:rsidR="00457716">
              <w:rPr>
                <w:rFonts w:cstheme="minorHAnsi"/>
                <w:b/>
                <w:sz w:val="24"/>
                <w:szCs w:val="24"/>
              </w:rPr>
              <w:t xml:space="preserve"> for analysis</w:t>
            </w:r>
            <w:r>
              <w:rPr>
                <w:rFonts w:cstheme="minorHAnsi"/>
                <w:b/>
                <w:sz w:val="24"/>
                <w:szCs w:val="24"/>
              </w:rPr>
              <w:t xml:space="preserve"> R,</w:t>
            </w:r>
            <w:r w:rsidR="00457716">
              <w:rPr>
                <w:rFonts w:cstheme="minorHAnsi"/>
                <w:b/>
                <w:sz w:val="24"/>
                <w:szCs w:val="24"/>
              </w:rPr>
              <w:t xml:space="preserve"> </w:t>
            </w:r>
            <w:proofErr w:type="gramStart"/>
            <w:r>
              <w:rPr>
                <w:rFonts w:cstheme="minorHAnsi"/>
                <w:b/>
                <w:sz w:val="24"/>
                <w:szCs w:val="24"/>
              </w:rPr>
              <w:t>I,S</w:t>
            </w:r>
            <w:proofErr w:type="gramEnd"/>
            <w:r>
              <w:rPr>
                <w:rFonts w:cstheme="minorHAnsi"/>
                <w:b/>
                <w:sz w:val="24"/>
                <w:szCs w:val="24"/>
              </w:rPr>
              <w:t xml:space="preserve"> (mm)</w:t>
            </w:r>
          </w:p>
        </w:tc>
        <w:tc>
          <w:tcPr>
            <w:tcW w:w="1890" w:type="dxa"/>
            <w:tcBorders>
              <w:top w:val="nil"/>
              <w:left w:val="nil"/>
              <w:bottom w:val="single" w:sz="4" w:space="0" w:color="auto"/>
              <w:right w:val="nil"/>
            </w:tcBorders>
            <w:vAlign w:val="center"/>
            <w:hideMark/>
          </w:tcPr>
          <w:p w14:paraId="20E2B58D" w14:textId="77777777" w:rsidR="00551B62" w:rsidRDefault="00551B62">
            <w:pPr>
              <w:spacing w:line="240" w:lineRule="auto"/>
              <w:jc w:val="center"/>
              <w:rPr>
                <w:rFonts w:cstheme="minorHAnsi"/>
                <w:b/>
                <w:sz w:val="24"/>
                <w:szCs w:val="24"/>
              </w:rPr>
            </w:pPr>
            <w:r>
              <w:rPr>
                <w:rFonts w:cstheme="minorHAnsi"/>
                <w:b/>
                <w:sz w:val="24"/>
                <w:szCs w:val="24"/>
              </w:rPr>
              <w:t>Bacteria tested</w:t>
            </w:r>
          </w:p>
        </w:tc>
      </w:tr>
      <w:tr w:rsidR="00551B62" w14:paraId="3F0ADDAD" w14:textId="77777777" w:rsidTr="00457716">
        <w:tc>
          <w:tcPr>
            <w:tcW w:w="3889" w:type="dxa"/>
            <w:vAlign w:val="center"/>
            <w:hideMark/>
          </w:tcPr>
          <w:p w14:paraId="390C1FE1" w14:textId="77777777" w:rsidR="00551B62" w:rsidRDefault="00551B62">
            <w:pPr>
              <w:spacing w:line="240" w:lineRule="auto"/>
              <w:jc w:val="center"/>
              <w:rPr>
                <w:rFonts w:cstheme="minorHAnsi"/>
                <w:sz w:val="24"/>
                <w:szCs w:val="24"/>
              </w:rPr>
            </w:pPr>
            <w:r>
              <w:rPr>
                <w:rFonts w:cstheme="minorHAnsi"/>
                <w:sz w:val="24"/>
                <w:szCs w:val="24"/>
              </w:rPr>
              <w:t>Aminoglycoside</w:t>
            </w:r>
          </w:p>
        </w:tc>
        <w:tc>
          <w:tcPr>
            <w:tcW w:w="3889" w:type="dxa"/>
            <w:vAlign w:val="center"/>
            <w:hideMark/>
          </w:tcPr>
          <w:p w14:paraId="212FDA80" w14:textId="77777777" w:rsidR="00551B62" w:rsidRDefault="00551B62">
            <w:pPr>
              <w:spacing w:line="240" w:lineRule="auto"/>
              <w:jc w:val="center"/>
              <w:rPr>
                <w:rFonts w:cstheme="minorHAnsi"/>
                <w:sz w:val="24"/>
                <w:szCs w:val="24"/>
              </w:rPr>
            </w:pPr>
            <w:r>
              <w:rPr>
                <w:rFonts w:cstheme="minorHAnsi"/>
                <w:sz w:val="24"/>
                <w:szCs w:val="24"/>
              </w:rPr>
              <w:t>Gentamicin</w:t>
            </w:r>
          </w:p>
        </w:tc>
        <w:tc>
          <w:tcPr>
            <w:tcW w:w="1840" w:type="dxa"/>
            <w:vAlign w:val="center"/>
            <w:hideMark/>
          </w:tcPr>
          <w:p w14:paraId="43DE1939" w14:textId="77777777" w:rsidR="00551B62" w:rsidRDefault="00551B62">
            <w:pPr>
              <w:spacing w:line="240" w:lineRule="auto"/>
              <w:jc w:val="center"/>
              <w:rPr>
                <w:rFonts w:cstheme="minorHAnsi"/>
                <w:sz w:val="24"/>
                <w:szCs w:val="24"/>
              </w:rPr>
            </w:pPr>
            <w:r>
              <w:rPr>
                <w:rFonts w:cstheme="minorHAnsi"/>
                <w:sz w:val="24"/>
                <w:szCs w:val="24"/>
              </w:rPr>
              <w:t xml:space="preserve">10 </w:t>
            </w:r>
            <w:proofErr w:type="spellStart"/>
            <w:r>
              <w:rPr>
                <w:rFonts w:cstheme="minorHAnsi"/>
                <w:sz w:val="24"/>
                <w:szCs w:val="24"/>
              </w:rPr>
              <w:t>μg</w:t>
            </w:r>
            <w:proofErr w:type="spellEnd"/>
          </w:p>
        </w:tc>
        <w:tc>
          <w:tcPr>
            <w:tcW w:w="2207" w:type="dxa"/>
            <w:vAlign w:val="center"/>
            <w:hideMark/>
          </w:tcPr>
          <w:p w14:paraId="3A7A6671" w14:textId="77777777" w:rsidR="00551B62" w:rsidRDefault="00551B62">
            <w:pPr>
              <w:spacing w:line="240" w:lineRule="auto"/>
              <w:jc w:val="center"/>
              <w:rPr>
                <w:rFonts w:cstheme="minorHAnsi"/>
                <w:sz w:val="24"/>
                <w:szCs w:val="24"/>
              </w:rPr>
            </w:pPr>
            <w:r>
              <w:rPr>
                <w:rFonts w:cstheme="minorHAnsi"/>
                <w:sz w:val="24"/>
                <w:szCs w:val="24"/>
              </w:rPr>
              <w:t>≤</w:t>
            </w:r>
            <w:proofErr w:type="gramStart"/>
            <w:r>
              <w:rPr>
                <w:rFonts w:cstheme="minorHAnsi"/>
                <w:sz w:val="24"/>
                <w:szCs w:val="24"/>
              </w:rPr>
              <w:t>14,-</w:t>
            </w:r>
            <w:proofErr w:type="gramEnd"/>
            <w:r>
              <w:rPr>
                <w:rFonts w:cstheme="minorHAnsi"/>
                <w:sz w:val="24"/>
                <w:szCs w:val="24"/>
              </w:rPr>
              <w:t>, ≥15</w:t>
            </w:r>
          </w:p>
        </w:tc>
        <w:tc>
          <w:tcPr>
            <w:tcW w:w="1890" w:type="dxa"/>
            <w:vAlign w:val="center"/>
            <w:hideMark/>
          </w:tcPr>
          <w:p w14:paraId="04B8C283" w14:textId="77777777" w:rsidR="00551B62" w:rsidRDefault="00551B62">
            <w:pPr>
              <w:spacing w:line="240" w:lineRule="auto"/>
              <w:jc w:val="center"/>
              <w:rPr>
                <w:rFonts w:cstheme="minorHAnsi"/>
                <w:sz w:val="24"/>
                <w:szCs w:val="24"/>
              </w:rPr>
            </w:pPr>
            <w:r>
              <w:rPr>
                <w:rFonts w:cstheme="minorHAnsi"/>
                <w:i/>
                <w:sz w:val="24"/>
                <w:szCs w:val="24"/>
              </w:rPr>
              <w:t>Enterococcus</w:t>
            </w:r>
          </w:p>
        </w:tc>
      </w:tr>
      <w:tr w:rsidR="00551B62" w14:paraId="7CC82EC4" w14:textId="77777777" w:rsidTr="00457716">
        <w:tc>
          <w:tcPr>
            <w:tcW w:w="3889" w:type="dxa"/>
            <w:vAlign w:val="center"/>
            <w:hideMark/>
          </w:tcPr>
          <w:p w14:paraId="1EE717A2" w14:textId="77777777" w:rsidR="00551B62" w:rsidRDefault="00551B62">
            <w:pPr>
              <w:spacing w:line="240" w:lineRule="auto"/>
              <w:jc w:val="center"/>
              <w:rPr>
                <w:rFonts w:cstheme="minorHAnsi"/>
                <w:sz w:val="24"/>
                <w:szCs w:val="24"/>
              </w:rPr>
            </w:pPr>
            <w:bookmarkStart w:id="0" w:name="_GoBack"/>
            <w:proofErr w:type="spellStart"/>
            <w:r>
              <w:rPr>
                <w:rFonts w:cstheme="minorHAnsi"/>
                <w:sz w:val="24"/>
                <w:szCs w:val="24"/>
              </w:rPr>
              <w:t>Ansamycin</w:t>
            </w:r>
            <w:bookmarkEnd w:id="0"/>
            <w:proofErr w:type="spellEnd"/>
          </w:p>
        </w:tc>
        <w:tc>
          <w:tcPr>
            <w:tcW w:w="3889" w:type="dxa"/>
            <w:vAlign w:val="center"/>
            <w:hideMark/>
          </w:tcPr>
          <w:p w14:paraId="228256E7" w14:textId="77777777" w:rsidR="00551B62" w:rsidRDefault="00551B62">
            <w:pPr>
              <w:spacing w:line="240" w:lineRule="auto"/>
              <w:jc w:val="center"/>
              <w:rPr>
                <w:rFonts w:cstheme="minorHAnsi"/>
                <w:sz w:val="24"/>
                <w:szCs w:val="24"/>
              </w:rPr>
            </w:pPr>
            <w:r>
              <w:rPr>
                <w:rFonts w:cstheme="minorHAnsi"/>
                <w:sz w:val="24"/>
                <w:szCs w:val="24"/>
              </w:rPr>
              <w:t>Rifampin</w:t>
            </w:r>
          </w:p>
        </w:tc>
        <w:tc>
          <w:tcPr>
            <w:tcW w:w="1840" w:type="dxa"/>
            <w:vAlign w:val="center"/>
            <w:hideMark/>
          </w:tcPr>
          <w:p w14:paraId="7D4CA678" w14:textId="77777777" w:rsidR="00551B62" w:rsidRDefault="00551B62">
            <w:pPr>
              <w:spacing w:line="240" w:lineRule="auto"/>
              <w:jc w:val="center"/>
              <w:rPr>
                <w:rFonts w:cstheme="minorHAnsi"/>
                <w:sz w:val="24"/>
                <w:szCs w:val="24"/>
              </w:rPr>
            </w:pPr>
            <w:r>
              <w:rPr>
                <w:rFonts w:cstheme="minorHAnsi"/>
                <w:sz w:val="24"/>
                <w:szCs w:val="24"/>
              </w:rPr>
              <w:t xml:space="preserve">5 </w:t>
            </w:r>
            <w:proofErr w:type="spellStart"/>
            <w:r>
              <w:rPr>
                <w:rFonts w:cstheme="minorHAnsi"/>
                <w:sz w:val="24"/>
                <w:szCs w:val="24"/>
              </w:rPr>
              <w:t>μg</w:t>
            </w:r>
            <w:proofErr w:type="spellEnd"/>
          </w:p>
        </w:tc>
        <w:tc>
          <w:tcPr>
            <w:tcW w:w="2207" w:type="dxa"/>
            <w:vAlign w:val="center"/>
            <w:hideMark/>
          </w:tcPr>
          <w:p w14:paraId="009B3F89" w14:textId="77777777" w:rsidR="00551B62" w:rsidRDefault="00551B62">
            <w:pPr>
              <w:spacing w:line="240" w:lineRule="auto"/>
              <w:jc w:val="center"/>
              <w:rPr>
                <w:rFonts w:cstheme="minorHAnsi"/>
                <w:sz w:val="24"/>
                <w:szCs w:val="24"/>
              </w:rPr>
            </w:pPr>
            <w:r>
              <w:rPr>
                <w:rFonts w:cstheme="minorHAnsi"/>
                <w:sz w:val="24"/>
                <w:szCs w:val="24"/>
              </w:rPr>
              <w:t>≤8,9, ≥10**</w:t>
            </w:r>
          </w:p>
        </w:tc>
        <w:tc>
          <w:tcPr>
            <w:tcW w:w="1890" w:type="dxa"/>
            <w:vAlign w:val="center"/>
            <w:hideMark/>
          </w:tcPr>
          <w:p w14:paraId="5EE11AA6" w14:textId="77777777" w:rsidR="00551B62" w:rsidRDefault="00551B62">
            <w:pPr>
              <w:spacing w:line="240" w:lineRule="auto"/>
              <w:jc w:val="center"/>
              <w:rPr>
                <w:rFonts w:cstheme="minorHAnsi"/>
                <w:sz w:val="24"/>
                <w:szCs w:val="24"/>
              </w:rPr>
            </w:pPr>
            <w:r>
              <w:rPr>
                <w:rFonts w:cstheme="minorHAnsi"/>
                <w:i/>
                <w:sz w:val="24"/>
                <w:szCs w:val="24"/>
              </w:rPr>
              <w:t>E. coli</w:t>
            </w:r>
          </w:p>
        </w:tc>
      </w:tr>
      <w:tr w:rsidR="00551B62" w14:paraId="10AC58B1" w14:textId="77777777" w:rsidTr="00457716">
        <w:tc>
          <w:tcPr>
            <w:tcW w:w="3889" w:type="dxa"/>
            <w:vAlign w:val="center"/>
            <w:hideMark/>
          </w:tcPr>
          <w:p w14:paraId="26B7000E" w14:textId="77777777" w:rsidR="00551B62" w:rsidRDefault="00551B62">
            <w:pPr>
              <w:spacing w:line="240" w:lineRule="auto"/>
              <w:jc w:val="center"/>
              <w:rPr>
                <w:rFonts w:cstheme="minorHAnsi"/>
                <w:sz w:val="24"/>
                <w:szCs w:val="24"/>
              </w:rPr>
            </w:pPr>
            <w:r>
              <w:rPr>
                <w:rFonts w:cstheme="minorHAnsi"/>
                <w:sz w:val="24"/>
                <w:szCs w:val="24"/>
              </w:rPr>
              <w:t>Cephalosporin</w:t>
            </w:r>
          </w:p>
        </w:tc>
        <w:tc>
          <w:tcPr>
            <w:tcW w:w="3889" w:type="dxa"/>
            <w:vAlign w:val="center"/>
            <w:hideMark/>
          </w:tcPr>
          <w:p w14:paraId="5589CD76" w14:textId="77777777" w:rsidR="00551B62" w:rsidRDefault="00551B62">
            <w:pPr>
              <w:spacing w:line="240" w:lineRule="auto"/>
              <w:jc w:val="center"/>
              <w:rPr>
                <w:rFonts w:cstheme="minorHAnsi"/>
                <w:sz w:val="24"/>
                <w:szCs w:val="24"/>
              </w:rPr>
            </w:pPr>
            <w:r>
              <w:rPr>
                <w:rFonts w:cstheme="minorHAnsi"/>
                <w:sz w:val="24"/>
                <w:szCs w:val="24"/>
              </w:rPr>
              <w:t>Cephalothin</w:t>
            </w:r>
          </w:p>
        </w:tc>
        <w:tc>
          <w:tcPr>
            <w:tcW w:w="1840" w:type="dxa"/>
            <w:vAlign w:val="center"/>
            <w:hideMark/>
          </w:tcPr>
          <w:p w14:paraId="229C006F" w14:textId="77777777" w:rsidR="00551B62" w:rsidRDefault="00551B62">
            <w:pPr>
              <w:spacing w:line="240" w:lineRule="auto"/>
              <w:jc w:val="center"/>
              <w:rPr>
                <w:rFonts w:cstheme="minorHAnsi"/>
                <w:sz w:val="24"/>
                <w:szCs w:val="24"/>
              </w:rPr>
            </w:pPr>
            <w:r>
              <w:rPr>
                <w:rFonts w:cstheme="minorHAnsi"/>
                <w:sz w:val="24"/>
                <w:szCs w:val="24"/>
              </w:rPr>
              <w:t xml:space="preserve">30 </w:t>
            </w:r>
            <w:proofErr w:type="spellStart"/>
            <w:r>
              <w:rPr>
                <w:rFonts w:cstheme="minorHAnsi"/>
                <w:sz w:val="24"/>
                <w:szCs w:val="24"/>
              </w:rPr>
              <w:t>μg</w:t>
            </w:r>
            <w:proofErr w:type="spellEnd"/>
          </w:p>
        </w:tc>
        <w:tc>
          <w:tcPr>
            <w:tcW w:w="2207" w:type="dxa"/>
            <w:vAlign w:val="center"/>
            <w:hideMark/>
          </w:tcPr>
          <w:p w14:paraId="55C970A0" w14:textId="77777777" w:rsidR="00551B62" w:rsidRDefault="00551B62">
            <w:pPr>
              <w:spacing w:line="240" w:lineRule="auto"/>
              <w:jc w:val="center"/>
              <w:rPr>
                <w:rFonts w:cstheme="minorHAnsi"/>
                <w:sz w:val="24"/>
                <w:szCs w:val="24"/>
              </w:rPr>
            </w:pPr>
            <w:r>
              <w:rPr>
                <w:rFonts w:cstheme="minorHAnsi"/>
                <w:sz w:val="24"/>
                <w:szCs w:val="24"/>
              </w:rPr>
              <w:t>≤14,15-17, ≥18</w:t>
            </w:r>
          </w:p>
        </w:tc>
        <w:tc>
          <w:tcPr>
            <w:tcW w:w="1890" w:type="dxa"/>
            <w:vAlign w:val="center"/>
            <w:hideMark/>
          </w:tcPr>
          <w:p w14:paraId="2BF27CD9" w14:textId="77777777" w:rsidR="00551B62" w:rsidRDefault="00551B62">
            <w:pPr>
              <w:spacing w:line="240" w:lineRule="auto"/>
              <w:jc w:val="center"/>
              <w:rPr>
                <w:rFonts w:cstheme="minorHAnsi"/>
                <w:sz w:val="24"/>
                <w:szCs w:val="24"/>
              </w:rPr>
            </w:pPr>
            <w:r>
              <w:rPr>
                <w:rFonts w:cstheme="minorHAnsi"/>
                <w:i/>
                <w:sz w:val="24"/>
                <w:szCs w:val="24"/>
              </w:rPr>
              <w:t>E. coli</w:t>
            </w:r>
          </w:p>
        </w:tc>
      </w:tr>
      <w:tr w:rsidR="00551B62" w14:paraId="7B3D0DF8" w14:textId="77777777" w:rsidTr="00457716">
        <w:tc>
          <w:tcPr>
            <w:tcW w:w="3889" w:type="dxa"/>
            <w:vAlign w:val="center"/>
            <w:hideMark/>
          </w:tcPr>
          <w:p w14:paraId="3ED33932" w14:textId="77777777" w:rsidR="00551B62" w:rsidRDefault="00551B62">
            <w:pPr>
              <w:spacing w:line="240" w:lineRule="auto"/>
              <w:jc w:val="center"/>
              <w:rPr>
                <w:rFonts w:cstheme="minorHAnsi"/>
                <w:sz w:val="24"/>
                <w:szCs w:val="24"/>
              </w:rPr>
            </w:pPr>
            <w:r>
              <w:rPr>
                <w:rFonts w:cstheme="minorHAnsi"/>
                <w:sz w:val="24"/>
                <w:szCs w:val="24"/>
              </w:rPr>
              <w:t>Cephalosporin (veterinary)</w:t>
            </w:r>
          </w:p>
        </w:tc>
        <w:tc>
          <w:tcPr>
            <w:tcW w:w="3889" w:type="dxa"/>
            <w:vAlign w:val="center"/>
            <w:hideMark/>
          </w:tcPr>
          <w:p w14:paraId="48460429" w14:textId="77777777" w:rsidR="00551B62" w:rsidRDefault="00551B62">
            <w:pPr>
              <w:spacing w:line="240" w:lineRule="auto"/>
              <w:jc w:val="center"/>
              <w:rPr>
                <w:rFonts w:cstheme="minorHAnsi"/>
                <w:sz w:val="24"/>
                <w:szCs w:val="24"/>
              </w:rPr>
            </w:pPr>
            <w:r>
              <w:rPr>
                <w:rFonts w:cstheme="minorHAnsi"/>
                <w:sz w:val="24"/>
                <w:szCs w:val="24"/>
              </w:rPr>
              <w:t>Ceftiofur</w:t>
            </w:r>
          </w:p>
        </w:tc>
        <w:tc>
          <w:tcPr>
            <w:tcW w:w="1840" w:type="dxa"/>
            <w:vAlign w:val="center"/>
            <w:hideMark/>
          </w:tcPr>
          <w:p w14:paraId="411A804C" w14:textId="77777777" w:rsidR="00551B62" w:rsidRDefault="00551B62">
            <w:pPr>
              <w:spacing w:line="240" w:lineRule="auto"/>
              <w:jc w:val="center"/>
              <w:rPr>
                <w:rFonts w:cstheme="minorHAnsi"/>
                <w:sz w:val="24"/>
                <w:szCs w:val="24"/>
              </w:rPr>
            </w:pPr>
            <w:r>
              <w:rPr>
                <w:rFonts w:cstheme="minorHAnsi"/>
                <w:sz w:val="24"/>
                <w:szCs w:val="24"/>
              </w:rPr>
              <w:t xml:space="preserve">30 </w:t>
            </w:r>
            <w:proofErr w:type="spellStart"/>
            <w:r>
              <w:rPr>
                <w:rFonts w:cstheme="minorHAnsi"/>
                <w:sz w:val="24"/>
                <w:szCs w:val="24"/>
              </w:rPr>
              <w:t>μg</w:t>
            </w:r>
            <w:proofErr w:type="spellEnd"/>
          </w:p>
        </w:tc>
        <w:tc>
          <w:tcPr>
            <w:tcW w:w="2207" w:type="dxa"/>
            <w:vAlign w:val="center"/>
            <w:hideMark/>
          </w:tcPr>
          <w:p w14:paraId="30B8B090" w14:textId="77777777" w:rsidR="00551B62" w:rsidRDefault="00551B62">
            <w:pPr>
              <w:spacing w:line="240" w:lineRule="auto"/>
              <w:jc w:val="center"/>
              <w:rPr>
                <w:rFonts w:cstheme="minorHAnsi"/>
                <w:sz w:val="24"/>
                <w:szCs w:val="24"/>
              </w:rPr>
            </w:pPr>
            <w:r>
              <w:rPr>
                <w:rFonts w:cstheme="minorHAnsi"/>
                <w:sz w:val="24"/>
                <w:szCs w:val="24"/>
              </w:rPr>
              <w:t>≤17,18-20, ≥21</w:t>
            </w:r>
          </w:p>
        </w:tc>
        <w:tc>
          <w:tcPr>
            <w:tcW w:w="1890" w:type="dxa"/>
            <w:vAlign w:val="center"/>
            <w:hideMark/>
          </w:tcPr>
          <w:p w14:paraId="385A4CB2" w14:textId="77777777" w:rsidR="00551B62" w:rsidRDefault="00551B62">
            <w:pPr>
              <w:spacing w:line="240" w:lineRule="auto"/>
              <w:jc w:val="center"/>
              <w:rPr>
                <w:rFonts w:cstheme="minorHAnsi"/>
                <w:sz w:val="24"/>
                <w:szCs w:val="24"/>
              </w:rPr>
            </w:pPr>
            <w:r>
              <w:rPr>
                <w:rFonts w:cstheme="minorHAnsi"/>
                <w:i/>
                <w:sz w:val="24"/>
                <w:szCs w:val="24"/>
              </w:rPr>
              <w:t>E. coli</w:t>
            </w:r>
          </w:p>
        </w:tc>
      </w:tr>
      <w:tr w:rsidR="00551B62" w14:paraId="4F39267C" w14:textId="77777777" w:rsidTr="00457716">
        <w:tc>
          <w:tcPr>
            <w:tcW w:w="3889" w:type="dxa"/>
            <w:vAlign w:val="center"/>
            <w:hideMark/>
          </w:tcPr>
          <w:p w14:paraId="704DE3F8" w14:textId="77777777" w:rsidR="00551B62" w:rsidRDefault="00551B62">
            <w:pPr>
              <w:spacing w:line="240" w:lineRule="auto"/>
              <w:jc w:val="center"/>
              <w:rPr>
                <w:rFonts w:cstheme="minorHAnsi"/>
                <w:sz w:val="24"/>
                <w:szCs w:val="24"/>
              </w:rPr>
            </w:pPr>
            <w:r>
              <w:rPr>
                <w:rFonts w:cstheme="minorHAnsi"/>
                <w:sz w:val="24"/>
                <w:szCs w:val="24"/>
              </w:rPr>
              <w:t>Folate pathway inhibitor</w:t>
            </w:r>
          </w:p>
        </w:tc>
        <w:tc>
          <w:tcPr>
            <w:tcW w:w="3889" w:type="dxa"/>
            <w:vAlign w:val="center"/>
            <w:hideMark/>
          </w:tcPr>
          <w:p w14:paraId="772F8B1D" w14:textId="77777777" w:rsidR="00551B62" w:rsidRDefault="00551B62">
            <w:pPr>
              <w:spacing w:line="240" w:lineRule="auto"/>
              <w:jc w:val="center"/>
              <w:rPr>
                <w:rFonts w:cstheme="minorHAnsi"/>
                <w:sz w:val="24"/>
                <w:szCs w:val="24"/>
              </w:rPr>
            </w:pPr>
            <w:r>
              <w:rPr>
                <w:rFonts w:cstheme="minorHAnsi"/>
                <w:sz w:val="24"/>
                <w:szCs w:val="24"/>
              </w:rPr>
              <w:t>Sulfamethoxazole-trimethoprim 19:1</w:t>
            </w:r>
          </w:p>
        </w:tc>
        <w:tc>
          <w:tcPr>
            <w:tcW w:w="1840" w:type="dxa"/>
            <w:vAlign w:val="center"/>
            <w:hideMark/>
          </w:tcPr>
          <w:p w14:paraId="75F8D8A2" w14:textId="77777777" w:rsidR="00551B62" w:rsidRDefault="00551B62">
            <w:pPr>
              <w:spacing w:line="240" w:lineRule="auto"/>
              <w:jc w:val="center"/>
              <w:rPr>
                <w:rFonts w:cstheme="minorHAnsi"/>
                <w:sz w:val="24"/>
                <w:szCs w:val="24"/>
              </w:rPr>
            </w:pPr>
            <w:r>
              <w:rPr>
                <w:rFonts w:cstheme="minorHAnsi"/>
                <w:sz w:val="24"/>
                <w:szCs w:val="24"/>
              </w:rPr>
              <w:t xml:space="preserve">23.75/1.25 </w:t>
            </w:r>
            <w:proofErr w:type="spellStart"/>
            <w:r>
              <w:rPr>
                <w:rFonts w:cstheme="minorHAnsi"/>
                <w:sz w:val="24"/>
                <w:szCs w:val="24"/>
              </w:rPr>
              <w:t>μg</w:t>
            </w:r>
            <w:proofErr w:type="spellEnd"/>
          </w:p>
        </w:tc>
        <w:tc>
          <w:tcPr>
            <w:tcW w:w="2207" w:type="dxa"/>
            <w:vAlign w:val="center"/>
            <w:hideMark/>
          </w:tcPr>
          <w:p w14:paraId="669BBDDA" w14:textId="77777777" w:rsidR="00551B62" w:rsidRDefault="00551B62">
            <w:pPr>
              <w:spacing w:line="240" w:lineRule="auto"/>
              <w:jc w:val="center"/>
              <w:rPr>
                <w:rFonts w:cstheme="minorHAnsi"/>
                <w:sz w:val="24"/>
                <w:szCs w:val="24"/>
              </w:rPr>
            </w:pPr>
            <w:r>
              <w:rPr>
                <w:rFonts w:cstheme="minorHAnsi"/>
                <w:sz w:val="24"/>
                <w:szCs w:val="24"/>
              </w:rPr>
              <w:t>≤10,11-15,&gt;16</w:t>
            </w:r>
          </w:p>
        </w:tc>
        <w:tc>
          <w:tcPr>
            <w:tcW w:w="1890" w:type="dxa"/>
            <w:vAlign w:val="center"/>
            <w:hideMark/>
          </w:tcPr>
          <w:p w14:paraId="7FCF4FE6" w14:textId="77777777" w:rsidR="00551B62" w:rsidRDefault="00551B62">
            <w:pPr>
              <w:spacing w:line="240" w:lineRule="auto"/>
              <w:jc w:val="center"/>
              <w:rPr>
                <w:rFonts w:cstheme="minorHAnsi"/>
                <w:sz w:val="24"/>
                <w:szCs w:val="24"/>
              </w:rPr>
            </w:pPr>
            <w:r>
              <w:rPr>
                <w:rFonts w:cstheme="minorHAnsi"/>
                <w:sz w:val="24"/>
                <w:szCs w:val="24"/>
              </w:rPr>
              <w:t>Both</w:t>
            </w:r>
          </w:p>
        </w:tc>
      </w:tr>
      <w:tr w:rsidR="00551B62" w14:paraId="531DA934" w14:textId="77777777" w:rsidTr="00457716">
        <w:tc>
          <w:tcPr>
            <w:tcW w:w="3889" w:type="dxa"/>
            <w:vAlign w:val="center"/>
            <w:hideMark/>
          </w:tcPr>
          <w:p w14:paraId="5E864DAB" w14:textId="77777777" w:rsidR="00551B62" w:rsidRDefault="00551B62">
            <w:pPr>
              <w:spacing w:line="240" w:lineRule="auto"/>
              <w:jc w:val="center"/>
              <w:rPr>
                <w:rFonts w:cstheme="minorHAnsi"/>
                <w:sz w:val="24"/>
                <w:szCs w:val="24"/>
              </w:rPr>
            </w:pPr>
            <w:proofErr w:type="spellStart"/>
            <w:r>
              <w:rPr>
                <w:rFonts w:cstheme="minorHAnsi"/>
                <w:sz w:val="24"/>
                <w:szCs w:val="24"/>
              </w:rPr>
              <w:t>Glycopeptide</w:t>
            </w:r>
            <w:proofErr w:type="spellEnd"/>
          </w:p>
        </w:tc>
        <w:tc>
          <w:tcPr>
            <w:tcW w:w="3889" w:type="dxa"/>
            <w:vAlign w:val="center"/>
            <w:hideMark/>
          </w:tcPr>
          <w:p w14:paraId="615E852A" w14:textId="77777777" w:rsidR="00551B62" w:rsidRDefault="00551B62">
            <w:pPr>
              <w:spacing w:line="240" w:lineRule="auto"/>
              <w:jc w:val="center"/>
              <w:rPr>
                <w:rFonts w:cstheme="minorHAnsi"/>
                <w:sz w:val="24"/>
                <w:szCs w:val="24"/>
              </w:rPr>
            </w:pPr>
            <w:r>
              <w:rPr>
                <w:rFonts w:cstheme="minorHAnsi"/>
                <w:sz w:val="24"/>
                <w:szCs w:val="24"/>
              </w:rPr>
              <w:t>Vancomycin</w:t>
            </w:r>
          </w:p>
        </w:tc>
        <w:tc>
          <w:tcPr>
            <w:tcW w:w="1840" w:type="dxa"/>
            <w:vAlign w:val="center"/>
            <w:hideMark/>
          </w:tcPr>
          <w:p w14:paraId="0227999E" w14:textId="77777777" w:rsidR="00551B62" w:rsidRDefault="00551B62">
            <w:pPr>
              <w:spacing w:line="240" w:lineRule="auto"/>
              <w:jc w:val="center"/>
              <w:rPr>
                <w:rFonts w:cstheme="minorHAnsi"/>
                <w:b/>
                <w:sz w:val="24"/>
                <w:szCs w:val="24"/>
              </w:rPr>
            </w:pPr>
            <w:r>
              <w:rPr>
                <w:rFonts w:cstheme="minorHAnsi"/>
                <w:sz w:val="24"/>
                <w:szCs w:val="24"/>
              </w:rPr>
              <w:t xml:space="preserve">30 </w:t>
            </w:r>
            <w:proofErr w:type="spellStart"/>
            <w:r>
              <w:rPr>
                <w:rFonts w:cstheme="minorHAnsi"/>
                <w:sz w:val="24"/>
                <w:szCs w:val="24"/>
              </w:rPr>
              <w:t>μg</w:t>
            </w:r>
            <w:proofErr w:type="spellEnd"/>
          </w:p>
        </w:tc>
        <w:tc>
          <w:tcPr>
            <w:tcW w:w="2207" w:type="dxa"/>
            <w:vAlign w:val="center"/>
            <w:hideMark/>
          </w:tcPr>
          <w:p w14:paraId="443CF174" w14:textId="77777777" w:rsidR="00551B62" w:rsidRDefault="00551B62">
            <w:pPr>
              <w:spacing w:line="240" w:lineRule="auto"/>
              <w:jc w:val="center"/>
              <w:rPr>
                <w:rFonts w:cstheme="minorHAnsi"/>
                <w:sz w:val="24"/>
                <w:szCs w:val="24"/>
              </w:rPr>
            </w:pPr>
            <w:r>
              <w:rPr>
                <w:rFonts w:cstheme="minorHAnsi"/>
                <w:sz w:val="24"/>
                <w:szCs w:val="24"/>
              </w:rPr>
              <w:t>≤14,15-16, ≥17</w:t>
            </w:r>
          </w:p>
        </w:tc>
        <w:tc>
          <w:tcPr>
            <w:tcW w:w="1890" w:type="dxa"/>
            <w:vAlign w:val="center"/>
            <w:hideMark/>
          </w:tcPr>
          <w:p w14:paraId="7107CBAD" w14:textId="77777777" w:rsidR="00551B62" w:rsidRDefault="00551B62">
            <w:pPr>
              <w:spacing w:line="240" w:lineRule="auto"/>
              <w:jc w:val="center"/>
              <w:rPr>
                <w:rFonts w:cstheme="minorHAnsi"/>
                <w:sz w:val="24"/>
                <w:szCs w:val="24"/>
              </w:rPr>
            </w:pPr>
            <w:r>
              <w:rPr>
                <w:rFonts w:cstheme="minorHAnsi"/>
                <w:i/>
                <w:sz w:val="24"/>
                <w:szCs w:val="24"/>
              </w:rPr>
              <w:t>Enterococcus</w:t>
            </w:r>
          </w:p>
        </w:tc>
      </w:tr>
      <w:tr w:rsidR="00551B62" w14:paraId="279BE24C" w14:textId="77777777" w:rsidTr="00457716">
        <w:tc>
          <w:tcPr>
            <w:tcW w:w="3889" w:type="dxa"/>
            <w:vAlign w:val="center"/>
            <w:hideMark/>
          </w:tcPr>
          <w:p w14:paraId="33F10563" w14:textId="77777777" w:rsidR="00551B62" w:rsidRDefault="00551B62">
            <w:pPr>
              <w:spacing w:line="240" w:lineRule="auto"/>
              <w:jc w:val="center"/>
              <w:rPr>
                <w:rFonts w:cstheme="minorHAnsi"/>
                <w:sz w:val="24"/>
                <w:szCs w:val="24"/>
              </w:rPr>
            </w:pPr>
            <w:r>
              <w:rPr>
                <w:rFonts w:cstheme="minorHAnsi"/>
                <w:sz w:val="24"/>
                <w:szCs w:val="24"/>
              </w:rPr>
              <w:t>Macrolide</w:t>
            </w:r>
          </w:p>
        </w:tc>
        <w:tc>
          <w:tcPr>
            <w:tcW w:w="3889" w:type="dxa"/>
            <w:vAlign w:val="center"/>
            <w:hideMark/>
          </w:tcPr>
          <w:p w14:paraId="4068641B" w14:textId="77777777" w:rsidR="00551B62" w:rsidRDefault="00551B62">
            <w:pPr>
              <w:spacing w:line="240" w:lineRule="auto"/>
              <w:jc w:val="center"/>
              <w:rPr>
                <w:rFonts w:cstheme="minorHAnsi"/>
                <w:sz w:val="24"/>
                <w:szCs w:val="24"/>
              </w:rPr>
            </w:pPr>
            <w:r>
              <w:rPr>
                <w:rFonts w:cstheme="minorHAnsi"/>
                <w:sz w:val="24"/>
                <w:szCs w:val="24"/>
              </w:rPr>
              <w:t>Azithromycin</w:t>
            </w:r>
          </w:p>
        </w:tc>
        <w:tc>
          <w:tcPr>
            <w:tcW w:w="1840" w:type="dxa"/>
            <w:vAlign w:val="center"/>
            <w:hideMark/>
          </w:tcPr>
          <w:p w14:paraId="7FD54209" w14:textId="77777777" w:rsidR="00551B62" w:rsidRDefault="00551B62">
            <w:pPr>
              <w:spacing w:line="240" w:lineRule="auto"/>
              <w:jc w:val="center"/>
              <w:rPr>
                <w:rFonts w:cstheme="minorHAnsi"/>
                <w:sz w:val="24"/>
                <w:szCs w:val="24"/>
              </w:rPr>
            </w:pPr>
            <w:r>
              <w:rPr>
                <w:rFonts w:cstheme="minorHAnsi"/>
                <w:sz w:val="24"/>
                <w:szCs w:val="24"/>
              </w:rPr>
              <w:t xml:space="preserve">15 </w:t>
            </w:r>
            <w:proofErr w:type="spellStart"/>
            <w:r>
              <w:rPr>
                <w:rFonts w:cstheme="minorHAnsi"/>
                <w:sz w:val="24"/>
                <w:szCs w:val="24"/>
              </w:rPr>
              <w:t>μg</w:t>
            </w:r>
            <w:proofErr w:type="spellEnd"/>
          </w:p>
        </w:tc>
        <w:tc>
          <w:tcPr>
            <w:tcW w:w="2207" w:type="dxa"/>
            <w:vAlign w:val="center"/>
            <w:hideMark/>
          </w:tcPr>
          <w:p w14:paraId="3353587E" w14:textId="77777777" w:rsidR="00551B62" w:rsidRDefault="00551B62">
            <w:pPr>
              <w:spacing w:line="240" w:lineRule="auto"/>
              <w:jc w:val="center"/>
              <w:rPr>
                <w:rFonts w:cstheme="minorHAnsi"/>
                <w:sz w:val="24"/>
                <w:szCs w:val="24"/>
              </w:rPr>
            </w:pPr>
            <w:r>
              <w:rPr>
                <w:rFonts w:cstheme="minorHAnsi"/>
                <w:sz w:val="24"/>
                <w:szCs w:val="24"/>
              </w:rPr>
              <w:t>≤</w:t>
            </w:r>
            <w:proofErr w:type="gramStart"/>
            <w:r>
              <w:rPr>
                <w:rFonts w:cstheme="minorHAnsi"/>
                <w:sz w:val="24"/>
                <w:szCs w:val="24"/>
              </w:rPr>
              <w:t>18,-</w:t>
            </w:r>
            <w:proofErr w:type="gramEnd"/>
            <w:r>
              <w:rPr>
                <w:rFonts w:cstheme="minorHAnsi"/>
                <w:sz w:val="24"/>
                <w:szCs w:val="24"/>
              </w:rPr>
              <w:t>, ≥18</w:t>
            </w:r>
          </w:p>
        </w:tc>
        <w:tc>
          <w:tcPr>
            <w:tcW w:w="1890" w:type="dxa"/>
            <w:vAlign w:val="center"/>
            <w:hideMark/>
          </w:tcPr>
          <w:p w14:paraId="1F76B21E" w14:textId="77777777" w:rsidR="00551B62" w:rsidRDefault="00551B62">
            <w:pPr>
              <w:spacing w:line="240" w:lineRule="auto"/>
              <w:jc w:val="center"/>
              <w:rPr>
                <w:rFonts w:cstheme="minorHAnsi"/>
                <w:i/>
                <w:sz w:val="24"/>
                <w:szCs w:val="24"/>
              </w:rPr>
            </w:pPr>
            <w:r>
              <w:rPr>
                <w:rFonts w:cstheme="minorHAnsi"/>
                <w:i/>
                <w:sz w:val="24"/>
                <w:szCs w:val="24"/>
              </w:rPr>
              <w:t>E. coli</w:t>
            </w:r>
          </w:p>
        </w:tc>
      </w:tr>
      <w:tr w:rsidR="00551B62" w14:paraId="2660D9E6" w14:textId="77777777" w:rsidTr="00457716">
        <w:tc>
          <w:tcPr>
            <w:tcW w:w="3889" w:type="dxa"/>
            <w:vAlign w:val="center"/>
            <w:hideMark/>
          </w:tcPr>
          <w:p w14:paraId="22453655" w14:textId="77777777" w:rsidR="00551B62" w:rsidRDefault="00551B62">
            <w:pPr>
              <w:spacing w:line="240" w:lineRule="auto"/>
              <w:jc w:val="center"/>
              <w:rPr>
                <w:rFonts w:cstheme="minorHAnsi"/>
                <w:sz w:val="24"/>
                <w:szCs w:val="24"/>
              </w:rPr>
            </w:pPr>
            <w:r>
              <w:rPr>
                <w:rFonts w:cstheme="minorHAnsi"/>
                <w:sz w:val="24"/>
                <w:szCs w:val="24"/>
              </w:rPr>
              <w:t>Macrolide</w:t>
            </w:r>
          </w:p>
        </w:tc>
        <w:tc>
          <w:tcPr>
            <w:tcW w:w="3889" w:type="dxa"/>
            <w:vAlign w:val="center"/>
            <w:hideMark/>
          </w:tcPr>
          <w:p w14:paraId="5442219C" w14:textId="77777777" w:rsidR="00551B62" w:rsidRDefault="00551B62">
            <w:pPr>
              <w:spacing w:line="240" w:lineRule="auto"/>
              <w:jc w:val="center"/>
              <w:rPr>
                <w:rFonts w:cstheme="minorHAnsi"/>
                <w:sz w:val="24"/>
                <w:szCs w:val="24"/>
              </w:rPr>
            </w:pPr>
            <w:r>
              <w:rPr>
                <w:rFonts w:cstheme="minorHAnsi"/>
                <w:sz w:val="24"/>
                <w:szCs w:val="24"/>
              </w:rPr>
              <w:t>Erythromycin</w:t>
            </w:r>
          </w:p>
        </w:tc>
        <w:tc>
          <w:tcPr>
            <w:tcW w:w="1840" w:type="dxa"/>
            <w:vAlign w:val="center"/>
            <w:hideMark/>
          </w:tcPr>
          <w:p w14:paraId="0810497F" w14:textId="77777777" w:rsidR="00551B62" w:rsidRDefault="00551B62">
            <w:pPr>
              <w:spacing w:line="240" w:lineRule="auto"/>
              <w:jc w:val="center"/>
              <w:rPr>
                <w:rFonts w:cstheme="minorHAnsi"/>
                <w:sz w:val="24"/>
                <w:szCs w:val="24"/>
              </w:rPr>
            </w:pPr>
            <w:r>
              <w:rPr>
                <w:rFonts w:cstheme="minorHAnsi"/>
                <w:sz w:val="24"/>
                <w:szCs w:val="24"/>
              </w:rPr>
              <w:t xml:space="preserve">15 </w:t>
            </w:r>
            <w:proofErr w:type="spellStart"/>
            <w:r>
              <w:rPr>
                <w:rFonts w:cstheme="minorHAnsi"/>
                <w:sz w:val="24"/>
                <w:szCs w:val="24"/>
              </w:rPr>
              <w:t>μg</w:t>
            </w:r>
            <w:proofErr w:type="spellEnd"/>
          </w:p>
        </w:tc>
        <w:tc>
          <w:tcPr>
            <w:tcW w:w="2207" w:type="dxa"/>
            <w:vAlign w:val="center"/>
            <w:hideMark/>
          </w:tcPr>
          <w:p w14:paraId="73E04F38" w14:textId="77777777" w:rsidR="00551B62" w:rsidRDefault="00551B62">
            <w:pPr>
              <w:spacing w:line="240" w:lineRule="auto"/>
              <w:jc w:val="center"/>
              <w:rPr>
                <w:rFonts w:cstheme="minorHAnsi"/>
                <w:sz w:val="24"/>
                <w:szCs w:val="24"/>
              </w:rPr>
            </w:pPr>
            <w:r>
              <w:rPr>
                <w:rFonts w:cstheme="minorHAnsi"/>
                <w:sz w:val="24"/>
                <w:szCs w:val="24"/>
              </w:rPr>
              <w:t>≤13,14-22, ≥23</w:t>
            </w:r>
          </w:p>
        </w:tc>
        <w:tc>
          <w:tcPr>
            <w:tcW w:w="1890" w:type="dxa"/>
            <w:vAlign w:val="center"/>
            <w:hideMark/>
          </w:tcPr>
          <w:p w14:paraId="7F4C1F7C" w14:textId="77777777" w:rsidR="00551B62" w:rsidRDefault="00551B62">
            <w:pPr>
              <w:spacing w:line="240" w:lineRule="auto"/>
              <w:jc w:val="center"/>
              <w:rPr>
                <w:rFonts w:cstheme="minorHAnsi"/>
                <w:sz w:val="24"/>
                <w:szCs w:val="24"/>
              </w:rPr>
            </w:pPr>
            <w:r>
              <w:rPr>
                <w:rFonts w:cstheme="minorHAnsi"/>
                <w:i/>
                <w:sz w:val="24"/>
                <w:szCs w:val="24"/>
              </w:rPr>
              <w:t>Enterococcus</w:t>
            </w:r>
          </w:p>
        </w:tc>
      </w:tr>
      <w:tr w:rsidR="00551B62" w14:paraId="506AECCD" w14:textId="77777777" w:rsidTr="00457716">
        <w:tc>
          <w:tcPr>
            <w:tcW w:w="3889" w:type="dxa"/>
            <w:vAlign w:val="center"/>
            <w:hideMark/>
          </w:tcPr>
          <w:p w14:paraId="6C941E26" w14:textId="77777777" w:rsidR="00551B62" w:rsidRDefault="00551B62">
            <w:pPr>
              <w:spacing w:line="240" w:lineRule="auto"/>
              <w:jc w:val="center"/>
              <w:rPr>
                <w:rFonts w:cstheme="minorHAnsi"/>
                <w:sz w:val="24"/>
                <w:szCs w:val="24"/>
              </w:rPr>
            </w:pPr>
            <w:r>
              <w:rPr>
                <w:rFonts w:cstheme="minorHAnsi"/>
                <w:sz w:val="24"/>
                <w:szCs w:val="24"/>
              </w:rPr>
              <w:t>Penicillin</w:t>
            </w:r>
          </w:p>
        </w:tc>
        <w:tc>
          <w:tcPr>
            <w:tcW w:w="3889" w:type="dxa"/>
            <w:vAlign w:val="center"/>
            <w:hideMark/>
          </w:tcPr>
          <w:p w14:paraId="09559098" w14:textId="77777777" w:rsidR="00551B62" w:rsidRDefault="00551B62">
            <w:pPr>
              <w:spacing w:line="240" w:lineRule="auto"/>
              <w:jc w:val="center"/>
              <w:rPr>
                <w:rFonts w:cstheme="minorHAnsi"/>
                <w:sz w:val="24"/>
                <w:szCs w:val="24"/>
              </w:rPr>
            </w:pPr>
            <w:r>
              <w:rPr>
                <w:rFonts w:cstheme="minorHAnsi"/>
                <w:sz w:val="24"/>
                <w:szCs w:val="24"/>
              </w:rPr>
              <w:t>Ampicillin</w:t>
            </w:r>
          </w:p>
        </w:tc>
        <w:tc>
          <w:tcPr>
            <w:tcW w:w="1840" w:type="dxa"/>
            <w:vAlign w:val="center"/>
            <w:hideMark/>
          </w:tcPr>
          <w:p w14:paraId="3298C334" w14:textId="77777777" w:rsidR="00551B62" w:rsidRDefault="00551B62">
            <w:pPr>
              <w:spacing w:line="240" w:lineRule="auto"/>
              <w:jc w:val="center"/>
              <w:rPr>
                <w:rFonts w:cstheme="minorHAnsi"/>
                <w:sz w:val="24"/>
                <w:szCs w:val="24"/>
              </w:rPr>
            </w:pPr>
            <w:r>
              <w:rPr>
                <w:rFonts w:cstheme="minorHAnsi"/>
                <w:sz w:val="24"/>
                <w:szCs w:val="24"/>
              </w:rPr>
              <w:t xml:space="preserve">10 </w:t>
            </w:r>
            <w:proofErr w:type="spellStart"/>
            <w:r>
              <w:rPr>
                <w:rFonts w:cstheme="minorHAnsi"/>
                <w:sz w:val="24"/>
                <w:szCs w:val="24"/>
              </w:rPr>
              <w:t>μg</w:t>
            </w:r>
            <w:proofErr w:type="spellEnd"/>
          </w:p>
        </w:tc>
        <w:tc>
          <w:tcPr>
            <w:tcW w:w="2207" w:type="dxa"/>
            <w:vAlign w:val="center"/>
            <w:hideMark/>
          </w:tcPr>
          <w:p w14:paraId="29856D45" w14:textId="77777777" w:rsidR="00551B62" w:rsidRDefault="00551B62">
            <w:pPr>
              <w:spacing w:line="240" w:lineRule="auto"/>
              <w:jc w:val="center"/>
              <w:rPr>
                <w:rFonts w:cstheme="minorHAnsi"/>
                <w:sz w:val="24"/>
                <w:szCs w:val="24"/>
              </w:rPr>
            </w:pPr>
            <w:r>
              <w:rPr>
                <w:rFonts w:cstheme="minorHAnsi"/>
                <w:sz w:val="24"/>
                <w:szCs w:val="24"/>
              </w:rPr>
              <w:t>≤13,14-16, ≥17</w:t>
            </w:r>
          </w:p>
        </w:tc>
        <w:tc>
          <w:tcPr>
            <w:tcW w:w="1890" w:type="dxa"/>
            <w:vAlign w:val="center"/>
            <w:hideMark/>
          </w:tcPr>
          <w:p w14:paraId="7EBDBF90" w14:textId="77777777" w:rsidR="00551B62" w:rsidRDefault="00551B62">
            <w:pPr>
              <w:spacing w:line="240" w:lineRule="auto"/>
              <w:jc w:val="center"/>
              <w:rPr>
                <w:rFonts w:cstheme="minorHAnsi"/>
                <w:sz w:val="24"/>
                <w:szCs w:val="24"/>
              </w:rPr>
            </w:pPr>
            <w:r>
              <w:rPr>
                <w:rFonts w:cstheme="minorHAnsi"/>
                <w:i/>
                <w:sz w:val="24"/>
                <w:szCs w:val="24"/>
              </w:rPr>
              <w:t>E. coli</w:t>
            </w:r>
          </w:p>
        </w:tc>
      </w:tr>
      <w:tr w:rsidR="00551B62" w14:paraId="765D1E0C" w14:textId="77777777" w:rsidTr="00457716">
        <w:tc>
          <w:tcPr>
            <w:tcW w:w="3889" w:type="dxa"/>
            <w:vAlign w:val="center"/>
            <w:hideMark/>
          </w:tcPr>
          <w:p w14:paraId="310B471F" w14:textId="77777777" w:rsidR="00551B62" w:rsidRDefault="00551B62">
            <w:pPr>
              <w:spacing w:line="240" w:lineRule="auto"/>
              <w:jc w:val="center"/>
              <w:rPr>
                <w:rFonts w:cstheme="minorHAnsi"/>
                <w:sz w:val="24"/>
                <w:szCs w:val="24"/>
              </w:rPr>
            </w:pPr>
            <w:r>
              <w:rPr>
                <w:rFonts w:cstheme="minorHAnsi"/>
                <w:sz w:val="24"/>
                <w:szCs w:val="24"/>
              </w:rPr>
              <w:t>Penicillin</w:t>
            </w:r>
          </w:p>
        </w:tc>
        <w:tc>
          <w:tcPr>
            <w:tcW w:w="3889" w:type="dxa"/>
            <w:vAlign w:val="center"/>
            <w:hideMark/>
          </w:tcPr>
          <w:p w14:paraId="18B43127" w14:textId="77777777" w:rsidR="00551B62" w:rsidRDefault="00551B62">
            <w:pPr>
              <w:spacing w:line="240" w:lineRule="auto"/>
              <w:jc w:val="center"/>
              <w:rPr>
                <w:rFonts w:cstheme="minorHAnsi"/>
                <w:sz w:val="24"/>
                <w:szCs w:val="24"/>
              </w:rPr>
            </w:pPr>
            <w:r>
              <w:rPr>
                <w:rFonts w:cstheme="minorHAnsi"/>
                <w:sz w:val="24"/>
                <w:szCs w:val="24"/>
              </w:rPr>
              <w:t>Penicillin G</w:t>
            </w:r>
          </w:p>
        </w:tc>
        <w:tc>
          <w:tcPr>
            <w:tcW w:w="1840" w:type="dxa"/>
            <w:vAlign w:val="center"/>
            <w:hideMark/>
          </w:tcPr>
          <w:p w14:paraId="53CE642F" w14:textId="77777777" w:rsidR="00551B62" w:rsidRDefault="00551B62">
            <w:pPr>
              <w:spacing w:line="240" w:lineRule="auto"/>
              <w:jc w:val="center"/>
              <w:rPr>
                <w:rFonts w:cstheme="minorHAnsi"/>
                <w:sz w:val="24"/>
                <w:szCs w:val="24"/>
              </w:rPr>
            </w:pPr>
            <w:r>
              <w:rPr>
                <w:rFonts w:cstheme="minorHAnsi"/>
                <w:sz w:val="24"/>
                <w:szCs w:val="24"/>
              </w:rPr>
              <w:t>10 units</w:t>
            </w:r>
          </w:p>
        </w:tc>
        <w:tc>
          <w:tcPr>
            <w:tcW w:w="2207" w:type="dxa"/>
            <w:vAlign w:val="center"/>
            <w:hideMark/>
          </w:tcPr>
          <w:p w14:paraId="2FE62FB3" w14:textId="77777777" w:rsidR="00551B62" w:rsidRDefault="00551B62">
            <w:pPr>
              <w:spacing w:line="240" w:lineRule="auto"/>
              <w:jc w:val="center"/>
              <w:rPr>
                <w:rFonts w:cstheme="minorHAnsi"/>
                <w:sz w:val="24"/>
                <w:szCs w:val="24"/>
              </w:rPr>
            </w:pPr>
            <w:r>
              <w:rPr>
                <w:rFonts w:cstheme="minorHAnsi"/>
                <w:sz w:val="24"/>
                <w:szCs w:val="24"/>
              </w:rPr>
              <w:t>≤14,15-18, ≥19</w:t>
            </w:r>
          </w:p>
        </w:tc>
        <w:tc>
          <w:tcPr>
            <w:tcW w:w="1890" w:type="dxa"/>
            <w:vAlign w:val="center"/>
            <w:hideMark/>
          </w:tcPr>
          <w:p w14:paraId="2CC0AA97" w14:textId="77777777" w:rsidR="00551B62" w:rsidRDefault="00551B62">
            <w:pPr>
              <w:spacing w:line="240" w:lineRule="auto"/>
              <w:jc w:val="center"/>
              <w:rPr>
                <w:rFonts w:cstheme="minorHAnsi"/>
                <w:sz w:val="24"/>
                <w:szCs w:val="24"/>
              </w:rPr>
            </w:pPr>
            <w:r>
              <w:rPr>
                <w:rFonts w:cstheme="minorHAnsi"/>
                <w:i/>
                <w:sz w:val="24"/>
                <w:szCs w:val="24"/>
              </w:rPr>
              <w:t>Enterococcus</w:t>
            </w:r>
          </w:p>
        </w:tc>
      </w:tr>
      <w:tr w:rsidR="00551B62" w14:paraId="427EBE07" w14:textId="77777777" w:rsidTr="00457716">
        <w:tc>
          <w:tcPr>
            <w:tcW w:w="3889" w:type="dxa"/>
            <w:vAlign w:val="center"/>
            <w:hideMark/>
          </w:tcPr>
          <w:p w14:paraId="6D569F3A" w14:textId="77777777" w:rsidR="00551B62" w:rsidRDefault="00551B62">
            <w:pPr>
              <w:spacing w:line="240" w:lineRule="auto"/>
              <w:jc w:val="center"/>
              <w:rPr>
                <w:rFonts w:cstheme="minorHAnsi"/>
                <w:sz w:val="24"/>
                <w:szCs w:val="24"/>
              </w:rPr>
            </w:pPr>
            <w:r>
              <w:rPr>
                <w:rFonts w:cstheme="minorHAnsi"/>
                <w:sz w:val="24"/>
                <w:szCs w:val="24"/>
              </w:rPr>
              <w:t>β-lactam- β-lactamase inhibitor</w:t>
            </w:r>
          </w:p>
        </w:tc>
        <w:tc>
          <w:tcPr>
            <w:tcW w:w="3889" w:type="dxa"/>
            <w:vAlign w:val="center"/>
            <w:hideMark/>
          </w:tcPr>
          <w:p w14:paraId="2F27716D" w14:textId="77777777" w:rsidR="00551B62" w:rsidRDefault="00551B62">
            <w:pPr>
              <w:spacing w:line="240" w:lineRule="auto"/>
              <w:jc w:val="center"/>
              <w:rPr>
                <w:rFonts w:cstheme="minorHAnsi"/>
                <w:sz w:val="24"/>
                <w:szCs w:val="24"/>
              </w:rPr>
            </w:pPr>
            <w:r>
              <w:rPr>
                <w:rFonts w:cstheme="minorHAnsi"/>
                <w:sz w:val="24"/>
                <w:szCs w:val="24"/>
              </w:rPr>
              <w:t>Amoxicillin-clavulanic acid</w:t>
            </w:r>
          </w:p>
        </w:tc>
        <w:tc>
          <w:tcPr>
            <w:tcW w:w="1840" w:type="dxa"/>
            <w:vAlign w:val="center"/>
            <w:hideMark/>
          </w:tcPr>
          <w:p w14:paraId="17373818" w14:textId="77777777" w:rsidR="00551B62" w:rsidRDefault="00551B62">
            <w:pPr>
              <w:spacing w:line="240" w:lineRule="auto"/>
              <w:jc w:val="center"/>
              <w:rPr>
                <w:rFonts w:cstheme="minorHAnsi"/>
                <w:sz w:val="24"/>
                <w:szCs w:val="24"/>
              </w:rPr>
            </w:pPr>
            <w:r>
              <w:rPr>
                <w:rFonts w:cstheme="minorHAnsi"/>
                <w:sz w:val="24"/>
                <w:szCs w:val="24"/>
              </w:rPr>
              <w:t xml:space="preserve">20/10 </w:t>
            </w:r>
            <w:proofErr w:type="spellStart"/>
            <w:r>
              <w:rPr>
                <w:rFonts w:cstheme="minorHAnsi"/>
                <w:sz w:val="24"/>
                <w:szCs w:val="24"/>
              </w:rPr>
              <w:t>μg</w:t>
            </w:r>
            <w:proofErr w:type="spellEnd"/>
          </w:p>
        </w:tc>
        <w:tc>
          <w:tcPr>
            <w:tcW w:w="2207" w:type="dxa"/>
            <w:vAlign w:val="center"/>
            <w:hideMark/>
          </w:tcPr>
          <w:p w14:paraId="3C6FADDC" w14:textId="77777777" w:rsidR="00551B62" w:rsidRDefault="00551B62">
            <w:pPr>
              <w:spacing w:line="240" w:lineRule="auto"/>
              <w:jc w:val="center"/>
              <w:rPr>
                <w:rFonts w:cstheme="minorHAnsi"/>
                <w:sz w:val="24"/>
                <w:szCs w:val="24"/>
              </w:rPr>
            </w:pPr>
            <w:r>
              <w:rPr>
                <w:rFonts w:cstheme="minorHAnsi"/>
                <w:sz w:val="24"/>
                <w:szCs w:val="24"/>
              </w:rPr>
              <w:t>≤14,15-16, ≥17</w:t>
            </w:r>
          </w:p>
        </w:tc>
        <w:tc>
          <w:tcPr>
            <w:tcW w:w="1890" w:type="dxa"/>
            <w:vAlign w:val="center"/>
            <w:hideMark/>
          </w:tcPr>
          <w:p w14:paraId="236DB328" w14:textId="77777777" w:rsidR="00551B62" w:rsidRDefault="00551B62">
            <w:pPr>
              <w:spacing w:line="240" w:lineRule="auto"/>
              <w:jc w:val="center"/>
              <w:rPr>
                <w:rFonts w:cstheme="minorHAnsi"/>
                <w:sz w:val="24"/>
                <w:szCs w:val="24"/>
              </w:rPr>
            </w:pPr>
            <w:r>
              <w:rPr>
                <w:rFonts w:cstheme="minorHAnsi"/>
                <w:i/>
                <w:sz w:val="24"/>
                <w:szCs w:val="24"/>
              </w:rPr>
              <w:t>E. coli</w:t>
            </w:r>
          </w:p>
        </w:tc>
      </w:tr>
      <w:tr w:rsidR="00551B62" w14:paraId="0CFD03DE" w14:textId="77777777" w:rsidTr="00457716">
        <w:tc>
          <w:tcPr>
            <w:tcW w:w="3889" w:type="dxa"/>
            <w:vAlign w:val="center"/>
            <w:hideMark/>
          </w:tcPr>
          <w:p w14:paraId="134CEABD" w14:textId="77777777" w:rsidR="00551B62" w:rsidRDefault="00551B62">
            <w:pPr>
              <w:spacing w:line="240" w:lineRule="auto"/>
              <w:jc w:val="center"/>
              <w:rPr>
                <w:rFonts w:cstheme="minorHAnsi"/>
                <w:sz w:val="24"/>
                <w:szCs w:val="24"/>
              </w:rPr>
            </w:pPr>
            <w:r>
              <w:rPr>
                <w:rFonts w:cstheme="minorHAnsi"/>
                <w:sz w:val="24"/>
                <w:szCs w:val="24"/>
              </w:rPr>
              <w:t>Phenicol</w:t>
            </w:r>
          </w:p>
        </w:tc>
        <w:tc>
          <w:tcPr>
            <w:tcW w:w="3889" w:type="dxa"/>
            <w:vAlign w:val="center"/>
            <w:hideMark/>
          </w:tcPr>
          <w:p w14:paraId="08D6001F" w14:textId="77777777" w:rsidR="00551B62" w:rsidRDefault="00551B62">
            <w:pPr>
              <w:spacing w:line="240" w:lineRule="auto"/>
              <w:jc w:val="center"/>
              <w:rPr>
                <w:rFonts w:cstheme="minorHAnsi"/>
                <w:sz w:val="24"/>
                <w:szCs w:val="24"/>
              </w:rPr>
            </w:pPr>
            <w:r>
              <w:rPr>
                <w:rFonts w:cstheme="minorHAnsi"/>
                <w:sz w:val="24"/>
                <w:szCs w:val="24"/>
              </w:rPr>
              <w:t>Chloramphenicol</w:t>
            </w:r>
          </w:p>
        </w:tc>
        <w:tc>
          <w:tcPr>
            <w:tcW w:w="1840" w:type="dxa"/>
            <w:vAlign w:val="center"/>
            <w:hideMark/>
          </w:tcPr>
          <w:p w14:paraId="14CF663A" w14:textId="77777777" w:rsidR="00551B62" w:rsidRDefault="00551B62">
            <w:pPr>
              <w:spacing w:line="240" w:lineRule="auto"/>
              <w:jc w:val="center"/>
              <w:rPr>
                <w:rFonts w:cstheme="minorHAnsi"/>
                <w:sz w:val="24"/>
                <w:szCs w:val="24"/>
              </w:rPr>
            </w:pPr>
            <w:r>
              <w:rPr>
                <w:rFonts w:cstheme="minorHAnsi"/>
                <w:sz w:val="24"/>
                <w:szCs w:val="24"/>
              </w:rPr>
              <w:t xml:space="preserve">30 </w:t>
            </w:r>
            <w:proofErr w:type="spellStart"/>
            <w:r>
              <w:rPr>
                <w:rFonts w:cstheme="minorHAnsi"/>
                <w:sz w:val="24"/>
                <w:szCs w:val="24"/>
              </w:rPr>
              <w:t>μg</w:t>
            </w:r>
            <w:proofErr w:type="spellEnd"/>
          </w:p>
        </w:tc>
        <w:tc>
          <w:tcPr>
            <w:tcW w:w="2207" w:type="dxa"/>
            <w:vAlign w:val="center"/>
            <w:hideMark/>
          </w:tcPr>
          <w:p w14:paraId="7391850D" w14:textId="77777777" w:rsidR="00551B62" w:rsidRDefault="00551B62">
            <w:pPr>
              <w:spacing w:line="240" w:lineRule="auto"/>
              <w:jc w:val="center"/>
              <w:rPr>
                <w:rFonts w:cstheme="minorHAnsi"/>
                <w:sz w:val="24"/>
                <w:szCs w:val="24"/>
              </w:rPr>
            </w:pPr>
            <w:r>
              <w:rPr>
                <w:rFonts w:cstheme="minorHAnsi"/>
                <w:sz w:val="24"/>
                <w:szCs w:val="24"/>
              </w:rPr>
              <w:t>≤12,13-17, ≥18</w:t>
            </w:r>
          </w:p>
        </w:tc>
        <w:tc>
          <w:tcPr>
            <w:tcW w:w="1890" w:type="dxa"/>
            <w:vAlign w:val="center"/>
            <w:hideMark/>
          </w:tcPr>
          <w:p w14:paraId="30AA3697" w14:textId="77777777" w:rsidR="00551B62" w:rsidRDefault="00551B62">
            <w:pPr>
              <w:spacing w:line="240" w:lineRule="auto"/>
              <w:jc w:val="center"/>
              <w:rPr>
                <w:rFonts w:cstheme="minorHAnsi"/>
                <w:sz w:val="24"/>
                <w:szCs w:val="24"/>
              </w:rPr>
            </w:pPr>
            <w:r>
              <w:rPr>
                <w:rFonts w:cstheme="minorHAnsi"/>
                <w:i/>
                <w:sz w:val="24"/>
                <w:szCs w:val="24"/>
              </w:rPr>
              <w:t>E. coli</w:t>
            </w:r>
          </w:p>
        </w:tc>
      </w:tr>
      <w:tr w:rsidR="00551B62" w14:paraId="188F46A3" w14:textId="77777777" w:rsidTr="00457716">
        <w:tc>
          <w:tcPr>
            <w:tcW w:w="3889" w:type="dxa"/>
            <w:tcBorders>
              <w:top w:val="nil"/>
              <w:left w:val="nil"/>
              <w:bottom w:val="single" w:sz="4" w:space="0" w:color="auto"/>
              <w:right w:val="nil"/>
            </w:tcBorders>
            <w:vAlign w:val="center"/>
            <w:hideMark/>
          </w:tcPr>
          <w:p w14:paraId="618A1A49" w14:textId="77777777" w:rsidR="00551B62" w:rsidRDefault="00551B62">
            <w:pPr>
              <w:spacing w:line="240" w:lineRule="auto"/>
              <w:jc w:val="center"/>
              <w:rPr>
                <w:rFonts w:cstheme="minorHAnsi"/>
                <w:sz w:val="24"/>
                <w:szCs w:val="24"/>
              </w:rPr>
            </w:pPr>
            <w:r>
              <w:rPr>
                <w:rFonts w:cstheme="minorHAnsi"/>
                <w:sz w:val="24"/>
                <w:szCs w:val="24"/>
              </w:rPr>
              <w:t>Tetracycline</w:t>
            </w:r>
          </w:p>
        </w:tc>
        <w:tc>
          <w:tcPr>
            <w:tcW w:w="3889" w:type="dxa"/>
            <w:tcBorders>
              <w:top w:val="nil"/>
              <w:left w:val="nil"/>
              <w:bottom w:val="single" w:sz="4" w:space="0" w:color="auto"/>
              <w:right w:val="nil"/>
            </w:tcBorders>
            <w:vAlign w:val="center"/>
            <w:hideMark/>
          </w:tcPr>
          <w:p w14:paraId="0A1F5D08" w14:textId="77777777" w:rsidR="00551B62" w:rsidRDefault="00551B62">
            <w:pPr>
              <w:spacing w:line="240" w:lineRule="auto"/>
              <w:jc w:val="center"/>
              <w:rPr>
                <w:rFonts w:cstheme="minorHAnsi"/>
                <w:sz w:val="24"/>
                <w:szCs w:val="24"/>
              </w:rPr>
            </w:pPr>
            <w:r>
              <w:rPr>
                <w:rFonts w:cstheme="minorHAnsi"/>
                <w:sz w:val="24"/>
                <w:szCs w:val="24"/>
              </w:rPr>
              <w:t>Tetracycline</w:t>
            </w:r>
          </w:p>
        </w:tc>
        <w:tc>
          <w:tcPr>
            <w:tcW w:w="1840" w:type="dxa"/>
            <w:tcBorders>
              <w:top w:val="nil"/>
              <w:left w:val="nil"/>
              <w:bottom w:val="single" w:sz="4" w:space="0" w:color="auto"/>
              <w:right w:val="nil"/>
            </w:tcBorders>
            <w:vAlign w:val="center"/>
            <w:hideMark/>
          </w:tcPr>
          <w:p w14:paraId="7040AEB4" w14:textId="77777777" w:rsidR="00551B62" w:rsidRDefault="00551B62">
            <w:pPr>
              <w:spacing w:line="240" w:lineRule="auto"/>
              <w:jc w:val="center"/>
              <w:rPr>
                <w:rFonts w:cstheme="minorHAnsi"/>
                <w:sz w:val="24"/>
                <w:szCs w:val="24"/>
              </w:rPr>
            </w:pPr>
            <w:r>
              <w:rPr>
                <w:rFonts w:cstheme="minorHAnsi"/>
                <w:sz w:val="24"/>
                <w:szCs w:val="24"/>
              </w:rPr>
              <w:t xml:space="preserve">30 </w:t>
            </w:r>
            <w:proofErr w:type="spellStart"/>
            <w:r>
              <w:rPr>
                <w:rFonts w:cstheme="minorHAnsi"/>
                <w:sz w:val="24"/>
                <w:szCs w:val="24"/>
              </w:rPr>
              <w:t>μg</w:t>
            </w:r>
            <w:proofErr w:type="spellEnd"/>
          </w:p>
        </w:tc>
        <w:tc>
          <w:tcPr>
            <w:tcW w:w="2207" w:type="dxa"/>
            <w:tcBorders>
              <w:top w:val="nil"/>
              <w:left w:val="nil"/>
              <w:bottom w:val="single" w:sz="4" w:space="0" w:color="auto"/>
              <w:right w:val="nil"/>
            </w:tcBorders>
            <w:vAlign w:val="center"/>
            <w:hideMark/>
          </w:tcPr>
          <w:p w14:paraId="7C7B356F" w14:textId="77777777" w:rsidR="00551B62" w:rsidRDefault="00551B62">
            <w:pPr>
              <w:spacing w:line="240" w:lineRule="auto"/>
              <w:jc w:val="center"/>
              <w:rPr>
                <w:rFonts w:cstheme="minorHAnsi"/>
                <w:sz w:val="24"/>
                <w:szCs w:val="24"/>
              </w:rPr>
            </w:pPr>
            <w:r>
              <w:rPr>
                <w:rFonts w:cstheme="minorHAnsi"/>
                <w:sz w:val="24"/>
                <w:szCs w:val="24"/>
              </w:rPr>
              <w:t>≤14,15-18,&gt;19</w:t>
            </w:r>
          </w:p>
        </w:tc>
        <w:tc>
          <w:tcPr>
            <w:tcW w:w="1890" w:type="dxa"/>
            <w:tcBorders>
              <w:top w:val="nil"/>
              <w:left w:val="nil"/>
              <w:bottom w:val="single" w:sz="4" w:space="0" w:color="auto"/>
              <w:right w:val="nil"/>
            </w:tcBorders>
            <w:vAlign w:val="center"/>
            <w:hideMark/>
          </w:tcPr>
          <w:p w14:paraId="1DBDE1E1" w14:textId="77777777" w:rsidR="00551B62" w:rsidRDefault="00551B62">
            <w:pPr>
              <w:spacing w:line="240" w:lineRule="auto"/>
              <w:jc w:val="center"/>
              <w:rPr>
                <w:rFonts w:cstheme="minorHAnsi"/>
                <w:i/>
                <w:sz w:val="24"/>
                <w:szCs w:val="24"/>
              </w:rPr>
            </w:pPr>
            <w:r>
              <w:rPr>
                <w:rFonts w:cstheme="minorHAnsi"/>
                <w:sz w:val="24"/>
                <w:szCs w:val="24"/>
              </w:rPr>
              <w:t>Both</w:t>
            </w:r>
          </w:p>
        </w:tc>
      </w:tr>
    </w:tbl>
    <w:p w14:paraId="4B95A325" w14:textId="77777777" w:rsidR="00551B62" w:rsidRDefault="00551B62" w:rsidP="00551B62">
      <w:pPr>
        <w:rPr>
          <w:rFonts w:cstheme="minorHAnsi"/>
          <w:sz w:val="4"/>
          <w:szCs w:val="4"/>
        </w:rPr>
      </w:pPr>
    </w:p>
    <w:p w14:paraId="46A0AAAB" w14:textId="77777777" w:rsidR="00551B62" w:rsidRDefault="00551B62" w:rsidP="00551B62">
      <w:pPr>
        <w:rPr>
          <w:rFonts w:cstheme="minorHAnsi"/>
          <w:sz w:val="24"/>
          <w:szCs w:val="24"/>
        </w:rPr>
      </w:pPr>
      <w:r>
        <w:rPr>
          <w:rFonts w:cstheme="minorHAnsi"/>
          <w:sz w:val="24"/>
          <w:szCs w:val="24"/>
        </w:rPr>
        <w:t xml:space="preserve">*Antimicrobial disc supplier: BD BBL™ </w:t>
      </w:r>
      <w:proofErr w:type="spellStart"/>
      <w:r>
        <w:rPr>
          <w:rFonts w:cstheme="minorHAnsi"/>
          <w:sz w:val="24"/>
          <w:szCs w:val="24"/>
        </w:rPr>
        <w:t>Sensi</w:t>
      </w:r>
      <w:proofErr w:type="spellEnd"/>
      <w:r>
        <w:rPr>
          <w:rFonts w:cstheme="minorHAnsi"/>
          <w:sz w:val="24"/>
          <w:szCs w:val="24"/>
        </w:rPr>
        <w:t>-Disc™ Susceptibility Test Discs, Becton, Dickinson, and Company, Franklin Lakes, NJ</w:t>
      </w:r>
    </w:p>
    <w:p w14:paraId="3121C06A" w14:textId="47A90690" w:rsidR="002D0283" w:rsidRDefault="00551B62" w:rsidP="00F55144">
      <w:r>
        <w:rPr>
          <w:rFonts w:cstheme="minorHAnsi"/>
          <w:sz w:val="24"/>
          <w:szCs w:val="24"/>
        </w:rPr>
        <w:t xml:space="preserve">** Clinical resistance thresholds are not defined for rifampin in members of </w:t>
      </w:r>
      <w:r w:rsidR="00961FEF">
        <w:rPr>
          <w:rFonts w:cstheme="minorHAnsi"/>
          <w:sz w:val="24"/>
          <w:szCs w:val="24"/>
        </w:rPr>
        <w:t>Enterobacteriaceae</w:t>
      </w:r>
      <w:r>
        <w:rPr>
          <w:rFonts w:cstheme="minorHAnsi"/>
          <w:sz w:val="24"/>
          <w:szCs w:val="24"/>
        </w:rPr>
        <w:t xml:space="preserve">. The normal diameter range for quality control using </w:t>
      </w:r>
      <w:r>
        <w:rPr>
          <w:rFonts w:cstheme="minorHAnsi"/>
          <w:i/>
          <w:sz w:val="24"/>
          <w:szCs w:val="24"/>
        </w:rPr>
        <w:t>E. coli</w:t>
      </w:r>
      <w:r>
        <w:rPr>
          <w:rFonts w:cstheme="minorHAnsi"/>
          <w:sz w:val="24"/>
          <w:szCs w:val="24"/>
        </w:rPr>
        <w:t xml:space="preserve"> ATCC 25922 (8-10 mm) was used to indicate isolates with near absolute resistance to rifampicin versus organisms with larger zones of inhibition, however, these arbitrary thresholds do not have clinical relevance for treatment as rifampin is generally not recommended for </w:t>
      </w:r>
      <w:r>
        <w:rPr>
          <w:rFonts w:cstheme="minorHAnsi"/>
          <w:i/>
          <w:sz w:val="24"/>
          <w:szCs w:val="24"/>
        </w:rPr>
        <w:t>E. coli</w:t>
      </w:r>
      <w:r>
        <w:rPr>
          <w:rFonts w:cstheme="minorHAnsi"/>
          <w:sz w:val="24"/>
          <w:szCs w:val="24"/>
        </w:rPr>
        <w:t xml:space="preserve"> infections. This was done purely as a phenotypic categorization used for purposes of data analysis with no regard to clinical implications. Breakpoints for </w:t>
      </w:r>
      <w:r>
        <w:rPr>
          <w:rFonts w:cstheme="minorHAnsi"/>
          <w:i/>
          <w:sz w:val="24"/>
          <w:szCs w:val="24"/>
        </w:rPr>
        <w:t>Staphylococcus</w:t>
      </w:r>
      <w:r>
        <w:rPr>
          <w:rFonts w:cstheme="minorHAnsi"/>
          <w:sz w:val="24"/>
          <w:szCs w:val="24"/>
        </w:rPr>
        <w:t xml:space="preserve"> and </w:t>
      </w:r>
      <w:r>
        <w:rPr>
          <w:rFonts w:cstheme="minorHAnsi"/>
          <w:i/>
          <w:sz w:val="24"/>
          <w:szCs w:val="24"/>
        </w:rPr>
        <w:t>Enterococcus</w:t>
      </w:r>
      <w:r>
        <w:rPr>
          <w:rFonts w:cstheme="minorHAnsi"/>
          <w:sz w:val="24"/>
          <w:szCs w:val="24"/>
        </w:rPr>
        <w:t xml:space="preserve"> species are ≤16mm,17-19 mm, and ≥20 mm for resistant, intermediate and susceptible, respectively, whereas all </w:t>
      </w:r>
      <w:r>
        <w:rPr>
          <w:rFonts w:cstheme="minorHAnsi"/>
          <w:i/>
          <w:sz w:val="24"/>
          <w:szCs w:val="24"/>
        </w:rPr>
        <w:t>E. coli</w:t>
      </w:r>
      <w:r>
        <w:rPr>
          <w:rFonts w:cstheme="minorHAnsi"/>
          <w:sz w:val="24"/>
          <w:szCs w:val="24"/>
        </w:rPr>
        <w:t xml:space="preserve"> isolates examined in this study had zones of inhibition less than 17 mm (range: growth adjacent to the disc at ~7mm-17mm).</w:t>
      </w:r>
      <w:r w:rsidR="00F55144">
        <w:t xml:space="preserve"> </w:t>
      </w:r>
    </w:p>
    <w:sectPr w:rsidR="002D0283" w:rsidSect="00F551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2F"/>
    <w:rsid w:val="00031468"/>
    <w:rsid w:val="00115DF8"/>
    <w:rsid w:val="002D0283"/>
    <w:rsid w:val="00457716"/>
    <w:rsid w:val="00551B62"/>
    <w:rsid w:val="00961FEF"/>
    <w:rsid w:val="00DE772F"/>
    <w:rsid w:val="00F5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9296"/>
  <w15:chartTrackingRefBased/>
  <w15:docId w15:val="{1FF57EED-D32B-47FD-B662-C9797F4F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B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B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 Lankau</dc:creator>
  <cp:keywords/>
  <dc:description/>
  <cp:lastModifiedBy>Emily W. Lankau</cp:lastModifiedBy>
  <cp:revision>5</cp:revision>
  <dcterms:created xsi:type="dcterms:W3CDTF">2018-03-11T11:13:00Z</dcterms:created>
  <dcterms:modified xsi:type="dcterms:W3CDTF">2018-03-11T11:16:00Z</dcterms:modified>
</cp:coreProperties>
</file>