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A839" w14:textId="2ED91AC7" w:rsidR="00E3736B" w:rsidRPr="00386902" w:rsidRDefault="00E3736B" w:rsidP="00E3736B">
      <w:pPr>
        <w:rPr>
          <w:sz w:val="20"/>
          <w:szCs w:val="20"/>
        </w:rPr>
      </w:pPr>
      <w:r w:rsidRPr="00386902">
        <w:rPr>
          <w:b/>
          <w:sz w:val="20"/>
          <w:szCs w:val="20"/>
        </w:rPr>
        <w:t>Table S</w:t>
      </w:r>
      <w:r>
        <w:rPr>
          <w:b/>
          <w:sz w:val="20"/>
          <w:szCs w:val="20"/>
        </w:rPr>
        <w:t>1</w:t>
      </w:r>
      <w:r w:rsidRPr="00B677F3">
        <w:rPr>
          <w:b/>
          <w:sz w:val="20"/>
          <w:szCs w:val="20"/>
        </w:rPr>
        <w:t>.</w:t>
      </w:r>
      <w:r w:rsidRPr="00386902">
        <w:rPr>
          <w:sz w:val="20"/>
          <w:szCs w:val="20"/>
        </w:rPr>
        <w:t xml:space="preserve"> </w:t>
      </w:r>
      <w:r w:rsidRPr="00386902">
        <w:rPr>
          <w:sz w:val="20"/>
          <w:szCs w:val="20"/>
          <w:lang w:val="en-US"/>
        </w:rPr>
        <w:t xml:space="preserve">Arbovirus screening assays including PCR primer/probes sequences and cycling conditions. </w:t>
      </w:r>
    </w:p>
    <w:p w14:paraId="1A2A7CF5" w14:textId="77777777" w:rsidR="00E3736B" w:rsidRPr="00386902" w:rsidRDefault="00E3736B" w:rsidP="00E3736B">
      <w:pPr>
        <w:rPr>
          <w:sz w:val="20"/>
          <w:szCs w:val="20"/>
        </w:rPr>
      </w:pPr>
    </w:p>
    <w:tbl>
      <w:tblPr>
        <w:tblStyle w:val="TableGrid"/>
        <w:tblW w:w="8838" w:type="dxa"/>
        <w:tblInd w:w="-54" w:type="dxa"/>
        <w:tblLook w:val="04A0" w:firstRow="1" w:lastRow="0" w:firstColumn="1" w:lastColumn="0" w:noHBand="0" w:noVBand="1"/>
      </w:tblPr>
      <w:tblGrid>
        <w:gridCol w:w="1061"/>
        <w:gridCol w:w="4658"/>
        <w:gridCol w:w="2032"/>
        <w:gridCol w:w="1087"/>
      </w:tblGrid>
      <w:tr w:rsidR="00E3736B" w:rsidRPr="00386902" w14:paraId="00FC7F21" w14:textId="77777777" w:rsidTr="00195638">
        <w:trPr>
          <w:trHeight w:val="411"/>
        </w:trPr>
        <w:tc>
          <w:tcPr>
            <w:tcW w:w="1061" w:type="dxa"/>
          </w:tcPr>
          <w:p w14:paraId="6B088C35" w14:textId="77777777" w:rsidR="00E3736B" w:rsidRPr="00386902" w:rsidRDefault="00E3736B" w:rsidP="00195638">
            <w:pPr>
              <w:autoSpaceDE w:val="0"/>
              <w:autoSpaceDN w:val="0"/>
              <w:adjustRightInd w:val="0"/>
              <w:rPr>
                <w:b/>
                <w:sz w:val="18"/>
                <w:szCs w:val="18"/>
              </w:rPr>
            </w:pPr>
            <w:r w:rsidRPr="00386902">
              <w:rPr>
                <w:b/>
                <w:sz w:val="18"/>
                <w:szCs w:val="18"/>
              </w:rPr>
              <w:t>Pathogen</w:t>
            </w:r>
          </w:p>
        </w:tc>
        <w:tc>
          <w:tcPr>
            <w:tcW w:w="4658" w:type="dxa"/>
          </w:tcPr>
          <w:p w14:paraId="41F7B8DA" w14:textId="77777777" w:rsidR="00E3736B" w:rsidRPr="00386902" w:rsidRDefault="00E3736B" w:rsidP="00195638">
            <w:pPr>
              <w:autoSpaceDE w:val="0"/>
              <w:autoSpaceDN w:val="0"/>
              <w:adjustRightInd w:val="0"/>
              <w:rPr>
                <w:b/>
                <w:sz w:val="18"/>
                <w:szCs w:val="18"/>
              </w:rPr>
            </w:pPr>
            <w:r w:rsidRPr="00386902">
              <w:rPr>
                <w:b/>
                <w:sz w:val="18"/>
                <w:szCs w:val="18"/>
              </w:rPr>
              <w:t>Primer and probe sequences</w:t>
            </w:r>
          </w:p>
        </w:tc>
        <w:tc>
          <w:tcPr>
            <w:tcW w:w="2032" w:type="dxa"/>
          </w:tcPr>
          <w:p w14:paraId="577B56BD" w14:textId="77777777" w:rsidR="00E3736B" w:rsidRPr="00386902" w:rsidRDefault="00E3736B" w:rsidP="00195638">
            <w:pPr>
              <w:autoSpaceDE w:val="0"/>
              <w:autoSpaceDN w:val="0"/>
              <w:adjustRightInd w:val="0"/>
              <w:rPr>
                <w:b/>
                <w:sz w:val="18"/>
                <w:szCs w:val="18"/>
              </w:rPr>
            </w:pPr>
            <w:r w:rsidRPr="00386902">
              <w:rPr>
                <w:b/>
                <w:sz w:val="18"/>
                <w:szCs w:val="18"/>
              </w:rPr>
              <w:t>Cycling conditions</w:t>
            </w:r>
          </w:p>
        </w:tc>
        <w:tc>
          <w:tcPr>
            <w:tcW w:w="1087" w:type="dxa"/>
          </w:tcPr>
          <w:p w14:paraId="31BB7ECE" w14:textId="77777777" w:rsidR="00E3736B" w:rsidRPr="00386902" w:rsidRDefault="00E3736B" w:rsidP="00195638">
            <w:pPr>
              <w:autoSpaceDE w:val="0"/>
              <w:autoSpaceDN w:val="0"/>
              <w:adjustRightInd w:val="0"/>
              <w:rPr>
                <w:b/>
                <w:sz w:val="18"/>
                <w:szCs w:val="18"/>
              </w:rPr>
            </w:pPr>
            <w:r w:rsidRPr="00386902">
              <w:rPr>
                <w:b/>
                <w:sz w:val="18"/>
                <w:szCs w:val="18"/>
              </w:rPr>
              <w:t>Reference</w:t>
            </w:r>
          </w:p>
        </w:tc>
      </w:tr>
      <w:tr w:rsidR="00E3736B" w:rsidRPr="00386902" w14:paraId="2E4AB889" w14:textId="77777777" w:rsidTr="00195638">
        <w:trPr>
          <w:trHeight w:val="819"/>
        </w:trPr>
        <w:tc>
          <w:tcPr>
            <w:tcW w:w="1061" w:type="dxa"/>
          </w:tcPr>
          <w:p w14:paraId="71A5C3BE" w14:textId="77777777" w:rsidR="00E3736B" w:rsidRPr="00386902" w:rsidRDefault="00E3736B" w:rsidP="00195638">
            <w:pPr>
              <w:autoSpaceDE w:val="0"/>
              <w:autoSpaceDN w:val="0"/>
              <w:adjustRightInd w:val="0"/>
              <w:rPr>
                <w:sz w:val="18"/>
                <w:szCs w:val="18"/>
              </w:rPr>
            </w:pPr>
            <w:r w:rsidRPr="00386902">
              <w:rPr>
                <w:sz w:val="18"/>
                <w:szCs w:val="18"/>
              </w:rPr>
              <w:t>DENV</w:t>
            </w:r>
          </w:p>
        </w:tc>
        <w:tc>
          <w:tcPr>
            <w:tcW w:w="4658" w:type="dxa"/>
          </w:tcPr>
          <w:p w14:paraId="7F53370C" w14:textId="77777777" w:rsidR="00E3736B" w:rsidRPr="00386902" w:rsidRDefault="00E3736B" w:rsidP="00195638">
            <w:pPr>
              <w:autoSpaceDE w:val="0"/>
              <w:autoSpaceDN w:val="0"/>
              <w:adjustRightInd w:val="0"/>
              <w:rPr>
                <w:sz w:val="18"/>
                <w:szCs w:val="18"/>
              </w:rPr>
            </w:pPr>
            <w:r w:rsidRPr="00386902">
              <w:rPr>
                <w:sz w:val="18"/>
                <w:szCs w:val="18"/>
              </w:rPr>
              <w:t>5′-TTGAGTAAACYRTGCTGCCTGTAGCTC-3</w:t>
            </w:r>
          </w:p>
          <w:p w14:paraId="3673C9CF" w14:textId="77777777" w:rsidR="00E3736B" w:rsidRPr="00386902" w:rsidRDefault="00E3736B" w:rsidP="00195638">
            <w:pPr>
              <w:autoSpaceDE w:val="0"/>
              <w:autoSpaceDN w:val="0"/>
              <w:adjustRightInd w:val="0"/>
              <w:rPr>
                <w:sz w:val="18"/>
                <w:szCs w:val="18"/>
              </w:rPr>
            </w:pPr>
            <w:r w:rsidRPr="00386902">
              <w:rPr>
                <w:sz w:val="18"/>
                <w:szCs w:val="18"/>
              </w:rPr>
              <w:t>5′-GAGACAGCAGGATCTCTGGTCTYTC-3′</w:t>
            </w:r>
          </w:p>
        </w:tc>
        <w:tc>
          <w:tcPr>
            <w:tcW w:w="2032" w:type="dxa"/>
          </w:tcPr>
          <w:p w14:paraId="1311ED2F" w14:textId="77777777" w:rsidR="00E3736B" w:rsidRPr="00386902" w:rsidRDefault="00E3736B" w:rsidP="00195638">
            <w:pPr>
              <w:autoSpaceDE w:val="0"/>
              <w:autoSpaceDN w:val="0"/>
              <w:adjustRightInd w:val="0"/>
              <w:rPr>
                <w:color w:val="000000" w:themeColor="text1"/>
                <w:sz w:val="18"/>
                <w:szCs w:val="18"/>
              </w:rPr>
            </w:pPr>
            <w:r w:rsidRPr="00386902">
              <w:rPr>
                <w:sz w:val="18"/>
                <w:szCs w:val="18"/>
              </w:rPr>
              <w:t>95</w:t>
            </w:r>
            <w:r w:rsidRPr="00386902">
              <w:rPr>
                <w:color w:val="000000" w:themeColor="text1"/>
                <w:sz w:val="18"/>
                <w:szCs w:val="18"/>
              </w:rPr>
              <w:t>°C for 10 min</w:t>
            </w:r>
          </w:p>
          <w:p w14:paraId="31C4D587" w14:textId="77777777" w:rsidR="00E3736B" w:rsidRPr="00386902" w:rsidRDefault="00E3736B" w:rsidP="00195638">
            <w:pPr>
              <w:autoSpaceDE w:val="0"/>
              <w:autoSpaceDN w:val="0"/>
              <w:adjustRightInd w:val="0"/>
              <w:rPr>
                <w:sz w:val="18"/>
                <w:szCs w:val="18"/>
              </w:rPr>
            </w:pPr>
            <w:r w:rsidRPr="00386902">
              <w:rPr>
                <w:sz w:val="18"/>
                <w:szCs w:val="18"/>
              </w:rPr>
              <w:t>50 cycles: 95</w:t>
            </w:r>
            <w:r w:rsidRPr="00386902">
              <w:rPr>
                <w:color w:val="000000" w:themeColor="text1"/>
                <w:sz w:val="18"/>
                <w:szCs w:val="18"/>
              </w:rPr>
              <w:t xml:space="preserve">°C </w:t>
            </w:r>
            <w:r w:rsidRPr="00386902">
              <w:rPr>
                <w:sz w:val="18"/>
                <w:szCs w:val="18"/>
              </w:rPr>
              <w:t>for 10 sec, 60</w:t>
            </w:r>
            <w:r w:rsidRPr="00386902">
              <w:rPr>
                <w:color w:val="000000" w:themeColor="text1"/>
                <w:sz w:val="18"/>
                <w:szCs w:val="18"/>
              </w:rPr>
              <w:t xml:space="preserve">°C </w:t>
            </w:r>
            <w:r w:rsidRPr="00386902">
              <w:rPr>
                <w:sz w:val="18"/>
                <w:szCs w:val="18"/>
              </w:rPr>
              <w:t>for 10 sec, 72</w:t>
            </w:r>
            <w:r w:rsidRPr="00386902">
              <w:rPr>
                <w:color w:val="000000" w:themeColor="text1"/>
                <w:sz w:val="18"/>
                <w:szCs w:val="18"/>
              </w:rPr>
              <w:t>°C</w:t>
            </w:r>
            <w:r w:rsidRPr="00386902">
              <w:rPr>
                <w:sz w:val="18"/>
                <w:szCs w:val="18"/>
              </w:rPr>
              <w:t xml:space="preserve"> for 10 sec</w:t>
            </w:r>
          </w:p>
        </w:tc>
        <w:tc>
          <w:tcPr>
            <w:tcW w:w="1087" w:type="dxa"/>
          </w:tcPr>
          <w:p w14:paraId="67407162" w14:textId="77777777" w:rsidR="00E3736B" w:rsidRPr="00386902" w:rsidRDefault="00E3736B" w:rsidP="00195638">
            <w:pPr>
              <w:autoSpaceDE w:val="0"/>
              <w:autoSpaceDN w:val="0"/>
              <w:adjustRightInd w:val="0"/>
              <w:jc w:val="center"/>
              <w:rPr>
                <w:sz w:val="18"/>
                <w:szCs w:val="18"/>
              </w:rPr>
            </w:pPr>
            <w:r w:rsidRPr="00386902">
              <w:rPr>
                <w:sz w:val="18"/>
                <w:szCs w:val="18"/>
              </w:rPr>
              <w:fldChar w:fldCharType="begin" w:fldLock="1"/>
            </w:r>
            <w:r w:rsidRPr="00386902">
              <w:rPr>
                <w:sz w:val="18"/>
                <w:szCs w:val="18"/>
              </w:rPr>
              <w:instrText>ADDIN CSL_CITATION { "citationItems" : [ { "id" : "ITEM-1", "itemData" : { "DOI" : "10.1128/JCM.01258-06", "ISBN" : "0095-1137 (Print)\r0095-1137 (Linking)", "PMID" : "17215345", "abstract" : "Virus detection methodology provides detection of dengue virus in the early phase of the disease. PCR, targeting cDNA derived from viral RNA, has been used as a laboratory-based molecular tool for the detection of Dengue virus. We report the development and use of three real-time one-step reverse transcriptase PCR (RT-PCR) assays to detect dengue cases and serotype the virus involved. The first RT-PCR assay uses SYBR green I as the reporting dye for the purpose of cost-effective screening for dengue virus. The detection limit of the SYBR green I assay was 10 PFU/ml (0.01 equivalent PFU per assay) for all four dengue virus serotypes. The second RT-PCR assay is a duplex fluorogenic probe-based real-time RT-PCR for serotyping clinical samples for dengue viruses. The detection threshold of the probe-based RT-PCR format was 0.1 PFU for serotypes Dengue-1 and Dengue-2, 1 PFU for serotype Dengue-3, and 0.01 PFU for serotype Dengue-4. The third is a fourplex assay that detects any of the four serotypes in a single closed tube with comparable sensitivity. Validation of the assays with local clinical samples collected from 2004 to 2006 revealed that there was an 88% positive correlation between virus isolation and RT-PCR with regard to dengue virus detection and a 100% correlation with seroconversion in subsequent samples. The serotyping results derived from duplex and fourplex assays agree fully with each other and with that derived from immunofluorescence assays.", "author" : [ { "dropping-particle" : "", "family" : "Lai", "given" : "Y L", "non-dropping-particle" : "", "parse-names" : false, "suffix" : "" }, { "dropping-particle" : "", "family" : "Chung", "given" : "Y K", "non-dropping-particle" : "", "parse-names" : false, "suffix" : "" }, { "dropping-particle" : "", "family" : "Tan", "given" : "H C", "non-dropping-particle" : "", "parse-names" : false, "suffix" : "" }, { "dropping-particle" : "", "family" : "Yap", "given" : "H F", "non-dropping-particle" : "", "parse-names" : false, "suffix" : "" }, { "dropping-particle" : "", "family" : "Yap", "given" : "G", "non-dropping-particle" : "", "parse-names" : false, "suffix" : "" }, { "dropping-particle" : "", "family" : "Ooi", "given" : "E E", "non-dropping-particle" : "", "parse-names" : false, "suffix" : "" }, { "dropping-particle" : "", "family" : "Ng", "given" : "L C", "non-dropping-particle" : "", "parse-names" : false, "suffix" : "" } ], "container-title" : "J Clin Microbiol", "edition" : "2007/01/12", "id" : "ITEM-1", "issue" : "3", "issued" : { "date-parts" : [ [ "2007" ] ] }, "note" : "Lai, Yee-Ling\nChung, Youne-Kow\nTan, Hwee-Cheng\nYap, Hoon-Fang\nYap, Grace\nOoi, Eng-Eong\nNg, Lee-Ching\neng\nJ Clin Microbiol. 2007 Mar;45(3):935-41. Epub 2007 Jan 10.", "page" : "935-941", "title" : "Cost-effective real-time reverse transcriptase PCR (RT-PCR) to screen for Dengue virus followed by rapid single-tube multiplex RT-PCR for serotyping of the virus", "type" : "article-journal", "volume" : "45" }, "uris" : [ "http://www.mendeley.com/documents/?uuid=8289fd3d-58b1-4486-8a19-24239635ffad" ] } ], "mendeley" : { "formattedCitation" : "[1]", "plainTextFormattedCitation" : "[1]", "previouslyFormattedCitation" : "&lt;sup&gt;1&lt;/sup&gt;" }, "properties" : {  }, "schema" : "https://github.com/citation-style-language/schema/raw/master/csl-citation.json" }</w:instrText>
            </w:r>
            <w:r w:rsidRPr="00386902">
              <w:rPr>
                <w:sz w:val="18"/>
                <w:szCs w:val="18"/>
              </w:rPr>
              <w:fldChar w:fldCharType="separate"/>
            </w:r>
            <w:r w:rsidRPr="00386902">
              <w:rPr>
                <w:noProof/>
                <w:sz w:val="18"/>
                <w:szCs w:val="18"/>
              </w:rPr>
              <w:t>[1]</w:t>
            </w:r>
            <w:r w:rsidRPr="00386902">
              <w:rPr>
                <w:sz w:val="18"/>
                <w:szCs w:val="18"/>
              </w:rPr>
              <w:fldChar w:fldCharType="end"/>
            </w:r>
          </w:p>
        </w:tc>
      </w:tr>
      <w:tr w:rsidR="00E3736B" w:rsidRPr="00386902" w14:paraId="43482781" w14:textId="77777777" w:rsidTr="00195638">
        <w:trPr>
          <w:trHeight w:val="783"/>
        </w:trPr>
        <w:tc>
          <w:tcPr>
            <w:tcW w:w="1061" w:type="dxa"/>
          </w:tcPr>
          <w:p w14:paraId="039623E2" w14:textId="77777777" w:rsidR="00E3736B" w:rsidRPr="00386902" w:rsidRDefault="00E3736B" w:rsidP="00195638">
            <w:pPr>
              <w:autoSpaceDE w:val="0"/>
              <w:autoSpaceDN w:val="0"/>
              <w:adjustRightInd w:val="0"/>
              <w:rPr>
                <w:sz w:val="18"/>
                <w:szCs w:val="18"/>
              </w:rPr>
            </w:pPr>
            <w:r w:rsidRPr="00386902">
              <w:rPr>
                <w:sz w:val="18"/>
                <w:szCs w:val="18"/>
              </w:rPr>
              <w:t>ZIKV</w:t>
            </w:r>
          </w:p>
        </w:tc>
        <w:tc>
          <w:tcPr>
            <w:tcW w:w="4658" w:type="dxa"/>
          </w:tcPr>
          <w:p w14:paraId="31EB4CD9" w14:textId="77777777" w:rsidR="00E3736B" w:rsidRPr="00386902" w:rsidRDefault="00E3736B" w:rsidP="00195638">
            <w:pPr>
              <w:autoSpaceDE w:val="0"/>
              <w:autoSpaceDN w:val="0"/>
              <w:adjustRightInd w:val="0"/>
              <w:rPr>
                <w:sz w:val="18"/>
                <w:szCs w:val="18"/>
              </w:rPr>
            </w:pPr>
            <w:r w:rsidRPr="00386902">
              <w:rPr>
                <w:sz w:val="18"/>
                <w:szCs w:val="18"/>
              </w:rPr>
              <w:t>5’- CCGCTGCCCAACACAAG -3’</w:t>
            </w:r>
          </w:p>
          <w:p w14:paraId="2AF00011" w14:textId="77777777" w:rsidR="00E3736B" w:rsidRPr="00386902" w:rsidRDefault="00E3736B" w:rsidP="00195638">
            <w:pPr>
              <w:autoSpaceDE w:val="0"/>
              <w:autoSpaceDN w:val="0"/>
              <w:adjustRightInd w:val="0"/>
              <w:rPr>
                <w:sz w:val="18"/>
                <w:szCs w:val="18"/>
              </w:rPr>
            </w:pPr>
            <w:r w:rsidRPr="00386902">
              <w:rPr>
                <w:sz w:val="18"/>
                <w:szCs w:val="18"/>
              </w:rPr>
              <w:t>5’- CCACTAACGTTCTTTTGCAGACAT -3’</w:t>
            </w:r>
          </w:p>
          <w:p w14:paraId="543F60D8" w14:textId="77777777" w:rsidR="00E3736B" w:rsidRPr="00386902" w:rsidRDefault="00E3736B" w:rsidP="00195638">
            <w:pPr>
              <w:pStyle w:val="Subtitle"/>
              <w:spacing w:line="276" w:lineRule="auto"/>
              <w:rPr>
                <w:rFonts w:ascii="Times New Roman" w:hAnsi="Times New Roman" w:cs="Times New Roman"/>
                <w:sz w:val="18"/>
                <w:szCs w:val="18"/>
              </w:rPr>
            </w:pPr>
            <w:r w:rsidRPr="00386902">
              <w:rPr>
                <w:rFonts w:ascii="Times New Roman" w:hAnsi="Times New Roman" w:cs="Times New Roman"/>
                <w:color w:val="000000" w:themeColor="text1"/>
                <w:sz w:val="18"/>
                <w:szCs w:val="18"/>
              </w:rPr>
              <w:t>5’-FAM-AGCCTACCTTGACAAGCAGTCAGACACTCAA-TAMRA3’</w:t>
            </w:r>
          </w:p>
        </w:tc>
        <w:tc>
          <w:tcPr>
            <w:tcW w:w="2032" w:type="dxa"/>
          </w:tcPr>
          <w:p w14:paraId="1E73220D" w14:textId="77777777" w:rsidR="00E3736B" w:rsidRPr="00386902" w:rsidRDefault="00E3736B" w:rsidP="00195638">
            <w:pPr>
              <w:autoSpaceDE w:val="0"/>
              <w:autoSpaceDN w:val="0"/>
              <w:adjustRightInd w:val="0"/>
              <w:rPr>
                <w:color w:val="000000" w:themeColor="text1"/>
                <w:sz w:val="18"/>
                <w:szCs w:val="18"/>
              </w:rPr>
            </w:pPr>
            <w:r w:rsidRPr="00386902">
              <w:rPr>
                <w:sz w:val="18"/>
                <w:szCs w:val="18"/>
              </w:rPr>
              <w:t>95</w:t>
            </w:r>
            <w:r w:rsidRPr="00386902">
              <w:rPr>
                <w:color w:val="000000" w:themeColor="text1"/>
                <w:sz w:val="18"/>
                <w:szCs w:val="18"/>
              </w:rPr>
              <w:t>°C for 10 min</w:t>
            </w:r>
          </w:p>
          <w:p w14:paraId="41EE0F8F" w14:textId="77777777" w:rsidR="00E3736B" w:rsidRPr="00386902" w:rsidRDefault="00E3736B" w:rsidP="00195638">
            <w:pPr>
              <w:autoSpaceDE w:val="0"/>
              <w:autoSpaceDN w:val="0"/>
              <w:adjustRightInd w:val="0"/>
              <w:rPr>
                <w:color w:val="000000" w:themeColor="text1"/>
                <w:sz w:val="18"/>
                <w:szCs w:val="18"/>
              </w:rPr>
            </w:pPr>
            <w:r w:rsidRPr="00386902">
              <w:rPr>
                <w:color w:val="000000" w:themeColor="text1"/>
                <w:sz w:val="18"/>
                <w:szCs w:val="18"/>
              </w:rPr>
              <w:t xml:space="preserve">45 cycles: </w:t>
            </w:r>
            <w:r w:rsidRPr="00386902">
              <w:rPr>
                <w:sz w:val="18"/>
                <w:szCs w:val="18"/>
              </w:rPr>
              <w:t>95</w:t>
            </w:r>
            <w:r w:rsidRPr="00386902">
              <w:rPr>
                <w:color w:val="000000" w:themeColor="text1"/>
                <w:sz w:val="18"/>
                <w:szCs w:val="18"/>
              </w:rPr>
              <w:t>°C</w:t>
            </w:r>
            <w:r w:rsidRPr="00386902">
              <w:rPr>
                <w:sz w:val="18"/>
                <w:szCs w:val="18"/>
              </w:rPr>
              <w:t xml:space="preserve"> for 10 sec</w:t>
            </w:r>
            <w:r w:rsidRPr="00386902">
              <w:rPr>
                <w:color w:val="000000" w:themeColor="text1"/>
                <w:sz w:val="18"/>
                <w:szCs w:val="18"/>
              </w:rPr>
              <w:t xml:space="preserve">, </w:t>
            </w:r>
            <w:r w:rsidRPr="00386902">
              <w:rPr>
                <w:sz w:val="18"/>
                <w:szCs w:val="18"/>
              </w:rPr>
              <w:t>52</w:t>
            </w:r>
            <w:r w:rsidRPr="00386902">
              <w:rPr>
                <w:color w:val="000000" w:themeColor="text1"/>
                <w:sz w:val="18"/>
                <w:szCs w:val="18"/>
              </w:rPr>
              <w:t>°C</w:t>
            </w:r>
            <w:r w:rsidRPr="00386902">
              <w:rPr>
                <w:sz w:val="18"/>
                <w:szCs w:val="18"/>
              </w:rPr>
              <w:t xml:space="preserve"> for 30 sec</w:t>
            </w:r>
          </w:p>
        </w:tc>
        <w:tc>
          <w:tcPr>
            <w:tcW w:w="1087" w:type="dxa"/>
          </w:tcPr>
          <w:p w14:paraId="64D7BBAF" w14:textId="77777777" w:rsidR="00E3736B" w:rsidRPr="00386902" w:rsidRDefault="00E3736B" w:rsidP="00195638">
            <w:pPr>
              <w:autoSpaceDE w:val="0"/>
              <w:autoSpaceDN w:val="0"/>
              <w:adjustRightInd w:val="0"/>
              <w:jc w:val="center"/>
              <w:rPr>
                <w:sz w:val="18"/>
                <w:szCs w:val="18"/>
              </w:rPr>
            </w:pPr>
            <w:r w:rsidRPr="00386902">
              <w:rPr>
                <w:sz w:val="18"/>
                <w:szCs w:val="18"/>
              </w:rPr>
              <w:fldChar w:fldCharType="begin" w:fldLock="1"/>
            </w:r>
            <w:r w:rsidRPr="00386902">
              <w:rPr>
                <w:sz w:val="18"/>
                <w:szCs w:val="18"/>
              </w:rPr>
              <w:instrText>ADDIN CSL_CITATION { "citationItems" : [ { "id" : "ITEM-1", "itemData" : { "DOI" : "10.3201/eid1408.080287", "ISBN" : "1080-6040", "ISSN" : "10806040", "PMID" : "18680646", "abstract" : "Zika virus (ZIKV) is a mosquito-borne flavivirus first isolated in Uganda from a sentinel monkey in 1947. Mosquito and sentinel animal surveillance studies have demonstrated that ZIKV is endemic to Africa and Southeast Asia, yet reported human cases are rare, with &lt;10 cases reported in the literature. In June 2007, an epidemic of fever and rash associated with ZIKV was detected in Yap State, Federated States of Micronesia. We report the genetic and serologic properties of the ZIKV associated with this epidemic.", "author" : [ { "dropping-particle" : "", "family" : "Lanciotti", "given" : "Robert S.", "non-dropping-particle" : "", "parse-names" : false, "suffix" : "" }, { "dropping-particle" : "", "family" : "Kosoy", "given" : "Olga L.", "non-dropping-particle" : "", "parse-names" : false, "suffix" : "" }, { "dropping-particle" : "", "family" : "Laven", "given" : "Janeen J.", "non-dropping-particle" : "", "parse-names" : false, "suffix" : "" }, { "dropping-particle" : "", "family" : "Velez", "given" : "Jason O.", "non-dropping-particle" : "", "parse-names" : false, "suffix" : "" }, { "dropping-particle" : "", "family" : "Lambert", "given" : "Amy J.", "non-dropping-particle" : "", "parse-names" : false, "suffix" : "" }, { "dropping-particle" : "", "family" : "Johnson", "given" : "Alison J.", "non-dropping-particle" : "", "parse-names" : false, "suffix" : "" }, { "dropping-particle" : "", "family" : "Stanfield", "given" : "Stephanie M.", "non-dropping-particle" : "", "parse-names" : false, "suffix" : "" }, { "dropping-particle" : "", "family" : "Duffy", "given" : "Mark R.", "non-dropping-particle" : "", "parse-names" : false, "suffix" : "" } ], "container-title" : "Emerging Infectious Diseases", "id" : "ITEM-1", "issue" : "8", "issued" : { "date-parts" : [ [ "2008" ] ] }, "page" : "1232-1239", "title" : "Genetic and serologic properties of Zika virus associated with an epidemic, Yap State, Micronesia, 2007", "type" : "article-journal", "volume" : "14" }, "uris" : [ "http://www.mendeley.com/documents/?uuid=656b09eb-0716-42c7-9bd0-c4b7dd5279bc" ] } ], "mendeley" : { "formattedCitation" : "[2]", "plainTextFormattedCitation" : "[2]", "previouslyFormattedCitation" : "&lt;sup&gt;2&lt;/sup&gt;" }, "properties" : {  }, "schema" : "https://github.com/citation-style-language/schema/raw/master/csl-citation.json" }</w:instrText>
            </w:r>
            <w:r w:rsidRPr="00386902">
              <w:rPr>
                <w:sz w:val="18"/>
                <w:szCs w:val="18"/>
              </w:rPr>
              <w:fldChar w:fldCharType="separate"/>
            </w:r>
            <w:r w:rsidRPr="00386902">
              <w:rPr>
                <w:noProof/>
                <w:sz w:val="18"/>
                <w:szCs w:val="18"/>
              </w:rPr>
              <w:t>[2]</w:t>
            </w:r>
            <w:r w:rsidRPr="00386902">
              <w:rPr>
                <w:sz w:val="18"/>
                <w:szCs w:val="18"/>
              </w:rPr>
              <w:fldChar w:fldCharType="end"/>
            </w:r>
          </w:p>
        </w:tc>
      </w:tr>
      <w:tr w:rsidR="00E3736B" w:rsidRPr="00386902" w14:paraId="6D32C33D" w14:textId="77777777" w:rsidTr="00195638">
        <w:trPr>
          <w:trHeight w:val="522"/>
        </w:trPr>
        <w:tc>
          <w:tcPr>
            <w:tcW w:w="1061" w:type="dxa"/>
          </w:tcPr>
          <w:p w14:paraId="42204E2A" w14:textId="77777777" w:rsidR="00E3736B" w:rsidRPr="00386902" w:rsidRDefault="00E3736B" w:rsidP="00195638">
            <w:pPr>
              <w:autoSpaceDE w:val="0"/>
              <w:autoSpaceDN w:val="0"/>
              <w:adjustRightInd w:val="0"/>
              <w:rPr>
                <w:sz w:val="18"/>
                <w:szCs w:val="18"/>
              </w:rPr>
            </w:pPr>
            <w:r w:rsidRPr="00386902">
              <w:rPr>
                <w:sz w:val="18"/>
                <w:szCs w:val="18"/>
              </w:rPr>
              <w:t>CHIKV</w:t>
            </w:r>
          </w:p>
        </w:tc>
        <w:tc>
          <w:tcPr>
            <w:tcW w:w="4658" w:type="dxa"/>
          </w:tcPr>
          <w:p w14:paraId="6C6373FA" w14:textId="77777777" w:rsidR="00E3736B" w:rsidRPr="00386902" w:rsidRDefault="00E3736B" w:rsidP="00195638">
            <w:pPr>
              <w:autoSpaceDE w:val="0"/>
              <w:autoSpaceDN w:val="0"/>
              <w:adjustRightInd w:val="0"/>
              <w:rPr>
                <w:sz w:val="18"/>
                <w:szCs w:val="18"/>
              </w:rPr>
            </w:pPr>
            <w:r w:rsidRPr="00386902">
              <w:rPr>
                <w:sz w:val="18"/>
                <w:szCs w:val="18"/>
              </w:rPr>
              <w:t>5’- CTCATA CCGCATCCGCATCAG-3’</w:t>
            </w:r>
          </w:p>
          <w:p w14:paraId="3E652C0A" w14:textId="77777777" w:rsidR="00E3736B" w:rsidRPr="00386902" w:rsidRDefault="00E3736B" w:rsidP="00195638">
            <w:pPr>
              <w:autoSpaceDE w:val="0"/>
              <w:autoSpaceDN w:val="0"/>
              <w:adjustRightInd w:val="0"/>
              <w:rPr>
                <w:sz w:val="18"/>
                <w:szCs w:val="18"/>
              </w:rPr>
            </w:pPr>
            <w:r w:rsidRPr="00386902">
              <w:rPr>
                <w:sz w:val="18"/>
                <w:szCs w:val="18"/>
              </w:rPr>
              <w:t>5’- ACATTGGCCCCACAAT GAATTTG-3’</w:t>
            </w:r>
          </w:p>
        </w:tc>
        <w:tc>
          <w:tcPr>
            <w:tcW w:w="2032" w:type="dxa"/>
          </w:tcPr>
          <w:p w14:paraId="4A575CF7" w14:textId="77777777" w:rsidR="00E3736B" w:rsidRPr="00386902" w:rsidRDefault="00E3736B" w:rsidP="00195638">
            <w:pPr>
              <w:autoSpaceDE w:val="0"/>
              <w:autoSpaceDN w:val="0"/>
              <w:adjustRightInd w:val="0"/>
              <w:rPr>
                <w:color w:val="000000" w:themeColor="text1"/>
                <w:sz w:val="18"/>
                <w:szCs w:val="18"/>
              </w:rPr>
            </w:pPr>
            <w:r w:rsidRPr="00386902">
              <w:rPr>
                <w:sz w:val="18"/>
                <w:szCs w:val="18"/>
              </w:rPr>
              <w:t>95</w:t>
            </w:r>
            <w:r w:rsidRPr="00386902">
              <w:rPr>
                <w:color w:val="000000" w:themeColor="text1"/>
                <w:sz w:val="18"/>
                <w:szCs w:val="18"/>
              </w:rPr>
              <w:t>°C for 10 min</w:t>
            </w:r>
          </w:p>
          <w:p w14:paraId="149647B3" w14:textId="77777777" w:rsidR="00E3736B" w:rsidRPr="00386902" w:rsidRDefault="00E3736B" w:rsidP="00195638">
            <w:pPr>
              <w:autoSpaceDE w:val="0"/>
              <w:autoSpaceDN w:val="0"/>
              <w:adjustRightInd w:val="0"/>
              <w:rPr>
                <w:color w:val="000000" w:themeColor="text1"/>
                <w:sz w:val="18"/>
                <w:szCs w:val="18"/>
              </w:rPr>
            </w:pPr>
            <w:r w:rsidRPr="00386902">
              <w:rPr>
                <w:color w:val="000000" w:themeColor="text1"/>
                <w:sz w:val="18"/>
                <w:szCs w:val="18"/>
              </w:rPr>
              <w:t xml:space="preserve">40 cycles: </w:t>
            </w:r>
            <w:r w:rsidRPr="00386902">
              <w:rPr>
                <w:sz w:val="18"/>
                <w:szCs w:val="18"/>
              </w:rPr>
              <w:t>95</w:t>
            </w:r>
            <w:r w:rsidRPr="00386902">
              <w:rPr>
                <w:color w:val="000000" w:themeColor="text1"/>
                <w:sz w:val="18"/>
                <w:szCs w:val="18"/>
              </w:rPr>
              <w:t>°C</w:t>
            </w:r>
            <w:r w:rsidRPr="00386902">
              <w:rPr>
                <w:sz w:val="18"/>
                <w:szCs w:val="18"/>
              </w:rPr>
              <w:t xml:space="preserve"> for 10 sec, 56</w:t>
            </w:r>
            <w:r w:rsidRPr="00386902">
              <w:rPr>
                <w:color w:val="000000" w:themeColor="text1"/>
                <w:sz w:val="18"/>
                <w:szCs w:val="18"/>
              </w:rPr>
              <w:t xml:space="preserve">°C </w:t>
            </w:r>
            <w:r w:rsidRPr="00386902">
              <w:rPr>
                <w:sz w:val="18"/>
                <w:szCs w:val="18"/>
              </w:rPr>
              <w:t>for 10 sec, 72</w:t>
            </w:r>
            <w:r w:rsidRPr="00386902">
              <w:rPr>
                <w:color w:val="000000" w:themeColor="text1"/>
                <w:sz w:val="18"/>
                <w:szCs w:val="18"/>
              </w:rPr>
              <w:t>°C</w:t>
            </w:r>
            <w:r w:rsidRPr="00386902">
              <w:rPr>
                <w:sz w:val="18"/>
                <w:szCs w:val="18"/>
              </w:rPr>
              <w:t xml:space="preserve"> for 15 sec</w:t>
            </w:r>
          </w:p>
        </w:tc>
        <w:tc>
          <w:tcPr>
            <w:tcW w:w="1087" w:type="dxa"/>
          </w:tcPr>
          <w:p w14:paraId="64495AF1" w14:textId="77777777" w:rsidR="00E3736B" w:rsidRPr="00386902" w:rsidRDefault="00E3736B" w:rsidP="00195638">
            <w:pPr>
              <w:autoSpaceDE w:val="0"/>
              <w:autoSpaceDN w:val="0"/>
              <w:adjustRightInd w:val="0"/>
              <w:jc w:val="center"/>
              <w:rPr>
                <w:sz w:val="18"/>
                <w:szCs w:val="18"/>
              </w:rPr>
            </w:pPr>
            <w:r w:rsidRPr="00386902">
              <w:rPr>
                <w:sz w:val="18"/>
                <w:szCs w:val="18"/>
              </w:rPr>
              <w:fldChar w:fldCharType="begin" w:fldLock="1"/>
            </w:r>
            <w:r w:rsidRPr="00386902">
              <w:rPr>
                <w:sz w:val="18"/>
                <w:szCs w:val="18"/>
              </w:rPr>
              <w:instrText>ADDIN CSL_CITATION { "citationItems" : [ { "id" : "ITEM-1", "itemData" : { "ISBN" : "0127-5720 (Print)\\r0127-5720 (Linking)", "ISSN" : "01275720", "PMID" : "21399603", "abstract" : "This paper reports the development of a one-step SYBR-Green I-based realtime RT-PCR assay for the detection and quantification of Chikungunya virus (CHIKV) in human, monkey and mosquito samples by targeting the E1 structural gene. A preliminary evaluation of this assay has been successfully completed using 71 samples, consisting of a panel of negative control sera, sera from healthy individuals, sera from patients with acute disease from which CHIKV had been isolated, as well as monkey sera and adult mosquito samples obtained during the chikungunya fever outbreak in Malaysia in 2008. The assay was found to be 100-fold more sensitive than the conventional RT-PCR with a detection limit of 4.12x10(0) RNA copies/\u03bcl. The specificity of the assay was tested against other related viruses such as Dengue (serotypes 1-4), Japanese encephalitis, Herpes Simplex, Parainfluenza, Sindbis, Ross River, Yellow fever and West Nile viruses. The sensitivity, specificity and efficiency of this assay were 100%, 100% and 96.8% respectively. This study on early diagnostics is of importance to all endemic countries, especially Malaysia, which has been facing increasingly frequent and bigger outbreaks due to this virus since 1999.", "author" : [ { "dropping-particle" : "", "family" : "Ali", "given" : "Ummul Haninah", "non-dropping-particle" : "", "parse-names" : false, "suffix" : "" }, { "dropping-particle" : "", "family" : "Vasan", "given" : "S. S.", "non-dropping-particle" : "", "parse-names" : false, "suffix" : "" }, { "dropping-particle" : "", "family" : "Thayan", "given" : "Ravindran", "non-dropping-particle" : "", "parse-names" : false, "suffix" : "" }, { "dropping-particle" : "", "family" : "Angamuthu", "given" : "Chandru", "non-dropping-particle" : "", "parse-names" : false, "suffix" : "" }, { "dropping-particle" : "", "family" : "Lim", "given" : "Lee Han", "non-dropping-particle" : "", "parse-names" : false, "suffix" : "" }, { "dropping-particle" : "", "family" : "Sekaran", "given" : "Shamala Devi", "non-dropping-particle" : "", "parse-names" : false, "suffix" : "" } ], "container-title" : "Tropical Biomedicine", "id" : "ITEM-1", "issue" : "3", "issued" : { "date-parts" : [ [ "2010" ] ] }, "page" : "611-623", "title" : "Development and evaluation of a one-step SYBR-Green I-based real-time RT-PCR assay for the detection and quantification of Chikungunya virus in human, monkey and mosquito samples", "type" : "article-journal", "volume" : "27" }, "uris" : [ "http://www.mendeley.com/documents/?uuid=3aa0b56c-efe9-4078-8919-00e8b247750e" ] } ], "mendeley" : { "formattedCitation" : "[3]", "plainTextFormattedCitation" : "[3]", "previouslyFormattedCitation" : "&lt;sup&gt;3&lt;/sup&gt;" }, "properties" : {  }, "schema" : "https://github.com/citation-style-language/schema/raw/master/csl-citation.json" }</w:instrText>
            </w:r>
            <w:r w:rsidRPr="00386902">
              <w:rPr>
                <w:sz w:val="18"/>
                <w:szCs w:val="18"/>
              </w:rPr>
              <w:fldChar w:fldCharType="separate"/>
            </w:r>
            <w:r w:rsidRPr="00386902">
              <w:rPr>
                <w:noProof/>
                <w:sz w:val="18"/>
                <w:szCs w:val="18"/>
              </w:rPr>
              <w:t>[3]</w:t>
            </w:r>
            <w:r w:rsidRPr="00386902">
              <w:rPr>
                <w:sz w:val="18"/>
                <w:szCs w:val="18"/>
              </w:rPr>
              <w:fldChar w:fldCharType="end"/>
            </w:r>
          </w:p>
        </w:tc>
      </w:tr>
      <w:tr w:rsidR="00E3736B" w:rsidRPr="00386902" w14:paraId="2F4E0A14" w14:textId="77777777" w:rsidTr="00195638">
        <w:trPr>
          <w:trHeight w:val="803"/>
        </w:trPr>
        <w:tc>
          <w:tcPr>
            <w:tcW w:w="1061" w:type="dxa"/>
          </w:tcPr>
          <w:p w14:paraId="4F78E662" w14:textId="77777777" w:rsidR="00E3736B" w:rsidRPr="00386902" w:rsidRDefault="00E3736B" w:rsidP="00195638">
            <w:pPr>
              <w:autoSpaceDE w:val="0"/>
              <w:autoSpaceDN w:val="0"/>
              <w:adjustRightInd w:val="0"/>
              <w:rPr>
                <w:sz w:val="18"/>
                <w:szCs w:val="18"/>
              </w:rPr>
            </w:pPr>
            <w:r w:rsidRPr="00386902">
              <w:rPr>
                <w:sz w:val="18"/>
                <w:szCs w:val="18"/>
              </w:rPr>
              <w:t>WNV</w:t>
            </w:r>
          </w:p>
        </w:tc>
        <w:tc>
          <w:tcPr>
            <w:tcW w:w="4658" w:type="dxa"/>
          </w:tcPr>
          <w:p w14:paraId="6C2B14BE" w14:textId="77777777" w:rsidR="00E3736B" w:rsidRPr="00386902" w:rsidRDefault="00E3736B" w:rsidP="00195638">
            <w:pPr>
              <w:autoSpaceDE w:val="0"/>
              <w:autoSpaceDN w:val="0"/>
              <w:adjustRightInd w:val="0"/>
              <w:rPr>
                <w:color w:val="000000" w:themeColor="text1"/>
                <w:sz w:val="18"/>
                <w:szCs w:val="18"/>
                <w:shd w:val="clear" w:color="auto" w:fill="FFFFFF"/>
              </w:rPr>
            </w:pPr>
            <w:r w:rsidRPr="00386902">
              <w:rPr>
                <w:color w:val="000000" w:themeColor="text1"/>
                <w:sz w:val="18"/>
                <w:szCs w:val="18"/>
              </w:rPr>
              <w:t>5’</w:t>
            </w:r>
            <w:r w:rsidRPr="00386902">
              <w:rPr>
                <w:color w:val="000000" w:themeColor="text1"/>
                <w:sz w:val="18"/>
                <w:szCs w:val="18"/>
                <w:shd w:val="clear" w:color="auto" w:fill="FFFFFF"/>
              </w:rPr>
              <w:t>-CCTGTGTGAGCTGACAAACTTAGT-3’</w:t>
            </w:r>
          </w:p>
          <w:p w14:paraId="4BC7A061" w14:textId="77777777" w:rsidR="00E3736B" w:rsidRPr="00386902" w:rsidRDefault="00E3736B" w:rsidP="00195638">
            <w:pPr>
              <w:autoSpaceDE w:val="0"/>
              <w:autoSpaceDN w:val="0"/>
              <w:adjustRightInd w:val="0"/>
              <w:rPr>
                <w:color w:val="000000" w:themeColor="text1"/>
                <w:sz w:val="18"/>
                <w:szCs w:val="18"/>
                <w:shd w:val="clear" w:color="auto" w:fill="FFFFFF"/>
              </w:rPr>
            </w:pPr>
            <w:r w:rsidRPr="00386902">
              <w:rPr>
                <w:color w:val="000000" w:themeColor="text1"/>
                <w:sz w:val="18"/>
                <w:szCs w:val="18"/>
                <w:shd w:val="clear" w:color="auto" w:fill="FFFFFF"/>
              </w:rPr>
              <w:t>5’-GCGTTTTAGCATATTGACAGCC-3’</w:t>
            </w:r>
          </w:p>
          <w:p w14:paraId="44607DAF" w14:textId="77777777" w:rsidR="00E3736B" w:rsidRPr="00386902" w:rsidRDefault="00E3736B" w:rsidP="00195638">
            <w:pPr>
              <w:rPr>
                <w:color w:val="000000" w:themeColor="text1"/>
                <w:sz w:val="18"/>
                <w:szCs w:val="18"/>
              </w:rPr>
            </w:pPr>
            <w:r w:rsidRPr="00386902">
              <w:rPr>
                <w:color w:val="000000" w:themeColor="text1"/>
                <w:sz w:val="18"/>
                <w:szCs w:val="18"/>
              </w:rPr>
              <w:t>5’-6FAM-CCTGGTTTCTTAGACATCGAGATCT-[TAMRA]-3’</w:t>
            </w:r>
          </w:p>
          <w:p w14:paraId="44C27140" w14:textId="77777777" w:rsidR="00E3736B" w:rsidRPr="00386902" w:rsidRDefault="00E3736B" w:rsidP="00195638">
            <w:pPr>
              <w:autoSpaceDE w:val="0"/>
              <w:autoSpaceDN w:val="0"/>
              <w:adjustRightInd w:val="0"/>
              <w:rPr>
                <w:sz w:val="18"/>
                <w:szCs w:val="18"/>
              </w:rPr>
            </w:pPr>
          </w:p>
        </w:tc>
        <w:tc>
          <w:tcPr>
            <w:tcW w:w="2032" w:type="dxa"/>
          </w:tcPr>
          <w:p w14:paraId="727F7372" w14:textId="77777777" w:rsidR="00E3736B" w:rsidRPr="00386902" w:rsidRDefault="00E3736B" w:rsidP="00195638">
            <w:pPr>
              <w:autoSpaceDE w:val="0"/>
              <w:autoSpaceDN w:val="0"/>
              <w:adjustRightInd w:val="0"/>
              <w:rPr>
                <w:sz w:val="18"/>
                <w:szCs w:val="18"/>
              </w:rPr>
            </w:pPr>
            <w:r w:rsidRPr="00386902">
              <w:rPr>
                <w:sz w:val="18"/>
                <w:szCs w:val="18"/>
              </w:rPr>
              <w:t>95</w:t>
            </w:r>
            <w:r w:rsidRPr="00386902">
              <w:rPr>
                <w:color w:val="000000" w:themeColor="text1"/>
                <w:sz w:val="18"/>
                <w:szCs w:val="18"/>
              </w:rPr>
              <w:t>°</w:t>
            </w:r>
            <w:r w:rsidRPr="00386902">
              <w:rPr>
                <w:sz w:val="18"/>
                <w:szCs w:val="18"/>
              </w:rPr>
              <w:t>C for 15 min</w:t>
            </w:r>
          </w:p>
          <w:p w14:paraId="1E7CDC65" w14:textId="77777777" w:rsidR="00E3736B" w:rsidRPr="00386902" w:rsidRDefault="00E3736B" w:rsidP="00195638">
            <w:pPr>
              <w:autoSpaceDE w:val="0"/>
              <w:autoSpaceDN w:val="0"/>
              <w:adjustRightInd w:val="0"/>
              <w:rPr>
                <w:sz w:val="18"/>
                <w:szCs w:val="18"/>
              </w:rPr>
            </w:pPr>
            <w:r w:rsidRPr="00386902">
              <w:rPr>
                <w:sz w:val="18"/>
                <w:szCs w:val="18"/>
              </w:rPr>
              <w:t>45 cycles: 94</w:t>
            </w:r>
            <w:r w:rsidRPr="00386902">
              <w:rPr>
                <w:color w:val="000000" w:themeColor="text1"/>
                <w:sz w:val="18"/>
                <w:szCs w:val="18"/>
              </w:rPr>
              <w:t>°</w:t>
            </w:r>
            <w:r w:rsidRPr="00386902">
              <w:rPr>
                <w:sz w:val="18"/>
                <w:szCs w:val="18"/>
              </w:rPr>
              <w:t>C for 15 sec, 60</w:t>
            </w:r>
            <w:r w:rsidRPr="00386902">
              <w:rPr>
                <w:color w:val="000000" w:themeColor="text1"/>
                <w:sz w:val="18"/>
                <w:szCs w:val="18"/>
              </w:rPr>
              <w:t>°</w:t>
            </w:r>
            <w:r w:rsidRPr="00386902">
              <w:rPr>
                <w:sz w:val="18"/>
                <w:szCs w:val="18"/>
              </w:rPr>
              <w:t>C for 60 sec</w:t>
            </w:r>
          </w:p>
          <w:p w14:paraId="371FCB76" w14:textId="77777777" w:rsidR="00E3736B" w:rsidRPr="00386902" w:rsidRDefault="00E3736B" w:rsidP="00195638">
            <w:pPr>
              <w:autoSpaceDE w:val="0"/>
              <w:autoSpaceDN w:val="0"/>
              <w:adjustRightInd w:val="0"/>
              <w:rPr>
                <w:sz w:val="18"/>
                <w:szCs w:val="18"/>
              </w:rPr>
            </w:pPr>
          </w:p>
        </w:tc>
        <w:tc>
          <w:tcPr>
            <w:tcW w:w="1087" w:type="dxa"/>
          </w:tcPr>
          <w:p w14:paraId="59CD2D41" w14:textId="77777777" w:rsidR="00E3736B" w:rsidRPr="00386902" w:rsidRDefault="00E3736B" w:rsidP="00195638">
            <w:pPr>
              <w:autoSpaceDE w:val="0"/>
              <w:autoSpaceDN w:val="0"/>
              <w:adjustRightInd w:val="0"/>
              <w:jc w:val="center"/>
              <w:rPr>
                <w:sz w:val="18"/>
                <w:szCs w:val="18"/>
              </w:rPr>
            </w:pPr>
            <w:r w:rsidRPr="00386902">
              <w:rPr>
                <w:sz w:val="18"/>
                <w:szCs w:val="18"/>
              </w:rPr>
              <w:fldChar w:fldCharType="begin" w:fldLock="1"/>
            </w:r>
            <w:r w:rsidRPr="00386902">
              <w:rPr>
                <w:sz w:val="18"/>
                <w:szCs w:val="18"/>
              </w:rPr>
              <w:instrText>ADDIN CSL_CITATION { "citationItems" : [ { "id" : "ITEM-1", "itemData" : { "DOI" : "10.1016/j.jviromet.2007.05.021", "ISBN" : "0166-0934", "ISSN" : "01660934", "PMID" : "17604132", "abstract" : "West Nile virus (WNV) is a Flavivirus attracting worldwide attention because it has spread rapidly across the Americas since its first appearance in New York City in 1999. Several PCR-based diagnostic methods have been developed for the detection of WNV. The focus of these assays has been WNV lineage 1 which can be found worldwide, while lineage 2 viruses were thought to be endemic only in some regions of Africa. However, both lineages may be imported from Africa to Europe by migrating birds. In order to determine the incidence of WNV in Germany, a real-time-based PCR assay was developed, targeting a conserved region of WNV lineages 1 and 2. This assay is a suitable tool for the diagnosis of WNV and for surveillance studies. \u00a9 2007 Elsevier B.V. All rights reserved.", "author" : [ { "dropping-particle" : "", "family" : "Linke", "given" : "Sonja", "non-dropping-particle" : "", "parse-names" : false, "suffix" : "" }, { "dropping-particle" : "", "family" : "Ellerbrok", "given" : "Heinz", "non-dropping-particle" : "", "parse-names" : false, "suffix" : "" }, { "dropping-particle" : "", "family" : "Niedrig", "given" : "Matthias", "non-dropping-particle" : "", "parse-names" : false, "suffix" : "" }, { "dropping-particle" : "", "family" : "Nitsche", "given" : "Andreas", "non-dropping-particle" : "", "parse-names" : false, "suffix" : "" }, { "dropping-particle" : "", "family" : "Pauli", "given" : "Georg", "non-dropping-particle" : "", "parse-names" : false, "suffix" : "" } ], "container-title" : "Journal of Virological Methods", "id" : "ITEM-1", "issue" : "1-2", "issued" : { "date-parts" : [ [ "2007" ] ] }, "page" : "355-358", "title" : "Detection of West Nile virus lineages 1 and 2 by real-time PCR", "type" : "article-journal", "volume" : "146" }, "uris" : [ "http://www.mendeley.com/documents/?uuid=9bb39272-c2ed-4244-83ca-03535ab8e004" ] } ], "mendeley" : { "formattedCitation" : "[4]", "plainTextFormattedCitation" : "[4]", "previouslyFormattedCitation" : "&lt;sup&gt;4&lt;/sup&gt;" }, "properties" : {  }, "schema" : "https://github.com/citation-style-language/schema/raw/master/csl-citation.json" }</w:instrText>
            </w:r>
            <w:r w:rsidRPr="00386902">
              <w:rPr>
                <w:sz w:val="18"/>
                <w:szCs w:val="18"/>
              </w:rPr>
              <w:fldChar w:fldCharType="separate"/>
            </w:r>
            <w:r w:rsidRPr="00386902">
              <w:rPr>
                <w:noProof/>
                <w:sz w:val="18"/>
                <w:szCs w:val="18"/>
              </w:rPr>
              <w:t>[4]</w:t>
            </w:r>
            <w:r w:rsidRPr="00386902">
              <w:rPr>
                <w:sz w:val="18"/>
                <w:szCs w:val="18"/>
              </w:rPr>
              <w:fldChar w:fldCharType="end"/>
            </w:r>
          </w:p>
        </w:tc>
      </w:tr>
      <w:tr w:rsidR="00E3736B" w:rsidRPr="00386902" w14:paraId="7CB234D6" w14:textId="77777777" w:rsidTr="00195638">
        <w:trPr>
          <w:trHeight w:val="819"/>
        </w:trPr>
        <w:tc>
          <w:tcPr>
            <w:tcW w:w="1061" w:type="dxa"/>
          </w:tcPr>
          <w:p w14:paraId="5FE57795" w14:textId="77777777" w:rsidR="00E3736B" w:rsidRPr="00386902" w:rsidRDefault="00E3736B" w:rsidP="00195638">
            <w:pPr>
              <w:autoSpaceDE w:val="0"/>
              <w:autoSpaceDN w:val="0"/>
              <w:adjustRightInd w:val="0"/>
              <w:rPr>
                <w:sz w:val="18"/>
                <w:szCs w:val="18"/>
              </w:rPr>
            </w:pPr>
            <w:r w:rsidRPr="00386902">
              <w:rPr>
                <w:sz w:val="18"/>
                <w:szCs w:val="18"/>
              </w:rPr>
              <w:t>YFV</w:t>
            </w:r>
          </w:p>
        </w:tc>
        <w:tc>
          <w:tcPr>
            <w:tcW w:w="4658" w:type="dxa"/>
          </w:tcPr>
          <w:p w14:paraId="01297290" w14:textId="77777777" w:rsidR="00E3736B" w:rsidRPr="00386902" w:rsidRDefault="00E3736B" w:rsidP="00195638">
            <w:pPr>
              <w:autoSpaceDE w:val="0"/>
              <w:autoSpaceDN w:val="0"/>
              <w:adjustRightInd w:val="0"/>
              <w:rPr>
                <w:sz w:val="18"/>
                <w:szCs w:val="18"/>
              </w:rPr>
            </w:pPr>
            <w:r w:rsidRPr="00386902">
              <w:rPr>
                <w:sz w:val="18"/>
                <w:szCs w:val="18"/>
              </w:rPr>
              <w:t>5’- AATCGAGTTGCTAGGCAATAAACAC-3’</w:t>
            </w:r>
          </w:p>
          <w:p w14:paraId="2E1CB337" w14:textId="77777777" w:rsidR="00E3736B" w:rsidRPr="00386902" w:rsidRDefault="00E3736B" w:rsidP="00195638">
            <w:pPr>
              <w:autoSpaceDE w:val="0"/>
              <w:autoSpaceDN w:val="0"/>
              <w:adjustRightInd w:val="0"/>
              <w:rPr>
                <w:sz w:val="18"/>
                <w:szCs w:val="18"/>
              </w:rPr>
            </w:pPr>
            <w:r w:rsidRPr="00386902">
              <w:rPr>
                <w:sz w:val="18"/>
                <w:szCs w:val="18"/>
              </w:rPr>
              <w:t>5’- TCCCTGAGCTTTACGACCAGA-3’</w:t>
            </w:r>
          </w:p>
        </w:tc>
        <w:tc>
          <w:tcPr>
            <w:tcW w:w="2032" w:type="dxa"/>
          </w:tcPr>
          <w:p w14:paraId="1E14019A" w14:textId="77777777" w:rsidR="00E3736B" w:rsidRPr="00386902" w:rsidRDefault="00E3736B" w:rsidP="00195638">
            <w:pPr>
              <w:autoSpaceDE w:val="0"/>
              <w:autoSpaceDN w:val="0"/>
              <w:adjustRightInd w:val="0"/>
              <w:rPr>
                <w:sz w:val="18"/>
                <w:szCs w:val="18"/>
              </w:rPr>
            </w:pPr>
            <w:r w:rsidRPr="00386902">
              <w:rPr>
                <w:sz w:val="18"/>
                <w:szCs w:val="18"/>
              </w:rPr>
              <w:t>95</w:t>
            </w:r>
            <w:r w:rsidRPr="00386902">
              <w:rPr>
                <w:color w:val="000000" w:themeColor="text1"/>
                <w:sz w:val="18"/>
                <w:szCs w:val="18"/>
              </w:rPr>
              <w:t>°</w:t>
            </w:r>
            <w:r w:rsidRPr="00386902">
              <w:rPr>
                <w:sz w:val="18"/>
                <w:szCs w:val="18"/>
              </w:rPr>
              <w:t xml:space="preserve">C for 10 min </w:t>
            </w:r>
          </w:p>
          <w:p w14:paraId="008E2DE7" w14:textId="77777777" w:rsidR="00E3736B" w:rsidRPr="00386902" w:rsidRDefault="00E3736B" w:rsidP="00195638">
            <w:pPr>
              <w:autoSpaceDE w:val="0"/>
              <w:autoSpaceDN w:val="0"/>
              <w:adjustRightInd w:val="0"/>
              <w:rPr>
                <w:sz w:val="18"/>
                <w:szCs w:val="18"/>
              </w:rPr>
            </w:pPr>
            <w:r w:rsidRPr="00386902">
              <w:rPr>
                <w:sz w:val="18"/>
                <w:szCs w:val="18"/>
              </w:rPr>
              <w:t>40 cycles:  95</w:t>
            </w:r>
            <w:r w:rsidRPr="00386902">
              <w:rPr>
                <w:color w:val="000000" w:themeColor="text1"/>
                <w:sz w:val="18"/>
                <w:szCs w:val="18"/>
              </w:rPr>
              <w:t>°</w:t>
            </w:r>
            <w:r w:rsidRPr="00386902">
              <w:rPr>
                <w:sz w:val="18"/>
                <w:szCs w:val="18"/>
              </w:rPr>
              <w:t>C for 10 sec, 58</w:t>
            </w:r>
            <w:r w:rsidRPr="00386902">
              <w:rPr>
                <w:color w:val="000000" w:themeColor="text1"/>
                <w:sz w:val="18"/>
                <w:szCs w:val="18"/>
              </w:rPr>
              <w:t>°</w:t>
            </w:r>
            <w:r w:rsidRPr="00386902">
              <w:rPr>
                <w:sz w:val="18"/>
                <w:szCs w:val="18"/>
              </w:rPr>
              <w:t>C for 10 sec, 72</w:t>
            </w:r>
            <w:r w:rsidRPr="00386902">
              <w:rPr>
                <w:color w:val="000000" w:themeColor="text1"/>
                <w:sz w:val="18"/>
                <w:szCs w:val="18"/>
              </w:rPr>
              <w:t>°</w:t>
            </w:r>
            <w:r w:rsidRPr="00386902">
              <w:rPr>
                <w:sz w:val="18"/>
                <w:szCs w:val="18"/>
              </w:rPr>
              <w:t>C for 10 sec</w:t>
            </w:r>
          </w:p>
        </w:tc>
        <w:tc>
          <w:tcPr>
            <w:tcW w:w="1087" w:type="dxa"/>
          </w:tcPr>
          <w:p w14:paraId="6983B48B" w14:textId="77777777" w:rsidR="00E3736B" w:rsidRPr="00386902" w:rsidRDefault="00E3736B" w:rsidP="00195638">
            <w:pPr>
              <w:autoSpaceDE w:val="0"/>
              <w:autoSpaceDN w:val="0"/>
              <w:adjustRightInd w:val="0"/>
              <w:jc w:val="center"/>
              <w:rPr>
                <w:sz w:val="18"/>
                <w:szCs w:val="18"/>
              </w:rPr>
            </w:pPr>
            <w:r w:rsidRPr="00386902">
              <w:rPr>
                <w:sz w:val="18"/>
                <w:szCs w:val="18"/>
              </w:rPr>
              <w:fldChar w:fldCharType="begin" w:fldLock="1"/>
            </w:r>
            <w:r w:rsidRPr="00386902">
              <w:rPr>
                <w:sz w:val="18"/>
                <w:szCs w:val="18"/>
              </w:rPr>
              <w:instrText>ADDIN CSL_CITATION { "citationItems" : [ { "id" : "ITEM-1", "itemData" : { "DOI" : "10.1186/1743-422X-9-27", "ISBN" : "1743-422X (Electronic)\r1743-422X (Linking)", "PMID" : "22264275", "abstract" : "BACKGROUND: Yellow Fever virus (YFV) is an important arboviral pathogen in much of sub-Saharan Africa and the tropical Americas. It is the prototype member of the genus Flavivirus and is transmitted primarily by Aedes (Stegomyia) mosquitoes. The incidence of human infections in endemic areas has risen in recent years. Prompt and dependable identification of YFV is a critical component of response to suspect cases. RESULTS: We developed a one-step SYBR Green I-based real-time quantitative RT-PCR (qRT-PCR) assay targeting the 5'NTR and capsid-gene junction--for rapid detection and quantification of YFV. The detection limit was 1 PFU/mL, 10-fold more sensitive than conventional RT-PCR, and there was no cross-reactivity with closely related flaviviruses or with alphaviruses. Viral load in samples was determined by standard curve plotted from cycle threshold (Ct) values and virus concentration. The efficacy of the assay in mosquitoes was assessed with spiked samples. The utility of the assay for screening of pooled mosquitoes was also confirmed. Replication of a Cameroon isolate of YFV in Ae. aegypti revealed a marked variation in susceptibility among different colonies at different days post infection (pi). CONCLUSIONS: The SYBR Green-1 based qRT-PCR assay is a faster, simpler, more sensitive and less expensive procedure for detection and quantification of YFV than other currently used methods.", "author" : [ { "dropping-particle" : "", "family" : "Dash", "given" : "P K", "non-dropping-particle" : "", "parse-names" : false, "suffix" : "" }, { "dropping-particle" : "", "family" : "Boutonnier", "given" : "A", "non-dropping-particle" : "", "parse-names" : false, "suffix" : "" }, { "dropping-particle" : "", "family" : "Prina", "given" : "E", "non-dropping-particle" : "", "parse-names" : false, "suffix" : "" }, { "dropping-particle" : "", "family" : "Sharma", "given" : "S", "non-dropping-particle" : "", "parse-names" : false, "suffix" : "" }, { "dropping-particle" : "", "family" : "Reiter", "given" : "P", "non-dropping-particle" : "", "parse-names" : false, "suffix" : "" } ], "container-title" : "Virol J", "edition" : "2012/01/24", "id" : "ITEM-1", "issued" : { "date-parts" : [ [ "2012" ] ] }, "note" : "Dash, Paban Kumar\nBoutonnier, Alain\nPrina, Eric\nSharma, Shashi\nReiter, Paul\neng\nEngland\nVirol J. 2012 Jan 22;9:27. doi: 10.1186/1743-422X-9-27.", "page" : "27", "title" : "Development of a SYBR green I based RT-PCR assay for yellow fever virus: application in assessment of YFV infection in Aedes aegypti", "type" : "article-journal", "volume" : "9" }, "uris" : [ "http://www.mendeley.com/documents/?uuid=0efb7c13-85c6-429b-a66c-bbcbac4e3a59" ] } ], "mendeley" : { "formattedCitation" : "[5]", "plainTextFormattedCitation" : "[5]", "previouslyFormattedCitation" : "&lt;sup&gt;5&lt;/sup&gt;" }, "properties" : {  }, "schema" : "https://github.com/citation-style-language/schema/raw/master/csl-citation.json" }</w:instrText>
            </w:r>
            <w:r w:rsidRPr="00386902">
              <w:rPr>
                <w:sz w:val="18"/>
                <w:szCs w:val="18"/>
              </w:rPr>
              <w:fldChar w:fldCharType="separate"/>
            </w:r>
            <w:r w:rsidRPr="00386902">
              <w:rPr>
                <w:noProof/>
                <w:sz w:val="18"/>
                <w:szCs w:val="18"/>
              </w:rPr>
              <w:t>[5]</w:t>
            </w:r>
            <w:r w:rsidRPr="00386902">
              <w:rPr>
                <w:sz w:val="18"/>
                <w:szCs w:val="18"/>
              </w:rPr>
              <w:fldChar w:fldCharType="end"/>
            </w:r>
          </w:p>
        </w:tc>
      </w:tr>
      <w:tr w:rsidR="00E3736B" w:rsidRPr="00386902" w14:paraId="233D257B" w14:textId="77777777" w:rsidTr="00195638">
        <w:trPr>
          <w:trHeight w:val="803"/>
        </w:trPr>
        <w:tc>
          <w:tcPr>
            <w:tcW w:w="1061" w:type="dxa"/>
          </w:tcPr>
          <w:p w14:paraId="5BA1FEDC" w14:textId="77777777" w:rsidR="00E3736B" w:rsidRPr="00386902" w:rsidRDefault="00E3736B" w:rsidP="00195638">
            <w:pPr>
              <w:autoSpaceDE w:val="0"/>
              <w:autoSpaceDN w:val="0"/>
              <w:adjustRightInd w:val="0"/>
              <w:rPr>
                <w:sz w:val="18"/>
                <w:szCs w:val="18"/>
              </w:rPr>
            </w:pPr>
            <w:r w:rsidRPr="00386902">
              <w:rPr>
                <w:sz w:val="18"/>
                <w:szCs w:val="18"/>
              </w:rPr>
              <w:t>RVFV</w:t>
            </w:r>
          </w:p>
        </w:tc>
        <w:tc>
          <w:tcPr>
            <w:tcW w:w="4658" w:type="dxa"/>
          </w:tcPr>
          <w:p w14:paraId="70BB2758" w14:textId="77777777" w:rsidR="00E3736B" w:rsidRPr="00386902" w:rsidRDefault="00E3736B" w:rsidP="00195638">
            <w:pPr>
              <w:autoSpaceDE w:val="0"/>
              <w:autoSpaceDN w:val="0"/>
              <w:adjustRightInd w:val="0"/>
              <w:rPr>
                <w:sz w:val="18"/>
                <w:szCs w:val="18"/>
              </w:rPr>
            </w:pPr>
            <w:r w:rsidRPr="00386902">
              <w:rPr>
                <w:sz w:val="18"/>
                <w:szCs w:val="18"/>
              </w:rPr>
              <w:t>5’-CTAGCCGTTTCACAAACTGGG-3’</w:t>
            </w:r>
          </w:p>
          <w:p w14:paraId="56E14A9C" w14:textId="77777777" w:rsidR="00E3736B" w:rsidRPr="00386902" w:rsidRDefault="00E3736B" w:rsidP="00195638">
            <w:pPr>
              <w:autoSpaceDE w:val="0"/>
              <w:autoSpaceDN w:val="0"/>
              <w:adjustRightInd w:val="0"/>
              <w:rPr>
                <w:sz w:val="18"/>
                <w:szCs w:val="18"/>
              </w:rPr>
            </w:pPr>
            <w:r w:rsidRPr="00386902">
              <w:rPr>
                <w:sz w:val="18"/>
                <w:szCs w:val="18"/>
              </w:rPr>
              <w:t>5’-GACTGARGAYTCTGAATTGCACC-3’</w:t>
            </w:r>
          </w:p>
        </w:tc>
        <w:tc>
          <w:tcPr>
            <w:tcW w:w="2032" w:type="dxa"/>
          </w:tcPr>
          <w:p w14:paraId="1BF83564" w14:textId="77777777" w:rsidR="00E3736B" w:rsidRPr="00386902" w:rsidRDefault="00E3736B" w:rsidP="00195638">
            <w:pPr>
              <w:autoSpaceDE w:val="0"/>
              <w:autoSpaceDN w:val="0"/>
              <w:adjustRightInd w:val="0"/>
              <w:rPr>
                <w:sz w:val="18"/>
                <w:szCs w:val="18"/>
              </w:rPr>
            </w:pPr>
            <w:r w:rsidRPr="00386902">
              <w:rPr>
                <w:sz w:val="18"/>
                <w:szCs w:val="18"/>
              </w:rPr>
              <w:t>95</w:t>
            </w:r>
            <w:r w:rsidRPr="00386902">
              <w:rPr>
                <w:color w:val="000000" w:themeColor="text1"/>
                <w:sz w:val="18"/>
                <w:szCs w:val="18"/>
              </w:rPr>
              <w:t>°</w:t>
            </w:r>
            <w:r w:rsidRPr="00386902">
              <w:rPr>
                <w:sz w:val="18"/>
                <w:szCs w:val="18"/>
              </w:rPr>
              <w:t xml:space="preserve">C for 10 min </w:t>
            </w:r>
          </w:p>
          <w:p w14:paraId="1C24F454" w14:textId="77777777" w:rsidR="00E3736B" w:rsidRPr="00386902" w:rsidRDefault="00E3736B" w:rsidP="00195638">
            <w:pPr>
              <w:autoSpaceDE w:val="0"/>
              <w:autoSpaceDN w:val="0"/>
              <w:adjustRightInd w:val="0"/>
              <w:rPr>
                <w:sz w:val="18"/>
                <w:szCs w:val="18"/>
              </w:rPr>
            </w:pPr>
            <w:r w:rsidRPr="00386902">
              <w:rPr>
                <w:sz w:val="18"/>
                <w:szCs w:val="18"/>
              </w:rPr>
              <w:t>45 cycles: 95</w:t>
            </w:r>
            <w:r w:rsidRPr="00386902">
              <w:rPr>
                <w:color w:val="000000" w:themeColor="text1"/>
                <w:sz w:val="18"/>
                <w:szCs w:val="18"/>
              </w:rPr>
              <w:t>°</w:t>
            </w:r>
            <w:r w:rsidRPr="00386902">
              <w:rPr>
                <w:sz w:val="18"/>
                <w:szCs w:val="18"/>
              </w:rPr>
              <w:t>C for 10 sec, 60</w:t>
            </w:r>
            <w:r w:rsidRPr="00386902">
              <w:rPr>
                <w:color w:val="000000" w:themeColor="text1"/>
                <w:sz w:val="18"/>
                <w:szCs w:val="18"/>
              </w:rPr>
              <w:t>°</w:t>
            </w:r>
            <w:r w:rsidRPr="00386902">
              <w:rPr>
                <w:sz w:val="18"/>
                <w:szCs w:val="18"/>
              </w:rPr>
              <w:t>C for 10 sec, 72</w:t>
            </w:r>
            <w:r w:rsidRPr="00386902">
              <w:rPr>
                <w:color w:val="000000" w:themeColor="text1"/>
                <w:sz w:val="18"/>
                <w:szCs w:val="18"/>
              </w:rPr>
              <w:t>°</w:t>
            </w:r>
            <w:r w:rsidRPr="00386902">
              <w:rPr>
                <w:sz w:val="18"/>
                <w:szCs w:val="18"/>
              </w:rPr>
              <w:t>C for 20 sec</w:t>
            </w:r>
          </w:p>
        </w:tc>
        <w:tc>
          <w:tcPr>
            <w:tcW w:w="1087" w:type="dxa"/>
          </w:tcPr>
          <w:p w14:paraId="50BDFA6E" w14:textId="77777777" w:rsidR="00E3736B" w:rsidRPr="00386902" w:rsidRDefault="00E3736B" w:rsidP="00195638">
            <w:pPr>
              <w:autoSpaceDE w:val="0"/>
              <w:autoSpaceDN w:val="0"/>
              <w:adjustRightInd w:val="0"/>
              <w:jc w:val="center"/>
              <w:rPr>
                <w:sz w:val="18"/>
                <w:szCs w:val="18"/>
              </w:rPr>
            </w:pPr>
            <w:r w:rsidRPr="00386902">
              <w:rPr>
                <w:sz w:val="18"/>
                <w:szCs w:val="18"/>
              </w:rPr>
              <w:fldChar w:fldCharType="begin" w:fldLock="1"/>
            </w:r>
            <w:r w:rsidRPr="00386902">
              <w:rPr>
                <w:sz w:val="18"/>
                <w:szCs w:val="18"/>
              </w:rPr>
              <w:instrText>ADDIN CSL_CITATION { "citationItems" : [ { "id" : "ITEM-1", "itemData" : { "DOI" : "10.1016/j.jviromet.2013.10.001", "ISBN" : "0166-0934", "ISSN" : "01660934", "PMID" : "24120571", "abstract" : "In recent years, Madagascar and the Comoros archipelago have been affected by epidemics of Rift Valley fever (RVF), however detection of Rift Valley fever virus (RVFV) in zebu, sheep and goats during the post epidemic periods was frequently unsuccessful. Thus, a highly sensitive real-time RT-PCR assay was developed for the detection of RVFV at low viral loads. A new RVF SYBR Green RT-PCR targeting the M segment was tested on serum from different RVF seronegative ruminant species collected from May 2010 to August 2011 in Madagascar and the Comoros archipelago and compared with a RVF specific quantitative real time RT-PCR technique, which is considered as the reference technique. The specificity was tested on a wide range of arboviruses or other viruses giving RVF similar clinical signs. A total of 38 out of 2756 serum samples tested positive with the new RT-PCR, whereas the reference technique only detected 5 out of the 2756. The described RT-PCR is an efficient diagnostic tool for the investigation of enzootic circulation of the RVF virus. It allows the detection of low viral RNA loads adapted for the investigations of reservoirs or specific epidemiological situations such as inter-epizootic periods.", "author" : [ { "dropping-particle" : "", "family" : "Maquart", "given" : "Marianne", "non-dropping-particle" : "", "parse-names" : false, "suffix" : "" }, { "dropping-particle" : "", "family" : "Temmam", "given" : "Sarah", "non-dropping-particle" : "", "parse-names" : false, "suffix" : "" }, { "dropping-particle" : "", "family" : "H\u00e9raud", "given" : "Jean-Michel", "non-dropping-particle" : "", "parse-names" : false, "suffix" : "" }, { "dropping-particle" : "", "family" : "Leparc-Goffart", "given" : "Isabelle", "non-dropping-particle" : "", "parse-names" : false, "suffix" : "" }, { "dropping-particle" : "", "family" : "C\u00eatre-Sossah", "given" : "Catherine", "non-dropping-particle" : "", "parse-names" : false, "suffix" : "" }, { "dropping-particle" : "", "family" : "Dellagi", "given" : "Koussay", "non-dropping-particle" : "", "parse-names" : false, "suffix" : "" }, { "dropping-particle" : "", "family" : "Cardinale", "given" : "Eric", "non-dropping-particle" : "", "parse-names" : false, "suffix" : "" }, { "dropping-particle" : "", "family" : "Pascalis", "given" : "Herv\u00e9", "non-dropping-particle" : "", "parse-names" : false, "suffix" : "" } ], "container-title" : "Journal of Virological Methods", "id" : "ITEM-1", "issued" : { "date-parts" : [ [ "2014" ] ] }, "page" : "92-99", "title" : "Development of real-time RT-PCR for the detection of low concentrations of Rift Valley fever virus", "type" : "article-journal", "volume" : "195" }, "uris" : [ "http://www.mendeley.com/documents/?uuid=8420b56d-1731-489f-8a99-1e727c200278" ] } ], "mendeley" : { "formattedCitation" : "[6]", "plainTextFormattedCitation" : "[6]", "previouslyFormattedCitation" : "&lt;sup&gt;6&lt;/sup&gt;" }, "properties" : {  }, "schema" : "https://github.com/citation-style-language/schema/raw/master/csl-citation.json" }</w:instrText>
            </w:r>
            <w:r w:rsidRPr="00386902">
              <w:rPr>
                <w:sz w:val="18"/>
                <w:szCs w:val="18"/>
              </w:rPr>
              <w:fldChar w:fldCharType="separate"/>
            </w:r>
            <w:r w:rsidRPr="00386902">
              <w:rPr>
                <w:noProof/>
                <w:sz w:val="18"/>
                <w:szCs w:val="18"/>
              </w:rPr>
              <w:t>[6]</w:t>
            </w:r>
            <w:r w:rsidRPr="00386902">
              <w:rPr>
                <w:sz w:val="18"/>
                <w:szCs w:val="18"/>
              </w:rPr>
              <w:fldChar w:fldCharType="end"/>
            </w:r>
          </w:p>
        </w:tc>
      </w:tr>
    </w:tbl>
    <w:p w14:paraId="7BD39926" w14:textId="77777777" w:rsidR="00E3736B" w:rsidRPr="00386902" w:rsidRDefault="00E3736B" w:rsidP="00E3736B">
      <w:pPr>
        <w:rPr>
          <w:sz w:val="20"/>
          <w:szCs w:val="20"/>
        </w:rPr>
      </w:pPr>
    </w:p>
    <w:p w14:paraId="7FA75337" w14:textId="77777777" w:rsidR="00E3736B" w:rsidRPr="00386902" w:rsidRDefault="00E3736B" w:rsidP="00E3736B">
      <w:pPr>
        <w:widowControl w:val="0"/>
        <w:autoSpaceDE w:val="0"/>
        <w:autoSpaceDN w:val="0"/>
        <w:adjustRightInd w:val="0"/>
        <w:ind w:left="640" w:hanging="640"/>
        <w:rPr>
          <w:noProof/>
          <w:sz w:val="20"/>
          <w:lang w:val="en-US"/>
        </w:rPr>
      </w:pPr>
      <w:r w:rsidRPr="00386902">
        <w:rPr>
          <w:sz w:val="20"/>
          <w:szCs w:val="20"/>
        </w:rPr>
        <w:fldChar w:fldCharType="begin" w:fldLock="1"/>
      </w:r>
      <w:r w:rsidRPr="00386902">
        <w:rPr>
          <w:sz w:val="20"/>
          <w:szCs w:val="20"/>
        </w:rPr>
        <w:instrText xml:space="preserve">ADDIN Mendeley Bibliography CSL_BIBLIOGRAPHY </w:instrText>
      </w:r>
      <w:r w:rsidRPr="00386902">
        <w:rPr>
          <w:sz w:val="20"/>
          <w:szCs w:val="20"/>
        </w:rPr>
        <w:fldChar w:fldCharType="separate"/>
      </w:r>
      <w:r w:rsidRPr="00386902">
        <w:rPr>
          <w:noProof/>
          <w:sz w:val="20"/>
          <w:lang w:val="en-US"/>
        </w:rPr>
        <w:t xml:space="preserve">1. </w:t>
      </w:r>
      <w:r w:rsidRPr="00386902">
        <w:rPr>
          <w:noProof/>
          <w:sz w:val="20"/>
          <w:lang w:val="en-US"/>
        </w:rPr>
        <w:tab/>
        <w:t>Lai YL, Chung YK, Tan HC, Yap HF, Yap G, Ooi EE, et al. Cost-effective real-time reverse transcriptase PCR (RT-PCR) to screen for Dengue virus followed by rapid single-tube multiplex RT-PCR for serotyping of the virus. J Clin Microbiol. 2007/01/12. 2007;45: 935–941. doi:10.1128/JCM.01258-06</w:t>
      </w:r>
    </w:p>
    <w:p w14:paraId="51307478" w14:textId="77777777" w:rsidR="00E3736B" w:rsidRPr="00386902" w:rsidRDefault="00E3736B" w:rsidP="00E3736B">
      <w:pPr>
        <w:widowControl w:val="0"/>
        <w:autoSpaceDE w:val="0"/>
        <w:autoSpaceDN w:val="0"/>
        <w:adjustRightInd w:val="0"/>
        <w:ind w:left="640" w:hanging="640"/>
        <w:rPr>
          <w:noProof/>
          <w:sz w:val="20"/>
          <w:lang w:val="en-US"/>
        </w:rPr>
      </w:pPr>
      <w:r w:rsidRPr="00386902">
        <w:rPr>
          <w:noProof/>
          <w:sz w:val="20"/>
          <w:lang w:val="en-US"/>
        </w:rPr>
        <w:t xml:space="preserve">2. </w:t>
      </w:r>
      <w:r w:rsidRPr="00386902">
        <w:rPr>
          <w:noProof/>
          <w:sz w:val="20"/>
          <w:lang w:val="en-US"/>
        </w:rPr>
        <w:tab/>
        <w:t>Lanciotti RS, Kosoy OL, Laven JJ, Velez JO, Lambert AJ, Johnson AJ, et al. Genetic and serologic properties of Zika virus associated with an epidemic, Yap State, Micronesia, 2007. Emerg Infect Dis. 2008;14: 1232–1239. doi:10.3201/eid1408.080287</w:t>
      </w:r>
    </w:p>
    <w:p w14:paraId="4AF0F370" w14:textId="77777777" w:rsidR="00E3736B" w:rsidRPr="00386902" w:rsidRDefault="00E3736B" w:rsidP="00E3736B">
      <w:pPr>
        <w:widowControl w:val="0"/>
        <w:autoSpaceDE w:val="0"/>
        <w:autoSpaceDN w:val="0"/>
        <w:adjustRightInd w:val="0"/>
        <w:ind w:left="640" w:hanging="640"/>
        <w:rPr>
          <w:noProof/>
          <w:sz w:val="20"/>
          <w:lang w:val="en-US"/>
        </w:rPr>
      </w:pPr>
      <w:r w:rsidRPr="00386902">
        <w:rPr>
          <w:noProof/>
          <w:sz w:val="20"/>
          <w:lang w:val="en-US"/>
        </w:rPr>
        <w:t xml:space="preserve">3. </w:t>
      </w:r>
      <w:r w:rsidRPr="00386902">
        <w:rPr>
          <w:noProof/>
          <w:sz w:val="20"/>
          <w:lang w:val="en-US"/>
        </w:rPr>
        <w:tab/>
        <w:t xml:space="preserve">Ali UH, Vasan SS, Thayan R, Angamuthu C, Lim LH, Sekaran SD. Development and evaluation of a one-step SYBR-Green I-based real-time RT-PCR assay for the detection and quantification of Chikungunya virus in human, monkey and mosquito samples. Trop Biomed. 2010;27: 611–623. </w:t>
      </w:r>
    </w:p>
    <w:p w14:paraId="18B7F358" w14:textId="77777777" w:rsidR="00E3736B" w:rsidRPr="00386902" w:rsidRDefault="00E3736B" w:rsidP="00E3736B">
      <w:pPr>
        <w:widowControl w:val="0"/>
        <w:autoSpaceDE w:val="0"/>
        <w:autoSpaceDN w:val="0"/>
        <w:adjustRightInd w:val="0"/>
        <w:ind w:left="640" w:hanging="640"/>
        <w:rPr>
          <w:noProof/>
          <w:sz w:val="20"/>
          <w:lang w:val="en-US"/>
        </w:rPr>
      </w:pPr>
      <w:r w:rsidRPr="00386902">
        <w:rPr>
          <w:noProof/>
          <w:sz w:val="20"/>
          <w:lang w:val="en-US"/>
        </w:rPr>
        <w:t xml:space="preserve">4. </w:t>
      </w:r>
      <w:r w:rsidRPr="00386902">
        <w:rPr>
          <w:noProof/>
          <w:sz w:val="20"/>
          <w:lang w:val="en-US"/>
        </w:rPr>
        <w:tab/>
        <w:t>Linke S, Ellerbrok H, Niedrig M, Nitsche A, Pauli G. Detection of West Nile virus lineages 1 and 2 by real-time PCR. J Virol Methods. 2007;146: 355–358. doi:10.1016/j.jviromet.2007.05.021</w:t>
      </w:r>
    </w:p>
    <w:p w14:paraId="63FF40C5" w14:textId="77777777" w:rsidR="00E3736B" w:rsidRPr="00386902" w:rsidRDefault="00E3736B" w:rsidP="00E3736B">
      <w:pPr>
        <w:widowControl w:val="0"/>
        <w:autoSpaceDE w:val="0"/>
        <w:autoSpaceDN w:val="0"/>
        <w:adjustRightInd w:val="0"/>
        <w:ind w:left="640" w:hanging="640"/>
        <w:rPr>
          <w:noProof/>
          <w:sz w:val="20"/>
          <w:lang w:val="en-US"/>
        </w:rPr>
      </w:pPr>
      <w:r w:rsidRPr="00386902">
        <w:rPr>
          <w:noProof/>
          <w:sz w:val="20"/>
          <w:lang w:val="en-US"/>
        </w:rPr>
        <w:t xml:space="preserve">5. </w:t>
      </w:r>
      <w:r w:rsidRPr="00386902">
        <w:rPr>
          <w:noProof/>
          <w:sz w:val="20"/>
          <w:lang w:val="en-US"/>
        </w:rPr>
        <w:tab/>
        <w:t>Dash PK, Boutonnier A, Prina E, Sharma S, Reiter P. Development of a SYBR green I based RT-PCR assay for yellow fever virus: application in assessment of YFV infection in Aedes aegypti. Virol J. 2012/01/24. 2012;9: 27. doi:10.1186/1743-422X-9-27</w:t>
      </w:r>
    </w:p>
    <w:p w14:paraId="5264C28C" w14:textId="77777777" w:rsidR="00E3736B" w:rsidRPr="00386902" w:rsidRDefault="00E3736B" w:rsidP="00E3736B">
      <w:pPr>
        <w:widowControl w:val="0"/>
        <w:autoSpaceDE w:val="0"/>
        <w:autoSpaceDN w:val="0"/>
        <w:adjustRightInd w:val="0"/>
        <w:ind w:left="640" w:hanging="640"/>
        <w:rPr>
          <w:noProof/>
          <w:sz w:val="20"/>
        </w:rPr>
      </w:pPr>
      <w:r w:rsidRPr="00386902">
        <w:rPr>
          <w:noProof/>
          <w:sz w:val="20"/>
          <w:lang w:val="en-US"/>
        </w:rPr>
        <w:t xml:space="preserve">6. </w:t>
      </w:r>
      <w:r w:rsidRPr="00386902">
        <w:rPr>
          <w:noProof/>
          <w:sz w:val="20"/>
          <w:lang w:val="en-US"/>
        </w:rPr>
        <w:tab/>
        <w:t>Maquart M, Temmam S, Héraud J-M, Leparc-Goffart I, Cêtre-Sossah C, Dellagi K, et al. Development of real-time RT-PCR for the detection of low concentrations of Rift Valley fever virus. J Virol Methods. 2014;195: 92–99. doi:10.1016/j.jviromet.2013.10.001</w:t>
      </w:r>
    </w:p>
    <w:p w14:paraId="7E884DCC" w14:textId="77777777" w:rsidR="00E3736B" w:rsidRPr="00386902" w:rsidRDefault="00E3736B" w:rsidP="00E3736B">
      <w:pPr>
        <w:widowControl w:val="0"/>
        <w:autoSpaceDE w:val="0"/>
        <w:autoSpaceDN w:val="0"/>
        <w:adjustRightInd w:val="0"/>
        <w:ind w:left="640" w:hanging="640"/>
        <w:rPr>
          <w:sz w:val="20"/>
          <w:szCs w:val="20"/>
        </w:rPr>
      </w:pPr>
      <w:r w:rsidRPr="00386902">
        <w:rPr>
          <w:sz w:val="20"/>
          <w:szCs w:val="20"/>
        </w:rPr>
        <w:fldChar w:fldCharType="end"/>
      </w:r>
    </w:p>
    <w:p w14:paraId="1675EB16" w14:textId="77777777" w:rsidR="00E3736B" w:rsidRDefault="00E3736B" w:rsidP="00202453">
      <w:pPr>
        <w:rPr>
          <w:rFonts w:ascii="Arial" w:hAnsi="Arial" w:cs="Arial"/>
          <w:b/>
          <w:sz w:val="28"/>
          <w:szCs w:val="28"/>
          <w:u w:val="single"/>
        </w:rPr>
      </w:pPr>
      <w:bookmarkStart w:id="0" w:name="_Toc413226577"/>
      <w:bookmarkStart w:id="1" w:name="_GoBack"/>
      <w:bookmarkEnd w:id="0"/>
      <w:bookmarkEnd w:id="1"/>
    </w:p>
    <w:sectPr w:rsidR="00E3736B" w:rsidSect="000A20D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9"/>
    <w:rsid w:val="000112ED"/>
    <w:rsid w:val="000A20DC"/>
    <w:rsid w:val="00202453"/>
    <w:rsid w:val="00300A7C"/>
    <w:rsid w:val="004003D8"/>
    <w:rsid w:val="00507DB7"/>
    <w:rsid w:val="00517EFF"/>
    <w:rsid w:val="00593AC7"/>
    <w:rsid w:val="006F6FB0"/>
    <w:rsid w:val="007573FB"/>
    <w:rsid w:val="007E5377"/>
    <w:rsid w:val="00814695"/>
    <w:rsid w:val="008E609B"/>
    <w:rsid w:val="00B4421A"/>
    <w:rsid w:val="00BE1865"/>
    <w:rsid w:val="00C85129"/>
    <w:rsid w:val="00E3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66F8"/>
  <w14:defaultImageDpi w14:val="32767"/>
  <w15:chartTrackingRefBased/>
  <w15:docId w15:val="{B518DD26-9F5A-E84B-8B2C-2276BF3A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0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8E609B"/>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6F6FB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Table"/>
    <w:basedOn w:val="Normal"/>
    <w:next w:val="Normal"/>
    <w:link w:val="SubtitleChar"/>
    <w:uiPriority w:val="11"/>
    <w:qFormat/>
    <w:rsid w:val="006F6FB0"/>
    <w:pPr>
      <w:numPr>
        <w:ilvl w:val="1"/>
      </w:numPr>
      <w:spacing w:before="60" w:after="60"/>
    </w:pPr>
    <w:rPr>
      <w:rFonts w:ascii="Arial" w:eastAsiaTheme="minorEastAsia" w:hAnsi="Arial" w:cstheme="minorBidi"/>
      <w:color w:val="5A5A5A" w:themeColor="text1" w:themeTint="A5"/>
      <w:spacing w:val="10"/>
      <w:sz w:val="16"/>
      <w:szCs w:val="22"/>
      <w:lang w:val="en-US" w:eastAsia="ja-JP"/>
    </w:rPr>
  </w:style>
  <w:style w:type="character" w:customStyle="1" w:styleId="SubtitleChar">
    <w:name w:val="Subtitle Char"/>
    <w:aliases w:val="Table Char"/>
    <w:basedOn w:val="DefaultParagraphFont"/>
    <w:link w:val="Subtitle"/>
    <w:uiPriority w:val="11"/>
    <w:rsid w:val="006F6FB0"/>
    <w:rPr>
      <w:rFonts w:ascii="Arial" w:eastAsiaTheme="minorEastAsia" w:hAnsi="Arial"/>
      <w:color w:val="5A5A5A" w:themeColor="text1" w:themeTint="A5"/>
      <w:spacing w:val="10"/>
      <w:sz w:val="16"/>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3049</Words>
  <Characters>17385</Characters>
  <Application>Microsoft Office Word</Application>
  <DocSecurity>0</DocSecurity>
  <Lines>144</Lines>
  <Paragraphs>40</Paragraphs>
  <ScaleCrop>false</ScaleCrop>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Messenger</dc:creator>
  <cp:keywords/>
  <dc:description/>
  <cp:lastModifiedBy>Louisa Messenger</cp:lastModifiedBy>
  <cp:revision>11</cp:revision>
  <dcterms:created xsi:type="dcterms:W3CDTF">2018-09-09T19:51:00Z</dcterms:created>
  <dcterms:modified xsi:type="dcterms:W3CDTF">2019-01-15T22:44:00Z</dcterms:modified>
</cp:coreProperties>
</file>