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28" w:rsidRPr="00C2550A" w:rsidRDefault="00D22B28" w:rsidP="008B0651">
      <w:pPr>
        <w:spacing w:line="360" w:lineRule="auto"/>
        <w:rPr>
          <w:b/>
          <w:color w:val="000000" w:themeColor="text1"/>
          <w:sz w:val="24"/>
        </w:rPr>
      </w:pPr>
      <w:r w:rsidRPr="00C2550A">
        <w:rPr>
          <w:rFonts w:hint="eastAsia"/>
          <w:b/>
          <w:color w:val="000000" w:themeColor="text1"/>
          <w:sz w:val="24"/>
        </w:rPr>
        <w:t>Supplementary methods</w:t>
      </w:r>
    </w:p>
    <w:p w:rsidR="00D22B28" w:rsidRPr="008B0651" w:rsidRDefault="00D22B28" w:rsidP="008B0651">
      <w:pPr>
        <w:spacing w:line="360" w:lineRule="auto"/>
        <w:rPr>
          <w:b/>
        </w:rPr>
      </w:pPr>
      <w:r w:rsidRPr="00C2550A">
        <w:rPr>
          <w:rFonts w:hint="eastAsia"/>
          <w:b/>
          <w:color w:val="000000" w:themeColor="text1"/>
          <w:sz w:val="24"/>
        </w:rPr>
        <w:t xml:space="preserve">PCR reaction and </w:t>
      </w:r>
      <w:proofErr w:type="spellStart"/>
      <w:r w:rsidR="00C2550A" w:rsidRPr="00C2550A">
        <w:rPr>
          <w:b/>
          <w:color w:val="000000" w:themeColor="text1"/>
          <w:sz w:val="24"/>
        </w:rPr>
        <w:t>Illumina</w:t>
      </w:r>
      <w:proofErr w:type="spellEnd"/>
      <w:r w:rsidR="00C2550A" w:rsidRPr="00C2550A">
        <w:rPr>
          <w:b/>
          <w:color w:val="000000" w:themeColor="text1"/>
          <w:sz w:val="24"/>
        </w:rPr>
        <w:t xml:space="preserve"> </w:t>
      </w:r>
      <w:proofErr w:type="spellStart"/>
      <w:r w:rsidR="00C2550A" w:rsidRPr="00C2550A">
        <w:rPr>
          <w:b/>
          <w:color w:val="000000" w:themeColor="text1"/>
          <w:sz w:val="24"/>
        </w:rPr>
        <w:t>MiSeq</w:t>
      </w:r>
      <w:proofErr w:type="spellEnd"/>
      <w:r w:rsidR="00C2550A" w:rsidRPr="00C2550A">
        <w:rPr>
          <w:b/>
          <w:color w:val="000000" w:themeColor="text1"/>
          <w:sz w:val="24"/>
        </w:rPr>
        <w:t xml:space="preserve"> sequencing</w:t>
      </w:r>
    </w:p>
    <w:p w:rsidR="008D4A34" w:rsidRDefault="008D4A34" w:rsidP="00ED6353">
      <w:pPr>
        <w:spacing w:line="360" w:lineRule="auto"/>
        <w:ind w:firstLineChars="150" w:firstLine="303"/>
        <w:rPr>
          <w:spacing w:val="1"/>
          <w:kern w:val="0"/>
          <w:sz w:val="20"/>
          <w:szCs w:val="20"/>
        </w:rPr>
      </w:pPr>
      <w:r>
        <w:rPr>
          <w:spacing w:val="1"/>
          <w:kern w:val="0"/>
          <w:sz w:val="20"/>
          <w:szCs w:val="20"/>
        </w:rPr>
        <w:t xml:space="preserve">The used primers </w:t>
      </w:r>
      <w:r w:rsidR="00EA18F5">
        <w:rPr>
          <w:spacing w:val="1"/>
          <w:kern w:val="0"/>
          <w:sz w:val="20"/>
          <w:szCs w:val="20"/>
        </w:rPr>
        <w:t xml:space="preserve">and sequencing platform </w:t>
      </w:r>
      <w:r>
        <w:rPr>
          <w:spacing w:val="1"/>
          <w:kern w:val="0"/>
          <w:sz w:val="20"/>
          <w:szCs w:val="20"/>
        </w:rPr>
        <w:t xml:space="preserve">are listed as </w:t>
      </w:r>
      <w:r w:rsidR="00EA18F5">
        <w:rPr>
          <w:spacing w:val="1"/>
          <w:kern w:val="0"/>
          <w:sz w:val="20"/>
          <w:szCs w:val="20"/>
        </w:rPr>
        <w:t xml:space="preserve">the </w:t>
      </w:r>
      <w:r>
        <w:rPr>
          <w:spacing w:val="1"/>
          <w:kern w:val="0"/>
          <w:sz w:val="20"/>
          <w:szCs w:val="20"/>
        </w:rPr>
        <w:t>following table</w:t>
      </w:r>
      <w:r w:rsidR="00EA18F5">
        <w:rPr>
          <w:spacing w:val="1"/>
          <w:kern w:val="0"/>
          <w:sz w:val="20"/>
          <w:szCs w:val="20"/>
        </w:rPr>
        <w:t xml:space="preserve"> 1</w:t>
      </w:r>
      <w:r>
        <w:rPr>
          <w:spacing w:val="1"/>
          <w:kern w:val="0"/>
          <w:sz w:val="20"/>
          <w:szCs w:val="20"/>
        </w:rPr>
        <w:t xml:space="preserve">. </w:t>
      </w:r>
      <w:r w:rsidR="00D22B28" w:rsidRPr="00D22B28">
        <w:rPr>
          <w:spacing w:val="1"/>
          <w:kern w:val="0"/>
          <w:sz w:val="20"/>
          <w:szCs w:val="20"/>
        </w:rPr>
        <w:t xml:space="preserve">PCR was performed using 20-μL reaction mixture containing </w:t>
      </w:r>
      <w:r w:rsidR="00D22B28" w:rsidRPr="00D22B28">
        <w:rPr>
          <w:rFonts w:hint="eastAsia"/>
          <w:spacing w:val="1"/>
          <w:kern w:val="0"/>
          <w:sz w:val="20"/>
          <w:szCs w:val="20"/>
        </w:rPr>
        <w:t>5</w:t>
      </w:r>
      <w:r w:rsidR="00D22B28" w:rsidRPr="00D22B28">
        <w:rPr>
          <w:spacing w:val="1"/>
          <w:kern w:val="0"/>
          <w:sz w:val="20"/>
          <w:szCs w:val="20"/>
        </w:rPr>
        <w:t xml:space="preserve"> </w:t>
      </w:r>
      <w:proofErr w:type="spellStart"/>
      <w:r w:rsidR="00D22B28" w:rsidRPr="00D22B28">
        <w:rPr>
          <w:spacing w:val="1"/>
          <w:kern w:val="0"/>
          <w:sz w:val="20"/>
          <w:szCs w:val="20"/>
        </w:rPr>
        <w:t>μL</w:t>
      </w:r>
      <w:proofErr w:type="spellEnd"/>
      <w:r w:rsidR="00D22B28" w:rsidRPr="00D22B28">
        <w:rPr>
          <w:spacing w:val="1"/>
          <w:kern w:val="0"/>
          <w:sz w:val="20"/>
          <w:szCs w:val="20"/>
        </w:rPr>
        <w:t xml:space="preserve"> of </w:t>
      </w:r>
      <w:r w:rsidR="00D22B28" w:rsidRPr="00D22B28">
        <w:rPr>
          <w:rFonts w:hint="eastAsia"/>
          <w:spacing w:val="1"/>
          <w:kern w:val="0"/>
          <w:sz w:val="20"/>
          <w:szCs w:val="20"/>
        </w:rPr>
        <w:t>2</w:t>
      </w:r>
      <w:r w:rsidR="00D22B28" w:rsidRPr="00D22B28">
        <w:rPr>
          <w:spacing w:val="1"/>
          <w:kern w:val="0"/>
          <w:sz w:val="20"/>
          <w:szCs w:val="20"/>
        </w:rPr>
        <w:t>×</w:t>
      </w:r>
      <w:r w:rsidR="00D22B28" w:rsidRPr="00D22B28">
        <w:rPr>
          <w:rFonts w:hint="eastAsia"/>
          <w:spacing w:val="1"/>
          <w:kern w:val="0"/>
          <w:sz w:val="20"/>
          <w:szCs w:val="20"/>
        </w:rPr>
        <w:t xml:space="preserve"> </w:t>
      </w:r>
      <w:proofErr w:type="spellStart"/>
      <w:r w:rsidR="00D22B28" w:rsidRPr="00D22B28">
        <w:rPr>
          <w:spacing w:val="1"/>
          <w:kern w:val="0"/>
          <w:sz w:val="20"/>
          <w:szCs w:val="20"/>
        </w:rPr>
        <w:t>Taq</w:t>
      </w:r>
      <w:proofErr w:type="spellEnd"/>
      <w:r w:rsidR="00D22B28" w:rsidRPr="00D22B28">
        <w:rPr>
          <w:spacing w:val="1"/>
          <w:kern w:val="0"/>
          <w:sz w:val="20"/>
          <w:szCs w:val="20"/>
        </w:rPr>
        <w:t xml:space="preserve"> PCR Master Mix</w:t>
      </w:r>
      <w:r w:rsidR="00D22B28" w:rsidRPr="00D22B28">
        <w:rPr>
          <w:rFonts w:hint="eastAsia"/>
          <w:spacing w:val="1"/>
          <w:kern w:val="0"/>
          <w:sz w:val="20"/>
          <w:szCs w:val="20"/>
        </w:rPr>
        <w:t xml:space="preserve"> (</w:t>
      </w:r>
      <w:proofErr w:type="spellStart"/>
      <w:r w:rsidR="00D22B28" w:rsidRPr="00D22B28">
        <w:rPr>
          <w:rFonts w:hint="eastAsia"/>
          <w:spacing w:val="1"/>
          <w:kern w:val="0"/>
          <w:sz w:val="20"/>
          <w:szCs w:val="20"/>
        </w:rPr>
        <w:t>Sangon</w:t>
      </w:r>
      <w:proofErr w:type="spellEnd"/>
      <w:r w:rsidR="00D22B28" w:rsidRPr="00D22B28">
        <w:rPr>
          <w:rFonts w:hint="eastAsia"/>
          <w:spacing w:val="1"/>
          <w:kern w:val="0"/>
          <w:sz w:val="20"/>
          <w:szCs w:val="20"/>
        </w:rPr>
        <w:t xml:space="preserve"> Biotech, Shanghai, China)</w:t>
      </w:r>
      <w:r w:rsidR="00D22B28" w:rsidRPr="00D22B28">
        <w:rPr>
          <w:spacing w:val="1"/>
          <w:kern w:val="0"/>
          <w:sz w:val="20"/>
          <w:szCs w:val="20"/>
        </w:rPr>
        <w:t xml:space="preserve">, </w:t>
      </w:r>
      <w:r w:rsidR="00D22B28" w:rsidRPr="00D22B28">
        <w:rPr>
          <w:rFonts w:hint="eastAsia"/>
          <w:spacing w:val="1"/>
          <w:kern w:val="0"/>
          <w:sz w:val="20"/>
          <w:szCs w:val="20"/>
        </w:rPr>
        <w:t>1</w:t>
      </w:r>
      <w:r w:rsidR="00D22B28" w:rsidRPr="00D22B28">
        <w:rPr>
          <w:spacing w:val="1"/>
          <w:kern w:val="0"/>
          <w:sz w:val="20"/>
          <w:szCs w:val="20"/>
        </w:rPr>
        <w:t xml:space="preserve"> </w:t>
      </w:r>
      <w:proofErr w:type="spellStart"/>
      <w:r w:rsidR="00D22B28" w:rsidRPr="00D22B28">
        <w:rPr>
          <w:spacing w:val="1"/>
          <w:kern w:val="0"/>
          <w:sz w:val="20"/>
          <w:szCs w:val="20"/>
        </w:rPr>
        <w:t>μL</w:t>
      </w:r>
      <w:proofErr w:type="spellEnd"/>
      <w:r w:rsidR="00D22B28" w:rsidRPr="00D22B28">
        <w:rPr>
          <w:spacing w:val="1"/>
          <w:kern w:val="0"/>
          <w:sz w:val="20"/>
          <w:szCs w:val="20"/>
        </w:rPr>
        <w:t xml:space="preserve"> of each primer (</w:t>
      </w:r>
      <w:r w:rsidR="00D22B28" w:rsidRPr="00D22B28">
        <w:rPr>
          <w:rFonts w:hint="eastAsia"/>
          <w:spacing w:val="1"/>
          <w:kern w:val="0"/>
          <w:sz w:val="20"/>
          <w:szCs w:val="20"/>
        </w:rPr>
        <w:t>10</w:t>
      </w:r>
      <w:r w:rsidR="00D22B28" w:rsidRPr="00D22B28">
        <w:rPr>
          <w:spacing w:val="1"/>
          <w:kern w:val="0"/>
          <w:sz w:val="20"/>
          <w:szCs w:val="20"/>
        </w:rPr>
        <w:t xml:space="preserve"> </w:t>
      </w:r>
      <w:proofErr w:type="spellStart"/>
      <w:r w:rsidR="00D22B28" w:rsidRPr="00D22B28">
        <w:rPr>
          <w:spacing w:val="1"/>
          <w:kern w:val="0"/>
          <w:sz w:val="20"/>
          <w:szCs w:val="20"/>
        </w:rPr>
        <w:t>μM</w:t>
      </w:r>
      <w:proofErr w:type="spellEnd"/>
      <w:r w:rsidR="00D22B28" w:rsidRPr="00D22B28">
        <w:rPr>
          <w:spacing w:val="1"/>
          <w:kern w:val="0"/>
          <w:sz w:val="20"/>
          <w:szCs w:val="20"/>
        </w:rPr>
        <w:t>), 1</w:t>
      </w:r>
      <w:r w:rsidR="00D22B28" w:rsidRPr="00D22B28">
        <w:rPr>
          <w:rFonts w:hint="eastAsia"/>
          <w:spacing w:val="1"/>
          <w:kern w:val="0"/>
          <w:sz w:val="20"/>
          <w:szCs w:val="20"/>
        </w:rPr>
        <w:t xml:space="preserve"> </w:t>
      </w:r>
      <w:proofErr w:type="spellStart"/>
      <w:r w:rsidR="00D22B28" w:rsidRPr="00D22B28">
        <w:rPr>
          <w:spacing w:val="1"/>
          <w:kern w:val="0"/>
          <w:sz w:val="20"/>
          <w:szCs w:val="20"/>
        </w:rPr>
        <w:t>μL</w:t>
      </w:r>
      <w:proofErr w:type="spellEnd"/>
      <w:r w:rsidR="00D22B28" w:rsidRPr="00D22B28">
        <w:rPr>
          <w:spacing w:val="1"/>
          <w:kern w:val="0"/>
          <w:sz w:val="20"/>
          <w:szCs w:val="20"/>
        </w:rPr>
        <w:t xml:space="preserve"> of template DNA (10 </w:t>
      </w:r>
      <w:proofErr w:type="spellStart"/>
      <w:r w:rsidR="00D22B28" w:rsidRPr="00D22B28">
        <w:rPr>
          <w:spacing w:val="1"/>
          <w:kern w:val="0"/>
          <w:sz w:val="20"/>
          <w:szCs w:val="20"/>
        </w:rPr>
        <w:t>ng</w:t>
      </w:r>
      <w:proofErr w:type="spellEnd"/>
      <w:r w:rsidR="00D22B28" w:rsidRPr="00D22B28">
        <w:rPr>
          <w:spacing w:val="1"/>
          <w:kern w:val="0"/>
          <w:sz w:val="20"/>
          <w:szCs w:val="20"/>
        </w:rPr>
        <w:t>), and sterilized ultrapure water.</w:t>
      </w:r>
      <w:r w:rsidR="00D22B28" w:rsidRPr="00D22B28">
        <w:rPr>
          <w:rFonts w:hint="eastAsia"/>
          <w:spacing w:val="1"/>
          <w:kern w:val="0"/>
          <w:sz w:val="20"/>
          <w:szCs w:val="20"/>
        </w:rPr>
        <w:t xml:space="preserve"> </w:t>
      </w:r>
      <w:r w:rsidR="00D22B28" w:rsidRPr="00D22B28">
        <w:rPr>
          <w:spacing w:val="1"/>
          <w:kern w:val="0"/>
          <w:sz w:val="20"/>
          <w:szCs w:val="20"/>
        </w:rPr>
        <w:t>The PCR conditions were as follows: 9</w:t>
      </w:r>
      <w:r w:rsidR="00D22B28" w:rsidRPr="00D22B28">
        <w:rPr>
          <w:rFonts w:hint="eastAsia"/>
          <w:spacing w:val="1"/>
          <w:kern w:val="0"/>
          <w:sz w:val="20"/>
          <w:szCs w:val="20"/>
        </w:rPr>
        <w:t>4</w:t>
      </w:r>
      <w:r w:rsidR="00D22B28" w:rsidRPr="00D22B28">
        <w:rPr>
          <w:spacing w:val="1"/>
          <w:kern w:val="0"/>
          <w:sz w:val="20"/>
          <w:szCs w:val="20"/>
        </w:rPr>
        <w:t xml:space="preserve"> °C for </w:t>
      </w:r>
      <w:r w:rsidR="00D22B28" w:rsidRPr="00D22B28">
        <w:rPr>
          <w:rFonts w:hint="eastAsia"/>
          <w:spacing w:val="1"/>
          <w:kern w:val="0"/>
          <w:sz w:val="20"/>
          <w:szCs w:val="20"/>
        </w:rPr>
        <w:t>4</w:t>
      </w:r>
      <w:r w:rsidR="00D22B28" w:rsidRPr="00D22B28">
        <w:rPr>
          <w:spacing w:val="1"/>
          <w:kern w:val="0"/>
          <w:sz w:val="20"/>
          <w:szCs w:val="20"/>
        </w:rPr>
        <w:t xml:space="preserve"> min, followed by 35 cycles of</w:t>
      </w:r>
      <w:r w:rsidR="00D22B28" w:rsidRPr="00D22B28">
        <w:rPr>
          <w:rFonts w:hint="eastAsia"/>
          <w:spacing w:val="1"/>
          <w:kern w:val="0"/>
          <w:sz w:val="20"/>
          <w:szCs w:val="20"/>
        </w:rPr>
        <w:t xml:space="preserve"> </w:t>
      </w:r>
      <w:r w:rsidR="00D22B28" w:rsidRPr="00D22B28">
        <w:rPr>
          <w:spacing w:val="1"/>
          <w:kern w:val="0"/>
          <w:sz w:val="20"/>
          <w:szCs w:val="20"/>
        </w:rPr>
        <w:t>9</w:t>
      </w:r>
      <w:r w:rsidR="00D22B28" w:rsidRPr="00D22B28">
        <w:rPr>
          <w:rFonts w:hint="eastAsia"/>
          <w:spacing w:val="1"/>
          <w:kern w:val="0"/>
          <w:sz w:val="20"/>
          <w:szCs w:val="20"/>
        </w:rPr>
        <w:t xml:space="preserve">4 </w:t>
      </w:r>
      <w:r w:rsidR="00A541CA">
        <w:rPr>
          <w:spacing w:val="1"/>
          <w:kern w:val="0"/>
          <w:sz w:val="20"/>
          <w:szCs w:val="20"/>
        </w:rPr>
        <w:t xml:space="preserve">°C for 30 s, </w:t>
      </w:r>
      <w:proofErr w:type="gramStart"/>
      <w:r w:rsidR="00A541CA">
        <w:rPr>
          <w:spacing w:val="1"/>
          <w:kern w:val="0"/>
          <w:sz w:val="20"/>
          <w:szCs w:val="20"/>
        </w:rPr>
        <w:t>annealing</w:t>
      </w:r>
      <w:proofErr w:type="gramEnd"/>
      <w:r w:rsidR="00A541CA">
        <w:rPr>
          <w:spacing w:val="1"/>
          <w:kern w:val="0"/>
          <w:sz w:val="20"/>
          <w:szCs w:val="20"/>
        </w:rPr>
        <w:t xml:space="preserve"> </w:t>
      </w:r>
      <w:r w:rsidR="00D22B28" w:rsidRPr="00D22B28">
        <w:rPr>
          <w:spacing w:val="1"/>
          <w:kern w:val="0"/>
          <w:sz w:val="20"/>
          <w:szCs w:val="20"/>
        </w:rPr>
        <w:t>temp</w:t>
      </w:r>
      <w:r w:rsidR="00D22B28" w:rsidRPr="00D22B28">
        <w:rPr>
          <w:rFonts w:hint="eastAsia"/>
          <w:spacing w:val="1"/>
          <w:kern w:val="0"/>
          <w:sz w:val="20"/>
          <w:szCs w:val="20"/>
        </w:rPr>
        <w:t>erature</w:t>
      </w:r>
      <w:r w:rsidR="00D22B28" w:rsidRPr="00D22B28">
        <w:rPr>
          <w:spacing w:val="1"/>
          <w:kern w:val="0"/>
          <w:sz w:val="20"/>
          <w:szCs w:val="20"/>
        </w:rPr>
        <w:t xml:space="preserve"> for 30 s, and 72</w:t>
      </w:r>
      <w:r w:rsidR="00D22B28" w:rsidRPr="00D22B28">
        <w:rPr>
          <w:rFonts w:hint="eastAsia"/>
          <w:spacing w:val="1"/>
          <w:kern w:val="0"/>
          <w:sz w:val="20"/>
          <w:szCs w:val="20"/>
        </w:rPr>
        <w:t xml:space="preserve"> </w:t>
      </w:r>
      <w:r w:rsidR="00D22B28" w:rsidRPr="00D22B28">
        <w:rPr>
          <w:spacing w:val="1"/>
          <w:kern w:val="0"/>
          <w:sz w:val="20"/>
          <w:szCs w:val="20"/>
        </w:rPr>
        <w:t>°C fo</w:t>
      </w:r>
      <w:r w:rsidR="00D22B28" w:rsidRPr="00EA18F5">
        <w:rPr>
          <w:spacing w:val="1"/>
          <w:kern w:val="0"/>
          <w:szCs w:val="21"/>
        </w:rPr>
        <w:t xml:space="preserve">r </w:t>
      </w:r>
      <w:r w:rsidR="00D22B28" w:rsidRPr="00EA18F5">
        <w:rPr>
          <w:rFonts w:hint="eastAsia"/>
          <w:spacing w:val="1"/>
          <w:kern w:val="0"/>
          <w:szCs w:val="21"/>
        </w:rPr>
        <w:t>30</w:t>
      </w:r>
      <w:r w:rsidR="00D22B28" w:rsidRPr="00EA18F5">
        <w:rPr>
          <w:spacing w:val="1"/>
          <w:kern w:val="0"/>
          <w:szCs w:val="21"/>
        </w:rPr>
        <w:t xml:space="preserve"> s, and a final extension at 72</w:t>
      </w:r>
      <w:r w:rsidR="00D22B28" w:rsidRPr="00EA18F5">
        <w:rPr>
          <w:rFonts w:hint="eastAsia"/>
          <w:spacing w:val="1"/>
          <w:kern w:val="0"/>
          <w:szCs w:val="21"/>
        </w:rPr>
        <w:t xml:space="preserve"> </w:t>
      </w:r>
      <w:r w:rsidR="00D22B28" w:rsidRPr="00EA18F5">
        <w:rPr>
          <w:spacing w:val="1"/>
          <w:kern w:val="0"/>
          <w:szCs w:val="21"/>
        </w:rPr>
        <w:t>°C for 10</w:t>
      </w:r>
      <w:r w:rsidR="00D22B28" w:rsidRPr="00EA18F5">
        <w:rPr>
          <w:rFonts w:hint="eastAsia"/>
          <w:spacing w:val="1"/>
          <w:kern w:val="0"/>
          <w:szCs w:val="21"/>
        </w:rPr>
        <w:t xml:space="preserve"> </w:t>
      </w:r>
      <w:r w:rsidR="00D22B28" w:rsidRPr="00EA18F5">
        <w:rPr>
          <w:spacing w:val="1"/>
          <w:kern w:val="0"/>
          <w:szCs w:val="21"/>
        </w:rPr>
        <w:t>min.</w:t>
      </w:r>
      <w:r w:rsidR="00D22B28" w:rsidRPr="00EA18F5">
        <w:rPr>
          <w:rFonts w:hint="eastAsia"/>
          <w:spacing w:val="1"/>
          <w:kern w:val="0"/>
          <w:szCs w:val="21"/>
        </w:rPr>
        <w:t xml:space="preserve"> </w:t>
      </w:r>
      <w:r w:rsidR="00D22B28" w:rsidRPr="00EA18F5">
        <w:rPr>
          <w:spacing w:val="1"/>
          <w:kern w:val="0"/>
          <w:szCs w:val="21"/>
        </w:rPr>
        <w:t xml:space="preserve">The </w:t>
      </w:r>
      <w:proofErr w:type="spellStart"/>
      <w:r w:rsidR="00D22B28" w:rsidRPr="00EA18F5">
        <w:rPr>
          <w:spacing w:val="1"/>
          <w:kern w:val="0"/>
          <w:szCs w:val="21"/>
        </w:rPr>
        <w:t>amplicons</w:t>
      </w:r>
      <w:proofErr w:type="spellEnd"/>
      <w:r w:rsidR="00D22B28" w:rsidRPr="00EA18F5">
        <w:rPr>
          <w:spacing w:val="1"/>
          <w:kern w:val="0"/>
          <w:szCs w:val="21"/>
        </w:rPr>
        <w:t xml:space="preserve"> were separated by </w:t>
      </w:r>
      <w:r w:rsidR="00D22B28" w:rsidRPr="00EA18F5">
        <w:rPr>
          <w:rFonts w:hint="eastAsia"/>
          <w:spacing w:val="1"/>
          <w:kern w:val="0"/>
          <w:szCs w:val="21"/>
        </w:rPr>
        <w:t>1</w:t>
      </w:r>
      <w:r w:rsidR="00D22B28" w:rsidRPr="00EA18F5">
        <w:rPr>
          <w:spacing w:val="1"/>
          <w:kern w:val="0"/>
          <w:szCs w:val="21"/>
        </w:rPr>
        <w:t xml:space="preserve">% </w:t>
      </w:r>
      <w:proofErr w:type="spellStart"/>
      <w:r w:rsidR="00D22B28" w:rsidRPr="00EA18F5">
        <w:rPr>
          <w:spacing w:val="1"/>
          <w:kern w:val="0"/>
          <w:szCs w:val="21"/>
        </w:rPr>
        <w:t>agarose</w:t>
      </w:r>
      <w:proofErr w:type="spellEnd"/>
      <w:r w:rsidR="00D22B28" w:rsidRPr="00EA18F5">
        <w:rPr>
          <w:spacing w:val="1"/>
          <w:kern w:val="0"/>
          <w:szCs w:val="21"/>
        </w:rPr>
        <w:t xml:space="preserve"> gel electrophoresis, purified using </w:t>
      </w:r>
      <w:proofErr w:type="spellStart"/>
      <w:r w:rsidR="00D22B28" w:rsidRPr="00EA18F5">
        <w:rPr>
          <w:spacing w:val="1"/>
          <w:kern w:val="0"/>
          <w:szCs w:val="21"/>
        </w:rPr>
        <w:t>SanPrep</w:t>
      </w:r>
      <w:proofErr w:type="spellEnd"/>
      <w:r w:rsidR="00D22B28" w:rsidRPr="00EA18F5">
        <w:rPr>
          <w:spacing w:val="1"/>
          <w:kern w:val="0"/>
          <w:szCs w:val="21"/>
        </w:rPr>
        <w:t xml:space="preserve"> Column DNA Gel Extraction Kit</w:t>
      </w:r>
      <w:r w:rsidR="00D22B28" w:rsidRPr="00EA18F5">
        <w:rPr>
          <w:rFonts w:hint="eastAsia"/>
          <w:spacing w:val="1"/>
          <w:kern w:val="0"/>
          <w:szCs w:val="21"/>
        </w:rPr>
        <w:t xml:space="preserve"> (</w:t>
      </w:r>
      <w:proofErr w:type="spellStart"/>
      <w:r w:rsidR="00D22B28" w:rsidRPr="00EA18F5">
        <w:rPr>
          <w:rFonts w:hint="eastAsia"/>
          <w:spacing w:val="1"/>
          <w:kern w:val="0"/>
          <w:szCs w:val="21"/>
        </w:rPr>
        <w:t>Sangon</w:t>
      </w:r>
      <w:proofErr w:type="spellEnd"/>
      <w:r w:rsidR="00D22B28" w:rsidRPr="00EA18F5">
        <w:rPr>
          <w:rFonts w:hint="eastAsia"/>
          <w:spacing w:val="1"/>
          <w:kern w:val="0"/>
          <w:szCs w:val="21"/>
        </w:rPr>
        <w:t xml:space="preserve"> Biotech)</w:t>
      </w:r>
      <w:r w:rsidR="00D22B28" w:rsidRPr="00EA18F5">
        <w:rPr>
          <w:spacing w:val="1"/>
          <w:kern w:val="0"/>
          <w:szCs w:val="21"/>
        </w:rPr>
        <w:t>,</w:t>
      </w:r>
      <w:r w:rsidR="00D22B28" w:rsidRPr="00EA18F5">
        <w:rPr>
          <w:rFonts w:hint="eastAsia"/>
          <w:spacing w:val="1"/>
          <w:kern w:val="0"/>
          <w:szCs w:val="21"/>
        </w:rPr>
        <w:t xml:space="preserve"> </w:t>
      </w:r>
      <w:r w:rsidR="00D22B28" w:rsidRPr="00EA18F5">
        <w:rPr>
          <w:spacing w:val="1"/>
          <w:kern w:val="0"/>
          <w:szCs w:val="21"/>
        </w:rPr>
        <w:t xml:space="preserve">and quantified with </w:t>
      </w:r>
      <w:proofErr w:type="spellStart"/>
      <w:r w:rsidR="00D22B28" w:rsidRPr="00EA18F5">
        <w:rPr>
          <w:spacing w:val="1"/>
          <w:kern w:val="0"/>
          <w:szCs w:val="21"/>
        </w:rPr>
        <w:t>QuantiFluor</w:t>
      </w:r>
      <w:proofErr w:type="spellEnd"/>
      <w:r w:rsidR="00D22B28" w:rsidRPr="00EA18F5">
        <w:rPr>
          <w:spacing w:val="1"/>
          <w:kern w:val="0"/>
          <w:szCs w:val="21"/>
        </w:rPr>
        <w:t>™</w:t>
      </w:r>
      <w:r w:rsidR="00D22B28" w:rsidRPr="00EA18F5">
        <w:rPr>
          <w:rFonts w:hint="eastAsia"/>
          <w:spacing w:val="1"/>
          <w:kern w:val="0"/>
          <w:szCs w:val="21"/>
        </w:rPr>
        <w:t>-</w:t>
      </w:r>
      <w:r w:rsidR="00D22B28" w:rsidRPr="00EA18F5">
        <w:rPr>
          <w:spacing w:val="1"/>
          <w:kern w:val="0"/>
          <w:szCs w:val="21"/>
        </w:rPr>
        <w:t>ST (</w:t>
      </w:r>
      <w:proofErr w:type="spellStart"/>
      <w:r w:rsidR="00D22B28" w:rsidRPr="00EA18F5">
        <w:rPr>
          <w:spacing w:val="1"/>
          <w:kern w:val="0"/>
          <w:szCs w:val="21"/>
        </w:rPr>
        <w:t>Promega</w:t>
      </w:r>
      <w:proofErr w:type="spellEnd"/>
      <w:r w:rsidR="00D22B28" w:rsidRPr="00EA18F5">
        <w:rPr>
          <w:spacing w:val="1"/>
          <w:kern w:val="0"/>
          <w:szCs w:val="21"/>
        </w:rPr>
        <w:t xml:space="preserve"> Corporation, Madison, WI, USA). </w:t>
      </w:r>
      <w:bookmarkStart w:id="0" w:name="OLE_LINK48"/>
      <w:bookmarkStart w:id="1" w:name="OLE_LINK49"/>
      <w:r w:rsidR="008F3A73" w:rsidRPr="00EA18F5">
        <w:rPr>
          <w:rFonts w:eastAsia="TimesNewRomanPSMT"/>
          <w:color w:val="000000" w:themeColor="text1"/>
          <w:kern w:val="0"/>
          <w:szCs w:val="21"/>
        </w:rPr>
        <w:t xml:space="preserve">Purified </w:t>
      </w:r>
      <w:proofErr w:type="spellStart"/>
      <w:r w:rsidR="008F3A73" w:rsidRPr="00EA18F5">
        <w:rPr>
          <w:rFonts w:eastAsia="TimesNewRomanPSMT"/>
          <w:color w:val="000000" w:themeColor="text1"/>
          <w:kern w:val="0"/>
          <w:szCs w:val="21"/>
        </w:rPr>
        <w:t>amplicons</w:t>
      </w:r>
      <w:proofErr w:type="spellEnd"/>
      <w:r w:rsidR="008F3A73" w:rsidRPr="00EA18F5">
        <w:rPr>
          <w:rFonts w:eastAsia="TimesNewRomanPSMT"/>
          <w:color w:val="000000" w:themeColor="text1"/>
          <w:kern w:val="0"/>
          <w:szCs w:val="21"/>
        </w:rPr>
        <w:t xml:space="preserve"> were pooled in </w:t>
      </w:r>
      <w:proofErr w:type="spellStart"/>
      <w:r w:rsidR="008F3A73" w:rsidRPr="00EA18F5">
        <w:rPr>
          <w:rFonts w:eastAsia="TimesNewRomanPSMT"/>
          <w:color w:val="000000" w:themeColor="text1"/>
          <w:kern w:val="0"/>
          <w:szCs w:val="21"/>
        </w:rPr>
        <w:t>equimolar</w:t>
      </w:r>
      <w:proofErr w:type="spellEnd"/>
      <w:r w:rsidR="008F3A73" w:rsidRPr="00EA18F5">
        <w:rPr>
          <w:rFonts w:eastAsia="TimesNewRomanPSMT"/>
          <w:color w:val="000000" w:themeColor="text1"/>
          <w:kern w:val="0"/>
          <w:szCs w:val="21"/>
        </w:rPr>
        <w:t xml:space="preserve"> and paired-end sequenced (2 × 300) on an </w:t>
      </w:r>
      <w:proofErr w:type="spellStart"/>
      <w:r w:rsidR="008F3A73" w:rsidRPr="00EA18F5">
        <w:rPr>
          <w:rFonts w:eastAsia="TimesNewRomanPSMT"/>
          <w:color w:val="000000" w:themeColor="text1"/>
          <w:kern w:val="0"/>
          <w:szCs w:val="21"/>
        </w:rPr>
        <w:t>Illumina</w:t>
      </w:r>
      <w:proofErr w:type="spellEnd"/>
      <w:r w:rsidR="008F3A73" w:rsidRPr="00EA18F5">
        <w:rPr>
          <w:rFonts w:eastAsia="TimesNewRomanPSMT"/>
          <w:color w:val="000000" w:themeColor="text1"/>
          <w:kern w:val="0"/>
          <w:szCs w:val="21"/>
        </w:rPr>
        <w:t xml:space="preserve"> </w:t>
      </w:r>
      <w:proofErr w:type="spellStart"/>
      <w:r w:rsidR="008F3A73" w:rsidRPr="00EA18F5">
        <w:rPr>
          <w:rFonts w:eastAsia="TimesNewRomanPSMT"/>
          <w:color w:val="000000" w:themeColor="text1"/>
          <w:kern w:val="0"/>
          <w:szCs w:val="21"/>
        </w:rPr>
        <w:t>MiSeq</w:t>
      </w:r>
      <w:proofErr w:type="spellEnd"/>
      <w:r w:rsidR="008F3A73" w:rsidRPr="00EA18F5">
        <w:rPr>
          <w:rFonts w:eastAsia="TimesNewRomanPSMT"/>
          <w:color w:val="000000" w:themeColor="text1"/>
          <w:kern w:val="0"/>
          <w:szCs w:val="21"/>
        </w:rPr>
        <w:t xml:space="preserve"> platform</w:t>
      </w:r>
      <w:bookmarkEnd w:id="0"/>
      <w:bookmarkEnd w:id="1"/>
      <w:r w:rsidR="008F3A73" w:rsidRPr="00EA18F5">
        <w:rPr>
          <w:rFonts w:eastAsia="TimesNewRomanPSMT"/>
          <w:color w:val="000000" w:themeColor="text1"/>
          <w:kern w:val="0"/>
          <w:szCs w:val="21"/>
        </w:rPr>
        <w:t xml:space="preserve"> according to the standard protocols </w:t>
      </w:r>
      <w:r w:rsidR="008F3A73" w:rsidRPr="00EA18F5">
        <w:rPr>
          <w:rFonts w:eastAsia="AdvOT863180fb"/>
          <w:color w:val="000000" w:themeColor="text1"/>
          <w:kern w:val="0"/>
          <w:szCs w:val="21"/>
        </w:rPr>
        <w:t xml:space="preserve">at </w:t>
      </w:r>
      <w:proofErr w:type="spellStart"/>
      <w:r w:rsidR="008F3A73" w:rsidRPr="00EA18F5">
        <w:rPr>
          <w:rFonts w:eastAsia="AdvOT863180fb"/>
          <w:color w:val="000000" w:themeColor="text1"/>
          <w:kern w:val="0"/>
          <w:szCs w:val="21"/>
        </w:rPr>
        <w:t>Majorbio</w:t>
      </w:r>
      <w:proofErr w:type="spellEnd"/>
      <w:r w:rsidR="008F3A73" w:rsidRPr="00EA18F5">
        <w:rPr>
          <w:rFonts w:eastAsia="AdvOT863180fb"/>
          <w:color w:val="000000" w:themeColor="text1"/>
          <w:kern w:val="0"/>
          <w:szCs w:val="21"/>
        </w:rPr>
        <w:t xml:space="preserve"> Bi</w:t>
      </w:r>
      <w:r w:rsidR="008F3A73" w:rsidRPr="005C3EDA">
        <w:rPr>
          <w:rFonts w:eastAsia="AdvOT863180fb"/>
          <w:color w:val="000000" w:themeColor="text1"/>
          <w:kern w:val="0"/>
          <w:szCs w:val="21"/>
        </w:rPr>
        <w:t>o-Pharm Technology Co. Ltd., Shanghai, China (http://www.majorbio.com)</w:t>
      </w:r>
      <w:r w:rsidR="008F3A73" w:rsidRPr="005C3EDA">
        <w:rPr>
          <w:rFonts w:eastAsia="TimesNewRomanPSMT"/>
          <w:color w:val="000000" w:themeColor="text1"/>
          <w:kern w:val="0"/>
          <w:szCs w:val="21"/>
        </w:rPr>
        <w:t>.</w:t>
      </w:r>
    </w:p>
    <w:p w:rsidR="00ED6353" w:rsidRPr="00ED6353" w:rsidRDefault="00ED6353" w:rsidP="00ED6353">
      <w:pPr>
        <w:autoSpaceDE w:val="0"/>
        <w:autoSpaceDN w:val="0"/>
        <w:adjustRightInd w:val="0"/>
        <w:spacing w:line="360" w:lineRule="auto"/>
        <w:rPr>
          <w:rFonts w:eastAsia="TimesNewRomanPSMT"/>
          <w:b/>
          <w:kern w:val="0"/>
          <w:sz w:val="24"/>
        </w:rPr>
      </w:pPr>
      <w:r w:rsidRPr="00ED6353">
        <w:rPr>
          <w:rFonts w:eastAsia="TimesNewRomanPSMT"/>
          <w:b/>
          <w:kern w:val="0"/>
          <w:sz w:val="24"/>
        </w:rPr>
        <w:t>Processing of sequencing data</w:t>
      </w:r>
    </w:p>
    <w:p w:rsidR="00ED6353" w:rsidRPr="00793243" w:rsidRDefault="00ED6353" w:rsidP="00ED6353">
      <w:pPr>
        <w:autoSpaceDE w:val="0"/>
        <w:autoSpaceDN w:val="0"/>
        <w:adjustRightInd w:val="0"/>
        <w:spacing w:line="360" w:lineRule="auto"/>
        <w:ind w:firstLineChars="150" w:firstLine="315"/>
        <w:rPr>
          <w:rFonts w:eastAsia="TimesNewRomanPSMT"/>
          <w:kern w:val="0"/>
          <w:szCs w:val="21"/>
        </w:rPr>
      </w:pPr>
      <w:r w:rsidRPr="00793243">
        <w:rPr>
          <w:rFonts w:eastAsia="TimesNewRomanPSMT"/>
          <w:kern w:val="0"/>
          <w:szCs w:val="21"/>
        </w:rPr>
        <w:t xml:space="preserve">Raw </w:t>
      </w:r>
      <w:proofErr w:type="spellStart"/>
      <w:r w:rsidRPr="00793243">
        <w:rPr>
          <w:rFonts w:eastAsia="TimesNewRomanPSMT"/>
          <w:kern w:val="0"/>
          <w:szCs w:val="21"/>
        </w:rPr>
        <w:t>fastq</w:t>
      </w:r>
      <w:proofErr w:type="spellEnd"/>
      <w:r w:rsidRPr="00793243">
        <w:rPr>
          <w:rFonts w:eastAsia="TimesNewRomanPSMT"/>
          <w:kern w:val="0"/>
          <w:szCs w:val="21"/>
        </w:rPr>
        <w:t xml:space="preserve"> files were </w:t>
      </w:r>
      <w:proofErr w:type="spellStart"/>
      <w:r w:rsidRPr="00793243">
        <w:rPr>
          <w:rFonts w:eastAsia="TimesNewRomanPSMT"/>
          <w:kern w:val="0"/>
          <w:szCs w:val="21"/>
        </w:rPr>
        <w:t>demultiplexed</w:t>
      </w:r>
      <w:proofErr w:type="spellEnd"/>
      <w:r w:rsidRPr="00793243">
        <w:rPr>
          <w:rFonts w:eastAsia="TimesNewRomanPSMT"/>
          <w:kern w:val="0"/>
          <w:szCs w:val="21"/>
        </w:rPr>
        <w:t xml:space="preserve">, quality-filtered using QIIME (version 1.17) with the following criteria: (i) The 300 </w:t>
      </w:r>
      <w:proofErr w:type="spellStart"/>
      <w:r w:rsidRPr="00793243">
        <w:rPr>
          <w:rFonts w:eastAsia="TimesNewRomanPSMT"/>
          <w:kern w:val="0"/>
          <w:szCs w:val="21"/>
        </w:rPr>
        <w:t>bp</w:t>
      </w:r>
      <w:proofErr w:type="spellEnd"/>
      <w:r w:rsidRPr="00793243">
        <w:rPr>
          <w:rFonts w:eastAsia="TimesNewRomanPSMT"/>
          <w:kern w:val="0"/>
          <w:szCs w:val="21"/>
        </w:rPr>
        <w:t xml:space="preserve"> reads were truncated at any site receiving an average quality score &lt;20 over a 50 </w:t>
      </w:r>
      <w:proofErr w:type="spellStart"/>
      <w:r w:rsidRPr="00793243">
        <w:rPr>
          <w:rFonts w:eastAsia="TimesNewRomanPSMT"/>
          <w:kern w:val="0"/>
          <w:szCs w:val="21"/>
        </w:rPr>
        <w:t>bp</w:t>
      </w:r>
      <w:proofErr w:type="spellEnd"/>
      <w:r w:rsidRPr="00793243">
        <w:rPr>
          <w:rFonts w:eastAsia="TimesNewRomanPSMT"/>
          <w:kern w:val="0"/>
          <w:szCs w:val="21"/>
        </w:rPr>
        <w:t xml:space="preserve"> sliding window, discarding the truncated reads that were shorter than 50bp. (ii) exact barcode matching, 2 nucleotide mismatch in primer matching, reads containing ambiguous characters were removed. (iii) </w:t>
      </w:r>
      <w:proofErr w:type="gramStart"/>
      <w:r w:rsidRPr="00793243">
        <w:rPr>
          <w:rFonts w:eastAsia="TimesNewRomanPSMT"/>
          <w:kern w:val="0"/>
          <w:szCs w:val="21"/>
        </w:rPr>
        <w:t>only</w:t>
      </w:r>
      <w:proofErr w:type="gramEnd"/>
      <w:r w:rsidRPr="00793243">
        <w:rPr>
          <w:rFonts w:eastAsia="TimesNewRomanPSMT"/>
          <w:kern w:val="0"/>
          <w:szCs w:val="21"/>
        </w:rPr>
        <w:t xml:space="preserve"> sequences that overlap longer than 10 </w:t>
      </w:r>
      <w:proofErr w:type="spellStart"/>
      <w:r w:rsidRPr="00793243">
        <w:rPr>
          <w:rFonts w:eastAsia="TimesNewRomanPSMT"/>
          <w:kern w:val="0"/>
          <w:szCs w:val="21"/>
        </w:rPr>
        <w:t>bp</w:t>
      </w:r>
      <w:proofErr w:type="spellEnd"/>
      <w:r w:rsidRPr="00793243">
        <w:rPr>
          <w:rFonts w:eastAsia="TimesNewRomanPSMT"/>
          <w:kern w:val="0"/>
          <w:szCs w:val="21"/>
        </w:rPr>
        <w:t xml:space="preserve"> were assembled according to their overlap sequence. Reads which could not be assembled were discarded. </w:t>
      </w:r>
    </w:p>
    <w:p w:rsidR="00ED6353" w:rsidRDefault="00ED6353" w:rsidP="00ED6353">
      <w:pPr>
        <w:autoSpaceDE w:val="0"/>
        <w:autoSpaceDN w:val="0"/>
        <w:adjustRightInd w:val="0"/>
        <w:spacing w:line="360" w:lineRule="auto"/>
        <w:ind w:firstLineChars="150" w:firstLine="315"/>
        <w:rPr>
          <w:rFonts w:eastAsia="AdvOT863180fb"/>
          <w:kern w:val="0"/>
          <w:szCs w:val="21"/>
        </w:rPr>
      </w:pPr>
      <w:r w:rsidRPr="00793243">
        <w:rPr>
          <w:rFonts w:eastAsia="TimesNewRomanPSMT"/>
          <w:kern w:val="0"/>
          <w:szCs w:val="21"/>
        </w:rPr>
        <w:t>Operational Units (OTUs) were clustered with 97% similarity cutoff using UPARSE</w:t>
      </w:r>
      <w:r w:rsidR="006F2F53">
        <w:rPr>
          <w:rFonts w:eastAsia="TimesNewRomanPSMT"/>
          <w:kern w:val="0"/>
          <w:szCs w:val="21"/>
        </w:rPr>
        <w:t xml:space="preserve"> (</w:t>
      </w:r>
      <w:r w:rsidRPr="00793243">
        <w:rPr>
          <w:rFonts w:eastAsia="TimesNewRomanPSMT"/>
          <w:kern w:val="0"/>
          <w:szCs w:val="21"/>
        </w:rPr>
        <w:t xml:space="preserve">version 7.1 </w:t>
      </w:r>
      <w:hyperlink r:id="rId7" w:history="1">
        <w:r w:rsidRPr="00793243">
          <w:rPr>
            <w:rFonts w:eastAsia="TimesNewRomanPSMT"/>
            <w:kern w:val="0"/>
            <w:szCs w:val="21"/>
          </w:rPr>
          <w:t>http://drive5.com/uparse/</w:t>
        </w:r>
      </w:hyperlink>
      <w:r w:rsidRPr="00793243">
        <w:rPr>
          <w:rFonts w:eastAsia="TimesNewRomanPSMT"/>
          <w:kern w:val="0"/>
          <w:szCs w:val="21"/>
        </w:rPr>
        <w:t xml:space="preserve">) and chimeric sequences were identified and removed using UCHIME. The taxonomy of each 16S </w:t>
      </w:r>
      <w:r w:rsidR="006F2F53">
        <w:rPr>
          <w:rFonts w:eastAsia="TimesNewRomanPSMT"/>
          <w:kern w:val="0"/>
          <w:szCs w:val="21"/>
        </w:rPr>
        <w:t xml:space="preserve">and 18S </w:t>
      </w:r>
      <w:proofErr w:type="spellStart"/>
      <w:r w:rsidRPr="00793243">
        <w:rPr>
          <w:rFonts w:eastAsia="TimesNewRomanPSMT"/>
          <w:kern w:val="0"/>
          <w:szCs w:val="21"/>
        </w:rPr>
        <w:t>rRNA</w:t>
      </w:r>
      <w:proofErr w:type="spellEnd"/>
      <w:r w:rsidRPr="00793243">
        <w:rPr>
          <w:rFonts w:eastAsia="TimesNewRomanPSMT"/>
          <w:kern w:val="0"/>
          <w:szCs w:val="21"/>
        </w:rPr>
        <w:t xml:space="preserve"> gene sequence was analyzed by </w:t>
      </w:r>
      <w:r w:rsidR="006F2F53">
        <w:t xml:space="preserve">Silva </w:t>
      </w:r>
      <w:r w:rsidR="006F2F53" w:rsidRPr="00793243">
        <w:rPr>
          <w:rFonts w:eastAsia="TimesNewRomanPSMT"/>
          <w:kern w:val="0"/>
          <w:szCs w:val="21"/>
        </w:rPr>
        <w:t>database</w:t>
      </w:r>
      <w:r w:rsidR="006F2F53">
        <w:t xml:space="preserve"> (Release128 http://www.arb-silva.de</w:t>
      </w:r>
      <w:r w:rsidR="006F2F53">
        <w:rPr>
          <w:rFonts w:hint="eastAsia"/>
        </w:rPr>
        <w:t>)</w:t>
      </w:r>
      <w:r w:rsidRPr="00793243">
        <w:rPr>
          <w:rFonts w:eastAsia="TimesNewRomanPSMT"/>
          <w:kern w:val="0"/>
          <w:szCs w:val="21"/>
        </w:rPr>
        <w:t xml:space="preserve"> using confidence threshold of 70% (</w:t>
      </w:r>
      <w:r w:rsidRPr="00F83123">
        <w:rPr>
          <w:rFonts w:eastAsia="TimesNewRomanPSMT"/>
          <w:kern w:val="0"/>
          <w:szCs w:val="21"/>
        </w:rPr>
        <w:t>Amato et al., 2013</w:t>
      </w:r>
      <w:r w:rsidRPr="00793243">
        <w:rPr>
          <w:rFonts w:eastAsia="TimesNewRomanPSMT"/>
          <w:kern w:val="0"/>
          <w:szCs w:val="21"/>
        </w:rPr>
        <w:t xml:space="preserve">). </w:t>
      </w:r>
      <w:r w:rsidRPr="00793243">
        <w:rPr>
          <w:rFonts w:eastAsia="AdvGulliv-R"/>
          <w:color w:val="000000"/>
          <w:kern w:val="0"/>
          <w:szCs w:val="21"/>
        </w:rPr>
        <w:t>Hierarchical clustering analysis was performed using CLUSTER and visualized using TREEVIEW, and other statistical analyses were performed with the IEG pipeline (</w:t>
      </w:r>
      <w:r w:rsidRPr="00793243">
        <w:rPr>
          <w:rFonts w:eastAsia="AdvGulliv-R"/>
          <w:color w:val="0080AE"/>
          <w:kern w:val="0"/>
          <w:szCs w:val="21"/>
        </w:rPr>
        <w:t>http://ieg.ou.edu</w:t>
      </w:r>
      <w:r w:rsidRPr="00793243">
        <w:rPr>
          <w:rFonts w:eastAsia="AdvGulliv-R"/>
          <w:color w:val="000000"/>
          <w:kern w:val="0"/>
          <w:szCs w:val="21"/>
        </w:rPr>
        <w:t xml:space="preserve">). The average data were calculated for BSCs of each </w:t>
      </w:r>
      <w:proofErr w:type="spellStart"/>
      <w:r w:rsidRPr="00793243">
        <w:rPr>
          <w:rFonts w:eastAsia="AdvGulliv-R"/>
          <w:color w:val="000000"/>
          <w:kern w:val="0"/>
          <w:szCs w:val="21"/>
        </w:rPr>
        <w:t>revegetation</w:t>
      </w:r>
      <w:proofErr w:type="spellEnd"/>
      <w:r w:rsidRPr="00793243">
        <w:rPr>
          <w:rFonts w:eastAsia="AdvGulliv-R"/>
          <w:color w:val="000000"/>
          <w:kern w:val="0"/>
          <w:szCs w:val="21"/>
        </w:rPr>
        <w:t xml:space="preserve"> before analyzing the unique and shared OTUs/genera. The figures were generated with </w:t>
      </w:r>
      <w:proofErr w:type="spellStart"/>
      <w:r w:rsidRPr="00793243">
        <w:rPr>
          <w:rFonts w:eastAsia="AdvGulliv-R"/>
          <w:color w:val="000000"/>
          <w:kern w:val="0"/>
          <w:szCs w:val="21"/>
        </w:rPr>
        <w:t>SigmaPlot</w:t>
      </w:r>
      <w:proofErr w:type="spellEnd"/>
      <w:r w:rsidRPr="00793243">
        <w:rPr>
          <w:rFonts w:eastAsia="AdvGulliv-R"/>
          <w:color w:val="000000"/>
          <w:kern w:val="0"/>
          <w:szCs w:val="21"/>
        </w:rPr>
        <w:t xml:space="preserve"> 11.0 and Excel. </w:t>
      </w:r>
      <w:r w:rsidRPr="00793243">
        <w:rPr>
          <w:szCs w:val="21"/>
        </w:rPr>
        <w:t>Alpha diversity anal</w:t>
      </w:r>
      <w:r w:rsidRPr="00793243">
        <w:t xml:space="preserve">ysis was used to reflect the richness and diversity of microbial communities. </w:t>
      </w:r>
      <w:r w:rsidRPr="00793243">
        <w:rPr>
          <w:rFonts w:eastAsia="AdvOT863180fb"/>
          <w:kern w:val="0"/>
          <w:szCs w:val="21"/>
        </w:rPr>
        <w:t xml:space="preserve">In order to investigate the overall differences in community composition among the </w:t>
      </w:r>
      <w:r w:rsidRPr="00793243">
        <w:rPr>
          <w:rFonts w:eastAsia="AdvOT863180fb"/>
          <w:kern w:val="0"/>
          <w:szCs w:val="21"/>
        </w:rPr>
        <w:lastRenderedPageBreak/>
        <w:t xml:space="preserve">samples, principle coordinate analysis was performed using </w:t>
      </w:r>
      <w:proofErr w:type="spellStart"/>
      <w:r w:rsidRPr="00793243">
        <w:rPr>
          <w:rFonts w:eastAsia="AdvOT863180fb"/>
          <w:kern w:val="0"/>
          <w:szCs w:val="21"/>
        </w:rPr>
        <w:t>unweighted</w:t>
      </w:r>
      <w:proofErr w:type="spellEnd"/>
      <w:r w:rsidRPr="00793243">
        <w:rPr>
          <w:rFonts w:eastAsia="AdvOT863180fb"/>
          <w:kern w:val="0"/>
          <w:szCs w:val="21"/>
        </w:rPr>
        <w:t xml:space="preserve"> </w:t>
      </w:r>
      <w:proofErr w:type="spellStart"/>
      <w:r w:rsidRPr="00793243">
        <w:rPr>
          <w:rFonts w:eastAsia="AdvOT863180fb"/>
          <w:kern w:val="0"/>
          <w:szCs w:val="21"/>
        </w:rPr>
        <w:t>UniFrac</w:t>
      </w:r>
      <w:proofErr w:type="spellEnd"/>
      <w:r w:rsidRPr="00793243">
        <w:rPr>
          <w:rFonts w:eastAsia="AdvOT863180fb"/>
          <w:kern w:val="0"/>
          <w:szCs w:val="21"/>
        </w:rPr>
        <w:t xml:space="preserve"> distance (</w:t>
      </w:r>
      <w:proofErr w:type="spellStart"/>
      <w:r w:rsidRPr="00F83123">
        <w:rPr>
          <w:rFonts w:eastAsia="AdvOT863180fb"/>
          <w:kern w:val="0"/>
          <w:szCs w:val="21"/>
        </w:rPr>
        <w:t>Lozupone</w:t>
      </w:r>
      <w:proofErr w:type="spellEnd"/>
      <w:r w:rsidRPr="00F83123">
        <w:rPr>
          <w:rFonts w:eastAsia="AdvOT863180fb"/>
          <w:kern w:val="0"/>
          <w:szCs w:val="21"/>
        </w:rPr>
        <w:t xml:space="preserve"> and Knight, 2005</w:t>
      </w:r>
      <w:r w:rsidRPr="00793243">
        <w:rPr>
          <w:rFonts w:eastAsia="AdvOT863180fb"/>
          <w:kern w:val="0"/>
          <w:szCs w:val="21"/>
        </w:rPr>
        <w:t>).</w:t>
      </w:r>
    </w:p>
    <w:p w:rsidR="0019608B" w:rsidRPr="00AE08A0" w:rsidRDefault="0019608B" w:rsidP="00A541CA">
      <w:pPr>
        <w:spacing w:before="240" w:line="360" w:lineRule="auto"/>
        <w:rPr>
          <w:b/>
          <w:sz w:val="24"/>
        </w:rPr>
      </w:pPr>
      <w:proofErr w:type="spellStart"/>
      <w:proofErr w:type="gramStart"/>
      <w:r w:rsidRPr="00AE08A0">
        <w:rPr>
          <w:b/>
          <w:sz w:val="24"/>
        </w:rPr>
        <w:t>qPCR</w:t>
      </w:r>
      <w:proofErr w:type="spellEnd"/>
      <w:proofErr w:type="gramEnd"/>
      <w:r>
        <w:rPr>
          <w:b/>
          <w:sz w:val="24"/>
        </w:rPr>
        <w:t xml:space="preserve"> analysis</w:t>
      </w:r>
    </w:p>
    <w:p w:rsidR="00FB4FF6" w:rsidRDefault="00FB4FF6" w:rsidP="00A541CA">
      <w:pPr>
        <w:autoSpaceDE w:val="0"/>
        <w:autoSpaceDN w:val="0"/>
        <w:adjustRightInd w:val="0"/>
        <w:spacing w:line="360" w:lineRule="auto"/>
        <w:ind w:firstLineChars="150" w:firstLine="315"/>
        <w:rPr>
          <w:rFonts w:hint="eastAsia"/>
          <w:kern w:val="0"/>
          <w:szCs w:val="21"/>
        </w:rPr>
      </w:pPr>
      <w:proofErr w:type="spellStart"/>
      <w:proofErr w:type="gramStart"/>
      <w:r w:rsidRPr="00636EB6">
        <w:rPr>
          <w:rFonts w:eastAsia="AdvOT863180fb"/>
          <w:color w:val="000000" w:themeColor="text1"/>
          <w:kern w:val="0"/>
          <w:szCs w:val="21"/>
        </w:rPr>
        <w:t>qPCR</w:t>
      </w:r>
      <w:proofErr w:type="spellEnd"/>
      <w:proofErr w:type="gramEnd"/>
      <w:r w:rsidRPr="00636EB6">
        <w:rPr>
          <w:rFonts w:eastAsia="AdvOT863180fb"/>
          <w:color w:val="000000" w:themeColor="text1"/>
          <w:kern w:val="0"/>
          <w:szCs w:val="21"/>
        </w:rPr>
        <w:t xml:space="preserve"> was performed to determine the absolute 16S </w:t>
      </w:r>
      <w:r>
        <w:rPr>
          <w:rFonts w:eastAsia="AdvOT863180fb"/>
          <w:color w:val="000000" w:themeColor="text1"/>
          <w:kern w:val="0"/>
          <w:szCs w:val="21"/>
        </w:rPr>
        <w:t xml:space="preserve">and </w:t>
      </w:r>
      <w:r w:rsidR="00395EB0">
        <w:rPr>
          <w:rFonts w:eastAsia="AdvOT863180fb"/>
          <w:color w:val="000000" w:themeColor="text1"/>
          <w:kern w:val="0"/>
          <w:szCs w:val="21"/>
        </w:rPr>
        <w:t>IT</w:t>
      </w:r>
      <w:r>
        <w:rPr>
          <w:rFonts w:eastAsia="AdvOT863180fb"/>
          <w:color w:val="000000" w:themeColor="text1"/>
          <w:kern w:val="0"/>
          <w:szCs w:val="21"/>
        </w:rPr>
        <w:t>S</w:t>
      </w:r>
      <w:r w:rsidRPr="00636EB6">
        <w:rPr>
          <w:rFonts w:eastAsia="AdvOT863180fb"/>
          <w:color w:val="000000" w:themeColor="text1"/>
          <w:kern w:val="0"/>
          <w:szCs w:val="21"/>
        </w:rPr>
        <w:t xml:space="preserve"> </w:t>
      </w:r>
      <w:proofErr w:type="spellStart"/>
      <w:r w:rsidRPr="00636EB6">
        <w:rPr>
          <w:rFonts w:eastAsia="AdvOT863180fb"/>
          <w:color w:val="000000" w:themeColor="text1"/>
          <w:kern w:val="0"/>
          <w:szCs w:val="21"/>
        </w:rPr>
        <w:t>rRNA</w:t>
      </w:r>
      <w:proofErr w:type="spellEnd"/>
      <w:r w:rsidRPr="00636EB6">
        <w:rPr>
          <w:rFonts w:eastAsia="AdvOT863180fb"/>
          <w:color w:val="000000" w:themeColor="text1"/>
          <w:kern w:val="0"/>
          <w:szCs w:val="21"/>
        </w:rPr>
        <w:t xml:space="preserve"> gene abundance</w:t>
      </w:r>
      <w:r>
        <w:rPr>
          <w:rFonts w:eastAsia="AdvOT863180fb"/>
          <w:color w:val="000000" w:themeColor="text1"/>
          <w:kern w:val="0"/>
          <w:szCs w:val="21"/>
        </w:rPr>
        <w:t>, respectively</w:t>
      </w:r>
      <w:r w:rsidRPr="00636EB6">
        <w:rPr>
          <w:rFonts w:eastAsia="AdvOT863180fb"/>
          <w:color w:val="000000" w:themeColor="text1"/>
          <w:kern w:val="0"/>
          <w:szCs w:val="21"/>
        </w:rPr>
        <w:t xml:space="preserve">. We used the primer sets of </w:t>
      </w:r>
      <w:r>
        <w:rPr>
          <w:rFonts w:eastAsia="AdvOT863180fb"/>
          <w:color w:val="000000" w:themeColor="text1"/>
          <w:kern w:val="0"/>
          <w:szCs w:val="21"/>
        </w:rPr>
        <w:t>27</w:t>
      </w:r>
      <w:r w:rsidRPr="00636EB6">
        <w:rPr>
          <w:rFonts w:eastAsia="AdvOT863180fb"/>
          <w:color w:val="000000" w:themeColor="text1"/>
          <w:kern w:val="0"/>
          <w:szCs w:val="21"/>
        </w:rPr>
        <w:t>F (</w:t>
      </w:r>
      <w:r w:rsidRPr="00636EB6">
        <w:rPr>
          <w:color w:val="000000" w:themeColor="text1"/>
          <w:szCs w:val="21"/>
        </w:rPr>
        <w:t>5′-</w:t>
      </w:r>
      <w:r w:rsidRPr="007C28E5">
        <w:t xml:space="preserve"> </w:t>
      </w:r>
      <w:r w:rsidRPr="007C28E5">
        <w:rPr>
          <w:color w:val="000000" w:themeColor="text1"/>
          <w:szCs w:val="21"/>
        </w:rPr>
        <w:t>AGAGTTTGATCCTGGCTCAG</w:t>
      </w:r>
      <w:r>
        <w:rPr>
          <w:color w:val="000000" w:themeColor="text1"/>
          <w:szCs w:val="21"/>
        </w:rPr>
        <w:t xml:space="preserve"> </w:t>
      </w:r>
      <w:r w:rsidRPr="00636EB6">
        <w:rPr>
          <w:color w:val="000000" w:themeColor="text1"/>
          <w:szCs w:val="21"/>
        </w:rPr>
        <w:t>-3′</w:t>
      </w:r>
      <w:r w:rsidRPr="00636EB6">
        <w:rPr>
          <w:rFonts w:eastAsia="AdvOT863180fb"/>
          <w:color w:val="000000" w:themeColor="text1"/>
          <w:kern w:val="0"/>
          <w:szCs w:val="21"/>
        </w:rPr>
        <w:t xml:space="preserve">) and </w:t>
      </w:r>
      <w:r>
        <w:rPr>
          <w:rFonts w:eastAsia="AdvOT863180fb"/>
          <w:color w:val="000000" w:themeColor="text1"/>
          <w:kern w:val="0"/>
          <w:szCs w:val="21"/>
        </w:rPr>
        <w:t>338</w:t>
      </w:r>
      <w:r w:rsidRPr="00636EB6">
        <w:rPr>
          <w:rFonts w:eastAsia="AdvOT863180fb"/>
          <w:color w:val="000000" w:themeColor="text1"/>
          <w:kern w:val="0"/>
          <w:szCs w:val="21"/>
        </w:rPr>
        <w:t>R (</w:t>
      </w:r>
      <w:r w:rsidRPr="00636EB6">
        <w:rPr>
          <w:color w:val="000000" w:themeColor="text1"/>
          <w:szCs w:val="21"/>
        </w:rPr>
        <w:t>5′-</w:t>
      </w:r>
      <w:r>
        <w:t xml:space="preserve"> </w:t>
      </w:r>
      <w:r w:rsidRPr="007C28E5">
        <w:rPr>
          <w:color w:val="000000" w:themeColor="text1"/>
          <w:szCs w:val="21"/>
        </w:rPr>
        <w:t>TGCTGCCTCCCGTAGGAGT</w:t>
      </w:r>
      <w:r>
        <w:rPr>
          <w:color w:val="000000" w:themeColor="text1"/>
          <w:szCs w:val="21"/>
        </w:rPr>
        <w:t xml:space="preserve"> </w:t>
      </w:r>
      <w:r w:rsidRPr="00636EB6">
        <w:rPr>
          <w:color w:val="000000" w:themeColor="text1"/>
          <w:szCs w:val="21"/>
        </w:rPr>
        <w:t>-3′</w:t>
      </w:r>
      <w:r w:rsidRPr="00636EB6">
        <w:rPr>
          <w:rFonts w:eastAsia="AdvOT863180fb"/>
          <w:color w:val="000000" w:themeColor="text1"/>
          <w:kern w:val="0"/>
          <w:szCs w:val="21"/>
        </w:rPr>
        <w:t>)</w:t>
      </w:r>
      <w:r>
        <w:rPr>
          <w:rFonts w:eastAsia="AdvOT863180fb"/>
          <w:color w:val="000000" w:themeColor="text1"/>
          <w:kern w:val="0"/>
          <w:szCs w:val="21"/>
        </w:rPr>
        <w:t xml:space="preserve"> for bacteria and </w:t>
      </w:r>
      <w:r w:rsidRPr="007C28E5">
        <w:rPr>
          <w:rFonts w:eastAsia="AdvOT863180fb"/>
          <w:color w:val="000000" w:themeColor="text1"/>
          <w:kern w:val="0"/>
          <w:szCs w:val="21"/>
        </w:rPr>
        <w:t xml:space="preserve">ITS1F </w:t>
      </w:r>
      <w:r w:rsidRPr="00636EB6">
        <w:rPr>
          <w:rFonts w:eastAsia="AdvOT863180fb"/>
          <w:color w:val="000000" w:themeColor="text1"/>
          <w:kern w:val="0"/>
          <w:szCs w:val="21"/>
        </w:rPr>
        <w:t>(</w:t>
      </w:r>
      <w:r w:rsidRPr="00636EB6">
        <w:rPr>
          <w:color w:val="000000" w:themeColor="text1"/>
          <w:szCs w:val="21"/>
        </w:rPr>
        <w:t>5′-</w:t>
      </w:r>
      <w:r>
        <w:t xml:space="preserve"> </w:t>
      </w:r>
      <w:r w:rsidRPr="007C28E5">
        <w:rPr>
          <w:rFonts w:eastAsia="AdvOT863180fb"/>
          <w:color w:val="000000" w:themeColor="text1"/>
          <w:kern w:val="0"/>
          <w:szCs w:val="21"/>
        </w:rPr>
        <w:t>CTTGGTCATTTAGAGGAAGTAA</w:t>
      </w:r>
      <w:r>
        <w:rPr>
          <w:rFonts w:eastAsia="AdvOT863180fb"/>
          <w:color w:val="000000" w:themeColor="text1"/>
          <w:kern w:val="0"/>
          <w:szCs w:val="21"/>
        </w:rPr>
        <w:t xml:space="preserve"> </w:t>
      </w:r>
      <w:r w:rsidRPr="00636EB6">
        <w:rPr>
          <w:color w:val="000000" w:themeColor="text1"/>
          <w:szCs w:val="21"/>
        </w:rPr>
        <w:t>-3′</w:t>
      </w:r>
      <w:r w:rsidRPr="00636EB6">
        <w:rPr>
          <w:rFonts w:eastAsia="AdvOT863180fb"/>
          <w:color w:val="000000" w:themeColor="text1"/>
          <w:kern w:val="0"/>
          <w:szCs w:val="21"/>
        </w:rPr>
        <w:t>)</w:t>
      </w:r>
      <w:r w:rsidR="00A541CA">
        <w:rPr>
          <w:rFonts w:eastAsia="AdvOT863180fb"/>
          <w:color w:val="000000" w:themeColor="text1"/>
          <w:kern w:val="0"/>
          <w:szCs w:val="21"/>
        </w:rPr>
        <w:t xml:space="preserve">    ITS2R </w:t>
      </w:r>
      <w:r w:rsidRPr="00636EB6">
        <w:rPr>
          <w:rFonts w:eastAsia="AdvOT863180fb"/>
          <w:color w:val="000000" w:themeColor="text1"/>
          <w:kern w:val="0"/>
          <w:szCs w:val="21"/>
        </w:rPr>
        <w:t>(</w:t>
      </w:r>
      <w:r w:rsidRPr="00636EB6">
        <w:rPr>
          <w:color w:val="000000" w:themeColor="text1"/>
          <w:szCs w:val="21"/>
        </w:rPr>
        <w:t>5′-</w:t>
      </w:r>
      <w:r w:rsidRPr="007C28E5">
        <w:rPr>
          <w:rFonts w:eastAsia="AdvOT863180fb"/>
          <w:color w:val="000000" w:themeColor="text1"/>
          <w:kern w:val="0"/>
          <w:szCs w:val="21"/>
        </w:rPr>
        <w:t>GCTGCGTTCTTCATCGATGC</w:t>
      </w:r>
      <w:r>
        <w:rPr>
          <w:rFonts w:eastAsia="AdvOT863180fb"/>
          <w:color w:val="000000" w:themeColor="text1"/>
          <w:kern w:val="0"/>
          <w:szCs w:val="21"/>
        </w:rPr>
        <w:t xml:space="preserve"> </w:t>
      </w:r>
      <w:r w:rsidRPr="00636EB6">
        <w:rPr>
          <w:color w:val="000000" w:themeColor="text1"/>
          <w:szCs w:val="21"/>
        </w:rPr>
        <w:t>-3′</w:t>
      </w:r>
      <w:r w:rsidRPr="00636EB6">
        <w:rPr>
          <w:rFonts w:eastAsia="AdvOT863180fb"/>
          <w:color w:val="000000" w:themeColor="text1"/>
          <w:kern w:val="0"/>
          <w:szCs w:val="21"/>
        </w:rPr>
        <w:t>)</w:t>
      </w:r>
      <w:r>
        <w:rPr>
          <w:rFonts w:eastAsia="AdvOT863180fb"/>
          <w:color w:val="000000" w:themeColor="text1"/>
          <w:kern w:val="0"/>
          <w:szCs w:val="21"/>
        </w:rPr>
        <w:t xml:space="preserve"> for</w:t>
      </w:r>
      <w:r w:rsidRPr="00636EB6">
        <w:rPr>
          <w:rFonts w:eastAsia="AdvOT863180fb"/>
          <w:color w:val="000000" w:themeColor="text1"/>
          <w:kern w:val="0"/>
          <w:szCs w:val="21"/>
        </w:rPr>
        <w:t xml:space="preserve"> </w:t>
      </w:r>
      <w:r>
        <w:rPr>
          <w:rFonts w:eastAsia="AdvOT863180fb"/>
          <w:color w:val="000000" w:themeColor="text1"/>
          <w:kern w:val="0"/>
          <w:szCs w:val="21"/>
        </w:rPr>
        <w:t>fungi</w:t>
      </w:r>
      <w:r w:rsidRPr="00636EB6">
        <w:rPr>
          <w:rFonts w:eastAsia="AdvOT863180fb"/>
          <w:color w:val="000000" w:themeColor="text1"/>
          <w:kern w:val="0"/>
          <w:szCs w:val="21"/>
        </w:rPr>
        <w:t xml:space="preserve"> to quantify the total </w:t>
      </w:r>
      <w:r>
        <w:rPr>
          <w:rFonts w:eastAsia="AdvOT863180fb"/>
          <w:color w:val="000000" w:themeColor="text1"/>
          <w:kern w:val="0"/>
          <w:szCs w:val="21"/>
        </w:rPr>
        <w:t>microbial biomass</w:t>
      </w:r>
      <w:r w:rsidRPr="00636EB6">
        <w:rPr>
          <w:rFonts w:eastAsia="AdvOT863180fb"/>
          <w:color w:val="000000" w:themeColor="text1"/>
          <w:kern w:val="0"/>
          <w:szCs w:val="21"/>
        </w:rPr>
        <w:t xml:space="preserve">. </w:t>
      </w:r>
      <w:proofErr w:type="spellStart"/>
      <w:r w:rsidR="00395EB0" w:rsidRPr="00395EB0">
        <w:rPr>
          <w:color w:val="000000" w:themeColor="text1"/>
          <w:szCs w:val="21"/>
        </w:rPr>
        <w:t>qPCR</w:t>
      </w:r>
      <w:proofErr w:type="spellEnd"/>
      <w:r w:rsidR="00395EB0" w:rsidRPr="00395EB0">
        <w:rPr>
          <w:color w:val="000000" w:themeColor="text1"/>
          <w:szCs w:val="21"/>
        </w:rPr>
        <w:t xml:space="preserve"> reactions were conducted</w:t>
      </w:r>
      <w:r w:rsidR="00395EB0" w:rsidRPr="00395EB0">
        <w:rPr>
          <w:kern w:val="0"/>
          <w:szCs w:val="21"/>
        </w:rPr>
        <w:t xml:space="preserve"> in a 20 </w:t>
      </w:r>
      <w:proofErr w:type="spellStart"/>
      <w:r w:rsidR="00395EB0" w:rsidRPr="00395EB0">
        <w:rPr>
          <w:kern w:val="0"/>
          <w:szCs w:val="21"/>
        </w:rPr>
        <w:t>μL</w:t>
      </w:r>
      <w:proofErr w:type="spellEnd"/>
      <w:r w:rsidR="00395EB0" w:rsidRPr="00395EB0">
        <w:rPr>
          <w:kern w:val="0"/>
          <w:szCs w:val="21"/>
        </w:rPr>
        <w:t xml:space="preserve"> reaction system contained 10 </w:t>
      </w:r>
      <w:proofErr w:type="spellStart"/>
      <w:r w:rsidR="00395EB0" w:rsidRPr="00395EB0">
        <w:rPr>
          <w:kern w:val="0"/>
          <w:szCs w:val="21"/>
        </w:rPr>
        <w:t>μL</w:t>
      </w:r>
      <w:proofErr w:type="spellEnd"/>
      <w:r w:rsidR="00395EB0" w:rsidRPr="00395EB0">
        <w:rPr>
          <w:kern w:val="0"/>
          <w:szCs w:val="21"/>
        </w:rPr>
        <w:t xml:space="preserve"> of 2 </w:t>
      </w:r>
      <w:r w:rsidR="00395EB0" w:rsidRPr="00395EB0">
        <w:rPr>
          <w:szCs w:val="21"/>
        </w:rPr>
        <w:t xml:space="preserve">× </w:t>
      </w:r>
      <w:r w:rsidR="00395EB0" w:rsidRPr="00395EB0">
        <w:rPr>
          <w:kern w:val="0"/>
          <w:szCs w:val="21"/>
        </w:rPr>
        <w:t xml:space="preserve">SYBR mix (with ROX) (DBI Bioscience, Ludwigshafen, Germany), 0.4 </w:t>
      </w:r>
      <w:proofErr w:type="spellStart"/>
      <w:r w:rsidR="00395EB0" w:rsidRPr="00395EB0">
        <w:rPr>
          <w:kern w:val="0"/>
          <w:szCs w:val="21"/>
        </w:rPr>
        <w:t>μL</w:t>
      </w:r>
      <w:proofErr w:type="spellEnd"/>
      <w:r w:rsidR="00395EB0" w:rsidRPr="00395EB0">
        <w:rPr>
          <w:kern w:val="0"/>
          <w:szCs w:val="21"/>
        </w:rPr>
        <w:t xml:space="preserve"> each of 10 </w:t>
      </w:r>
      <w:proofErr w:type="spellStart"/>
      <w:r w:rsidR="00395EB0" w:rsidRPr="00395EB0">
        <w:rPr>
          <w:kern w:val="0"/>
          <w:szCs w:val="21"/>
        </w:rPr>
        <w:t>μM</w:t>
      </w:r>
      <w:proofErr w:type="spellEnd"/>
      <w:r w:rsidR="00395EB0" w:rsidRPr="00395EB0">
        <w:rPr>
          <w:kern w:val="0"/>
          <w:szCs w:val="21"/>
        </w:rPr>
        <w:t xml:space="preserve"> forward and reverse primers, 1 </w:t>
      </w:r>
      <w:proofErr w:type="spellStart"/>
      <w:r w:rsidR="00395EB0" w:rsidRPr="00395EB0">
        <w:rPr>
          <w:kern w:val="0"/>
          <w:szCs w:val="21"/>
        </w:rPr>
        <w:t>μL</w:t>
      </w:r>
      <w:proofErr w:type="spellEnd"/>
      <w:r w:rsidR="00395EB0" w:rsidRPr="00395EB0">
        <w:rPr>
          <w:kern w:val="0"/>
          <w:szCs w:val="21"/>
        </w:rPr>
        <w:t xml:space="preserve"> of total DNA template (1 </w:t>
      </w:r>
      <w:proofErr w:type="spellStart"/>
      <w:r w:rsidR="00395EB0" w:rsidRPr="00395EB0">
        <w:rPr>
          <w:kern w:val="0"/>
          <w:szCs w:val="21"/>
        </w:rPr>
        <w:t>ng</w:t>
      </w:r>
      <w:proofErr w:type="spellEnd"/>
      <w:r w:rsidR="00395EB0" w:rsidRPr="00395EB0">
        <w:rPr>
          <w:kern w:val="0"/>
          <w:szCs w:val="21"/>
        </w:rPr>
        <w:t xml:space="preserve"> μL</w:t>
      </w:r>
      <w:r w:rsidR="00395EB0" w:rsidRPr="00395EB0">
        <w:rPr>
          <w:kern w:val="0"/>
          <w:szCs w:val="21"/>
          <w:vertAlign w:val="superscript"/>
        </w:rPr>
        <w:t>-1</w:t>
      </w:r>
      <w:r w:rsidR="00395EB0" w:rsidRPr="00395EB0">
        <w:rPr>
          <w:kern w:val="0"/>
          <w:szCs w:val="21"/>
        </w:rPr>
        <w:t xml:space="preserve">) and 8.2 </w:t>
      </w:r>
      <w:proofErr w:type="spellStart"/>
      <w:r w:rsidR="00395EB0" w:rsidRPr="00395EB0">
        <w:rPr>
          <w:kern w:val="0"/>
          <w:szCs w:val="21"/>
        </w:rPr>
        <w:t>μL</w:t>
      </w:r>
      <w:proofErr w:type="spellEnd"/>
      <w:r w:rsidR="00395EB0" w:rsidRPr="00395EB0">
        <w:rPr>
          <w:kern w:val="0"/>
          <w:szCs w:val="21"/>
        </w:rPr>
        <w:t xml:space="preserve"> of </w:t>
      </w:r>
      <w:proofErr w:type="spellStart"/>
      <w:r w:rsidR="00395EB0" w:rsidRPr="00395EB0">
        <w:rPr>
          <w:kern w:val="0"/>
          <w:szCs w:val="21"/>
        </w:rPr>
        <w:t>RNase</w:t>
      </w:r>
      <w:proofErr w:type="spellEnd"/>
      <w:r w:rsidR="00395EB0" w:rsidRPr="00395EB0">
        <w:rPr>
          <w:kern w:val="0"/>
          <w:szCs w:val="21"/>
        </w:rPr>
        <w:t>-free ddH</w:t>
      </w:r>
      <w:r w:rsidR="00395EB0" w:rsidRPr="00395EB0">
        <w:rPr>
          <w:kern w:val="0"/>
          <w:szCs w:val="21"/>
          <w:vertAlign w:val="subscript"/>
        </w:rPr>
        <w:t>2</w:t>
      </w:r>
      <w:r w:rsidR="00395EB0" w:rsidRPr="00395EB0">
        <w:rPr>
          <w:kern w:val="0"/>
          <w:szCs w:val="21"/>
        </w:rPr>
        <w:t xml:space="preserve">O. The reaction was conducted on a </w:t>
      </w:r>
      <w:proofErr w:type="spellStart"/>
      <w:r w:rsidR="00395EB0" w:rsidRPr="00395EB0">
        <w:rPr>
          <w:kern w:val="0"/>
          <w:szCs w:val="21"/>
        </w:rPr>
        <w:t>Stratagene</w:t>
      </w:r>
      <w:proofErr w:type="spellEnd"/>
      <w:r w:rsidR="00395EB0" w:rsidRPr="00395EB0">
        <w:rPr>
          <w:kern w:val="0"/>
          <w:szCs w:val="21"/>
        </w:rPr>
        <w:t xml:space="preserve"> Mx3000P real-time PCR system (</w:t>
      </w:r>
      <w:proofErr w:type="spellStart"/>
      <w:r w:rsidR="00395EB0" w:rsidRPr="00395EB0">
        <w:rPr>
          <w:kern w:val="0"/>
          <w:szCs w:val="21"/>
        </w:rPr>
        <w:t>Stratagene</w:t>
      </w:r>
      <w:proofErr w:type="spellEnd"/>
      <w:r w:rsidR="00395EB0" w:rsidRPr="00395EB0">
        <w:rPr>
          <w:kern w:val="0"/>
          <w:szCs w:val="21"/>
        </w:rPr>
        <w:t xml:space="preserve">, Agilent Technologies Inc., Santa Clara, CA, USA) using the following program: 50 </w:t>
      </w:r>
      <w:r w:rsidR="00395EB0" w:rsidRPr="00395EB0">
        <w:rPr>
          <w:rFonts w:eastAsia="AdvOT863180fb"/>
          <w:kern w:val="0"/>
          <w:szCs w:val="21"/>
        </w:rPr>
        <w:t>°C</w:t>
      </w:r>
      <w:r w:rsidR="00395EB0" w:rsidRPr="00395EB0">
        <w:rPr>
          <w:kern w:val="0"/>
          <w:szCs w:val="21"/>
        </w:rPr>
        <w:t xml:space="preserve"> for 2 min and 94 </w:t>
      </w:r>
      <w:r w:rsidR="00395EB0" w:rsidRPr="00395EB0">
        <w:rPr>
          <w:rFonts w:eastAsia="AdvOT863180fb"/>
          <w:kern w:val="0"/>
          <w:szCs w:val="21"/>
        </w:rPr>
        <w:t>°C</w:t>
      </w:r>
      <w:r w:rsidR="00395EB0" w:rsidRPr="00395EB0">
        <w:rPr>
          <w:kern w:val="0"/>
          <w:szCs w:val="21"/>
        </w:rPr>
        <w:t xml:space="preserve"> for 10 min followed by 45 cycles of 94 </w:t>
      </w:r>
      <w:r w:rsidR="00395EB0" w:rsidRPr="00395EB0">
        <w:rPr>
          <w:rFonts w:eastAsia="AdvOT863180fb"/>
          <w:kern w:val="0"/>
          <w:szCs w:val="21"/>
        </w:rPr>
        <w:t>°C</w:t>
      </w:r>
      <w:r w:rsidR="00395EB0" w:rsidRPr="00395EB0">
        <w:rPr>
          <w:kern w:val="0"/>
          <w:szCs w:val="21"/>
        </w:rPr>
        <w:t xml:space="preserve"> for 1 min, 55 </w:t>
      </w:r>
      <w:r w:rsidR="00395EB0" w:rsidRPr="00395EB0">
        <w:rPr>
          <w:rFonts w:eastAsia="AdvOT863180fb"/>
          <w:kern w:val="0"/>
          <w:szCs w:val="21"/>
        </w:rPr>
        <w:t>°C</w:t>
      </w:r>
      <w:r w:rsidR="00395EB0" w:rsidRPr="00395EB0">
        <w:rPr>
          <w:kern w:val="0"/>
          <w:szCs w:val="21"/>
        </w:rPr>
        <w:t xml:space="preserve"> for 1 min and 72 </w:t>
      </w:r>
      <w:r w:rsidR="00395EB0" w:rsidRPr="00395EB0">
        <w:rPr>
          <w:rFonts w:eastAsia="AdvOT863180fb"/>
          <w:kern w:val="0"/>
          <w:szCs w:val="21"/>
        </w:rPr>
        <w:t>°C</w:t>
      </w:r>
      <w:r w:rsidR="00395EB0" w:rsidRPr="00395EB0">
        <w:rPr>
          <w:kern w:val="0"/>
          <w:szCs w:val="21"/>
        </w:rPr>
        <w:t xml:space="preserve"> for 1 min, and then 72 </w:t>
      </w:r>
      <w:r w:rsidR="00395EB0" w:rsidRPr="00395EB0">
        <w:rPr>
          <w:rFonts w:eastAsia="AdvOT863180fb"/>
          <w:kern w:val="0"/>
          <w:szCs w:val="21"/>
        </w:rPr>
        <w:t>°C</w:t>
      </w:r>
      <w:r w:rsidR="00395EB0" w:rsidRPr="00395EB0">
        <w:rPr>
          <w:kern w:val="0"/>
          <w:szCs w:val="21"/>
        </w:rPr>
        <w:t xml:space="preserve"> for 2 min. </w:t>
      </w:r>
      <w:r w:rsidR="00395EB0" w:rsidRPr="00395EB0">
        <w:rPr>
          <w:color w:val="000000" w:themeColor="text1"/>
          <w:szCs w:val="21"/>
        </w:rPr>
        <w:t>ddH</w:t>
      </w:r>
      <w:r w:rsidR="00395EB0" w:rsidRPr="00395EB0">
        <w:rPr>
          <w:color w:val="000000" w:themeColor="text1"/>
          <w:szCs w:val="21"/>
          <w:vertAlign w:val="subscript"/>
        </w:rPr>
        <w:t>2</w:t>
      </w:r>
      <w:r w:rsidR="00395EB0" w:rsidRPr="00395EB0">
        <w:rPr>
          <w:color w:val="000000" w:themeColor="text1"/>
          <w:szCs w:val="21"/>
        </w:rPr>
        <w:t>O was used to instead of DNA templates as negative control.</w:t>
      </w:r>
      <w:r w:rsidR="00395EB0">
        <w:rPr>
          <w:color w:val="000000" w:themeColor="text1"/>
          <w:szCs w:val="21"/>
        </w:rPr>
        <w:t xml:space="preserve"> </w:t>
      </w:r>
      <w:r w:rsidR="00395EB0" w:rsidRPr="00395EB0">
        <w:rPr>
          <w:kern w:val="0"/>
          <w:szCs w:val="21"/>
        </w:rPr>
        <w:t xml:space="preserve">The detection signal was collected at 72 </w:t>
      </w:r>
      <w:r w:rsidR="00395EB0" w:rsidRPr="00395EB0">
        <w:rPr>
          <w:rFonts w:eastAsia="AdvOT863180fb"/>
          <w:kern w:val="0"/>
          <w:szCs w:val="21"/>
        </w:rPr>
        <w:t>°C</w:t>
      </w:r>
      <w:r w:rsidR="00395EB0" w:rsidRPr="00395EB0">
        <w:rPr>
          <w:kern w:val="0"/>
          <w:szCs w:val="21"/>
        </w:rPr>
        <w:t xml:space="preserve"> for 30 s and analyzed. </w:t>
      </w:r>
      <w:r w:rsidR="00395EB0" w:rsidRPr="00395EB0">
        <w:rPr>
          <w:color w:val="000000" w:themeColor="text1"/>
          <w:szCs w:val="21"/>
        </w:rPr>
        <w:t xml:space="preserve">DNA quantitative controls were generated by amplifying the gene from total DNA. The PCR products were purified using the PCR </w:t>
      </w:r>
      <w:proofErr w:type="spellStart"/>
      <w:r w:rsidR="00395EB0" w:rsidRPr="00395EB0">
        <w:rPr>
          <w:color w:val="000000" w:themeColor="text1"/>
          <w:szCs w:val="21"/>
        </w:rPr>
        <w:t>clean up</w:t>
      </w:r>
      <w:proofErr w:type="spellEnd"/>
      <w:r w:rsidR="00395EB0" w:rsidRPr="00395EB0">
        <w:rPr>
          <w:color w:val="000000" w:themeColor="text1"/>
          <w:szCs w:val="21"/>
        </w:rPr>
        <w:t xml:space="preserve"> kit (</w:t>
      </w:r>
      <w:proofErr w:type="spellStart"/>
      <w:r w:rsidR="00395EB0" w:rsidRPr="00395EB0">
        <w:rPr>
          <w:color w:val="000000" w:themeColor="text1"/>
          <w:szCs w:val="21"/>
        </w:rPr>
        <w:t>Axygen</w:t>
      </w:r>
      <w:proofErr w:type="spellEnd"/>
      <w:r w:rsidR="00395EB0" w:rsidRPr="00395EB0">
        <w:rPr>
          <w:color w:val="000000" w:themeColor="text1"/>
          <w:szCs w:val="21"/>
        </w:rPr>
        <w:t xml:space="preserve">, USA) and cloned into the </w:t>
      </w:r>
      <w:proofErr w:type="spellStart"/>
      <w:r w:rsidR="00395EB0" w:rsidRPr="00395EB0">
        <w:rPr>
          <w:kern w:val="0"/>
          <w:szCs w:val="21"/>
        </w:rPr>
        <w:t>pUCm</w:t>
      </w:r>
      <w:proofErr w:type="spellEnd"/>
      <w:r w:rsidR="00395EB0" w:rsidRPr="00395EB0">
        <w:rPr>
          <w:kern w:val="0"/>
          <w:szCs w:val="21"/>
        </w:rPr>
        <w:t>-T vector (</w:t>
      </w:r>
      <w:proofErr w:type="spellStart"/>
      <w:r w:rsidR="00395EB0" w:rsidRPr="00395EB0">
        <w:rPr>
          <w:kern w:val="0"/>
          <w:szCs w:val="21"/>
        </w:rPr>
        <w:t>Sangon</w:t>
      </w:r>
      <w:proofErr w:type="spellEnd"/>
      <w:r w:rsidR="00395EB0" w:rsidRPr="00395EB0">
        <w:rPr>
          <w:kern w:val="0"/>
          <w:szCs w:val="21"/>
        </w:rPr>
        <w:t xml:space="preserve"> Biotech</w:t>
      </w:r>
      <w:r w:rsidR="00395EB0" w:rsidRPr="00395EB0">
        <w:rPr>
          <w:rFonts w:ascii="Arial" w:hAnsi="Arial" w:cs="Arial"/>
          <w:kern w:val="0"/>
          <w:szCs w:val="21"/>
        </w:rPr>
        <w:t xml:space="preserve"> </w:t>
      </w:r>
      <w:r w:rsidR="00395EB0" w:rsidRPr="00395EB0">
        <w:rPr>
          <w:kern w:val="0"/>
          <w:szCs w:val="21"/>
        </w:rPr>
        <w:t>Shanghai Co., Ltd., Shanghai, China)</w:t>
      </w:r>
      <w:r w:rsidR="00395EB0" w:rsidRPr="00395EB0">
        <w:rPr>
          <w:color w:val="000000" w:themeColor="text1"/>
          <w:szCs w:val="21"/>
        </w:rPr>
        <w:t>. DNA standards were then made from the plasmid DNA with concentrations ranged from 6.13×10</w:t>
      </w:r>
      <w:r w:rsidR="00395EB0" w:rsidRPr="00395EB0">
        <w:rPr>
          <w:color w:val="000000" w:themeColor="text1"/>
          <w:szCs w:val="21"/>
          <w:vertAlign w:val="superscript"/>
        </w:rPr>
        <w:t>8</w:t>
      </w:r>
      <w:r w:rsidR="00395EB0" w:rsidRPr="00395EB0">
        <w:rPr>
          <w:color w:val="000000" w:themeColor="text1"/>
          <w:szCs w:val="21"/>
        </w:rPr>
        <w:t xml:space="preserve"> to 6.13×10</w:t>
      </w:r>
      <w:r w:rsidR="00395EB0" w:rsidRPr="00395EB0">
        <w:rPr>
          <w:color w:val="000000" w:themeColor="text1"/>
          <w:szCs w:val="21"/>
          <w:vertAlign w:val="superscript"/>
        </w:rPr>
        <w:t>4</w:t>
      </w:r>
      <w:r w:rsidR="00395EB0" w:rsidRPr="00395EB0">
        <w:rPr>
          <w:color w:val="000000" w:themeColor="text1"/>
          <w:szCs w:val="21"/>
        </w:rPr>
        <w:t xml:space="preserve"> copies of DNA per reaction. The gene copy numbers of the target samples for each reaction were calculated from the standard curves. </w:t>
      </w:r>
      <w:r w:rsidR="00395EB0" w:rsidRPr="00395EB0">
        <w:rPr>
          <w:kern w:val="0"/>
          <w:szCs w:val="21"/>
        </w:rPr>
        <w:t xml:space="preserve">The melting curve was obtained to confirm that the amplified products were of the appropriate size. For each sample, the </w:t>
      </w:r>
      <w:proofErr w:type="spellStart"/>
      <w:r w:rsidR="00395EB0" w:rsidRPr="00395EB0">
        <w:rPr>
          <w:kern w:val="0"/>
          <w:szCs w:val="21"/>
        </w:rPr>
        <w:t>qPCRs</w:t>
      </w:r>
      <w:proofErr w:type="spellEnd"/>
      <w:r w:rsidR="00395EB0" w:rsidRPr="00395EB0">
        <w:rPr>
          <w:kern w:val="0"/>
          <w:szCs w:val="21"/>
        </w:rPr>
        <w:t xml:space="preserve"> were rep</w:t>
      </w:r>
      <w:r w:rsidR="00395EB0">
        <w:rPr>
          <w:kern w:val="0"/>
          <w:szCs w:val="21"/>
        </w:rPr>
        <w:t>lica</w:t>
      </w:r>
      <w:r w:rsidR="00395EB0" w:rsidRPr="00395EB0">
        <w:rPr>
          <w:kern w:val="0"/>
          <w:szCs w:val="21"/>
        </w:rPr>
        <w:t xml:space="preserve">ted </w:t>
      </w:r>
      <w:r w:rsidR="00395EB0">
        <w:rPr>
          <w:kern w:val="0"/>
          <w:szCs w:val="21"/>
        </w:rPr>
        <w:t>six</w:t>
      </w:r>
      <w:r w:rsidR="00395EB0" w:rsidRPr="00395EB0">
        <w:rPr>
          <w:kern w:val="0"/>
          <w:szCs w:val="21"/>
        </w:rPr>
        <w:t xml:space="preserve"> times.</w:t>
      </w:r>
    </w:p>
    <w:p w:rsidR="00ED6353" w:rsidRPr="00DF6E9E" w:rsidRDefault="00ED6353" w:rsidP="00A541CA">
      <w:pPr>
        <w:spacing w:line="360" w:lineRule="auto"/>
      </w:pPr>
      <w:proofErr w:type="gramStart"/>
      <w:r w:rsidRPr="00DF6E9E">
        <w:rPr>
          <w:b/>
        </w:rPr>
        <w:t>Table</w:t>
      </w:r>
      <w:r w:rsidR="00EA18F5" w:rsidRPr="00DF6E9E">
        <w:rPr>
          <w:b/>
        </w:rPr>
        <w:t xml:space="preserve"> 1</w:t>
      </w:r>
      <w:r w:rsidRPr="00DF6E9E">
        <w:rPr>
          <w:b/>
        </w:rPr>
        <w:t>.</w:t>
      </w:r>
      <w:proofErr w:type="gramEnd"/>
      <w:r w:rsidRPr="00DF6E9E">
        <w:rPr>
          <w:b/>
        </w:rPr>
        <w:t xml:space="preserve"> </w:t>
      </w:r>
      <w:proofErr w:type="gramStart"/>
      <w:r w:rsidRPr="00DF6E9E">
        <w:t xml:space="preserve">Information of selected primers and </w:t>
      </w:r>
      <w:proofErr w:type="spellStart"/>
      <w:r w:rsidRPr="00DF6E9E">
        <w:rPr>
          <w:kern w:val="44"/>
          <w:szCs w:val="21"/>
        </w:rPr>
        <w:t>Miseq</w:t>
      </w:r>
      <w:proofErr w:type="spellEnd"/>
      <w:r w:rsidRPr="00DF6E9E">
        <w:rPr>
          <w:kern w:val="44"/>
          <w:szCs w:val="21"/>
        </w:rPr>
        <w:t xml:space="preserve"> platform</w:t>
      </w:r>
      <w:r w:rsidRPr="00DF6E9E">
        <w:rPr>
          <w:rFonts w:hint="eastAsia"/>
          <w:kern w:val="44"/>
          <w:szCs w:val="21"/>
        </w:rPr>
        <w:t>.</w:t>
      </w:r>
      <w:proofErr w:type="gramEnd"/>
    </w:p>
    <w:tbl>
      <w:tblPr>
        <w:tblW w:w="89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1134"/>
        <w:gridCol w:w="2835"/>
        <w:gridCol w:w="992"/>
        <w:gridCol w:w="993"/>
        <w:gridCol w:w="1134"/>
      </w:tblGrid>
      <w:tr w:rsidR="009B1912" w:rsidRPr="00B609B8" w:rsidTr="009B1912">
        <w:trPr>
          <w:trHeight w:val="332"/>
        </w:trPr>
        <w:tc>
          <w:tcPr>
            <w:tcW w:w="1833" w:type="dxa"/>
            <w:vAlign w:val="center"/>
          </w:tcPr>
          <w:p w:rsidR="009B1912" w:rsidRPr="00A852F1" w:rsidRDefault="009B1912" w:rsidP="009B1912">
            <w:pPr>
              <w:jc w:val="center"/>
              <w:rPr>
                <w:rFonts w:eastAsia="楷体"/>
                <w:b/>
                <w:bCs/>
                <w:sz w:val="18"/>
                <w:szCs w:val="18"/>
              </w:rPr>
            </w:pPr>
            <w:r w:rsidRPr="00A852F1">
              <w:rPr>
                <w:rFonts w:eastAsia="楷体"/>
                <w:b/>
                <w:bCs/>
                <w:sz w:val="18"/>
                <w:szCs w:val="18"/>
              </w:rPr>
              <w:t>Sequence type</w:t>
            </w:r>
          </w:p>
        </w:tc>
        <w:tc>
          <w:tcPr>
            <w:tcW w:w="1134" w:type="dxa"/>
            <w:vAlign w:val="center"/>
          </w:tcPr>
          <w:p w:rsidR="009B1912" w:rsidRPr="00A852F1" w:rsidRDefault="009B1912" w:rsidP="009B1912">
            <w:pPr>
              <w:jc w:val="center"/>
              <w:rPr>
                <w:rFonts w:eastAsia="楷体"/>
                <w:b/>
                <w:bCs/>
                <w:sz w:val="18"/>
                <w:szCs w:val="18"/>
              </w:rPr>
            </w:pPr>
            <w:r w:rsidRPr="00A852F1">
              <w:rPr>
                <w:rFonts w:eastAsia="楷体"/>
                <w:b/>
                <w:bCs/>
                <w:sz w:val="18"/>
                <w:szCs w:val="18"/>
              </w:rPr>
              <w:t>Primer name</w:t>
            </w:r>
          </w:p>
        </w:tc>
        <w:tc>
          <w:tcPr>
            <w:tcW w:w="2835" w:type="dxa"/>
            <w:vAlign w:val="center"/>
          </w:tcPr>
          <w:p w:rsidR="009B1912" w:rsidRPr="00A852F1" w:rsidRDefault="009B1912" w:rsidP="009B1912">
            <w:pPr>
              <w:jc w:val="center"/>
              <w:rPr>
                <w:rFonts w:eastAsia="楷体"/>
                <w:b/>
                <w:bCs/>
                <w:sz w:val="18"/>
                <w:szCs w:val="18"/>
              </w:rPr>
            </w:pPr>
            <w:r w:rsidRPr="00A852F1">
              <w:rPr>
                <w:rFonts w:eastAsia="楷体"/>
                <w:b/>
                <w:bCs/>
                <w:sz w:val="18"/>
                <w:szCs w:val="18"/>
              </w:rPr>
              <w:t>Primer sequence</w:t>
            </w:r>
          </w:p>
        </w:tc>
        <w:tc>
          <w:tcPr>
            <w:tcW w:w="992" w:type="dxa"/>
          </w:tcPr>
          <w:p w:rsidR="009B1912" w:rsidRPr="00A852F1" w:rsidRDefault="009B1912" w:rsidP="009B1912">
            <w:pPr>
              <w:jc w:val="center"/>
              <w:rPr>
                <w:rFonts w:eastAsia="楷体"/>
                <w:b/>
                <w:bCs/>
                <w:sz w:val="18"/>
                <w:szCs w:val="18"/>
              </w:rPr>
            </w:pPr>
            <w:r w:rsidRPr="00A852F1">
              <w:rPr>
                <w:rFonts w:eastAsia="楷体"/>
                <w:b/>
                <w:bCs/>
                <w:sz w:val="18"/>
                <w:szCs w:val="18"/>
              </w:rPr>
              <w:t>Amplified sequence length</w:t>
            </w:r>
          </w:p>
        </w:tc>
        <w:tc>
          <w:tcPr>
            <w:tcW w:w="993" w:type="dxa"/>
          </w:tcPr>
          <w:p w:rsidR="009B1912" w:rsidRPr="00A852F1" w:rsidRDefault="009B1912" w:rsidP="009B1912">
            <w:pPr>
              <w:jc w:val="center"/>
              <w:rPr>
                <w:rFonts w:eastAsia="楷体"/>
                <w:b/>
                <w:bCs/>
                <w:sz w:val="18"/>
                <w:szCs w:val="18"/>
              </w:rPr>
            </w:pPr>
            <w:r w:rsidRPr="00A852F1">
              <w:rPr>
                <w:rFonts w:eastAsia="楷体"/>
                <w:b/>
                <w:bCs/>
                <w:sz w:val="18"/>
                <w:szCs w:val="18"/>
              </w:rPr>
              <w:t>References</w:t>
            </w:r>
          </w:p>
        </w:tc>
        <w:tc>
          <w:tcPr>
            <w:tcW w:w="1134" w:type="dxa"/>
          </w:tcPr>
          <w:p w:rsidR="009B1912" w:rsidRPr="00A852F1" w:rsidRDefault="009B1912" w:rsidP="009B1912">
            <w:pPr>
              <w:jc w:val="center"/>
              <w:rPr>
                <w:rFonts w:eastAsia="楷体"/>
                <w:b/>
                <w:bCs/>
                <w:sz w:val="18"/>
                <w:szCs w:val="18"/>
              </w:rPr>
            </w:pPr>
            <w:r w:rsidRPr="00A852F1">
              <w:rPr>
                <w:rFonts w:eastAsia="楷体"/>
                <w:b/>
                <w:bCs/>
                <w:sz w:val="18"/>
                <w:szCs w:val="18"/>
              </w:rPr>
              <w:t>Sequencing platform</w:t>
            </w:r>
          </w:p>
        </w:tc>
      </w:tr>
      <w:tr w:rsidR="009B1912" w:rsidRPr="00B609B8" w:rsidTr="009B1912">
        <w:trPr>
          <w:trHeight w:val="332"/>
        </w:trPr>
        <w:tc>
          <w:tcPr>
            <w:tcW w:w="1833" w:type="dxa"/>
            <w:vMerge w:val="restart"/>
            <w:vAlign w:val="center"/>
          </w:tcPr>
          <w:p w:rsidR="009B1912" w:rsidRPr="00A852F1" w:rsidRDefault="009B1912" w:rsidP="009B1912">
            <w:pPr>
              <w:autoSpaceDN w:val="0"/>
              <w:jc w:val="center"/>
              <w:textAlignment w:val="center"/>
              <w:rPr>
                <w:sz w:val="15"/>
                <w:szCs w:val="15"/>
              </w:rPr>
            </w:pPr>
            <w:r w:rsidRPr="00A852F1">
              <w:rPr>
                <w:sz w:val="15"/>
                <w:szCs w:val="15"/>
              </w:rPr>
              <w:t xml:space="preserve">Universal primers for bacteria and </w:t>
            </w:r>
            <w:proofErr w:type="spellStart"/>
            <w:r w:rsidRPr="00A852F1">
              <w:rPr>
                <w:sz w:val="15"/>
                <w:szCs w:val="15"/>
              </w:rPr>
              <w:t>archaea</w:t>
            </w:r>
            <w:proofErr w:type="spellEnd"/>
            <w:r w:rsidRPr="00A852F1">
              <w:rPr>
                <w:sz w:val="15"/>
                <w:szCs w:val="15"/>
              </w:rPr>
              <w:t xml:space="preserve"> 16S </w:t>
            </w:r>
            <w:proofErr w:type="spellStart"/>
            <w:r w:rsidRPr="00A852F1">
              <w:rPr>
                <w:sz w:val="15"/>
                <w:szCs w:val="15"/>
              </w:rPr>
              <w:t>rRNA</w:t>
            </w:r>
            <w:proofErr w:type="spellEnd"/>
          </w:p>
        </w:tc>
        <w:tc>
          <w:tcPr>
            <w:tcW w:w="1134" w:type="dxa"/>
            <w:vAlign w:val="center"/>
          </w:tcPr>
          <w:p w:rsidR="009B1912" w:rsidRPr="00A852F1" w:rsidRDefault="009B1912" w:rsidP="009B1912">
            <w:pPr>
              <w:widowControl/>
              <w:jc w:val="center"/>
              <w:textAlignment w:val="center"/>
              <w:rPr>
                <w:rFonts w:eastAsia="TimesNewRomanPSMT"/>
                <w:sz w:val="15"/>
                <w:szCs w:val="15"/>
              </w:rPr>
            </w:pPr>
            <w:r w:rsidRPr="00A852F1">
              <w:rPr>
                <w:rFonts w:eastAsia="TimesNewRomanPSMT"/>
                <w:sz w:val="15"/>
                <w:szCs w:val="15"/>
              </w:rPr>
              <w:t>ArBa515F</w:t>
            </w:r>
          </w:p>
        </w:tc>
        <w:tc>
          <w:tcPr>
            <w:tcW w:w="2835" w:type="dxa"/>
            <w:vAlign w:val="center"/>
          </w:tcPr>
          <w:p w:rsidR="009B1912" w:rsidRPr="00A852F1" w:rsidRDefault="009B1912" w:rsidP="009B1912">
            <w:pPr>
              <w:widowControl/>
              <w:jc w:val="left"/>
              <w:textAlignment w:val="center"/>
              <w:rPr>
                <w:rFonts w:eastAsia="TimesNewRomanPSMT"/>
                <w:sz w:val="15"/>
                <w:szCs w:val="15"/>
              </w:rPr>
            </w:pPr>
            <w:r w:rsidRPr="00A852F1">
              <w:rPr>
                <w:rFonts w:eastAsia="TimesNewRomanPSMT"/>
                <w:sz w:val="15"/>
                <w:szCs w:val="15"/>
              </w:rPr>
              <w:t>5'-GTGCCAGCMGCCGCGGTAA-3'</w:t>
            </w:r>
          </w:p>
        </w:tc>
        <w:tc>
          <w:tcPr>
            <w:tcW w:w="992" w:type="dxa"/>
            <w:vMerge w:val="restart"/>
            <w:vAlign w:val="center"/>
          </w:tcPr>
          <w:p w:rsidR="009B1912" w:rsidRPr="00A852F1" w:rsidRDefault="009B1912" w:rsidP="009B1912">
            <w:pPr>
              <w:autoSpaceDN w:val="0"/>
              <w:jc w:val="center"/>
              <w:textAlignment w:val="center"/>
              <w:rPr>
                <w:sz w:val="15"/>
                <w:szCs w:val="15"/>
              </w:rPr>
            </w:pPr>
            <w:r w:rsidRPr="00A852F1">
              <w:rPr>
                <w:sz w:val="15"/>
                <w:szCs w:val="15"/>
              </w:rPr>
              <w:t xml:space="preserve">291 </w:t>
            </w:r>
            <w:proofErr w:type="spellStart"/>
            <w:r w:rsidRPr="00A852F1">
              <w:rPr>
                <w:sz w:val="15"/>
                <w:szCs w:val="15"/>
              </w:rPr>
              <w:t>bp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9B1912" w:rsidRPr="00A852F1" w:rsidRDefault="009B1912" w:rsidP="009B1912">
            <w:pPr>
              <w:autoSpaceDN w:val="0"/>
              <w:jc w:val="center"/>
              <w:textAlignment w:val="center"/>
              <w:rPr>
                <w:sz w:val="15"/>
                <w:szCs w:val="15"/>
              </w:rPr>
            </w:pPr>
            <w:r w:rsidRPr="00A852F1">
              <w:rPr>
                <w:sz w:val="15"/>
                <w:szCs w:val="15"/>
              </w:rPr>
              <w:t>Scott et al., 2011</w:t>
            </w:r>
          </w:p>
        </w:tc>
        <w:tc>
          <w:tcPr>
            <w:tcW w:w="1134" w:type="dxa"/>
            <w:vMerge w:val="restart"/>
            <w:vAlign w:val="center"/>
          </w:tcPr>
          <w:p w:rsidR="009B1912" w:rsidRPr="00A852F1" w:rsidRDefault="009B1912" w:rsidP="009B1912">
            <w:pPr>
              <w:autoSpaceDN w:val="0"/>
              <w:jc w:val="center"/>
              <w:textAlignment w:val="center"/>
              <w:rPr>
                <w:sz w:val="15"/>
                <w:szCs w:val="15"/>
              </w:rPr>
            </w:pPr>
            <w:r w:rsidRPr="00A852F1">
              <w:rPr>
                <w:sz w:val="15"/>
                <w:szCs w:val="15"/>
              </w:rPr>
              <w:t>PE250 platform</w:t>
            </w:r>
          </w:p>
          <w:p w:rsidR="009B1912" w:rsidRPr="00A852F1" w:rsidRDefault="009B1912" w:rsidP="009B1912">
            <w:pPr>
              <w:autoSpaceDN w:val="0"/>
              <w:jc w:val="center"/>
              <w:textAlignment w:val="center"/>
              <w:rPr>
                <w:sz w:val="15"/>
                <w:szCs w:val="15"/>
              </w:rPr>
            </w:pPr>
          </w:p>
        </w:tc>
      </w:tr>
      <w:tr w:rsidR="009B1912" w:rsidRPr="00B609B8" w:rsidTr="009B1912">
        <w:trPr>
          <w:trHeight w:val="332"/>
        </w:trPr>
        <w:tc>
          <w:tcPr>
            <w:tcW w:w="1833" w:type="dxa"/>
            <w:vMerge/>
            <w:vAlign w:val="center"/>
          </w:tcPr>
          <w:p w:rsidR="009B1912" w:rsidRPr="00A852F1" w:rsidRDefault="009B1912" w:rsidP="009B1912">
            <w:pPr>
              <w:autoSpaceDN w:val="0"/>
              <w:jc w:val="center"/>
              <w:textAlignment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9B1912" w:rsidRPr="00A852F1" w:rsidRDefault="009B1912" w:rsidP="009B1912">
            <w:pPr>
              <w:widowControl/>
              <w:jc w:val="center"/>
              <w:textAlignment w:val="center"/>
              <w:rPr>
                <w:rFonts w:eastAsia="TimesNewRomanPSMT"/>
                <w:sz w:val="15"/>
                <w:szCs w:val="15"/>
              </w:rPr>
            </w:pPr>
            <w:r w:rsidRPr="00A852F1">
              <w:rPr>
                <w:rFonts w:eastAsia="TimesNewRomanPSMT"/>
                <w:sz w:val="15"/>
                <w:szCs w:val="15"/>
              </w:rPr>
              <w:t>Arch806R</w:t>
            </w:r>
          </w:p>
        </w:tc>
        <w:tc>
          <w:tcPr>
            <w:tcW w:w="2835" w:type="dxa"/>
            <w:vAlign w:val="center"/>
          </w:tcPr>
          <w:p w:rsidR="009B1912" w:rsidRPr="00A852F1" w:rsidRDefault="009B1912" w:rsidP="009B1912">
            <w:pPr>
              <w:widowControl/>
              <w:jc w:val="left"/>
              <w:textAlignment w:val="center"/>
              <w:rPr>
                <w:rFonts w:eastAsia="TimesNewRomanPSMT"/>
                <w:sz w:val="15"/>
                <w:szCs w:val="15"/>
              </w:rPr>
            </w:pPr>
            <w:r w:rsidRPr="00A852F1">
              <w:rPr>
                <w:rFonts w:eastAsia="TimesNewRomanPSMT"/>
                <w:sz w:val="15"/>
                <w:szCs w:val="15"/>
              </w:rPr>
              <w:t>5'-GGACTACVSGGGTATCTAAT-3'</w:t>
            </w:r>
          </w:p>
        </w:tc>
        <w:tc>
          <w:tcPr>
            <w:tcW w:w="992" w:type="dxa"/>
            <w:vMerge/>
            <w:vAlign w:val="center"/>
          </w:tcPr>
          <w:p w:rsidR="009B1912" w:rsidRPr="00A852F1" w:rsidRDefault="009B1912" w:rsidP="009B1912">
            <w:pPr>
              <w:autoSpaceDN w:val="0"/>
              <w:jc w:val="center"/>
              <w:textAlignment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vAlign w:val="center"/>
          </w:tcPr>
          <w:p w:rsidR="009B1912" w:rsidRPr="00A852F1" w:rsidRDefault="009B1912" w:rsidP="009B1912">
            <w:pPr>
              <w:autoSpaceDN w:val="0"/>
              <w:jc w:val="center"/>
              <w:textAlignment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9B1912" w:rsidRPr="00A852F1" w:rsidRDefault="009B1912" w:rsidP="009B1912">
            <w:pPr>
              <w:autoSpaceDN w:val="0"/>
              <w:jc w:val="center"/>
              <w:textAlignment w:val="center"/>
              <w:rPr>
                <w:sz w:val="15"/>
                <w:szCs w:val="15"/>
              </w:rPr>
            </w:pPr>
          </w:p>
        </w:tc>
      </w:tr>
      <w:tr w:rsidR="009B1912" w:rsidRPr="00B609B8" w:rsidTr="009B1912">
        <w:trPr>
          <w:trHeight w:val="332"/>
        </w:trPr>
        <w:tc>
          <w:tcPr>
            <w:tcW w:w="1833" w:type="dxa"/>
            <w:vMerge w:val="restart"/>
            <w:vAlign w:val="center"/>
          </w:tcPr>
          <w:p w:rsidR="009B1912" w:rsidRPr="00A852F1" w:rsidRDefault="009B1912" w:rsidP="009B1912">
            <w:pPr>
              <w:autoSpaceDN w:val="0"/>
              <w:jc w:val="center"/>
              <w:textAlignment w:val="center"/>
              <w:rPr>
                <w:sz w:val="15"/>
                <w:szCs w:val="15"/>
              </w:rPr>
            </w:pPr>
            <w:r w:rsidRPr="00A852F1">
              <w:rPr>
                <w:sz w:val="15"/>
                <w:szCs w:val="15"/>
              </w:rPr>
              <w:t xml:space="preserve">Fungi 18S </w:t>
            </w:r>
            <w:proofErr w:type="spellStart"/>
            <w:r w:rsidRPr="00A852F1">
              <w:rPr>
                <w:sz w:val="15"/>
                <w:szCs w:val="15"/>
              </w:rPr>
              <w:t>rRNA</w:t>
            </w:r>
            <w:proofErr w:type="spellEnd"/>
          </w:p>
        </w:tc>
        <w:tc>
          <w:tcPr>
            <w:tcW w:w="1134" w:type="dxa"/>
            <w:vAlign w:val="center"/>
          </w:tcPr>
          <w:p w:rsidR="009B1912" w:rsidRPr="00A852F1" w:rsidRDefault="009B1912" w:rsidP="009B1912">
            <w:pPr>
              <w:autoSpaceDN w:val="0"/>
              <w:jc w:val="center"/>
              <w:textAlignment w:val="center"/>
              <w:rPr>
                <w:sz w:val="15"/>
                <w:szCs w:val="15"/>
              </w:rPr>
            </w:pPr>
            <w:r w:rsidRPr="00A852F1">
              <w:rPr>
                <w:sz w:val="15"/>
                <w:szCs w:val="15"/>
              </w:rPr>
              <w:t>SSU0817F</w:t>
            </w:r>
          </w:p>
        </w:tc>
        <w:tc>
          <w:tcPr>
            <w:tcW w:w="2835" w:type="dxa"/>
            <w:vAlign w:val="center"/>
          </w:tcPr>
          <w:p w:rsidR="009B1912" w:rsidRPr="00A852F1" w:rsidRDefault="009B1912" w:rsidP="009B1912">
            <w:pPr>
              <w:autoSpaceDN w:val="0"/>
              <w:jc w:val="left"/>
              <w:textAlignment w:val="center"/>
              <w:rPr>
                <w:sz w:val="15"/>
                <w:szCs w:val="15"/>
              </w:rPr>
            </w:pPr>
            <w:r w:rsidRPr="00A852F1">
              <w:rPr>
                <w:sz w:val="15"/>
                <w:szCs w:val="15"/>
              </w:rPr>
              <w:t>5'-TTAGCATGGAATAATRRAATAGGA-3'</w:t>
            </w:r>
          </w:p>
        </w:tc>
        <w:tc>
          <w:tcPr>
            <w:tcW w:w="992" w:type="dxa"/>
            <w:vMerge w:val="restart"/>
            <w:vAlign w:val="center"/>
          </w:tcPr>
          <w:p w:rsidR="009B1912" w:rsidRPr="00A852F1" w:rsidRDefault="009B1912" w:rsidP="009B1912">
            <w:pPr>
              <w:autoSpaceDN w:val="0"/>
              <w:jc w:val="center"/>
              <w:textAlignment w:val="center"/>
              <w:rPr>
                <w:sz w:val="15"/>
                <w:szCs w:val="15"/>
              </w:rPr>
            </w:pPr>
            <w:r w:rsidRPr="00A852F1">
              <w:rPr>
                <w:sz w:val="15"/>
                <w:szCs w:val="15"/>
              </w:rPr>
              <w:t xml:space="preserve">379 </w:t>
            </w:r>
            <w:proofErr w:type="spellStart"/>
            <w:r w:rsidRPr="00A852F1">
              <w:rPr>
                <w:sz w:val="15"/>
                <w:szCs w:val="15"/>
              </w:rPr>
              <w:t>bp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9B1912" w:rsidRPr="00A852F1" w:rsidRDefault="009B1912" w:rsidP="009B1912">
            <w:pPr>
              <w:autoSpaceDN w:val="0"/>
              <w:jc w:val="center"/>
              <w:textAlignment w:val="center"/>
              <w:rPr>
                <w:sz w:val="15"/>
                <w:szCs w:val="15"/>
              </w:rPr>
            </w:pPr>
            <w:proofErr w:type="spellStart"/>
            <w:r w:rsidRPr="00A852F1">
              <w:rPr>
                <w:sz w:val="15"/>
                <w:szCs w:val="15"/>
              </w:rPr>
              <w:t>Rousk</w:t>
            </w:r>
            <w:proofErr w:type="spellEnd"/>
            <w:r w:rsidRPr="00A852F1">
              <w:rPr>
                <w:sz w:val="15"/>
                <w:szCs w:val="15"/>
              </w:rPr>
              <w:t xml:space="preserve"> et al., 2010</w:t>
            </w:r>
          </w:p>
        </w:tc>
        <w:tc>
          <w:tcPr>
            <w:tcW w:w="1134" w:type="dxa"/>
            <w:vMerge w:val="restart"/>
            <w:vAlign w:val="center"/>
          </w:tcPr>
          <w:p w:rsidR="009B1912" w:rsidRPr="00A852F1" w:rsidRDefault="009B1912" w:rsidP="009B1912">
            <w:pPr>
              <w:autoSpaceDN w:val="0"/>
              <w:jc w:val="center"/>
              <w:textAlignment w:val="center"/>
              <w:rPr>
                <w:sz w:val="15"/>
                <w:szCs w:val="15"/>
              </w:rPr>
            </w:pPr>
            <w:r w:rsidRPr="00A852F1">
              <w:rPr>
                <w:sz w:val="15"/>
                <w:szCs w:val="15"/>
              </w:rPr>
              <w:t>PE300 platform</w:t>
            </w:r>
          </w:p>
          <w:p w:rsidR="009B1912" w:rsidRPr="00A852F1" w:rsidRDefault="009B1912" w:rsidP="009B1912">
            <w:pPr>
              <w:autoSpaceDN w:val="0"/>
              <w:jc w:val="center"/>
              <w:textAlignment w:val="center"/>
              <w:rPr>
                <w:sz w:val="15"/>
                <w:szCs w:val="15"/>
              </w:rPr>
            </w:pPr>
          </w:p>
        </w:tc>
      </w:tr>
      <w:tr w:rsidR="009B1912" w:rsidRPr="00B609B8" w:rsidTr="009B1912">
        <w:trPr>
          <w:trHeight w:val="323"/>
        </w:trPr>
        <w:tc>
          <w:tcPr>
            <w:tcW w:w="1833" w:type="dxa"/>
            <w:vMerge/>
            <w:vAlign w:val="center"/>
          </w:tcPr>
          <w:p w:rsidR="009B1912" w:rsidRPr="00B609B8" w:rsidRDefault="009B1912" w:rsidP="009B1912">
            <w:pPr>
              <w:autoSpaceDN w:val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B1912" w:rsidRPr="00A852F1" w:rsidRDefault="009B1912" w:rsidP="009B1912">
            <w:pPr>
              <w:autoSpaceDN w:val="0"/>
              <w:jc w:val="center"/>
              <w:textAlignment w:val="center"/>
              <w:rPr>
                <w:sz w:val="15"/>
                <w:szCs w:val="15"/>
              </w:rPr>
            </w:pPr>
            <w:r w:rsidRPr="00A852F1">
              <w:rPr>
                <w:sz w:val="15"/>
                <w:szCs w:val="15"/>
              </w:rPr>
              <w:t>1196R</w:t>
            </w:r>
          </w:p>
        </w:tc>
        <w:tc>
          <w:tcPr>
            <w:tcW w:w="2835" w:type="dxa"/>
            <w:vAlign w:val="center"/>
          </w:tcPr>
          <w:p w:rsidR="009B1912" w:rsidRPr="00A852F1" w:rsidRDefault="009B1912" w:rsidP="009B1912">
            <w:pPr>
              <w:autoSpaceDN w:val="0"/>
              <w:jc w:val="left"/>
              <w:textAlignment w:val="center"/>
              <w:rPr>
                <w:sz w:val="15"/>
                <w:szCs w:val="15"/>
              </w:rPr>
            </w:pPr>
            <w:r w:rsidRPr="00A852F1">
              <w:rPr>
                <w:sz w:val="15"/>
                <w:szCs w:val="15"/>
              </w:rPr>
              <w:t>5'-TCTGGACCTGGTGAGTTTCC-3'</w:t>
            </w:r>
          </w:p>
        </w:tc>
        <w:tc>
          <w:tcPr>
            <w:tcW w:w="992" w:type="dxa"/>
            <w:vMerge/>
            <w:vAlign w:val="center"/>
          </w:tcPr>
          <w:p w:rsidR="009B1912" w:rsidRPr="00B609B8" w:rsidRDefault="009B1912" w:rsidP="009B1912">
            <w:pPr>
              <w:autoSpaceDN w:val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9B1912" w:rsidRPr="00B609B8" w:rsidRDefault="009B1912" w:rsidP="009B1912">
            <w:pPr>
              <w:autoSpaceDN w:val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B1912" w:rsidRPr="00B609B8" w:rsidRDefault="009B1912" w:rsidP="009B1912">
            <w:pPr>
              <w:autoSpaceDN w:val="0"/>
              <w:jc w:val="center"/>
              <w:textAlignment w:val="center"/>
              <w:rPr>
                <w:szCs w:val="21"/>
              </w:rPr>
            </w:pPr>
          </w:p>
        </w:tc>
      </w:tr>
    </w:tbl>
    <w:p w:rsidR="00ED6353" w:rsidRPr="009B1912" w:rsidRDefault="00ED6353" w:rsidP="0049023B">
      <w:pPr>
        <w:rPr>
          <w:rFonts w:hint="eastAsia"/>
          <w:b/>
          <w:kern w:val="44"/>
          <w:szCs w:val="21"/>
        </w:rPr>
      </w:pPr>
    </w:p>
    <w:p w:rsidR="00E65D32" w:rsidRPr="006F2F53" w:rsidRDefault="00E65D32" w:rsidP="00E65D32">
      <w:pPr>
        <w:rPr>
          <w:b/>
          <w:kern w:val="44"/>
          <w:szCs w:val="21"/>
        </w:rPr>
      </w:pPr>
      <w:bookmarkStart w:id="2" w:name="_GoBack"/>
      <w:bookmarkEnd w:id="2"/>
      <w:r w:rsidRPr="008D4A34">
        <w:rPr>
          <w:rFonts w:hint="eastAsia"/>
          <w:b/>
          <w:kern w:val="44"/>
          <w:szCs w:val="21"/>
        </w:rPr>
        <w:lastRenderedPageBreak/>
        <w:t>References</w:t>
      </w:r>
    </w:p>
    <w:p w:rsidR="00E65D32" w:rsidRPr="00D970F0" w:rsidRDefault="00E65D32" w:rsidP="00E65D32">
      <w:pPr>
        <w:rPr>
          <w:sz w:val="18"/>
          <w:szCs w:val="18"/>
        </w:rPr>
      </w:pPr>
      <w:r w:rsidRPr="00D970F0">
        <w:rPr>
          <w:sz w:val="18"/>
          <w:szCs w:val="18"/>
        </w:rPr>
        <w:t>Amato KR, Yeoman CJ, Kent A</w:t>
      </w:r>
      <w:r>
        <w:rPr>
          <w:rFonts w:hint="eastAsia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proofErr w:type="spellStart"/>
      <w:r w:rsidRPr="00CB2E1B">
        <w:rPr>
          <w:sz w:val="18"/>
          <w:szCs w:val="18"/>
        </w:rPr>
        <w:t>Righini</w:t>
      </w:r>
      <w:proofErr w:type="spellEnd"/>
      <w:r>
        <w:rPr>
          <w:rFonts w:hint="eastAsia"/>
          <w:sz w:val="18"/>
          <w:szCs w:val="18"/>
        </w:rPr>
        <w:t xml:space="preserve"> </w:t>
      </w:r>
      <w:r w:rsidRPr="00CB2E1B">
        <w:rPr>
          <w:sz w:val="18"/>
          <w:szCs w:val="18"/>
        </w:rPr>
        <w:t xml:space="preserve">N, </w:t>
      </w:r>
      <w:proofErr w:type="spellStart"/>
      <w:r w:rsidRPr="00CB2E1B">
        <w:rPr>
          <w:sz w:val="18"/>
          <w:szCs w:val="18"/>
        </w:rPr>
        <w:t>Carbonero</w:t>
      </w:r>
      <w:proofErr w:type="spellEnd"/>
      <w:r>
        <w:rPr>
          <w:rFonts w:hint="eastAsia"/>
          <w:sz w:val="18"/>
          <w:szCs w:val="18"/>
        </w:rPr>
        <w:t xml:space="preserve"> F</w:t>
      </w:r>
      <w:r w:rsidRPr="00CB2E1B">
        <w:rPr>
          <w:sz w:val="18"/>
          <w:szCs w:val="18"/>
        </w:rPr>
        <w:t>, Estrada</w:t>
      </w:r>
      <w:r>
        <w:rPr>
          <w:rFonts w:hint="eastAsia"/>
          <w:sz w:val="18"/>
          <w:szCs w:val="18"/>
        </w:rPr>
        <w:t xml:space="preserve"> A</w:t>
      </w:r>
      <w:r w:rsidRPr="00CB2E1B">
        <w:rPr>
          <w:sz w:val="18"/>
          <w:szCs w:val="18"/>
        </w:rPr>
        <w:t>, Gaskins</w:t>
      </w:r>
      <w:r>
        <w:rPr>
          <w:rFonts w:hint="eastAsia"/>
          <w:sz w:val="18"/>
          <w:szCs w:val="18"/>
        </w:rPr>
        <w:t xml:space="preserve"> HR</w:t>
      </w:r>
      <w:r w:rsidRPr="00CB2E1B">
        <w:rPr>
          <w:sz w:val="18"/>
          <w:szCs w:val="18"/>
        </w:rPr>
        <w:t xml:space="preserve">, </w:t>
      </w:r>
      <w:proofErr w:type="spellStart"/>
      <w:r w:rsidRPr="00CB2E1B">
        <w:rPr>
          <w:sz w:val="18"/>
          <w:szCs w:val="18"/>
        </w:rPr>
        <w:t>Stumpf</w:t>
      </w:r>
      <w:proofErr w:type="spellEnd"/>
      <w:r>
        <w:rPr>
          <w:rFonts w:hint="eastAsia"/>
          <w:sz w:val="18"/>
          <w:szCs w:val="18"/>
        </w:rPr>
        <w:t xml:space="preserve"> RM</w:t>
      </w:r>
      <w:r w:rsidRPr="00CB2E1B">
        <w:rPr>
          <w:sz w:val="18"/>
          <w:szCs w:val="18"/>
        </w:rPr>
        <w:t xml:space="preserve">, </w:t>
      </w:r>
      <w:proofErr w:type="spellStart"/>
      <w:r w:rsidRPr="00CB2E1B">
        <w:rPr>
          <w:sz w:val="18"/>
          <w:szCs w:val="18"/>
        </w:rPr>
        <w:t>Yildirim</w:t>
      </w:r>
      <w:proofErr w:type="spellEnd"/>
      <w:r>
        <w:rPr>
          <w:rFonts w:hint="eastAsia"/>
          <w:sz w:val="18"/>
          <w:szCs w:val="18"/>
        </w:rPr>
        <w:t xml:space="preserve"> S</w:t>
      </w:r>
      <w:r w:rsidRPr="00CB2E1B">
        <w:rPr>
          <w:sz w:val="18"/>
          <w:szCs w:val="18"/>
        </w:rPr>
        <w:t xml:space="preserve">, </w:t>
      </w:r>
      <w:proofErr w:type="spellStart"/>
      <w:r w:rsidRPr="00CB2E1B">
        <w:rPr>
          <w:sz w:val="18"/>
          <w:szCs w:val="18"/>
        </w:rPr>
        <w:t>Torralba</w:t>
      </w:r>
      <w:proofErr w:type="spellEnd"/>
      <w:r>
        <w:rPr>
          <w:rFonts w:hint="eastAsia"/>
          <w:sz w:val="18"/>
          <w:szCs w:val="18"/>
        </w:rPr>
        <w:t xml:space="preserve"> M</w:t>
      </w:r>
      <w:r w:rsidRPr="00CB2E1B">
        <w:rPr>
          <w:sz w:val="18"/>
          <w:szCs w:val="18"/>
        </w:rPr>
        <w:t>, Gillis M, Wilson</w:t>
      </w:r>
      <w:r>
        <w:rPr>
          <w:rFonts w:hint="eastAsia"/>
          <w:sz w:val="18"/>
          <w:szCs w:val="18"/>
        </w:rPr>
        <w:t xml:space="preserve"> BA</w:t>
      </w:r>
      <w:r w:rsidRPr="00CB2E1B">
        <w:rPr>
          <w:sz w:val="18"/>
          <w:szCs w:val="18"/>
        </w:rPr>
        <w:t>, Nelson KE, White BA, Leigh</w:t>
      </w:r>
      <w:r>
        <w:rPr>
          <w:rFonts w:hint="eastAsia"/>
          <w:sz w:val="18"/>
          <w:szCs w:val="18"/>
        </w:rPr>
        <w:t xml:space="preserve"> SR (2013)</w:t>
      </w:r>
      <w:r w:rsidRPr="00CB2E1B">
        <w:rPr>
          <w:sz w:val="18"/>
          <w:szCs w:val="18"/>
        </w:rPr>
        <w:t xml:space="preserve"> </w:t>
      </w:r>
      <w:r w:rsidRPr="00D970F0">
        <w:rPr>
          <w:sz w:val="18"/>
          <w:szCs w:val="18"/>
        </w:rPr>
        <w:t>Habitat degradation impacts black howler monkey (</w:t>
      </w:r>
      <w:proofErr w:type="spellStart"/>
      <w:r w:rsidRPr="00D970F0">
        <w:rPr>
          <w:sz w:val="18"/>
          <w:szCs w:val="18"/>
        </w:rPr>
        <w:t>Alouatta</w:t>
      </w:r>
      <w:proofErr w:type="spellEnd"/>
      <w:r w:rsidRPr="00D970F0">
        <w:rPr>
          <w:sz w:val="18"/>
          <w:szCs w:val="18"/>
        </w:rPr>
        <w:t xml:space="preserve"> </w:t>
      </w:r>
      <w:proofErr w:type="spellStart"/>
      <w:r w:rsidRPr="00D970F0">
        <w:rPr>
          <w:sz w:val="18"/>
          <w:szCs w:val="18"/>
        </w:rPr>
        <w:t>pigra</w:t>
      </w:r>
      <w:proofErr w:type="spellEnd"/>
      <w:r w:rsidRPr="00D970F0">
        <w:rPr>
          <w:sz w:val="18"/>
          <w:szCs w:val="18"/>
        </w:rPr>
        <w:t xml:space="preserve">) gastrointestinal </w:t>
      </w:r>
      <w:proofErr w:type="spellStart"/>
      <w:r w:rsidRPr="00D970F0">
        <w:rPr>
          <w:sz w:val="18"/>
          <w:szCs w:val="18"/>
        </w:rPr>
        <w:t>microbiomes</w:t>
      </w:r>
      <w:proofErr w:type="spellEnd"/>
      <w:r w:rsidRPr="00D970F0">
        <w:rPr>
          <w:sz w:val="18"/>
          <w:szCs w:val="18"/>
        </w:rPr>
        <w:t xml:space="preserve">. </w:t>
      </w:r>
      <w:r w:rsidRPr="00861A38">
        <w:rPr>
          <w:sz w:val="18"/>
          <w:szCs w:val="18"/>
        </w:rPr>
        <w:t>ISME J</w:t>
      </w:r>
      <w:r w:rsidRPr="00D970F0">
        <w:rPr>
          <w:sz w:val="18"/>
          <w:szCs w:val="18"/>
        </w:rPr>
        <w:t xml:space="preserve"> 7</w:t>
      </w:r>
      <w:r>
        <w:rPr>
          <w:rFonts w:hint="eastAsia"/>
          <w:sz w:val="18"/>
          <w:szCs w:val="18"/>
        </w:rPr>
        <w:t xml:space="preserve">(7): </w:t>
      </w:r>
      <w:r w:rsidRPr="00D970F0">
        <w:rPr>
          <w:sz w:val="18"/>
          <w:szCs w:val="18"/>
        </w:rPr>
        <w:t>1344–1353.</w:t>
      </w:r>
      <w:r>
        <w:rPr>
          <w:rFonts w:hint="eastAsia"/>
          <w:sz w:val="18"/>
          <w:szCs w:val="18"/>
        </w:rPr>
        <w:t xml:space="preserve"> </w:t>
      </w:r>
      <w:r w:rsidRPr="00CB2E1B">
        <w:rPr>
          <w:sz w:val="18"/>
          <w:szCs w:val="18"/>
        </w:rPr>
        <w:t>https://doi.org/10.1038/ismej.2013.16</w:t>
      </w:r>
    </w:p>
    <w:p w:rsidR="00E65D32" w:rsidRPr="000C0FFE" w:rsidRDefault="00E65D32" w:rsidP="00E65D32">
      <w:pPr>
        <w:widowControl/>
        <w:shd w:val="clear" w:color="auto" w:fill="FFFFFF"/>
        <w:jc w:val="left"/>
        <w:rPr>
          <w:color w:val="111111"/>
          <w:kern w:val="0"/>
          <w:sz w:val="18"/>
          <w:szCs w:val="18"/>
          <w:lang w:val="en"/>
        </w:rPr>
      </w:pPr>
      <w:r w:rsidRPr="000C0FFE">
        <w:rPr>
          <w:sz w:val="18"/>
          <w:szCs w:val="18"/>
        </w:rPr>
        <w:t>Bates ST, Berg-Lyons D</w:t>
      </w:r>
      <w:r w:rsidRPr="000C0FFE">
        <w:rPr>
          <w:rFonts w:hint="eastAsia"/>
          <w:sz w:val="18"/>
          <w:szCs w:val="18"/>
        </w:rPr>
        <w:t>,</w:t>
      </w:r>
      <w:r w:rsidRPr="000C0FFE">
        <w:rPr>
          <w:sz w:val="18"/>
          <w:szCs w:val="18"/>
        </w:rPr>
        <w:t xml:space="preserve"> </w:t>
      </w:r>
      <w:proofErr w:type="spellStart"/>
      <w:r w:rsidRPr="000C0FFE">
        <w:rPr>
          <w:color w:val="111111"/>
          <w:kern w:val="0"/>
          <w:sz w:val="18"/>
          <w:szCs w:val="18"/>
          <w:lang w:val="en"/>
        </w:rPr>
        <w:t>Caporaso</w:t>
      </w:r>
      <w:proofErr w:type="spellEnd"/>
      <w:r w:rsidRPr="000C0FFE">
        <w:rPr>
          <w:rFonts w:hint="eastAsia"/>
          <w:sz w:val="18"/>
          <w:szCs w:val="18"/>
        </w:rPr>
        <w:t xml:space="preserve"> </w:t>
      </w:r>
      <w:r w:rsidRPr="000C0FFE">
        <w:rPr>
          <w:color w:val="111111"/>
          <w:kern w:val="0"/>
          <w:sz w:val="18"/>
          <w:szCs w:val="18"/>
          <w:lang w:val="en"/>
        </w:rPr>
        <w:t xml:space="preserve">JG, Walters WA, Knight R, </w:t>
      </w:r>
      <w:proofErr w:type="spellStart"/>
      <w:r w:rsidRPr="000C0FFE">
        <w:rPr>
          <w:color w:val="111111"/>
          <w:kern w:val="0"/>
          <w:sz w:val="18"/>
          <w:szCs w:val="18"/>
          <w:lang w:val="en"/>
        </w:rPr>
        <w:t>Fierer</w:t>
      </w:r>
      <w:proofErr w:type="spellEnd"/>
      <w:r w:rsidRPr="000C0FFE">
        <w:rPr>
          <w:color w:val="111111"/>
          <w:kern w:val="0"/>
          <w:sz w:val="18"/>
          <w:szCs w:val="18"/>
          <w:lang w:val="en"/>
        </w:rPr>
        <w:t xml:space="preserve"> N</w:t>
      </w:r>
      <w:r>
        <w:rPr>
          <w:rFonts w:hint="eastAsia"/>
          <w:color w:val="111111"/>
          <w:kern w:val="0"/>
          <w:sz w:val="18"/>
          <w:szCs w:val="18"/>
          <w:lang w:val="en"/>
        </w:rPr>
        <w:t xml:space="preserve"> (2011)</w:t>
      </w:r>
      <w:r w:rsidRPr="000C0FFE">
        <w:rPr>
          <w:rFonts w:hint="eastAsia"/>
          <w:color w:val="111111"/>
          <w:kern w:val="0"/>
          <w:sz w:val="18"/>
          <w:szCs w:val="18"/>
          <w:lang w:val="en"/>
        </w:rPr>
        <w:t xml:space="preserve"> </w:t>
      </w:r>
      <w:r w:rsidRPr="000C0FFE">
        <w:rPr>
          <w:sz w:val="18"/>
          <w:szCs w:val="18"/>
        </w:rPr>
        <w:t xml:space="preserve">Examining the global distribution of dominant </w:t>
      </w:r>
      <w:proofErr w:type="spellStart"/>
      <w:r w:rsidRPr="000C0FFE">
        <w:rPr>
          <w:sz w:val="18"/>
          <w:szCs w:val="18"/>
        </w:rPr>
        <w:t>archaeal</w:t>
      </w:r>
      <w:proofErr w:type="spellEnd"/>
      <w:r w:rsidRPr="000C0FFE">
        <w:rPr>
          <w:sz w:val="18"/>
          <w:szCs w:val="18"/>
        </w:rPr>
        <w:t xml:space="preserve"> populations in soil</w:t>
      </w:r>
      <w:r w:rsidRPr="000C0FFE">
        <w:rPr>
          <w:rFonts w:hint="eastAsia"/>
          <w:sz w:val="18"/>
          <w:szCs w:val="18"/>
        </w:rPr>
        <w:t>.</w:t>
      </w:r>
      <w:r w:rsidRPr="000C0FFE">
        <w:rPr>
          <w:sz w:val="18"/>
          <w:szCs w:val="18"/>
        </w:rPr>
        <w:t xml:space="preserve"> ISME J 5</w:t>
      </w:r>
      <w:r>
        <w:rPr>
          <w:rFonts w:hint="eastAsia"/>
          <w:sz w:val="18"/>
          <w:szCs w:val="18"/>
        </w:rPr>
        <w:t>(5)</w:t>
      </w:r>
      <w:r w:rsidRPr="000C0FFE">
        <w:rPr>
          <w:sz w:val="18"/>
          <w:szCs w:val="18"/>
        </w:rPr>
        <w:t>: 908–917</w:t>
      </w:r>
      <w:r w:rsidRPr="000C0FFE">
        <w:rPr>
          <w:rFonts w:hint="eastAsia"/>
          <w:sz w:val="18"/>
          <w:szCs w:val="18"/>
        </w:rPr>
        <w:t>.</w:t>
      </w:r>
      <w:r>
        <w:rPr>
          <w:rFonts w:hint="eastAsia"/>
          <w:sz w:val="18"/>
          <w:szCs w:val="18"/>
        </w:rPr>
        <w:t xml:space="preserve"> </w:t>
      </w:r>
      <w:r w:rsidRPr="005F767E">
        <w:rPr>
          <w:sz w:val="18"/>
          <w:szCs w:val="18"/>
        </w:rPr>
        <w:t>https://doi.org/10.1038/ismej.2010.171</w:t>
      </w:r>
    </w:p>
    <w:p w:rsidR="00E65D32" w:rsidRPr="006F2F53" w:rsidRDefault="00E65D32" w:rsidP="00E65D32">
      <w:pPr>
        <w:autoSpaceDE w:val="0"/>
        <w:autoSpaceDN w:val="0"/>
        <w:adjustRightInd w:val="0"/>
        <w:rPr>
          <w:rFonts w:eastAsiaTheme="minorEastAsia"/>
          <w:kern w:val="0"/>
          <w:sz w:val="18"/>
          <w:szCs w:val="18"/>
        </w:rPr>
      </w:pPr>
      <w:proofErr w:type="spellStart"/>
      <w:r w:rsidRPr="008A2435">
        <w:rPr>
          <w:rFonts w:eastAsiaTheme="minorEastAsia"/>
          <w:kern w:val="0"/>
          <w:sz w:val="18"/>
          <w:szCs w:val="18"/>
        </w:rPr>
        <w:t>Lozu</w:t>
      </w:r>
      <w:r>
        <w:rPr>
          <w:rFonts w:eastAsiaTheme="minorEastAsia"/>
          <w:kern w:val="0"/>
          <w:sz w:val="18"/>
          <w:szCs w:val="18"/>
        </w:rPr>
        <w:t>pone</w:t>
      </w:r>
      <w:proofErr w:type="spellEnd"/>
      <w:r>
        <w:rPr>
          <w:rFonts w:eastAsiaTheme="minorEastAsia"/>
          <w:kern w:val="0"/>
          <w:sz w:val="18"/>
          <w:szCs w:val="18"/>
        </w:rPr>
        <w:t xml:space="preserve"> C, Knight R</w:t>
      </w:r>
      <w:r>
        <w:rPr>
          <w:rFonts w:eastAsiaTheme="minorEastAsia" w:hint="eastAsia"/>
          <w:kern w:val="0"/>
          <w:sz w:val="18"/>
          <w:szCs w:val="18"/>
        </w:rPr>
        <w:t xml:space="preserve"> (</w:t>
      </w:r>
      <w:r>
        <w:rPr>
          <w:rFonts w:eastAsiaTheme="minorEastAsia"/>
          <w:kern w:val="0"/>
          <w:sz w:val="18"/>
          <w:szCs w:val="18"/>
        </w:rPr>
        <w:t>2005</w:t>
      </w:r>
      <w:r>
        <w:rPr>
          <w:rFonts w:eastAsiaTheme="minorEastAsia" w:hint="eastAsia"/>
          <w:kern w:val="0"/>
          <w:sz w:val="18"/>
          <w:szCs w:val="18"/>
        </w:rPr>
        <w:t>)</w:t>
      </w:r>
      <w:r>
        <w:rPr>
          <w:rFonts w:eastAsiaTheme="minorEastAsia"/>
          <w:kern w:val="0"/>
          <w:sz w:val="18"/>
          <w:szCs w:val="18"/>
        </w:rPr>
        <w:t xml:space="preserve"> </w:t>
      </w:r>
      <w:proofErr w:type="spellStart"/>
      <w:r>
        <w:rPr>
          <w:rFonts w:eastAsiaTheme="minorEastAsia"/>
          <w:kern w:val="0"/>
          <w:sz w:val="18"/>
          <w:szCs w:val="18"/>
        </w:rPr>
        <w:t>UniFrac</w:t>
      </w:r>
      <w:proofErr w:type="spellEnd"/>
      <w:r w:rsidRPr="008A2435">
        <w:rPr>
          <w:rFonts w:eastAsiaTheme="minorEastAsia"/>
          <w:kern w:val="0"/>
          <w:sz w:val="18"/>
          <w:szCs w:val="18"/>
        </w:rPr>
        <w:t>: a new phylogenetic method for c</w:t>
      </w:r>
      <w:r>
        <w:rPr>
          <w:rFonts w:eastAsiaTheme="minorEastAsia"/>
          <w:kern w:val="0"/>
          <w:sz w:val="18"/>
          <w:szCs w:val="18"/>
        </w:rPr>
        <w:t>omparing microbial communities.</w:t>
      </w:r>
      <w:r>
        <w:rPr>
          <w:rFonts w:eastAsiaTheme="minorEastAsia" w:hint="eastAsia"/>
          <w:kern w:val="0"/>
          <w:sz w:val="18"/>
          <w:szCs w:val="18"/>
        </w:rPr>
        <w:t xml:space="preserve"> </w:t>
      </w:r>
      <w:r w:rsidRPr="008A2435">
        <w:rPr>
          <w:rFonts w:eastAsiaTheme="minorEastAsia"/>
          <w:kern w:val="0"/>
          <w:sz w:val="18"/>
          <w:szCs w:val="18"/>
        </w:rPr>
        <w:t>Appl</w:t>
      </w:r>
      <w:r>
        <w:rPr>
          <w:rFonts w:eastAsiaTheme="minorEastAsia"/>
          <w:kern w:val="0"/>
          <w:sz w:val="18"/>
          <w:szCs w:val="18"/>
        </w:rPr>
        <w:t>ied</w:t>
      </w:r>
      <w:r w:rsidRPr="008A2435">
        <w:rPr>
          <w:rFonts w:eastAsiaTheme="minorEastAsia"/>
          <w:kern w:val="0"/>
          <w:sz w:val="18"/>
          <w:szCs w:val="18"/>
        </w:rPr>
        <w:t xml:space="preserve"> Environ</w:t>
      </w:r>
      <w:r>
        <w:rPr>
          <w:rFonts w:eastAsiaTheme="minorEastAsia"/>
          <w:kern w:val="0"/>
          <w:sz w:val="18"/>
          <w:szCs w:val="18"/>
        </w:rPr>
        <w:t>mental</w:t>
      </w:r>
      <w:r w:rsidRPr="008A2435">
        <w:rPr>
          <w:rFonts w:eastAsiaTheme="minorEastAsia"/>
          <w:kern w:val="0"/>
          <w:sz w:val="18"/>
          <w:szCs w:val="18"/>
        </w:rPr>
        <w:t xml:space="preserve"> Microbiol</w:t>
      </w:r>
      <w:r>
        <w:rPr>
          <w:rFonts w:eastAsiaTheme="minorEastAsia"/>
          <w:kern w:val="0"/>
          <w:sz w:val="18"/>
          <w:szCs w:val="18"/>
        </w:rPr>
        <w:t>ogy</w:t>
      </w:r>
      <w:r w:rsidRPr="008A2435">
        <w:rPr>
          <w:rFonts w:eastAsiaTheme="minorEastAsia"/>
          <w:kern w:val="0"/>
          <w:sz w:val="18"/>
          <w:szCs w:val="18"/>
        </w:rPr>
        <w:t xml:space="preserve"> 71</w:t>
      </w:r>
      <w:r>
        <w:rPr>
          <w:rFonts w:eastAsiaTheme="minorEastAsia" w:hint="eastAsia"/>
          <w:kern w:val="0"/>
          <w:sz w:val="18"/>
          <w:szCs w:val="18"/>
        </w:rPr>
        <w:t xml:space="preserve">(12): </w:t>
      </w:r>
      <w:r w:rsidRPr="008A2435">
        <w:rPr>
          <w:rFonts w:eastAsiaTheme="minorEastAsia"/>
          <w:kern w:val="0"/>
          <w:sz w:val="18"/>
          <w:szCs w:val="18"/>
        </w:rPr>
        <w:t>8228–8235</w:t>
      </w:r>
      <w:r>
        <w:rPr>
          <w:rFonts w:eastAsiaTheme="minorEastAsia"/>
          <w:kern w:val="0"/>
          <w:sz w:val="18"/>
          <w:szCs w:val="18"/>
        </w:rPr>
        <w:t>.</w:t>
      </w:r>
      <w:r>
        <w:rPr>
          <w:rFonts w:eastAsiaTheme="minorEastAsia" w:hint="eastAsia"/>
          <w:kern w:val="0"/>
          <w:sz w:val="18"/>
          <w:szCs w:val="18"/>
        </w:rPr>
        <w:t xml:space="preserve"> </w:t>
      </w:r>
      <w:r w:rsidRPr="000868A1">
        <w:rPr>
          <w:rFonts w:eastAsiaTheme="minorEastAsia"/>
          <w:kern w:val="0"/>
          <w:sz w:val="18"/>
          <w:szCs w:val="18"/>
        </w:rPr>
        <w:t>https://doi.org/10.1128/aem.71.12.8228-8235.2005</w:t>
      </w:r>
    </w:p>
    <w:p w:rsidR="00E65D32" w:rsidRPr="000C0FFE" w:rsidRDefault="00E65D32" w:rsidP="00E65D32">
      <w:pPr>
        <w:rPr>
          <w:sz w:val="18"/>
          <w:szCs w:val="18"/>
        </w:rPr>
      </w:pPr>
      <w:hyperlink r:id="rId8" w:history="1">
        <w:r w:rsidRPr="000C0FFE">
          <w:rPr>
            <w:sz w:val="18"/>
            <w:szCs w:val="18"/>
          </w:rPr>
          <w:t>Rousk J</w:t>
        </w:r>
      </w:hyperlink>
      <w:r w:rsidRPr="000C0FFE">
        <w:rPr>
          <w:sz w:val="18"/>
          <w:szCs w:val="18"/>
        </w:rPr>
        <w:t xml:space="preserve">, </w:t>
      </w:r>
      <w:hyperlink r:id="rId9" w:history="1">
        <w:r w:rsidRPr="000C0FFE">
          <w:rPr>
            <w:sz w:val="18"/>
            <w:szCs w:val="18"/>
          </w:rPr>
          <w:t>Baath E</w:t>
        </w:r>
      </w:hyperlink>
      <w:r w:rsidRPr="000C0FFE">
        <w:rPr>
          <w:sz w:val="18"/>
          <w:szCs w:val="18"/>
        </w:rPr>
        <w:t xml:space="preserve">, </w:t>
      </w:r>
      <w:hyperlink r:id="rId10" w:history="1">
        <w:r w:rsidRPr="000C0FFE">
          <w:rPr>
            <w:sz w:val="18"/>
            <w:szCs w:val="18"/>
          </w:rPr>
          <w:t>Brookes PC</w:t>
        </w:r>
      </w:hyperlink>
      <w:r w:rsidRPr="000C0FFE">
        <w:rPr>
          <w:sz w:val="18"/>
          <w:szCs w:val="18"/>
        </w:rPr>
        <w:t xml:space="preserve">, </w:t>
      </w:r>
      <w:hyperlink r:id="rId11" w:history="1">
        <w:r w:rsidRPr="000C0FFE">
          <w:rPr>
            <w:sz w:val="18"/>
            <w:szCs w:val="18"/>
          </w:rPr>
          <w:t>Lauber CL</w:t>
        </w:r>
      </w:hyperlink>
      <w:r w:rsidRPr="000C0FFE">
        <w:rPr>
          <w:sz w:val="18"/>
          <w:szCs w:val="18"/>
        </w:rPr>
        <w:t xml:space="preserve">, </w:t>
      </w:r>
      <w:hyperlink r:id="rId12" w:history="1">
        <w:r w:rsidRPr="000C0FFE">
          <w:rPr>
            <w:sz w:val="18"/>
            <w:szCs w:val="18"/>
          </w:rPr>
          <w:t>Lozupone C</w:t>
        </w:r>
      </w:hyperlink>
      <w:r w:rsidRPr="000C0FFE">
        <w:rPr>
          <w:sz w:val="18"/>
          <w:szCs w:val="18"/>
        </w:rPr>
        <w:t xml:space="preserve">, </w:t>
      </w:r>
      <w:hyperlink r:id="rId13" w:history="1">
        <w:r w:rsidRPr="000C0FFE">
          <w:rPr>
            <w:sz w:val="18"/>
            <w:szCs w:val="18"/>
          </w:rPr>
          <w:t>Caporaso JG</w:t>
        </w:r>
      </w:hyperlink>
      <w:r w:rsidRPr="000C0FFE">
        <w:rPr>
          <w:sz w:val="18"/>
          <w:szCs w:val="18"/>
        </w:rPr>
        <w:t xml:space="preserve">, </w:t>
      </w:r>
      <w:hyperlink r:id="rId14" w:history="1">
        <w:r w:rsidRPr="000C0FFE">
          <w:rPr>
            <w:sz w:val="18"/>
            <w:szCs w:val="18"/>
          </w:rPr>
          <w:t>Knight R</w:t>
        </w:r>
      </w:hyperlink>
      <w:r w:rsidRPr="000C0FFE">
        <w:rPr>
          <w:sz w:val="18"/>
          <w:szCs w:val="18"/>
        </w:rPr>
        <w:t xml:space="preserve">, </w:t>
      </w:r>
      <w:hyperlink r:id="rId15" w:history="1">
        <w:r w:rsidRPr="000C0FFE">
          <w:rPr>
            <w:sz w:val="18"/>
            <w:szCs w:val="18"/>
          </w:rPr>
          <w:t>Fierer N</w:t>
        </w:r>
      </w:hyperlink>
      <w:r>
        <w:rPr>
          <w:rFonts w:hint="eastAsia"/>
          <w:sz w:val="18"/>
          <w:szCs w:val="18"/>
        </w:rPr>
        <w:t xml:space="preserve"> (2010)</w:t>
      </w:r>
      <w:r w:rsidRPr="000C0FFE">
        <w:rPr>
          <w:rFonts w:hint="eastAsia"/>
          <w:sz w:val="18"/>
          <w:szCs w:val="18"/>
        </w:rPr>
        <w:t xml:space="preserve"> Soil bacterial and fungal communities across a pH gradient in an arable soil. ISME J</w:t>
      </w:r>
      <w:r>
        <w:rPr>
          <w:rFonts w:hint="eastAsia"/>
          <w:sz w:val="18"/>
          <w:szCs w:val="18"/>
        </w:rPr>
        <w:t>.</w:t>
      </w:r>
      <w:r w:rsidRPr="000C0FFE">
        <w:rPr>
          <w:rFonts w:hint="eastAsia"/>
          <w:sz w:val="18"/>
          <w:szCs w:val="18"/>
        </w:rPr>
        <w:t xml:space="preserve"> 4</w:t>
      </w:r>
      <w:r>
        <w:rPr>
          <w:rFonts w:hint="eastAsia"/>
          <w:sz w:val="18"/>
          <w:szCs w:val="18"/>
        </w:rPr>
        <w:t>(10)</w:t>
      </w:r>
      <w:r w:rsidRPr="000C0FFE">
        <w:rPr>
          <w:rFonts w:hint="eastAsia"/>
          <w:sz w:val="18"/>
          <w:szCs w:val="18"/>
        </w:rPr>
        <w:t>: 1340-1351.</w:t>
      </w:r>
      <w:r>
        <w:rPr>
          <w:rFonts w:hint="eastAsia"/>
          <w:sz w:val="18"/>
          <w:szCs w:val="18"/>
        </w:rPr>
        <w:t xml:space="preserve"> </w:t>
      </w:r>
      <w:r w:rsidRPr="009E2A84">
        <w:rPr>
          <w:sz w:val="18"/>
          <w:szCs w:val="18"/>
        </w:rPr>
        <w:t>https://doi.org/10.1038/ismej.2010.58</w:t>
      </w:r>
    </w:p>
    <w:p w:rsidR="00FB4FF6" w:rsidRDefault="00FB4FF6">
      <w:pPr>
        <w:rPr>
          <w:b/>
          <w:kern w:val="44"/>
          <w:szCs w:val="21"/>
        </w:rPr>
      </w:pPr>
    </w:p>
    <w:p w:rsidR="000C0FFE" w:rsidRDefault="000C0FFE">
      <w:pPr>
        <w:rPr>
          <w:sz w:val="18"/>
          <w:szCs w:val="18"/>
        </w:rPr>
      </w:pPr>
    </w:p>
    <w:p w:rsidR="000C0FFE" w:rsidRPr="000C0FFE" w:rsidRDefault="000C0FFE">
      <w:pPr>
        <w:rPr>
          <w:sz w:val="18"/>
          <w:szCs w:val="18"/>
        </w:rPr>
      </w:pPr>
    </w:p>
    <w:sectPr w:rsidR="000C0FFE" w:rsidRPr="000C0F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06" w:rsidRDefault="00F90506" w:rsidP="0049023B">
      <w:r>
        <w:separator/>
      </w:r>
    </w:p>
  </w:endnote>
  <w:endnote w:type="continuationSeparator" w:id="0">
    <w:p w:rsidR="00F90506" w:rsidRDefault="00F90506" w:rsidP="0049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1" w:csb1="00000000"/>
  </w:font>
  <w:font w:name="AdvOT863180fb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060001" w:csb1="00000000"/>
  </w:font>
  <w:font w:name="AdvGulliv-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06" w:rsidRDefault="00F90506" w:rsidP="0049023B">
      <w:r>
        <w:separator/>
      </w:r>
    </w:p>
  </w:footnote>
  <w:footnote w:type="continuationSeparator" w:id="0">
    <w:p w:rsidR="00F90506" w:rsidRDefault="00F90506" w:rsidP="00490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21"/>
    <w:rsid w:val="000868A1"/>
    <w:rsid w:val="000C0FFE"/>
    <w:rsid w:val="000E74CB"/>
    <w:rsid w:val="0010659E"/>
    <w:rsid w:val="0019608B"/>
    <w:rsid w:val="00387022"/>
    <w:rsid w:val="00395EB0"/>
    <w:rsid w:val="0049023B"/>
    <w:rsid w:val="0059170F"/>
    <w:rsid w:val="005F767E"/>
    <w:rsid w:val="006149A5"/>
    <w:rsid w:val="006F2F53"/>
    <w:rsid w:val="00813C89"/>
    <w:rsid w:val="00861A38"/>
    <w:rsid w:val="008B0651"/>
    <w:rsid w:val="008D4A34"/>
    <w:rsid w:val="008F3A73"/>
    <w:rsid w:val="00925B99"/>
    <w:rsid w:val="009B1912"/>
    <w:rsid w:val="009E2A84"/>
    <w:rsid w:val="00A541CA"/>
    <w:rsid w:val="00A852F1"/>
    <w:rsid w:val="00AE736C"/>
    <w:rsid w:val="00BF22A6"/>
    <w:rsid w:val="00BF24B0"/>
    <w:rsid w:val="00C06545"/>
    <w:rsid w:val="00C2550A"/>
    <w:rsid w:val="00CB2E1B"/>
    <w:rsid w:val="00CC6A37"/>
    <w:rsid w:val="00D22B28"/>
    <w:rsid w:val="00D47DB8"/>
    <w:rsid w:val="00DF6E9E"/>
    <w:rsid w:val="00E65D32"/>
    <w:rsid w:val="00EA18F5"/>
    <w:rsid w:val="00ED6353"/>
    <w:rsid w:val="00EE7121"/>
    <w:rsid w:val="00F13550"/>
    <w:rsid w:val="00F30A1D"/>
    <w:rsid w:val="00F83123"/>
    <w:rsid w:val="00F90506"/>
    <w:rsid w:val="00FB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0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02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0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023B"/>
    <w:rPr>
      <w:sz w:val="18"/>
      <w:szCs w:val="18"/>
    </w:rPr>
  </w:style>
  <w:style w:type="character" w:customStyle="1" w:styleId="a5">
    <w:name w:val="_"/>
    <w:basedOn w:val="a0"/>
    <w:rsid w:val="000C0FFE"/>
  </w:style>
  <w:style w:type="character" w:styleId="a6">
    <w:name w:val="Hyperlink"/>
    <w:basedOn w:val="a0"/>
    <w:uiPriority w:val="99"/>
    <w:unhideWhenUsed/>
    <w:rsid w:val="00D22B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0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02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0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023B"/>
    <w:rPr>
      <w:sz w:val="18"/>
      <w:szCs w:val="18"/>
    </w:rPr>
  </w:style>
  <w:style w:type="character" w:customStyle="1" w:styleId="a5">
    <w:name w:val="_"/>
    <w:basedOn w:val="a0"/>
    <w:rsid w:val="000C0FFE"/>
  </w:style>
  <w:style w:type="character" w:styleId="a6">
    <w:name w:val="Hyperlink"/>
    <w:basedOn w:val="a0"/>
    <w:uiPriority w:val="99"/>
    <w:unhideWhenUsed/>
    <w:rsid w:val="00D22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5069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2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4370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0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8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09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2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96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533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53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138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68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90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677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013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03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908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794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787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4157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Rousk%20J%5BAuthor%5D&amp;cauthor=true&amp;cauthor_uid=20445636" TargetMode="External"/><Relationship Id="rId13" Type="http://schemas.openxmlformats.org/officeDocument/2006/relationships/hyperlink" Target="https://www.ncbi.nlm.nih.gov/pubmed/?term=Caporaso%20JG%5BAuthor%5D&amp;cauthor=true&amp;cauthor_uid=204456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ive5.com/uparse/" TargetMode="External"/><Relationship Id="rId12" Type="http://schemas.openxmlformats.org/officeDocument/2006/relationships/hyperlink" Target="https://www.ncbi.nlm.nih.gov/pubmed/?term=Lozupone%20C%5BAuthor%5D&amp;cauthor=true&amp;cauthor_uid=20445636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ubmed/?term=Lauber%20CL%5BAuthor%5D&amp;cauthor=true&amp;cauthor_uid=2044563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pubmed/?term=Fierer%20N%5BAuthor%5D&amp;cauthor=true&amp;cauthor_uid=20445636" TargetMode="External"/><Relationship Id="rId10" Type="http://schemas.openxmlformats.org/officeDocument/2006/relationships/hyperlink" Target="https://www.ncbi.nlm.nih.gov/pubmed/?term=Brookes%20PC%5BAuthor%5D&amp;cauthor=true&amp;cauthor_uid=204456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B%C3%A5%C3%A5th%20E%5BAuthor%5D&amp;cauthor=true&amp;cauthor_uid=20445636" TargetMode="External"/><Relationship Id="rId14" Type="http://schemas.openxmlformats.org/officeDocument/2006/relationships/hyperlink" Target="https://www.ncbi.nlm.nih.gov/pubmed/?term=Knight%20R%5BAuthor%5D&amp;cauthor=true&amp;cauthor_uid=2044563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1001</Words>
  <Characters>5710</Characters>
  <Application>Microsoft Office Word</Application>
  <DocSecurity>0</DocSecurity>
  <Lines>47</Lines>
  <Paragraphs>13</Paragraphs>
  <ScaleCrop>false</ScaleCrop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Administrator</cp:lastModifiedBy>
  <cp:revision>40</cp:revision>
  <dcterms:created xsi:type="dcterms:W3CDTF">2018-04-18T08:35:00Z</dcterms:created>
  <dcterms:modified xsi:type="dcterms:W3CDTF">2018-07-09T03:14:00Z</dcterms:modified>
</cp:coreProperties>
</file>