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Supplementary Table S1. Non-invasive indices of hepatic fibrosis</w:t>
      </w:r>
    </w:p>
    <w:tbl>
      <w:tblPr>
        <w:tblW w:w="14034" w:type="dxa"/>
        <w:tblBorders>
          <w:top w:val="single" w:sz="4" w:space="0" w:color="auto"/>
          <w:bottom w:val="single" w:sz="4" w:space="0" w:color="auto"/>
          <w:insideH w:val="single" w:sz="4" w:space="0" w:color="auto"/>
        </w:tblBorders>
        <w:tblLook w:val="04A0" w:firstRow="1" w:lastRow="0" w:firstColumn="1" w:lastColumn="0" w:noHBand="0" w:noVBand="1"/>
      </w:tblPr>
      <w:tblGrid>
        <w:gridCol w:w="1985"/>
        <w:gridCol w:w="10348"/>
        <w:gridCol w:w="1701"/>
      </w:tblGrid>
      <w:tr w:rsidR="00EE54A9" w:rsidRPr="006F5411" w:rsidTr="00561060">
        <w:tc>
          <w:tcPr>
            <w:tcW w:w="1985" w:type="dxa"/>
            <w:tcBorders>
              <w:bottom w:val="single" w:sz="4" w:space="0" w:color="auto"/>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Method</w:t>
            </w:r>
          </w:p>
        </w:tc>
        <w:tc>
          <w:tcPr>
            <w:tcW w:w="10348" w:type="dxa"/>
            <w:tcBorders>
              <w:bottom w:val="single" w:sz="4" w:space="0" w:color="auto"/>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Formula for hepatic fibrosis</w:t>
            </w:r>
          </w:p>
        </w:tc>
        <w:tc>
          <w:tcPr>
            <w:tcW w:w="1701" w:type="dxa"/>
            <w:tcBorders>
              <w:bottom w:val="single" w:sz="4" w:space="0" w:color="auto"/>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Reference</w:t>
            </w:r>
          </w:p>
        </w:tc>
      </w:tr>
      <w:tr w:rsidR="00EE54A9" w:rsidRPr="006F5411" w:rsidTr="00561060">
        <w:tc>
          <w:tcPr>
            <w:tcW w:w="1985" w:type="dxa"/>
            <w:tcBorders>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AST/ALT ratio</w:t>
            </w:r>
          </w:p>
        </w:tc>
        <w:tc>
          <w:tcPr>
            <w:tcW w:w="10348" w:type="dxa"/>
            <w:tcBorders>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AST / ALT.</w:t>
            </w:r>
          </w:p>
        </w:tc>
        <w:tc>
          <w:tcPr>
            <w:tcW w:w="1701" w:type="dxa"/>
            <w:tcBorders>
              <w:bottom w:val="nil"/>
            </w:tcBorders>
            <w:shd w:val="clear" w:color="auto" w:fill="auto"/>
          </w:tcPr>
          <w:p w:rsidR="00EE54A9" w:rsidRPr="006F5411" w:rsidRDefault="00561060" w:rsidP="006F5411">
            <w:pPr>
              <w:pStyle w:val="a8"/>
              <w:spacing w:line="480" w:lineRule="auto"/>
              <w:rPr>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Abdelgawad 2015</w:t>
            </w:r>
            <w:r w:rsidRPr="006F5411">
              <w:rPr>
                <w:rFonts w:ascii="Arial" w:hAnsi="Arial" w:cs="Arial"/>
                <w:noProof/>
                <w:sz w:val="24"/>
                <w:szCs w:val="24"/>
                <w:vertAlign w:val="superscript"/>
              </w:rPr>
              <w:t>)</w:t>
            </w:r>
          </w:p>
        </w:tc>
      </w:tr>
      <w:tr w:rsidR="00EE54A9" w:rsidRPr="006F5411" w:rsidTr="00561060">
        <w:tc>
          <w:tcPr>
            <w:tcW w:w="1985"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Age/PLT Index</w:t>
            </w:r>
          </w:p>
        </w:tc>
        <w:tc>
          <w:tcPr>
            <w:tcW w:w="10348"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Age score + PLT score.</w:t>
            </w:r>
          </w:p>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Age (year</w:t>
            </w:r>
            <w:proofErr w:type="gramStart"/>
            <w:r w:rsidRPr="006F5411">
              <w:rPr>
                <w:rFonts w:ascii="Arial" w:hAnsi="Arial" w:cs="Arial"/>
                <w:sz w:val="24"/>
                <w:szCs w:val="24"/>
              </w:rPr>
              <w:t>):</w:t>
            </w:r>
            <w:proofErr w:type="gramEnd"/>
            <w:r w:rsidRPr="006F5411">
              <w:rPr>
                <w:rFonts w:ascii="Arial" w:hAnsi="Arial" w:cs="Arial"/>
                <w:sz w:val="24"/>
                <w:szCs w:val="24"/>
              </w:rPr>
              <w:t xml:space="preserve"> &lt; 30 = 0, 30-39 = 1, 40-49 = 2, 50-59 = 3, 60-69 = 4, ≥ 70 = 5.</w:t>
            </w:r>
          </w:p>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PLT count: ≥ 225 = 0, 200-224 = 1, 175-199 = 2, 150-174 = 3, 125-149 = 4, &lt; 125 = 5.</w:t>
            </w:r>
          </w:p>
        </w:tc>
        <w:tc>
          <w:tcPr>
            <w:tcW w:w="1701" w:type="dxa"/>
            <w:tcBorders>
              <w:top w:val="nil"/>
              <w:bottom w:val="nil"/>
            </w:tcBorders>
            <w:shd w:val="clear" w:color="auto" w:fill="auto"/>
          </w:tcPr>
          <w:p w:rsidR="00EE54A9" w:rsidRPr="006F5411" w:rsidRDefault="00561060" w:rsidP="006F5411">
            <w:pPr>
              <w:pStyle w:val="a8"/>
              <w:spacing w:line="480" w:lineRule="auto"/>
              <w:rPr>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Abdelgawad 2015</w:t>
            </w:r>
            <w:r w:rsidRPr="006F5411">
              <w:rPr>
                <w:rFonts w:ascii="Arial" w:hAnsi="Arial" w:cs="Arial"/>
                <w:noProof/>
                <w:sz w:val="24"/>
                <w:szCs w:val="24"/>
                <w:vertAlign w:val="superscript"/>
              </w:rPr>
              <w:t>)</w:t>
            </w:r>
          </w:p>
        </w:tc>
      </w:tr>
      <w:tr w:rsidR="00EE54A9" w:rsidRPr="006F5411" w:rsidTr="00561060">
        <w:tc>
          <w:tcPr>
            <w:tcW w:w="1985"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APRI</w:t>
            </w:r>
          </w:p>
        </w:tc>
        <w:tc>
          <w:tcPr>
            <w:tcW w:w="10348"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[AST / upper normal limit] / PLT x 100.</w:t>
            </w:r>
          </w:p>
        </w:tc>
        <w:tc>
          <w:tcPr>
            <w:tcW w:w="1701"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 xml:space="preserve">Wai et al. </w:t>
            </w:r>
            <w:r w:rsidR="00561060" w:rsidRPr="006F5411">
              <w:rPr>
                <w:rFonts w:ascii="Arial" w:hAnsi="Arial" w:cs="Arial"/>
                <w:i/>
                <w:noProof/>
                <w:sz w:val="24"/>
                <w:szCs w:val="24"/>
                <w:vertAlign w:val="superscript"/>
              </w:rPr>
              <w:t>2003</w:t>
            </w:r>
            <w:r w:rsidR="00561060" w:rsidRPr="006F5411">
              <w:rPr>
                <w:rFonts w:ascii="Arial" w:hAnsi="Arial" w:cs="Arial"/>
                <w:noProof/>
                <w:sz w:val="24"/>
                <w:szCs w:val="24"/>
                <w:vertAlign w:val="superscript"/>
              </w:rPr>
              <w:t>)</w:t>
            </w:r>
          </w:p>
        </w:tc>
      </w:tr>
      <w:tr w:rsidR="00EE54A9" w:rsidRPr="006F5411" w:rsidTr="00561060">
        <w:tc>
          <w:tcPr>
            <w:tcW w:w="1985"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BARD score</w:t>
            </w:r>
          </w:p>
        </w:tc>
        <w:tc>
          <w:tcPr>
            <w:tcW w:w="10348"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BMI score + AST/ALT ratio score + DM score</w:t>
            </w:r>
          </w:p>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BMI: &lt; 28 = 0, ≥ 28 = 1.</w:t>
            </w:r>
          </w:p>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AST/ALT ratio: &lt; 0.8 = 0, ≥ 0.8 = 1.</w:t>
            </w:r>
          </w:p>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DM: non-diabetic =0, type 2 DM =1.</w:t>
            </w:r>
          </w:p>
        </w:tc>
        <w:tc>
          <w:tcPr>
            <w:tcW w:w="1701" w:type="dxa"/>
            <w:tcBorders>
              <w:top w:val="nil"/>
              <w:bottom w:val="nil"/>
            </w:tcBorders>
            <w:shd w:val="clear" w:color="auto" w:fill="auto"/>
          </w:tcPr>
          <w:p w:rsidR="00EE54A9" w:rsidRPr="006F5411" w:rsidRDefault="00561060" w:rsidP="006F5411">
            <w:pPr>
              <w:pStyle w:val="a8"/>
              <w:spacing w:line="480" w:lineRule="auto"/>
              <w:rPr>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Harrison et al. 2008</w:t>
            </w:r>
            <w:r w:rsidRPr="006F5411">
              <w:rPr>
                <w:rFonts w:ascii="Arial" w:hAnsi="Arial" w:cs="Arial"/>
                <w:noProof/>
                <w:sz w:val="24"/>
                <w:szCs w:val="24"/>
                <w:vertAlign w:val="superscript"/>
              </w:rPr>
              <w:t>)</w:t>
            </w:r>
          </w:p>
        </w:tc>
      </w:tr>
      <w:tr w:rsidR="00EE54A9" w:rsidRPr="006F5411" w:rsidTr="00561060">
        <w:tc>
          <w:tcPr>
            <w:tcW w:w="1985"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FIB-4</w:t>
            </w:r>
          </w:p>
        </w:tc>
        <w:tc>
          <w:tcPr>
            <w:tcW w:w="10348"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[Age (year) x AST] / [PLT x AST</w:t>
            </w:r>
            <w:r w:rsidRPr="006F5411">
              <w:rPr>
                <w:rFonts w:ascii="Arial" w:hAnsi="Arial" w:cs="Arial"/>
                <w:sz w:val="24"/>
                <w:szCs w:val="24"/>
                <w:vertAlign w:val="superscript"/>
              </w:rPr>
              <w:t>1/2</w:t>
            </w:r>
            <w:r w:rsidRPr="006F5411">
              <w:rPr>
                <w:rFonts w:ascii="Arial" w:hAnsi="Arial" w:cs="Arial"/>
                <w:sz w:val="24"/>
                <w:szCs w:val="24"/>
              </w:rPr>
              <w:t>].</w:t>
            </w:r>
          </w:p>
        </w:tc>
        <w:tc>
          <w:tcPr>
            <w:tcW w:w="1701" w:type="dxa"/>
            <w:tcBorders>
              <w:top w:val="nil"/>
              <w:bottom w:val="nil"/>
            </w:tcBorders>
            <w:shd w:val="clear" w:color="auto" w:fill="auto"/>
          </w:tcPr>
          <w:p w:rsidR="00EE54A9" w:rsidRPr="006F5411" w:rsidRDefault="00561060" w:rsidP="006F5411">
            <w:pPr>
              <w:pStyle w:val="a8"/>
              <w:spacing w:line="480" w:lineRule="auto"/>
              <w:rPr>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Sterling et al. 2006</w:t>
            </w:r>
            <w:r w:rsidRPr="006F5411">
              <w:rPr>
                <w:rFonts w:ascii="Arial" w:hAnsi="Arial" w:cs="Arial"/>
                <w:noProof/>
                <w:sz w:val="24"/>
                <w:szCs w:val="24"/>
                <w:vertAlign w:val="superscript"/>
              </w:rPr>
              <w:t>)</w:t>
            </w:r>
          </w:p>
        </w:tc>
      </w:tr>
      <w:tr w:rsidR="00EE54A9" w:rsidRPr="006F5411" w:rsidTr="00561060">
        <w:tc>
          <w:tcPr>
            <w:tcW w:w="1985"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proofErr w:type="spellStart"/>
            <w:r w:rsidRPr="006F5411">
              <w:rPr>
                <w:rFonts w:ascii="Arial" w:hAnsi="Arial" w:cs="Arial"/>
                <w:sz w:val="24"/>
                <w:szCs w:val="24"/>
              </w:rPr>
              <w:t>Fibrometer</w:t>
            </w:r>
            <w:proofErr w:type="spellEnd"/>
          </w:p>
        </w:tc>
        <w:tc>
          <w:tcPr>
            <w:tcW w:w="10348" w:type="dxa"/>
            <w:tcBorders>
              <w:top w:val="nil"/>
              <w:bottom w:val="nil"/>
            </w:tcBorders>
            <w:shd w:val="clear" w:color="auto" w:fill="auto"/>
          </w:tcPr>
          <w:p w:rsidR="00EE54A9" w:rsidRPr="006F5411" w:rsidRDefault="00EE54A9" w:rsidP="006F5411">
            <w:pPr>
              <w:pStyle w:val="a8"/>
              <w:spacing w:line="480" w:lineRule="auto"/>
              <w:rPr>
                <w:rFonts w:ascii="Arial" w:hAnsi="Arial" w:cs="Arial"/>
                <w:kern w:val="0"/>
                <w:sz w:val="24"/>
                <w:szCs w:val="24"/>
              </w:rPr>
            </w:pPr>
            <w:r w:rsidRPr="006F5411">
              <w:rPr>
                <w:rFonts w:ascii="Arial" w:hAnsi="Arial" w:cs="Arial"/>
                <w:kern w:val="0"/>
                <w:sz w:val="24"/>
                <w:szCs w:val="24"/>
              </w:rPr>
              <w:t xml:space="preserve">0.4184 </w:t>
            </w:r>
            <w:proofErr w:type="gramStart"/>
            <w:r w:rsidRPr="006F5411">
              <w:rPr>
                <w:rFonts w:ascii="Arial" w:hAnsi="Arial" w:cs="Arial"/>
                <w:kern w:val="0"/>
                <w:sz w:val="24"/>
                <w:szCs w:val="24"/>
              </w:rPr>
              <w:t>x</w:t>
            </w:r>
            <w:proofErr w:type="gramEnd"/>
            <w:r w:rsidRPr="006F5411">
              <w:rPr>
                <w:rFonts w:ascii="Arial" w:hAnsi="Arial" w:cs="Arial"/>
                <w:kern w:val="0"/>
                <w:sz w:val="24"/>
                <w:szCs w:val="24"/>
              </w:rPr>
              <w:t xml:space="preserve"> </w:t>
            </w:r>
            <w:r w:rsidRPr="006F5411">
              <w:rPr>
                <w:rFonts w:ascii="Arial" w:hAnsi="Arial" w:cs="Arial"/>
                <w:sz w:val="24"/>
                <w:szCs w:val="24"/>
              </w:rPr>
              <w:t>FPG (</w:t>
            </w:r>
            <w:proofErr w:type="spellStart"/>
            <w:r w:rsidRPr="006F5411">
              <w:rPr>
                <w:rFonts w:ascii="Arial" w:hAnsi="Arial" w:cs="Arial"/>
                <w:sz w:val="24"/>
                <w:szCs w:val="24"/>
              </w:rPr>
              <w:t>mmol</w:t>
            </w:r>
            <w:proofErr w:type="spellEnd"/>
            <w:r w:rsidRPr="006F5411">
              <w:rPr>
                <w:rFonts w:ascii="Arial" w:hAnsi="Arial" w:cs="Arial"/>
                <w:sz w:val="24"/>
                <w:szCs w:val="24"/>
              </w:rPr>
              <w:t xml:space="preserve">/L) + 0.0701 x AST + 0.00008 ferritin (mg/L) – 0.0102 x PLT – 0.0260 x ALT + 0.0459 x </w:t>
            </w:r>
            <w:proofErr w:type="spellStart"/>
            <w:r w:rsidRPr="006F5411">
              <w:rPr>
                <w:rFonts w:ascii="Arial" w:hAnsi="Arial" w:cs="Arial"/>
                <w:sz w:val="24"/>
                <w:szCs w:val="24"/>
              </w:rPr>
              <w:t>Wt</w:t>
            </w:r>
            <w:proofErr w:type="spellEnd"/>
            <w:r w:rsidRPr="006F5411">
              <w:rPr>
                <w:rFonts w:ascii="Arial" w:hAnsi="Arial" w:cs="Arial"/>
                <w:sz w:val="24"/>
                <w:szCs w:val="24"/>
              </w:rPr>
              <w:t xml:space="preserve"> + 0.0842 x Age (year) + 11.6226.</w:t>
            </w:r>
          </w:p>
        </w:tc>
        <w:tc>
          <w:tcPr>
            <w:tcW w:w="1701" w:type="dxa"/>
            <w:tcBorders>
              <w:top w:val="nil"/>
              <w:bottom w:val="nil"/>
            </w:tcBorders>
            <w:shd w:val="clear" w:color="auto" w:fill="auto"/>
          </w:tcPr>
          <w:p w:rsidR="00EE54A9" w:rsidRPr="006F5411" w:rsidRDefault="00561060" w:rsidP="006F5411">
            <w:pPr>
              <w:pStyle w:val="a8"/>
              <w:spacing w:line="480" w:lineRule="auto"/>
              <w:rPr>
                <w:rStyle w:val="aa"/>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Cales et al. 2005</w:t>
            </w:r>
            <w:r w:rsidRPr="006F5411">
              <w:rPr>
                <w:rFonts w:ascii="Arial" w:hAnsi="Arial" w:cs="Arial"/>
                <w:noProof/>
                <w:sz w:val="24"/>
                <w:szCs w:val="24"/>
                <w:vertAlign w:val="superscript"/>
              </w:rPr>
              <w:t>)</w:t>
            </w:r>
          </w:p>
        </w:tc>
      </w:tr>
      <w:tr w:rsidR="00EE54A9" w:rsidRPr="006F5411" w:rsidTr="00561060">
        <w:tc>
          <w:tcPr>
            <w:tcW w:w="1985"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lastRenderedPageBreak/>
              <w:t>FLI*</w:t>
            </w:r>
          </w:p>
        </w:tc>
        <w:tc>
          <w:tcPr>
            <w:tcW w:w="10348"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kern w:val="0"/>
                <w:sz w:val="24"/>
                <w:szCs w:val="24"/>
              </w:rPr>
              <w:t>e</w:t>
            </w:r>
            <w:r w:rsidRPr="006F5411">
              <w:rPr>
                <w:rFonts w:ascii="Arial" w:hAnsi="Arial" w:cs="Arial"/>
                <w:kern w:val="0"/>
                <w:sz w:val="24"/>
                <w:szCs w:val="24"/>
                <w:vertAlign w:val="superscript"/>
              </w:rPr>
              <w:t>0.953 × Ln (TG) + 0.139 × BMI + 0.718 × Ln (GGT*) + 0.053 × WC - 15.745</w:t>
            </w:r>
            <w:r w:rsidRPr="006F5411">
              <w:rPr>
                <w:rFonts w:ascii="Arial" w:hAnsi="Arial" w:cs="Arial"/>
                <w:kern w:val="0"/>
                <w:sz w:val="24"/>
                <w:szCs w:val="24"/>
              </w:rPr>
              <w:t>/(1+e</w:t>
            </w:r>
            <w:r w:rsidRPr="006F5411">
              <w:rPr>
                <w:rFonts w:ascii="Arial" w:hAnsi="Arial" w:cs="Arial"/>
                <w:kern w:val="0"/>
                <w:sz w:val="24"/>
                <w:szCs w:val="24"/>
                <w:vertAlign w:val="superscript"/>
              </w:rPr>
              <w:t>0.953 × Ln (TG) + 0.139 × BMI + 0.718 × Ln (GGT*) + 0.053 × WC - 15.745</w:t>
            </w:r>
            <w:r w:rsidRPr="006F5411">
              <w:rPr>
                <w:rFonts w:ascii="Arial" w:hAnsi="Arial" w:cs="Arial"/>
                <w:kern w:val="0"/>
                <w:sz w:val="24"/>
                <w:szCs w:val="24"/>
              </w:rPr>
              <w:t>) × 100</w:t>
            </w:r>
          </w:p>
        </w:tc>
        <w:tc>
          <w:tcPr>
            <w:tcW w:w="1701" w:type="dxa"/>
            <w:tcBorders>
              <w:top w:val="nil"/>
              <w:bottom w:val="nil"/>
            </w:tcBorders>
            <w:shd w:val="clear" w:color="auto" w:fill="auto"/>
          </w:tcPr>
          <w:p w:rsidR="00EE54A9" w:rsidRPr="006F5411" w:rsidRDefault="00561060" w:rsidP="006F5411">
            <w:pPr>
              <w:pStyle w:val="a8"/>
              <w:spacing w:line="480" w:lineRule="auto"/>
              <w:rPr>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Choi et al. 2017</w:t>
            </w:r>
            <w:r w:rsidRPr="006F5411">
              <w:rPr>
                <w:rFonts w:ascii="Arial" w:hAnsi="Arial" w:cs="Arial"/>
                <w:noProof/>
                <w:sz w:val="24"/>
                <w:szCs w:val="24"/>
                <w:vertAlign w:val="superscript"/>
              </w:rPr>
              <w:t>)</w:t>
            </w:r>
          </w:p>
        </w:tc>
      </w:tr>
      <w:tr w:rsidR="00EE54A9" w:rsidRPr="006F5411" w:rsidTr="00561060">
        <w:tc>
          <w:tcPr>
            <w:tcW w:w="1985"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proofErr w:type="spellStart"/>
            <w:r w:rsidRPr="006F5411">
              <w:rPr>
                <w:rFonts w:ascii="Arial" w:hAnsi="Arial" w:cs="Arial"/>
                <w:sz w:val="24"/>
                <w:szCs w:val="24"/>
              </w:rPr>
              <w:t>Forns</w:t>
            </w:r>
            <w:proofErr w:type="spellEnd"/>
            <w:r w:rsidRPr="006F5411">
              <w:rPr>
                <w:rFonts w:ascii="Arial" w:hAnsi="Arial" w:cs="Arial"/>
                <w:sz w:val="24"/>
                <w:szCs w:val="24"/>
              </w:rPr>
              <w:t xml:space="preserve"> index*</w:t>
            </w:r>
          </w:p>
        </w:tc>
        <w:tc>
          <w:tcPr>
            <w:tcW w:w="10348"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7.811 – 3.131 x Ln (PLT) + 0.781 x Ln (GGT*) + 3.467 x Ln [age (year)] – 0.014 * cholesterol.</w:t>
            </w:r>
          </w:p>
        </w:tc>
        <w:tc>
          <w:tcPr>
            <w:tcW w:w="1701" w:type="dxa"/>
            <w:tcBorders>
              <w:top w:val="nil"/>
              <w:bottom w:val="nil"/>
            </w:tcBorders>
            <w:shd w:val="clear" w:color="auto" w:fill="auto"/>
          </w:tcPr>
          <w:p w:rsidR="00EE54A9" w:rsidRPr="006F5411" w:rsidRDefault="00561060" w:rsidP="006F5411">
            <w:pPr>
              <w:pStyle w:val="a8"/>
              <w:spacing w:line="480" w:lineRule="auto"/>
              <w:rPr>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Forns et al. 2002</w:t>
            </w:r>
            <w:r w:rsidRPr="006F5411">
              <w:rPr>
                <w:rFonts w:ascii="Arial" w:hAnsi="Arial" w:cs="Arial"/>
                <w:noProof/>
                <w:sz w:val="24"/>
                <w:szCs w:val="24"/>
                <w:vertAlign w:val="superscript"/>
              </w:rPr>
              <w:t>)</w:t>
            </w:r>
          </w:p>
        </w:tc>
      </w:tr>
      <w:tr w:rsidR="00EE54A9" w:rsidRPr="006F5411" w:rsidTr="00561060">
        <w:tc>
          <w:tcPr>
            <w:tcW w:w="1985"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proofErr w:type="spellStart"/>
            <w:r w:rsidRPr="006F5411">
              <w:rPr>
                <w:rFonts w:ascii="Arial" w:hAnsi="Arial" w:cs="Arial"/>
                <w:sz w:val="24"/>
                <w:szCs w:val="24"/>
              </w:rPr>
              <w:t>Gholam’s</w:t>
            </w:r>
            <w:proofErr w:type="spellEnd"/>
            <w:r w:rsidRPr="006F5411">
              <w:rPr>
                <w:rFonts w:ascii="Arial" w:hAnsi="Arial" w:cs="Arial"/>
                <w:sz w:val="24"/>
                <w:szCs w:val="24"/>
              </w:rPr>
              <w:t xml:space="preserve"> model</w:t>
            </w:r>
          </w:p>
        </w:tc>
        <w:tc>
          <w:tcPr>
            <w:tcW w:w="10348"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2.627 x Ln (AST) + 2.13 if DM.</w:t>
            </w:r>
          </w:p>
        </w:tc>
        <w:tc>
          <w:tcPr>
            <w:tcW w:w="1701" w:type="dxa"/>
            <w:tcBorders>
              <w:top w:val="nil"/>
              <w:bottom w:val="nil"/>
            </w:tcBorders>
            <w:shd w:val="clear" w:color="auto" w:fill="auto"/>
          </w:tcPr>
          <w:p w:rsidR="00EE54A9" w:rsidRPr="006F5411" w:rsidRDefault="00561060" w:rsidP="006F5411">
            <w:pPr>
              <w:pStyle w:val="a8"/>
              <w:spacing w:line="480" w:lineRule="auto"/>
              <w:rPr>
                <w:rStyle w:val="aa"/>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Gholam et al. 2007</w:t>
            </w:r>
            <w:r w:rsidRPr="006F5411">
              <w:rPr>
                <w:rFonts w:ascii="Arial" w:hAnsi="Arial" w:cs="Arial"/>
                <w:noProof/>
                <w:sz w:val="24"/>
                <w:szCs w:val="24"/>
                <w:vertAlign w:val="superscript"/>
              </w:rPr>
              <w:t>)</w:t>
            </w:r>
          </w:p>
        </w:tc>
      </w:tr>
      <w:tr w:rsidR="00EE54A9" w:rsidRPr="006F5411" w:rsidTr="00561060">
        <w:tc>
          <w:tcPr>
            <w:tcW w:w="1985"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HSI</w:t>
            </w:r>
          </w:p>
        </w:tc>
        <w:tc>
          <w:tcPr>
            <w:tcW w:w="10348" w:type="dxa"/>
            <w:tcBorders>
              <w:top w:val="nil"/>
              <w:bottom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8 x AST/ALT ratio + BMI (+ 2, if DM; + 2, if female)</w:t>
            </w:r>
          </w:p>
        </w:tc>
        <w:tc>
          <w:tcPr>
            <w:tcW w:w="1701" w:type="dxa"/>
            <w:tcBorders>
              <w:top w:val="nil"/>
              <w:bottom w:val="nil"/>
            </w:tcBorders>
            <w:shd w:val="clear" w:color="auto" w:fill="auto"/>
          </w:tcPr>
          <w:p w:rsidR="00EE54A9" w:rsidRPr="006F5411" w:rsidRDefault="00561060" w:rsidP="006F5411">
            <w:pPr>
              <w:pStyle w:val="a8"/>
              <w:spacing w:line="480" w:lineRule="auto"/>
              <w:rPr>
                <w:rStyle w:val="aa"/>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Lee et al. 2010</w:t>
            </w:r>
            <w:r w:rsidRPr="006F5411">
              <w:rPr>
                <w:rFonts w:ascii="Arial" w:hAnsi="Arial" w:cs="Arial"/>
                <w:noProof/>
                <w:sz w:val="24"/>
                <w:szCs w:val="24"/>
                <w:vertAlign w:val="superscript"/>
              </w:rPr>
              <w:t>)</w:t>
            </w:r>
          </w:p>
        </w:tc>
      </w:tr>
      <w:tr w:rsidR="00EE54A9" w:rsidRPr="006F5411" w:rsidTr="00561060">
        <w:tc>
          <w:tcPr>
            <w:tcW w:w="1985" w:type="dxa"/>
            <w:tcBorders>
              <w:top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ZJU index</w:t>
            </w:r>
          </w:p>
        </w:tc>
        <w:tc>
          <w:tcPr>
            <w:tcW w:w="10348" w:type="dxa"/>
            <w:tcBorders>
              <w:top w:val="nil"/>
            </w:tcBorders>
            <w:shd w:val="clear" w:color="auto" w:fill="auto"/>
          </w:tcPr>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BMI (kg/m</w:t>
            </w:r>
            <w:r w:rsidRPr="006F5411">
              <w:rPr>
                <w:rFonts w:ascii="Arial" w:hAnsi="Arial" w:cs="Arial"/>
                <w:sz w:val="24"/>
                <w:szCs w:val="24"/>
                <w:vertAlign w:val="superscript"/>
              </w:rPr>
              <w:t>2</w:t>
            </w:r>
            <w:r w:rsidRPr="006F5411">
              <w:rPr>
                <w:rFonts w:ascii="Arial" w:hAnsi="Arial" w:cs="Arial"/>
                <w:sz w:val="24"/>
                <w:szCs w:val="24"/>
              </w:rPr>
              <w:t>) + FPG (</w:t>
            </w:r>
            <w:proofErr w:type="spellStart"/>
            <w:r w:rsidRPr="006F5411">
              <w:rPr>
                <w:rFonts w:ascii="Arial" w:hAnsi="Arial" w:cs="Arial"/>
                <w:sz w:val="24"/>
                <w:szCs w:val="24"/>
              </w:rPr>
              <w:t>mmol</w:t>
            </w:r>
            <w:proofErr w:type="spellEnd"/>
            <w:r w:rsidRPr="006F5411">
              <w:rPr>
                <w:rFonts w:ascii="Arial" w:hAnsi="Arial" w:cs="Arial"/>
                <w:sz w:val="24"/>
                <w:szCs w:val="24"/>
              </w:rPr>
              <w:t>/L) + TG (</w:t>
            </w:r>
            <w:proofErr w:type="spellStart"/>
            <w:r w:rsidRPr="006F5411">
              <w:rPr>
                <w:rFonts w:ascii="Arial" w:hAnsi="Arial" w:cs="Arial"/>
                <w:sz w:val="24"/>
                <w:szCs w:val="24"/>
              </w:rPr>
              <w:t>mmol</w:t>
            </w:r>
            <w:proofErr w:type="spellEnd"/>
            <w:r w:rsidRPr="006F5411">
              <w:rPr>
                <w:rFonts w:ascii="Arial" w:hAnsi="Arial" w:cs="Arial"/>
                <w:sz w:val="24"/>
                <w:szCs w:val="24"/>
              </w:rPr>
              <w:t xml:space="preserve">/L) + 3 x AST (U/L) / ALT (U/L) (+2, in female). </w:t>
            </w:r>
          </w:p>
        </w:tc>
        <w:tc>
          <w:tcPr>
            <w:tcW w:w="1701" w:type="dxa"/>
            <w:tcBorders>
              <w:top w:val="nil"/>
            </w:tcBorders>
            <w:shd w:val="clear" w:color="auto" w:fill="auto"/>
          </w:tcPr>
          <w:p w:rsidR="00EE54A9" w:rsidRPr="006F5411" w:rsidRDefault="00561060" w:rsidP="006F5411">
            <w:pPr>
              <w:pStyle w:val="a8"/>
              <w:spacing w:line="480" w:lineRule="auto"/>
              <w:rPr>
                <w:rFonts w:ascii="Arial" w:hAnsi="Arial" w:cs="Arial"/>
                <w:sz w:val="24"/>
                <w:szCs w:val="24"/>
              </w:rPr>
            </w:pPr>
            <w:r w:rsidRPr="006F5411">
              <w:rPr>
                <w:rFonts w:ascii="Arial" w:hAnsi="Arial" w:cs="Arial"/>
                <w:noProof/>
                <w:sz w:val="24"/>
                <w:szCs w:val="24"/>
                <w:vertAlign w:val="superscript"/>
              </w:rPr>
              <w:t>(</w:t>
            </w:r>
            <w:r w:rsidRPr="006F5411">
              <w:rPr>
                <w:rFonts w:ascii="Arial" w:hAnsi="Arial" w:cs="Arial"/>
                <w:i/>
                <w:noProof/>
                <w:sz w:val="24"/>
                <w:szCs w:val="24"/>
                <w:vertAlign w:val="superscript"/>
              </w:rPr>
              <w:t>Poynard et al. 2004</w:t>
            </w:r>
            <w:r w:rsidRPr="006F5411">
              <w:rPr>
                <w:rFonts w:ascii="Arial" w:hAnsi="Arial" w:cs="Arial"/>
                <w:noProof/>
                <w:sz w:val="24"/>
                <w:szCs w:val="24"/>
                <w:vertAlign w:val="superscript"/>
              </w:rPr>
              <w:t>)</w:t>
            </w:r>
          </w:p>
        </w:tc>
      </w:tr>
    </w:tbl>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*applicable only to 2011.</w:t>
      </w:r>
    </w:p>
    <w:p w:rsidR="00EE54A9" w:rsidRPr="006F5411" w:rsidRDefault="00EE54A9" w:rsidP="006F5411">
      <w:pPr>
        <w:pStyle w:val="a8"/>
        <w:spacing w:line="480" w:lineRule="auto"/>
        <w:rPr>
          <w:rFonts w:ascii="Arial" w:hAnsi="Arial" w:cs="Arial"/>
          <w:sz w:val="24"/>
          <w:szCs w:val="24"/>
        </w:rPr>
      </w:pPr>
      <w:r w:rsidRPr="006F5411">
        <w:rPr>
          <w:rFonts w:ascii="Arial" w:hAnsi="Arial" w:cs="Arial"/>
          <w:sz w:val="24"/>
          <w:szCs w:val="24"/>
        </w:rPr>
        <w:t>AST (U/L), Aspartate aminotransferase; ALT (U/L), Alanine aminotransferase; APRI, AST to PLT ratio index; BMI (kg/m</w:t>
      </w:r>
      <w:r w:rsidRPr="006F5411">
        <w:rPr>
          <w:rFonts w:ascii="Arial" w:hAnsi="Arial" w:cs="Arial"/>
          <w:sz w:val="24"/>
          <w:szCs w:val="24"/>
          <w:vertAlign w:val="superscript"/>
        </w:rPr>
        <w:t>2</w:t>
      </w:r>
      <w:r w:rsidRPr="006F5411">
        <w:rPr>
          <w:rFonts w:ascii="Arial" w:hAnsi="Arial" w:cs="Arial"/>
          <w:sz w:val="24"/>
          <w:szCs w:val="24"/>
        </w:rPr>
        <w:t>), body mass index; DM, diabetes mellitus; FIB-4, fibrosis-4; FPG (mg/</w:t>
      </w:r>
      <w:proofErr w:type="spellStart"/>
      <w:r w:rsidRPr="006F5411">
        <w:rPr>
          <w:rFonts w:ascii="Arial" w:hAnsi="Arial" w:cs="Arial"/>
          <w:sz w:val="24"/>
          <w:szCs w:val="24"/>
        </w:rPr>
        <w:t>dL</w:t>
      </w:r>
      <w:proofErr w:type="spellEnd"/>
      <w:r w:rsidRPr="006F5411">
        <w:rPr>
          <w:rFonts w:ascii="Arial" w:hAnsi="Arial" w:cs="Arial"/>
          <w:sz w:val="24"/>
          <w:szCs w:val="24"/>
        </w:rPr>
        <w:t xml:space="preserve">), fasting plasma glucose; FLI, fatty liver index; </w:t>
      </w:r>
      <w:proofErr w:type="spellStart"/>
      <w:r w:rsidRPr="006F5411">
        <w:rPr>
          <w:rFonts w:ascii="Arial" w:hAnsi="Arial" w:cs="Arial"/>
          <w:sz w:val="24"/>
          <w:szCs w:val="24"/>
        </w:rPr>
        <w:t>Gholam’s</w:t>
      </w:r>
      <w:proofErr w:type="spellEnd"/>
      <w:r w:rsidRPr="006F5411">
        <w:rPr>
          <w:rFonts w:ascii="Arial" w:hAnsi="Arial" w:cs="Arial"/>
          <w:sz w:val="24"/>
          <w:szCs w:val="24"/>
        </w:rPr>
        <w:t xml:space="preserve"> model, </w:t>
      </w:r>
      <w:proofErr w:type="spellStart"/>
      <w:r w:rsidRPr="006F5411">
        <w:rPr>
          <w:rFonts w:ascii="Arial" w:hAnsi="Arial" w:cs="Arial"/>
          <w:sz w:val="24"/>
          <w:szCs w:val="24"/>
        </w:rPr>
        <w:t>Gholam’s</w:t>
      </w:r>
      <w:proofErr w:type="spellEnd"/>
      <w:r w:rsidRPr="006F5411">
        <w:rPr>
          <w:rFonts w:ascii="Arial" w:hAnsi="Arial" w:cs="Arial"/>
          <w:sz w:val="24"/>
          <w:szCs w:val="24"/>
        </w:rPr>
        <w:t xml:space="preserve"> model for non-alcoholic </w:t>
      </w:r>
      <w:proofErr w:type="spellStart"/>
      <w:r w:rsidRPr="006F5411">
        <w:rPr>
          <w:rFonts w:ascii="Arial" w:hAnsi="Arial" w:cs="Arial"/>
          <w:sz w:val="24"/>
          <w:szCs w:val="24"/>
        </w:rPr>
        <w:t>steatohepatitis</w:t>
      </w:r>
      <w:proofErr w:type="spellEnd"/>
      <w:r w:rsidRPr="006F5411">
        <w:rPr>
          <w:rFonts w:ascii="Arial" w:hAnsi="Arial" w:cs="Arial"/>
          <w:sz w:val="24"/>
          <w:szCs w:val="24"/>
        </w:rPr>
        <w:t xml:space="preserve">; HSI, hepatic steatosis index; GGT (U/L), </w:t>
      </w:r>
      <w:r w:rsidRPr="006F5411">
        <w:rPr>
          <w:rFonts w:ascii="Arial" w:eastAsia="AdvTT05cc2067+03" w:hAnsi="Arial" w:cs="Arial"/>
          <w:kern w:val="0"/>
          <w:sz w:val="24"/>
          <w:szCs w:val="24"/>
        </w:rPr>
        <w:t>γ-</w:t>
      </w:r>
      <w:proofErr w:type="spellStart"/>
      <w:r w:rsidRPr="006F5411">
        <w:rPr>
          <w:rFonts w:ascii="Arial" w:eastAsia="AdvTT05cc2067+03" w:hAnsi="Arial" w:cs="Arial"/>
          <w:kern w:val="0"/>
          <w:sz w:val="24"/>
          <w:szCs w:val="24"/>
        </w:rPr>
        <w:t>Glutamyl</w:t>
      </w:r>
      <w:proofErr w:type="spellEnd"/>
      <w:r w:rsidRPr="006F5411">
        <w:rPr>
          <w:rFonts w:ascii="Arial" w:eastAsia="AdvTT05cc2067+03" w:hAnsi="Arial" w:cs="Arial"/>
          <w:kern w:val="0"/>
          <w:sz w:val="24"/>
          <w:szCs w:val="24"/>
        </w:rPr>
        <w:t xml:space="preserve"> transferase</w:t>
      </w:r>
      <w:r w:rsidRPr="006F5411">
        <w:rPr>
          <w:rFonts w:ascii="Arial" w:hAnsi="Arial" w:cs="Arial"/>
          <w:sz w:val="24"/>
          <w:szCs w:val="24"/>
        </w:rPr>
        <w:t>; Ln, Natural logarithm; PLT (10</w:t>
      </w:r>
      <w:r w:rsidRPr="006F5411">
        <w:rPr>
          <w:rFonts w:ascii="Arial" w:hAnsi="Arial" w:cs="Arial"/>
          <w:sz w:val="24"/>
          <w:szCs w:val="24"/>
          <w:vertAlign w:val="superscript"/>
        </w:rPr>
        <w:t>9</w:t>
      </w:r>
      <w:r w:rsidRPr="006F5411">
        <w:rPr>
          <w:rFonts w:ascii="Arial" w:hAnsi="Arial" w:cs="Arial"/>
          <w:sz w:val="24"/>
          <w:szCs w:val="24"/>
        </w:rPr>
        <w:t>/L), Platelet; TG (mg/</w:t>
      </w:r>
      <w:proofErr w:type="spellStart"/>
      <w:r w:rsidRPr="006F5411">
        <w:rPr>
          <w:rFonts w:ascii="Arial" w:hAnsi="Arial" w:cs="Arial"/>
          <w:sz w:val="24"/>
          <w:szCs w:val="24"/>
        </w:rPr>
        <w:t>dL</w:t>
      </w:r>
      <w:proofErr w:type="spellEnd"/>
      <w:r w:rsidRPr="006F5411">
        <w:rPr>
          <w:rFonts w:ascii="Arial" w:hAnsi="Arial" w:cs="Arial"/>
          <w:sz w:val="24"/>
          <w:szCs w:val="24"/>
        </w:rPr>
        <w:t xml:space="preserve">), triglyceride; WC (cm), waist circumference; </w:t>
      </w:r>
      <w:proofErr w:type="spellStart"/>
      <w:r w:rsidRPr="006F5411">
        <w:rPr>
          <w:rFonts w:ascii="Arial" w:hAnsi="Arial" w:cs="Arial"/>
          <w:sz w:val="24"/>
          <w:szCs w:val="24"/>
        </w:rPr>
        <w:t>Wt</w:t>
      </w:r>
      <w:proofErr w:type="spellEnd"/>
      <w:r w:rsidRPr="006F5411">
        <w:rPr>
          <w:rFonts w:ascii="Arial" w:hAnsi="Arial" w:cs="Arial"/>
          <w:sz w:val="24"/>
          <w:szCs w:val="24"/>
        </w:rPr>
        <w:t xml:space="preserve"> (kg), weight.</w:t>
      </w:r>
    </w:p>
    <w:p w:rsidR="00EE54A9" w:rsidRPr="006F5411" w:rsidRDefault="00EE54A9" w:rsidP="006F5411">
      <w:pPr>
        <w:spacing w:line="480" w:lineRule="auto"/>
        <w:rPr>
          <w:rFonts w:ascii="Arial" w:hAnsi="Arial" w:cs="Arial"/>
          <w:sz w:val="24"/>
          <w:szCs w:val="24"/>
        </w:rPr>
        <w:sectPr w:rsidR="00EE54A9" w:rsidRPr="006F5411" w:rsidSect="00313A6D">
          <w:footerReference w:type="default" r:id="rId7"/>
          <w:type w:val="continuous"/>
          <w:pgSz w:w="16838" w:h="11906" w:orient="landscape"/>
          <w:pgMar w:top="1440" w:right="1440" w:bottom="1440" w:left="1440" w:header="851" w:footer="992" w:gutter="0"/>
          <w:cols w:space="425"/>
          <w:docGrid w:linePitch="360"/>
        </w:sectPr>
      </w:pPr>
    </w:p>
    <w:p w:rsidR="00EE54A9" w:rsidRPr="006F5411" w:rsidRDefault="00EE54A9" w:rsidP="006F5411">
      <w:pPr>
        <w:spacing w:line="480" w:lineRule="auto"/>
        <w:rPr>
          <w:rFonts w:ascii="Arial" w:hAnsi="Arial" w:cs="Arial"/>
          <w:sz w:val="24"/>
          <w:szCs w:val="24"/>
        </w:rPr>
      </w:pPr>
    </w:p>
    <w:p w:rsidR="00EE54A9" w:rsidRPr="006F5411" w:rsidRDefault="00EE54A9" w:rsidP="006F5411">
      <w:pPr>
        <w:spacing w:line="480" w:lineRule="auto"/>
        <w:rPr>
          <w:rFonts w:ascii="Arial" w:hAnsi="Arial" w:cs="Arial"/>
          <w:sz w:val="24"/>
          <w:szCs w:val="24"/>
        </w:rPr>
      </w:pPr>
    </w:p>
    <w:p w:rsidR="00EE54A9" w:rsidRPr="006F5411" w:rsidRDefault="00EE54A9" w:rsidP="006F5411">
      <w:pPr>
        <w:pStyle w:val="EndNoteBibliography"/>
        <w:spacing w:after="0" w:line="480" w:lineRule="auto"/>
        <w:ind w:left="720" w:hanging="720"/>
        <w:rPr>
          <w:rFonts w:ascii="Arial" w:hAnsi="Arial" w:cs="Arial"/>
          <w:sz w:val="24"/>
          <w:szCs w:val="24"/>
        </w:rPr>
      </w:pPr>
      <w:r w:rsidRPr="006F5411">
        <w:rPr>
          <w:rFonts w:ascii="Arial" w:hAnsi="Arial" w:cs="Arial"/>
          <w:sz w:val="24"/>
          <w:szCs w:val="24"/>
        </w:rPr>
        <w:lastRenderedPageBreak/>
        <w:t>Abdelgawad IA. 2015. Clinical utility of simple non-invasive liver fibrosis indices for predicting hepatocellular carcinoma (HCC) among Egyptian patients.</w:t>
      </w:r>
      <w:r w:rsidRPr="006F5411">
        <w:rPr>
          <w:rFonts w:ascii="Arial" w:hAnsi="Arial" w:cs="Arial"/>
          <w:i/>
          <w:sz w:val="24"/>
          <w:szCs w:val="24"/>
        </w:rPr>
        <w:t xml:space="preserve"> J Clin Pathol</w:t>
      </w:r>
      <w:r w:rsidRPr="006F5411">
        <w:rPr>
          <w:rFonts w:ascii="Arial" w:hAnsi="Arial" w:cs="Arial"/>
          <w:sz w:val="24"/>
          <w:szCs w:val="24"/>
        </w:rPr>
        <w:t xml:space="preserve"> 68:154-160. 10.1136/jclinpath-2014-202462</w:t>
      </w:r>
    </w:p>
    <w:p w:rsidR="00EE54A9" w:rsidRPr="006F5411" w:rsidRDefault="00EE54A9" w:rsidP="006F5411">
      <w:pPr>
        <w:pStyle w:val="EndNoteBibliography"/>
        <w:spacing w:after="0" w:line="480" w:lineRule="auto"/>
        <w:ind w:left="720" w:hanging="720"/>
        <w:rPr>
          <w:rFonts w:ascii="Arial" w:hAnsi="Arial" w:cs="Arial"/>
          <w:sz w:val="24"/>
          <w:szCs w:val="24"/>
        </w:rPr>
      </w:pPr>
      <w:r w:rsidRPr="006F5411">
        <w:rPr>
          <w:rFonts w:ascii="Arial" w:hAnsi="Arial" w:cs="Arial"/>
          <w:sz w:val="24"/>
          <w:szCs w:val="24"/>
        </w:rPr>
        <w:t>Cales P, Oberti F, Michalak S, Hubert-Fouchard I, Rousselet MC, Konate A, Gallois Y, Ternisien C, Chevailler A, and Lunel F. 2005. A novel panel of blood markers to assess the degree of liver fibrosis.</w:t>
      </w:r>
      <w:r w:rsidRPr="006F5411">
        <w:rPr>
          <w:rFonts w:ascii="Arial" w:hAnsi="Arial" w:cs="Arial"/>
          <w:i/>
          <w:sz w:val="24"/>
          <w:szCs w:val="24"/>
        </w:rPr>
        <w:t xml:space="preserve"> Hepatology</w:t>
      </w:r>
      <w:r w:rsidRPr="006F5411">
        <w:rPr>
          <w:rFonts w:ascii="Arial" w:hAnsi="Arial" w:cs="Arial"/>
          <w:sz w:val="24"/>
          <w:szCs w:val="24"/>
        </w:rPr>
        <w:t xml:space="preserve"> 42:1373-1381. 10.1002/hep.20935</w:t>
      </w:r>
    </w:p>
    <w:p w:rsidR="00EE54A9" w:rsidRPr="006F5411" w:rsidRDefault="00EE54A9" w:rsidP="006F5411">
      <w:pPr>
        <w:pStyle w:val="EndNoteBibliography"/>
        <w:spacing w:after="0" w:line="480" w:lineRule="auto"/>
        <w:ind w:left="720" w:hanging="720"/>
        <w:rPr>
          <w:rFonts w:ascii="Arial" w:hAnsi="Arial" w:cs="Arial"/>
          <w:sz w:val="24"/>
          <w:szCs w:val="24"/>
        </w:rPr>
      </w:pPr>
      <w:r w:rsidRPr="006F5411">
        <w:rPr>
          <w:rFonts w:ascii="Arial" w:hAnsi="Arial" w:cs="Arial"/>
          <w:sz w:val="24"/>
          <w:szCs w:val="24"/>
        </w:rPr>
        <w:t>Choi JW, Oh IH, Lee CH, and Park JS. 2017. Is there a J-shaped relationship between the fatty liver index and risk of microalbuminuria in the general population?</w:t>
      </w:r>
      <w:r w:rsidRPr="006F5411">
        <w:rPr>
          <w:rFonts w:ascii="Arial" w:hAnsi="Arial" w:cs="Arial"/>
          <w:i/>
          <w:sz w:val="24"/>
          <w:szCs w:val="24"/>
        </w:rPr>
        <w:t xml:space="preserve"> Clin Chim Acta</w:t>
      </w:r>
      <w:r w:rsidRPr="006F5411">
        <w:rPr>
          <w:rFonts w:ascii="Arial" w:hAnsi="Arial" w:cs="Arial"/>
          <w:sz w:val="24"/>
          <w:szCs w:val="24"/>
        </w:rPr>
        <w:t>. 10.1016/j.cca.2017.08.015</w:t>
      </w:r>
    </w:p>
    <w:p w:rsidR="00EE54A9" w:rsidRPr="006F5411" w:rsidRDefault="00EE54A9" w:rsidP="006F5411">
      <w:pPr>
        <w:pStyle w:val="EndNoteBibliography"/>
        <w:spacing w:after="0" w:line="480" w:lineRule="auto"/>
        <w:ind w:left="720" w:hanging="720"/>
        <w:rPr>
          <w:rFonts w:ascii="Arial" w:hAnsi="Arial" w:cs="Arial"/>
          <w:sz w:val="24"/>
          <w:szCs w:val="24"/>
        </w:rPr>
      </w:pPr>
      <w:r w:rsidRPr="006F5411">
        <w:rPr>
          <w:rFonts w:ascii="Arial" w:hAnsi="Arial" w:cs="Arial"/>
          <w:sz w:val="24"/>
          <w:szCs w:val="24"/>
        </w:rPr>
        <w:t>Forns X, Ampurdanes S, Llovet JM, Aponte J, Quinto L, Martinez-Bauer E, Bruguera M, Sanchez-Tapias JM, and Rodes J. 2002. Identification of chronic hepatitis C patients without hepatic fibrosis by a simple predictive model.</w:t>
      </w:r>
      <w:r w:rsidRPr="006F5411">
        <w:rPr>
          <w:rFonts w:ascii="Arial" w:hAnsi="Arial" w:cs="Arial"/>
          <w:i/>
          <w:sz w:val="24"/>
          <w:szCs w:val="24"/>
        </w:rPr>
        <w:t xml:space="preserve"> Hepatology</w:t>
      </w:r>
      <w:r w:rsidRPr="006F5411">
        <w:rPr>
          <w:rFonts w:ascii="Arial" w:hAnsi="Arial" w:cs="Arial"/>
          <w:sz w:val="24"/>
          <w:szCs w:val="24"/>
        </w:rPr>
        <w:t xml:space="preserve"> 36:986-992. 10.1053/jhep.2002.36128</w:t>
      </w:r>
    </w:p>
    <w:p w:rsidR="00EE54A9" w:rsidRPr="006F5411" w:rsidRDefault="00EE54A9" w:rsidP="006F5411">
      <w:pPr>
        <w:pStyle w:val="EndNoteBibliography"/>
        <w:spacing w:after="0" w:line="480" w:lineRule="auto"/>
        <w:ind w:left="720" w:hanging="720"/>
        <w:rPr>
          <w:rFonts w:ascii="Arial" w:hAnsi="Arial" w:cs="Arial"/>
          <w:sz w:val="24"/>
          <w:szCs w:val="24"/>
        </w:rPr>
      </w:pPr>
      <w:r w:rsidRPr="006F5411">
        <w:rPr>
          <w:rFonts w:ascii="Arial" w:hAnsi="Arial" w:cs="Arial"/>
          <w:sz w:val="24"/>
          <w:szCs w:val="24"/>
        </w:rPr>
        <w:t>Gholam PM, Flancbaum L, Machan JT, Charney DA, and Kotler DP. 2007. Nonalcoholic fatty liver disease in severely obese subjects.</w:t>
      </w:r>
      <w:r w:rsidRPr="006F5411">
        <w:rPr>
          <w:rFonts w:ascii="Arial" w:hAnsi="Arial" w:cs="Arial"/>
          <w:i/>
          <w:sz w:val="24"/>
          <w:szCs w:val="24"/>
        </w:rPr>
        <w:t xml:space="preserve"> Am J Gastroenterol</w:t>
      </w:r>
      <w:r w:rsidRPr="006F5411">
        <w:rPr>
          <w:rFonts w:ascii="Arial" w:hAnsi="Arial" w:cs="Arial"/>
          <w:sz w:val="24"/>
          <w:szCs w:val="24"/>
        </w:rPr>
        <w:t xml:space="preserve"> 102:399-408. 10.1111/j.1572-0241.2006.01041.x</w:t>
      </w:r>
    </w:p>
    <w:p w:rsidR="00EE54A9" w:rsidRPr="006F5411" w:rsidRDefault="00EE54A9" w:rsidP="006F5411">
      <w:pPr>
        <w:pStyle w:val="EndNoteBibliography"/>
        <w:spacing w:after="0" w:line="480" w:lineRule="auto"/>
        <w:ind w:left="720" w:hanging="720"/>
        <w:rPr>
          <w:rFonts w:ascii="Arial" w:hAnsi="Arial" w:cs="Arial"/>
          <w:sz w:val="24"/>
          <w:szCs w:val="24"/>
        </w:rPr>
      </w:pPr>
      <w:r w:rsidRPr="006F5411">
        <w:rPr>
          <w:rFonts w:ascii="Arial" w:hAnsi="Arial" w:cs="Arial"/>
          <w:sz w:val="24"/>
          <w:szCs w:val="24"/>
        </w:rPr>
        <w:t>Harrison SA, Oliver D, Arnold HL, Gogia S, and Neuschwander-Tetri BA. 2008. Development and validation of a simple NAFLD clinical scoring system for identifying patients without advanced disease.</w:t>
      </w:r>
      <w:r w:rsidRPr="006F5411">
        <w:rPr>
          <w:rFonts w:ascii="Arial" w:hAnsi="Arial" w:cs="Arial"/>
          <w:i/>
          <w:sz w:val="24"/>
          <w:szCs w:val="24"/>
        </w:rPr>
        <w:t xml:space="preserve"> Gut</w:t>
      </w:r>
      <w:r w:rsidRPr="006F5411">
        <w:rPr>
          <w:rFonts w:ascii="Arial" w:hAnsi="Arial" w:cs="Arial"/>
          <w:sz w:val="24"/>
          <w:szCs w:val="24"/>
        </w:rPr>
        <w:t xml:space="preserve"> 57:1441-1447. 10.1136/gut.2007.146019</w:t>
      </w:r>
    </w:p>
    <w:p w:rsidR="00EE54A9" w:rsidRPr="006F5411" w:rsidRDefault="00EE54A9" w:rsidP="006F5411">
      <w:pPr>
        <w:pStyle w:val="EndNoteBibliography"/>
        <w:spacing w:after="0" w:line="480" w:lineRule="auto"/>
        <w:ind w:left="720" w:hanging="720"/>
        <w:rPr>
          <w:rFonts w:ascii="Arial" w:hAnsi="Arial" w:cs="Arial"/>
          <w:sz w:val="24"/>
          <w:szCs w:val="24"/>
        </w:rPr>
      </w:pPr>
      <w:r w:rsidRPr="006F5411">
        <w:rPr>
          <w:rFonts w:ascii="Arial" w:hAnsi="Arial" w:cs="Arial"/>
          <w:sz w:val="24"/>
          <w:szCs w:val="24"/>
        </w:rPr>
        <w:t>Lee JH, Kim D, Kim HJ, Lee CH, Yang JI, Kim W, Kim YJ, Yoon JH, Cho SH, Sung MW, and Lee HS. 2010. Hepatic steatosis index: a simple screening tool reflecting nonalcoholic fatty liver disease.</w:t>
      </w:r>
      <w:r w:rsidRPr="006F5411">
        <w:rPr>
          <w:rFonts w:ascii="Arial" w:hAnsi="Arial" w:cs="Arial"/>
          <w:i/>
          <w:sz w:val="24"/>
          <w:szCs w:val="24"/>
        </w:rPr>
        <w:t xml:space="preserve"> Dig Liver Dis</w:t>
      </w:r>
      <w:r w:rsidRPr="006F5411">
        <w:rPr>
          <w:rFonts w:ascii="Arial" w:hAnsi="Arial" w:cs="Arial"/>
          <w:sz w:val="24"/>
          <w:szCs w:val="24"/>
        </w:rPr>
        <w:t xml:space="preserve"> 42:503-508. 10.1016/j.dld.2009.08.002</w:t>
      </w:r>
    </w:p>
    <w:p w:rsidR="00EE54A9" w:rsidRPr="006F5411" w:rsidRDefault="00EE54A9" w:rsidP="006F5411">
      <w:pPr>
        <w:pStyle w:val="EndNoteBibliography"/>
        <w:spacing w:after="0" w:line="480" w:lineRule="auto"/>
        <w:ind w:left="720" w:hanging="720"/>
        <w:rPr>
          <w:rFonts w:ascii="Arial" w:hAnsi="Arial" w:cs="Arial"/>
          <w:sz w:val="24"/>
          <w:szCs w:val="24"/>
        </w:rPr>
      </w:pPr>
      <w:r w:rsidRPr="006F5411">
        <w:rPr>
          <w:rFonts w:ascii="Arial" w:hAnsi="Arial" w:cs="Arial"/>
          <w:sz w:val="24"/>
          <w:szCs w:val="24"/>
        </w:rPr>
        <w:lastRenderedPageBreak/>
        <w:t>Poynard T, Munteanu M, Imbert-Bismut F, Charlotte F, Thabut D, Le Calvez S, Messous D, Thibault V, Benhamou Y, Moussalli J, and Ratziu V. 2004. Prospective analysis of discordant results between biochemical markers and biopsy in patients with chronic hepatitis C.</w:t>
      </w:r>
      <w:r w:rsidRPr="006F5411">
        <w:rPr>
          <w:rFonts w:ascii="Arial" w:hAnsi="Arial" w:cs="Arial"/>
          <w:i/>
          <w:sz w:val="24"/>
          <w:szCs w:val="24"/>
        </w:rPr>
        <w:t xml:space="preserve"> Clin Chem</w:t>
      </w:r>
      <w:r w:rsidRPr="006F5411">
        <w:rPr>
          <w:rFonts w:ascii="Arial" w:hAnsi="Arial" w:cs="Arial"/>
          <w:sz w:val="24"/>
          <w:szCs w:val="24"/>
        </w:rPr>
        <w:t xml:space="preserve"> 50:1344-1355. 10.1373/clinchem.2004.032227</w:t>
      </w:r>
    </w:p>
    <w:p w:rsidR="00EE54A9" w:rsidRPr="006F5411" w:rsidRDefault="00EE54A9" w:rsidP="006F5411">
      <w:pPr>
        <w:pStyle w:val="EndNoteBibliography"/>
        <w:spacing w:after="0" w:line="480" w:lineRule="auto"/>
        <w:ind w:left="720" w:hanging="720"/>
        <w:rPr>
          <w:rFonts w:ascii="Arial" w:hAnsi="Arial" w:cs="Arial"/>
          <w:sz w:val="24"/>
          <w:szCs w:val="24"/>
        </w:rPr>
      </w:pPr>
      <w:r w:rsidRPr="006F5411">
        <w:rPr>
          <w:rFonts w:ascii="Arial" w:hAnsi="Arial" w:cs="Arial"/>
          <w:sz w:val="24"/>
          <w:szCs w:val="24"/>
        </w:rPr>
        <w:t>Sterling RK, Lissen E, Clumeck N, Sola R, Correa MC, Montaner J, M SS, Torriani FJ, Dieterich DT, Thomas DL, Messinger D, and Nelson M. 2006. Development of a simple noninvasive index to predict significant fibrosis in patients with HIV/HCV coinfection.</w:t>
      </w:r>
      <w:r w:rsidRPr="006F5411">
        <w:rPr>
          <w:rFonts w:ascii="Arial" w:hAnsi="Arial" w:cs="Arial"/>
          <w:i/>
          <w:sz w:val="24"/>
          <w:szCs w:val="24"/>
        </w:rPr>
        <w:t xml:space="preserve"> Hepatology</w:t>
      </w:r>
      <w:r w:rsidRPr="006F5411">
        <w:rPr>
          <w:rFonts w:ascii="Arial" w:hAnsi="Arial" w:cs="Arial"/>
          <w:sz w:val="24"/>
          <w:szCs w:val="24"/>
        </w:rPr>
        <w:t xml:space="preserve"> 43:1317-1325. 10.1002/hep.21178</w:t>
      </w:r>
    </w:p>
    <w:p w:rsidR="003E5D72" w:rsidRPr="006F5411" w:rsidRDefault="00EE54A9" w:rsidP="006F5411">
      <w:pPr>
        <w:pStyle w:val="EndNoteBibliography"/>
        <w:spacing w:after="0" w:line="480" w:lineRule="auto"/>
        <w:ind w:left="720" w:hanging="720"/>
        <w:rPr>
          <w:rFonts w:ascii="Arial" w:hAnsi="Arial" w:cs="Arial" w:hint="eastAsia"/>
          <w:sz w:val="24"/>
          <w:szCs w:val="24"/>
        </w:rPr>
      </w:pPr>
      <w:r w:rsidRPr="006F5411">
        <w:rPr>
          <w:rFonts w:ascii="Arial" w:hAnsi="Arial" w:cs="Arial"/>
          <w:sz w:val="24"/>
          <w:szCs w:val="24"/>
        </w:rPr>
        <w:t>Wai CT, Greenson JK, Fontana RJ, Kalbfleisch JD, Marrero JA, Conjeevaram HS, and Lok AS. 2003. A simple noninvasive index can predict both significant fibrosis and cirrhosis in patients with chronic hepatitis C.</w:t>
      </w:r>
      <w:r w:rsidRPr="006F5411">
        <w:rPr>
          <w:rFonts w:ascii="Arial" w:hAnsi="Arial" w:cs="Arial"/>
          <w:i/>
          <w:sz w:val="24"/>
          <w:szCs w:val="24"/>
        </w:rPr>
        <w:t xml:space="preserve"> Hepatology</w:t>
      </w:r>
      <w:r w:rsidRPr="006F5411">
        <w:rPr>
          <w:rFonts w:ascii="Arial" w:hAnsi="Arial" w:cs="Arial"/>
          <w:sz w:val="24"/>
          <w:szCs w:val="24"/>
        </w:rPr>
        <w:t xml:space="preserve"> 38:518-526. 10.1053/jhep.2003.50346</w:t>
      </w:r>
      <w:bookmarkStart w:id="0" w:name="_GoBack"/>
      <w:bookmarkEnd w:id="0"/>
    </w:p>
    <w:sectPr w:rsidR="003E5D72" w:rsidRPr="006F5411" w:rsidSect="00313A6D">
      <w:type w:val="continuous"/>
      <w:pgSz w:w="16838" w:h="11906" w:orient="landscape"/>
      <w:pgMar w:top="1440" w:right="1440" w:bottom="1440" w:left="1440" w:header="851" w:footer="992"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7F" w:rsidRDefault="00553A7F">
      <w:pPr>
        <w:spacing w:after="0" w:line="240" w:lineRule="auto"/>
      </w:pPr>
      <w:r>
        <w:separator/>
      </w:r>
    </w:p>
  </w:endnote>
  <w:endnote w:type="continuationSeparator" w:id="0">
    <w:p w:rsidR="00553A7F" w:rsidRDefault="0055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dvTT05cc2067+03">
    <w:altName w:val="HancomEQ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9D" w:rsidRDefault="00313A6D">
    <w:pPr>
      <w:pStyle w:val="a5"/>
      <w:jc w:val="center"/>
    </w:pPr>
    <w:r>
      <w:fldChar w:fldCharType="begin"/>
    </w:r>
    <w:r>
      <w:instrText xml:space="preserve"> PAGE   \* MERGEFORMAT </w:instrText>
    </w:r>
    <w:r>
      <w:fldChar w:fldCharType="separate"/>
    </w:r>
    <w:r w:rsidR="006F5411" w:rsidRPr="006F5411">
      <w:rPr>
        <w:noProof/>
        <w:lang w:val="ko-KR"/>
      </w:rPr>
      <w:t>1</w:t>
    </w:r>
    <w:r>
      <w:rPr>
        <w:lang w:val="ko-KR"/>
      </w:rPr>
      <w:fldChar w:fldCharType="end"/>
    </w:r>
  </w:p>
  <w:p w:rsidR="0017719D" w:rsidRDefault="00553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7F" w:rsidRDefault="00553A7F">
      <w:pPr>
        <w:spacing w:after="0" w:line="240" w:lineRule="auto"/>
      </w:pPr>
      <w:r>
        <w:separator/>
      </w:r>
    </w:p>
  </w:footnote>
  <w:footnote w:type="continuationSeparator" w:id="0">
    <w:p w:rsidR="00553A7F" w:rsidRDefault="00553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4E4"/>
    <w:multiLevelType w:val="multilevel"/>
    <w:tmpl w:val="8F7E8196"/>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 w15:restartNumberingAfterBreak="0">
    <w:nsid w:val="17427410"/>
    <w:multiLevelType w:val="multilevel"/>
    <w:tmpl w:val="DBB8AA04"/>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 w15:restartNumberingAfterBreak="0">
    <w:nsid w:val="194E0380"/>
    <w:multiLevelType w:val="multilevel"/>
    <w:tmpl w:val="E3A2600C"/>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3" w15:restartNumberingAfterBreak="0">
    <w:nsid w:val="19894B5B"/>
    <w:multiLevelType w:val="hybridMultilevel"/>
    <w:tmpl w:val="6BF07402"/>
    <w:lvl w:ilvl="0" w:tplc="0BD8CF24">
      <w:numFmt w:val="bullet"/>
      <w:lvlText w:val=""/>
      <w:lvlJc w:val="left"/>
      <w:pPr>
        <w:ind w:left="760" w:hanging="360"/>
      </w:pPr>
      <w:rPr>
        <w:rFonts w:ascii="Wingdings" w:eastAsia="맑은 고딕" w:hAnsi="Wingdings" w:cs="Arial" w:hint="default"/>
      </w:rPr>
    </w:lvl>
    <w:lvl w:ilvl="1" w:tplc="436CF6B8">
      <w:start w:val="1"/>
      <w:numFmt w:val="bullet"/>
      <w:lvlText w:val=""/>
      <w:lvlJc w:val="left"/>
      <w:pPr>
        <w:ind w:left="1200" w:hanging="400"/>
      </w:pPr>
      <w:rPr>
        <w:rFonts w:ascii="Wingdings" w:hAnsi="Wingdings" w:hint="default"/>
      </w:rPr>
    </w:lvl>
    <w:lvl w:ilvl="2" w:tplc="9352385A">
      <w:start w:val="1"/>
      <w:numFmt w:val="bullet"/>
      <w:lvlText w:val=""/>
      <w:lvlJc w:val="left"/>
      <w:pPr>
        <w:ind w:left="1600" w:hanging="400"/>
      </w:pPr>
      <w:rPr>
        <w:rFonts w:ascii="Wingdings" w:hAnsi="Wingdings" w:hint="default"/>
      </w:rPr>
    </w:lvl>
    <w:lvl w:ilvl="3" w:tplc="3C888D00">
      <w:start w:val="1"/>
      <w:numFmt w:val="bullet"/>
      <w:lvlText w:val=""/>
      <w:lvlJc w:val="left"/>
      <w:pPr>
        <w:ind w:left="2000" w:hanging="400"/>
      </w:pPr>
      <w:rPr>
        <w:rFonts w:ascii="Wingdings" w:hAnsi="Wingdings" w:hint="default"/>
      </w:rPr>
    </w:lvl>
    <w:lvl w:ilvl="4" w:tplc="9E862688">
      <w:start w:val="1"/>
      <w:numFmt w:val="bullet"/>
      <w:lvlText w:val=""/>
      <w:lvlJc w:val="left"/>
      <w:pPr>
        <w:ind w:left="2400" w:hanging="400"/>
      </w:pPr>
      <w:rPr>
        <w:rFonts w:ascii="Wingdings" w:hAnsi="Wingdings" w:hint="default"/>
      </w:rPr>
    </w:lvl>
    <w:lvl w:ilvl="5" w:tplc="8F80A1C4">
      <w:start w:val="1"/>
      <w:numFmt w:val="bullet"/>
      <w:lvlText w:val=""/>
      <w:lvlJc w:val="left"/>
      <w:pPr>
        <w:ind w:left="2800" w:hanging="400"/>
      </w:pPr>
      <w:rPr>
        <w:rFonts w:ascii="Wingdings" w:hAnsi="Wingdings" w:hint="default"/>
      </w:rPr>
    </w:lvl>
    <w:lvl w:ilvl="6" w:tplc="531A6B54">
      <w:start w:val="1"/>
      <w:numFmt w:val="bullet"/>
      <w:lvlText w:val=""/>
      <w:lvlJc w:val="left"/>
      <w:pPr>
        <w:ind w:left="3200" w:hanging="400"/>
      </w:pPr>
      <w:rPr>
        <w:rFonts w:ascii="Wingdings" w:hAnsi="Wingdings" w:hint="default"/>
      </w:rPr>
    </w:lvl>
    <w:lvl w:ilvl="7" w:tplc="0502995C">
      <w:start w:val="1"/>
      <w:numFmt w:val="bullet"/>
      <w:lvlText w:val=""/>
      <w:lvlJc w:val="left"/>
      <w:pPr>
        <w:ind w:left="3600" w:hanging="400"/>
      </w:pPr>
      <w:rPr>
        <w:rFonts w:ascii="Wingdings" w:hAnsi="Wingdings" w:hint="default"/>
      </w:rPr>
    </w:lvl>
    <w:lvl w:ilvl="8" w:tplc="D498793E">
      <w:start w:val="1"/>
      <w:numFmt w:val="bullet"/>
      <w:lvlText w:val=""/>
      <w:lvlJc w:val="left"/>
      <w:pPr>
        <w:ind w:left="4000" w:hanging="400"/>
      </w:pPr>
      <w:rPr>
        <w:rFonts w:ascii="Wingdings" w:hAnsi="Wingdings" w:hint="default"/>
      </w:rPr>
    </w:lvl>
  </w:abstractNum>
  <w:abstractNum w:abstractNumId="4" w15:restartNumberingAfterBreak="0">
    <w:nsid w:val="1F953F15"/>
    <w:multiLevelType w:val="hybridMultilevel"/>
    <w:tmpl w:val="B12A0972"/>
    <w:lvl w:ilvl="0" w:tplc="A4024E32">
      <w:start w:val="1"/>
      <w:numFmt w:val="decimal"/>
      <w:lvlText w:val="%1."/>
      <w:lvlJc w:val="left"/>
      <w:pPr>
        <w:ind w:left="800" w:hanging="400"/>
      </w:pPr>
      <w:rPr>
        <w:rFonts w:ascii="Arial" w:hAnsi="Arial" w:cs="Arial" w:hint="default"/>
        <w:b w:val="0"/>
        <w:color w:val="auto"/>
      </w:rPr>
    </w:lvl>
    <w:lvl w:ilvl="1" w:tplc="4E14D4E6">
      <w:start w:val="1"/>
      <w:numFmt w:val="upperLetter"/>
      <w:lvlText w:val="%2."/>
      <w:lvlJc w:val="left"/>
      <w:pPr>
        <w:ind w:left="1200" w:hanging="400"/>
      </w:pPr>
    </w:lvl>
    <w:lvl w:ilvl="2" w:tplc="FA182094">
      <w:start w:val="1"/>
      <w:numFmt w:val="lowerRoman"/>
      <w:lvlText w:val="%3."/>
      <w:lvlJc w:val="right"/>
      <w:pPr>
        <w:ind w:left="1600" w:hanging="400"/>
      </w:pPr>
    </w:lvl>
    <w:lvl w:ilvl="3" w:tplc="38708EB8">
      <w:start w:val="1"/>
      <w:numFmt w:val="decimal"/>
      <w:lvlText w:val="%4."/>
      <w:lvlJc w:val="left"/>
      <w:pPr>
        <w:ind w:left="2000" w:hanging="400"/>
      </w:pPr>
    </w:lvl>
    <w:lvl w:ilvl="4" w:tplc="B5CCCCFE">
      <w:start w:val="1"/>
      <w:numFmt w:val="upperLetter"/>
      <w:lvlText w:val="%5."/>
      <w:lvlJc w:val="left"/>
      <w:pPr>
        <w:ind w:left="2400" w:hanging="400"/>
      </w:pPr>
    </w:lvl>
    <w:lvl w:ilvl="5" w:tplc="AB1AB68C">
      <w:start w:val="1"/>
      <w:numFmt w:val="lowerRoman"/>
      <w:lvlText w:val="%6."/>
      <w:lvlJc w:val="right"/>
      <w:pPr>
        <w:ind w:left="2800" w:hanging="400"/>
      </w:pPr>
    </w:lvl>
    <w:lvl w:ilvl="6" w:tplc="9E34B072">
      <w:start w:val="1"/>
      <w:numFmt w:val="decimal"/>
      <w:lvlText w:val="%7."/>
      <w:lvlJc w:val="left"/>
      <w:pPr>
        <w:ind w:left="3200" w:hanging="400"/>
      </w:pPr>
    </w:lvl>
    <w:lvl w:ilvl="7" w:tplc="A9FA6D98">
      <w:start w:val="1"/>
      <w:numFmt w:val="upperLetter"/>
      <w:lvlText w:val="%8."/>
      <w:lvlJc w:val="left"/>
      <w:pPr>
        <w:ind w:left="3600" w:hanging="400"/>
      </w:pPr>
    </w:lvl>
    <w:lvl w:ilvl="8" w:tplc="CC3CABA4">
      <w:start w:val="1"/>
      <w:numFmt w:val="lowerRoman"/>
      <w:lvlText w:val="%9."/>
      <w:lvlJc w:val="right"/>
      <w:pPr>
        <w:ind w:left="4000" w:hanging="400"/>
      </w:pPr>
    </w:lvl>
  </w:abstractNum>
  <w:abstractNum w:abstractNumId="5" w15:restartNumberingAfterBreak="0">
    <w:nsid w:val="22931159"/>
    <w:multiLevelType w:val="hybridMultilevel"/>
    <w:tmpl w:val="532E85AC"/>
    <w:lvl w:ilvl="0" w:tplc="BD420E4A">
      <w:start w:val="1"/>
      <w:numFmt w:val="bullet"/>
      <w:lvlText w:val=""/>
      <w:lvlJc w:val="left"/>
      <w:pPr>
        <w:ind w:left="800" w:hanging="400"/>
      </w:pPr>
      <w:rPr>
        <w:rFonts w:ascii="Wingdings" w:hAnsi="Wingdings" w:hint="default"/>
      </w:rPr>
    </w:lvl>
    <w:lvl w:ilvl="1" w:tplc="8CB46322">
      <w:start w:val="1"/>
      <w:numFmt w:val="bullet"/>
      <w:lvlText w:val=""/>
      <w:lvlJc w:val="left"/>
      <w:pPr>
        <w:ind w:left="1200" w:hanging="400"/>
      </w:pPr>
      <w:rPr>
        <w:rFonts w:ascii="Wingdings" w:hAnsi="Wingdings" w:hint="default"/>
      </w:rPr>
    </w:lvl>
    <w:lvl w:ilvl="2" w:tplc="71AAF886">
      <w:start w:val="1"/>
      <w:numFmt w:val="bullet"/>
      <w:lvlText w:val=""/>
      <w:lvlJc w:val="left"/>
      <w:pPr>
        <w:ind w:left="1600" w:hanging="400"/>
      </w:pPr>
      <w:rPr>
        <w:rFonts w:ascii="Wingdings" w:hAnsi="Wingdings" w:hint="default"/>
      </w:rPr>
    </w:lvl>
    <w:lvl w:ilvl="3" w:tplc="CB5ABB62">
      <w:start w:val="1"/>
      <w:numFmt w:val="bullet"/>
      <w:lvlText w:val=""/>
      <w:lvlJc w:val="left"/>
      <w:pPr>
        <w:ind w:left="2000" w:hanging="400"/>
      </w:pPr>
      <w:rPr>
        <w:rFonts w:ascii="Wingdings" w:hAnsi="Wingdings" w:hint="default"/>
      </w:rPr>
    </w:lvl>
    <w:lvl w:ilvl="4" w:tplc="0F0A6DD2">
      <w:start w:val="1"/>
      <w:numFmt w:val="bullet"/>
      <w:lvlText w:val=""/>
      <w:lvlJc w:val="left"/>
      <w:pPr>
        <w:ind w:left="2400" w:hanging="400"/>
      </w:pPr>
      <w:rPr>
        <w:rFonts w:ascii="Wingdings" w:hAnsi="Wingdings" w:hint="default"/>
      </w:rPr>
    </w:lvl>
    <w:lvl w:ilvl="5" w:tplc="B4D4DF90">
      <w:start w:val="1"/>
      <w:numFmt w:val="bullet"/>
      <w:lvlText w:val=""/>
      <w:lvlJc w:val="left"/>
      <w:pPr>
        <w:ind w:left="2800" w:hanging="400"/>
      </w:pPr>
      <w:rPr>
        <w:rFonts w:ascii="Wingdings" w:hAnsi="Wingdings" w:hint="default"/>
      </w:rPr>
    </w:lvl>
    <w:lvl w:ilvl="6" w:tplc="2242B672">
      <w:start w:val="1"/>
      <w:numFmt w:val="bullet"/>
      <w:lvlText w:val=""/>
      <w:lvlJc w:val="left"/>
      <w:pPr>
        <w:ind w:left="3200" w:hanging="400"/>
      </w:pPr>
      <w:rPr>
        <w:rFonts w:ascii="Wingdings" w:hAnsi="Wingdings" w:hint="default"/>
      </w:rPr>
    </w:lvl>
    <w:lvl w:ilvl="7" w:tplc="EAD4667E">
      <w:start w:val="1"/>
      <w:numFmt w:val="bullet"/>
      <w:lvlText w:val=""/>
      <w:lvlJc w:val="left"/>
      <w:pPr>
        <w:ind w:left="3600" w:hanging="400"/>
      </w:pPr>
      <w:rPr>
        <w:rFonts w:ascii="Wingdings" w:hAnsi="Wingdings" w:hint="default"/>
      </w:rPr>
    </w:lvl>
    <w:lvl w:ilvl="8" w:tplc="8162158A">
      <w:start w:val="1"/>
      <w:numFmt w:val="bullet"/>
      <w:lvlText w:val=""/>
      <w:lvlJc w:val="left"/>
      <w:pPr>
        <w:ind w:left="4000" w:hanging="400"/>
      </w:pPr>
      <w:rPr>
        <w:rFonts w:ascii="Wingdings" w:hAnsi="Wingdings" w:hint="default"/>
      </w:rPr>
    </w:lvl>
  </w:abstractNum>
  <w:abstractNum w:abstractNumId="6" w15:restartNumberingAfterBreak="0">
    <w:nsid w:val="34414E90"/>
    <w:multiLevelType w:val="multilevel"/>
    <w:tmpl w:val="6C5C8106"/>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7" w15:restartNumberingAfterBreak="0">
    <w:nsid w:val="3DE41CA5"/>
    <w:multiLevelType w:val="multilevel"/>
    <w:tmpl w:val="48C4DAC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8" w15:restartNumberingAfterBreak="0">
    <w:nsid w:val="42865C03"/>
    <w:multiLevelType w:val="hybridMultilevel"/>
    <w:tmpl w:val="765E7130"/>
    <w:lvl w:ilvl="0" w:tplc="DBA4B908">
      <w:numFmt w:val="bullet"/>
      <w:lvlText w:val=""/>
      <w:lvlJc w:val="left"/>
      <w:pPr>
        <w:ind w:left="760" w:hanging="360"/>
      </w:pPr>
      <w:rPr>
        <w:rFonts w:ascii="Wingdings" w:eastAsia="맑은 고딕" w:hAnsi="Wingdings" w:cs="Arial" w:hint="default"/>
      </w:rPr>
    </w:lvl>
    <w:lvl w:ilvl="1" w:tplc="F32A4E66">
      <w:start w:val="1"/>
      <w:numFmt w:val="bullet"/>
      <w:lvlText w:val=""/>
      <w:lvlJc w:val="left"/>
      <w:pPr>
        <w:ind w:left="1200" w:hanging="400"/>
      </w:pPr>
      <w:rPr>
        <w:rFonts w:ascii="Wingdings" w:hAnsi="Wingdings" w:hint="default"/>
      </w:rPr>
    </w:lvl>
    <w:lvl w:ilvl="2" w:tplc="FB66328E">
      <w:start w:val="1"/>
      <w:numFmt w:val="bullet"/>
      <w:lvlText w:val=""/>
      <w:lvlJc w:val="left"/>
      <w:pPr>
        <w:ind w:left="1600" w:hanging="400"/>
      </w:pPr>
      <w:rPr>
        <w:rFonts w:ascii="Wingdings" w:hAnsi="Wingdings" w:hint="default"/>
      </w:rPr>
    </w:lvl>
    <w:lvl w:ilvl="3" w:tplc="EBC20896">
      <w:start w:val="1"/>
      <w:numFmt w:val="bullet"/>
      <w:lvlText w:val=""/>
      <w:lvlJc w:val="left"/>
      <w:pPr>
        <w:ind w:left="2000" w:hanging="400"/>
      </w:pPr>
      <w:rPr>
        <w:rFonts w:ascii="Wingdings" w:hAnsi="Wingdings" w:hint="default"/>
      </w:rPr>
    </w:lvl>
    <w:lvl w:ilvl="4" w:tplc="B22A9CD8">
      <w:start w:val="1"/>
      <w:numFmt w:val="bullet"/>
      <w:lvlText w:val=""/>
      <w:lvlJc w:val="left"/>
      <w:pPr>
        <w:ind w:left="2400" w:hanging="400"/>
      </w:pPr>
      <w:rPr>
        <w:rFonts w:ascii="Wingdings" w:hAnsi="Wingdings" w:hint="default"/>
      </w:rPr>
    </w:lvl>
    <w:lvl w:ilvl="5" w:tplc="83DE5804">
      <w:start w:val="1"/>
      <w:numFmt w:val="bullet"/>
      <w:lvlText w:val=""/>
      <w:lvlJc w:val="left"/>
      <w:pPr>
        <w:ind w:left="2800" w:hanging="400"/>
      </w:pPr>
      <w:rPr>
        <w:rFonts w:ascii="Wingdings" w:hAnsi="Wingdings" w:hint="default"/>
      </w:rPr>
    </w:lvl>
    <w:lvl w:ilvl="6" w:tplc="18C22B7A">
      <w:start w:val="1"/>
      <w:numFmt w:val="bullet"/>
      <w:lvlText w:val=""/>
      <w:lvlJc w:val="left"/>
      <w:pPr>
        <w:ind w:left="3200" w:hanging="400"/>
      </w:pPr>
      <w:rPr>
        <w:rFonts w:ascii="Wingdings" w:hAnsi="Wingdings" w:hint="default"/>
      </w:rPr>
    </w:lvl>
    <w:lvl w:ilvl="7" w:tplc="75D4E084">
      <w:start w:val="1"/>
      <w:numFmt w:val="bullet"/>
      <w:lvlText w:val=""/>
      <w:lvlJc w:val="left"/>
      <w:pPr>
        <w:ind w:left="3600" w:hanging="400"/>
      </w:pPr>
      <w:rPr>
        <w:rFonts w:ascii="Wingdings" w:hAnsi="Wingdings" w:hint="default"/>
      </w:rPr>
    </w:lvl>
    <w:lvl w:ilvl="8" w:tplc="BD46D5BC">
      <w:start w:val="1"/>
      <w:numFmt w:val="bullet"/>
      <w:lvlText w:val=""/>
      <w:lvlJc w:val="left"/>
      <w:pPr>
        <w:ind w:left="4000" w:hanging="400"/>
      </w:pPr>
      <w:rPr>
        <w:rFonts w:ascii="Wingdings" w:hAnsi="Wingdings" w:hint="default"/>
      </w:rPr>
    </w:lvl>
  </w:abstractNum>
  <w:abstractNum w:abstractNumId="9" w15:restartNumberingAfterBreak="0">
    <w:nsid w:val="47DF0893"/>
    <w:multiLevelType w:val="multilevel"/>
    <w:tmpl w:val="3CAC1CE2"/>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0" w15:restartNumberingAfterBreak="0">
    <w:nsid w:val="5295611D"/>
    <w:multiLevelType w:val="multilevel"/>
    <w:tmpl w:val="E188C796"/>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1" w15:restartNumberingAfterBreak="0">
    <w:nsid w:val="62E11BCC"/>
    <w:multiLevelType w:val="multilevel"/>
    <w:tmpl w:val="370AE660"/>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12" w15:restartNumberingAfterBreak="0">
    <w:nsid w:val="777B0ECE"/>
    <w:multiLevelType w:val="multilevel"/>
    <w:tmpl w:val="5BA2DDE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9"/>
  </w:num>
  <w:num w:numId="5">
    <w:abstractNumId w:val="6"/>
  </w:num>
  <w:num w:numId="6">
    <w:abstractNumId w:val="4"/>
  </w:num>
  <w:num w:numId="7">
    <w:abstractNumId w:val="5"/>
  </w:num>
  <w:num w:numId="8">
    <w:abstractNumId w:val="10"/>
  </w:num>
  <w:num w:numId="9">
    <w:abstractNumId w:val="7"/>
  </w:num>
  <w:num w:numId="10">
    <w:abstractNumId w:val="1"/>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E54A9"/>
    <w:rsid w:val="00076B55"/>
    <w:rsid w:val="00313A6D"/>
    <w:rsid w:val="003E5D72"/>
    <w:rsid w:val="00553A7F"/>
    <w:rsid w:val="00561060"/>
    <w:rsid w:val="006F5411"/>
    <w:rsid w:val="007E025A"/>
    <w:rsid w:val="00874FC8"/>
    <w:rsid w:val="008E5D18"/>
    <w:rsid w:val="00AD3ACF"/>
    <w:rsid w:val="00EE54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C27E"/>
  <w15:chartTrackingRefBased/>
  <w15:docId w15:val="{67CE6B7E-8B7A-4D9F-BE8F-9F43F151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4A9"/>
    <w:pPr>
      <w:spacing w:after="200" w:line="276" w:lineRule="auto"/>
    </w:pPr>
    <w:rPr>
      <w:rFonts w:ascii="맑은 고딕" w:eastAsia="맑은 고딕" w:hAnsi="맑은 고딕" w:cs="Times New Roman"/>
    </w:rPr>
  </w:style>
  <w:style w:type="paragraph" w:styleId="1">
    <w:name w:val="heading 1"/>
    <w:basedOn w:val="a"/>
    <w:link w:val="1Char"/>
    <w:uiPriority w:val="9"/>
    <w:qFormat/>
    <w:rsid w:val="00EE54A9"/>
    <w:pPr>
      <w:spacing w:before="100" w:beforeAutospacing="1" w:after="100" w:afterAutospacing="1" w:line="240" w:lineRule="auto"/>
      <w:jc w:val="left"/>
      <w:outlineLvl w:val="0"/>
    </w:pPr>
    <w:rPr>
      <w:rFonts w:ascii="굴림" w:eastAsia="굴림" w:hAnsi="굴림"/>
      <w:b/>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EE54A9"/>
    <w:rPr>
      <w:rFonts w:ascii="굴림" w:eastAsia="굴림" w:hAnsi="굴림" w:cs="Times New Roman"/>
      <w:b/>
      <w:kern w:val="36"/>
      <w:sz w:val="48"/>
      <w:szCs w:val="48"/>
      <w:lang w:val="x-none" w:eastAsia="x-none"/>
    </w:rPr>
  </w:style>
  <w:style w:type="character" w:styleId="a3">
    <w:name w:val="Emphasis"/>
    <w:uiPriority w:val="20"/>
    <w:qFormat/>
    <w:rsid w:val="00EE54A9"/>
    <w:rPr>
      <w:b/>
      <w:i w:val="0"/>
    </w:rPr>
  </w:style>
  <w:style w:type="character" w:customStyle="1" w:styleId="st">
    <w:name w:val="st"/>
    <w:basedOn w:val="a0"/>
    <w:rsid w:val="00EE54A9"/>
  </w:style>
  <w:style w:type="paragraph" w:styleId="a4">
    <w:name w:val="header"/>
    <w:basedOn w:val="a"/>
    <w:link w:val="Char"/>
    <w:uiPriority w:val="99"/>
    <w:rsid w:val="00EE54A9"/>
    <w:pPr>
      <w:tabs>
        <w:tab w:val="center" w:pos="4513"/>
        <w:tab w:val="right" w:pos="9026"/>
      </w:tabs>
    </w:pPr>
  </w:style>
  <w:style w:type="character" w:customStyle="1" w:styleId="Char">
    <w:name w:val="머리글 Char"/>
    <w:basedOn w:val="a0"/>
    <w:link w:val="a4"/>
    <w:uiPriority w:val="99"/>
    <w:rsid w:val="00EE54A9"/>
    <w:rPr>
      <w:rFonts w:ascii="맑은 고딕" w:eastAsia="맑은 고딕" w:hAnsi="맑은 고딕" w:cs="Times New Roman"/>
    </w:rPr>
  </w:style>
  <w:style w:type="paragraph" w:styleId="a5">
    <w:name w:val="footer"/>
    <w:basedOn w:val="a"/>
    <w:link w:val="Char0"/>
    <w:uiPriority w:val="99"/>
    <w:rsid w:val="00EE54A9"/>
    <w:pPr>
      <w:tabs>
        <w:tab w:val="center" w:pos="4513"/>
        <w:tab w:val="right" w:pos="9026"/>
      </w:tabs>
    </w:pPr>
  </w:style>
  <w:style w:type="character" w:customStyle="1" w:styleId="Char0">
    <w:name w:val="바닥글 Char"/>
    <w:basedOn w:val="a0"/>
    <w:link w:val="a5"/>
    <w:uiPriority w:val="99"/>
    <w:rsid w:val="00EE54A9"/>
    <w:rPr>
      <w:rFonts w:ascii="맑은 고딕" w:eastAsia="맑은 고딕" w:hAnsi="맑은 고딕" w:cs="Times New Roman"/>
    </w:rPr>
  </w:style>
  <w:style w:type="character" w:customStyle="1" w:styleId="st1">
    <w:name w:val="st1"/>
    <w:basedOn w:val="a0"/>
    <w:rsid w:val="00EE54A9"/>
  </w:style>
  <w:style w:type="table" w:styleId="a6">
    <w:name w:val="Table Grid"/>
    <w:basedOn w:val="a1"/>
    <w:uiPriority w:val="59"/>
    <w:rsid w:val="00EE54A9"/>
    <w:pPr>
      <w:spacing w:after="0" w:line="240" w:lineRule="auto"/>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rsid w:val="00EE54A9"/>
    <w:pPr>
      <w:spacing w:after="0" w:line="240" w:lineRule="auto"/>
    </w:pPr>
    <w:rPr>
      <w:kern w:val="0"/>
      <w:sz w:val="18"/>
      <w:szCs w:val="18"/>
      <w:lang w:val="x-none" w:eastAsia="x-none"/>
    </w:rPr>
  </w:style>
  <w:style w:type="character" w:customStyle="1" w:styleId="Char1">
    <w:name w:val="풍선 도움말 텍스트 Char"/>
    <w:link w:val="a7"/>
    <w:uiPriority w:val="99"/>
    <w:rsid w:val="00EE54A9"/>
    <w:rPr>
      <w:rFonts w:ascii="맑은 고딕" w:eastAsia="맑은 고딕" w:hAnsi="맑은 고딕" w:cs="Times New Roman"/>
      <w:kern w:val="0"/>
      <w:sz w:val="18"/>
      <w:szCs w:val="18"/>
      <w:lang w:val="x-none" w:eastAsia="x-none"/>
    </w:rPr>
  </w:style>
  <w:style w:type="character" w:customStyle="1" w:styleId="highlight">
    <w:name w:val="highlight"/>
    <w:basedOn w:val="a0"/>
    <w:rsid w:val="00EE54A9"/>
  </w:style>
  <w:style w:type="paragraph" w:styleId="a8">
    <w:name w:val="No Spacing"/>
    <w:link w:val="Char2"/>
    <w:uiPriority w:val="1"/>
    <w:qFormat/>
    <w:rsid w:val="00EE54A9"/>
    <w:pPr>
      <w:spacing w:after="0" w:line="240" w:lineRule="auto"/>
    </w:pPr>
    <w:rPr>
      <w:rFonts w:ascii="맑은 고딕" w:eastAsia="맑은 고딕" w:hAnsi="맑은 고딕" w:cs="Times New Roman"/>
    </w:rPr>
  </w:style>
  <w:style w:type="paragraph" w:styleId="a9">
    <w:name w:val="endnote text"/>
    <w:basedOn w:val="a"/>
    <w:link w:val="Char3"/>
    <w:uiPriority w:val="99"/>
    <w:rsid w:val="00EE54A9"/>
    <w:pPr>
      <w:jc w:val="left"/>
    </w:pPr>
  </w:style>
  <w:style w:type="character" w:customStyle="1" w:styleId="Char3">
    <w:name w:val="미주 텍스트 Char"/>
    <w:basedOn w:val="a0"/>
    <w:link w:val="a9"/>
    <w:uiPriority w:val="99"/>
    <w:rsid w:val="00EE54A9"/>
    <w:rPr>
      <w:rFonts w:ascii="맑은 고딕" w:eastAsia="맑은 고딕" w:hAnsi="맑은 고딕" w:cs="Times New Roman"/>
    </w:rPr>
  </w:style>
  <w:style w:type="character" w:styleId="aa">
    <w:name w:val="endnote reference"/>
    <w:uiPriority w:val="99"/>
    <w:rsid w:val="00EE54A9"/>
    <w:rPr>
      <w:vertAlign w:val="superscript"/>
    </w:rPr>
  </w:style>
  <w:style w:type="character" w:styleId="ab">
    <w:name w:val="Hyperlink"/>
    <w:uiPriority w:val="99"/>
    <w:rsid w:val="00EE54A9"/>
    <w:rPr>
      <w:color w:val="0000FF"/>
      <w:u w:val="single"/>
    </w:rPr>
  </w:style>
  <w:style w:type="character" w:customStyle="1" w:styleId="jrnl">
    <w:name w:val="jrnl"/>
    <w:basedOn w:val="a0"/>
    <w:rsid w:val="00EE54A9"/>
  </w:style>
  <w:style w:type="character" w:customStyle="1" w:styleId="label6">
    <w:name w:val="label6"/>
    <w:basedOn w:val="a0"/>
    <w:rsid w:val="00EE54A9"/>
  </w:style>
  <w:style w:type="paragraph" w:customStyle="1" w:styleId="downloadtopowerpoint2">
    <w:name w:val="downloadtopowerpoint2"/>
    <w:basedOn w:val="a"/>
    <w:rsid w:val="00EE54A9"/>
    <w:pPr>
      <w:spacing w:after="100" w:afterAutospacing="1" w:line="360" w:lineRule="atLeast"/>
      <w:jc w:val="left"/>
    </w:pPr>
    <w:rPr>
      <w:rFonts w:ascii="굴림" w:eastAsia="굴림" w:hAnsi="굴림" w:cs="굴림"/>
      <w:kern w:val="0"/>
      <w:sz w:val="24"/>
      <w:szCs w:val="24"/>
    </w:rPr>
  </w:style>
  <w:style w:type="character" w:customStyle="1" w:styleId="ttitle5">
    <w:name w:val="ttitle5"/>
    <w:rsid w:val="00EE54A9"/>
  </w:style>
  <w:style w:type="character" w:customStyle="1" w:styleId="label11">
    <w:name w:val="label11"/>
    <w:basedOn w:val="a0"/>
    <w:rsid w:val="00EE54A9"/>
  </w:style>
  <w:style w:type="paragraph" w:customStyle="1" w:styleId="desc">
    <w:name w:val="desc"/>
    <w:basedOn w:val="a"/>
    <w:rsid w:val="00EE54A9"/>
    <w:pPr>
      <w:spacing w:before="100" w:beforeAutospacing="1" w:after="100" w:afterAutospacing="1" w:line="240" w:lineRule="auto"/>
      <w:jc w:val="left"/>
    </w:pPr>
    <w:rPr>
      <w:rFonts w:ascii="굴림" w:eastAsia="굴림" w:hAnsi="굴림" w:cs="굴림"/>
      <w:kern w:val="0"/>
      <w:sz w:val="24"/>
      <w:szCs w:val="24"/>
    </w:rPr>
  </w:style>
  <w:style w:type="paragraph" w:customStyle="1" w:styleId="details">
    <w:name w:val="details"/>
    <w:basedOn w:val="a"/>
    <w:rsid w:val="00EE54A9"/>
    <w:pPr>
      <w:spacing w:before="100" w:beforeAutospacing="1" w:after="100" w:afterAutospacing="1" w:line="240" w:lineRule="auto"/>
      <w:jc w:val="left"/>
    </w:pPr>
    <w:rPr>
      <w:rFonts w:ascii="굴림" w:eastAsia="굴림" w:hAnsi="굴림" w:cs="굴림"/>
      <w:kern w:val="0"/>
      <w:sz w:val="24"/>
      <w:szCs w:val="24"/>
    </w:rPr>
  </w:style>
  <w:style w:type="paragraph" w:customStyle="1" w:styleId="10">
    <w:name w:val="제목1"/>
    <w:basedOn w:val="a"/>
    <w:rsid w:val="00EE54A9"/>
    <w:pPr>
      <w:spacing w:before="100" w:beforeAutospacing="1" w:after="100" w:afterAutospacing="1" w:line="240" w:lineRule="auto"/>
      <w:jc w:val="left"/>
    </w:pPr>
    <w:rPr>
      <w:rFonts w:ascii="굴림" w:eastAsia="굴림" w:hAnsi="굴림" w:cs="굴림"/>
      <w:kern w:val="0"/>
      <w:sz w:val="24"/>
      <w:szCs w:val="24"/>
    </w:rPr>
  </w:style>
  <w:style w:type="character" w:customStyle="1" w:styleId="Char4">
    <w:name w:val="날짜 Char"/>
    <w:basedOn w:val="a0"/>
    <w:link w:val="ac"/>
    <w:rsid w:val="00EE54A9"/>
  </w:style>
  <w:style w:type="paragraph" w:styleId="ac">
    <w:name w:val="Date"/>
    <w:basedOn w:val="a"/>
    <w:link w:val="Char4"/>
    <w:rsid w:val="00EE54A9"/>
    <w:rPr>
      <w:rFonts w:asciiTheme="minorHAnsi" w:eastAsiaTheme="minorEastAsia" w:hAnsiTheme="minorHAnsi" w:cstheme="minorBidi"/>
    </w:rPr>
  </w:style>
  <w:style w:type="character" w:customStyle="1" w:styleId="Char10">
    <w:name w:val="날짜 Char1"/>
    <w:basedOn w:val="a0"/>
    <w:uiPriority w:val="99"/>
    <w:semiHidden/>
    <w:rsid w:val="00EE54A9"/>
    <w:rPr>
      <w:rFonts w:ascii="맑은 고딕" w:eastAsia="맑은 고딕" w:hAnsi="맑은 고딕" w:cs="Times New Roman"/>
    </w:rPr>
  </w:style>
  <w:style w:type="paragraph" w:styleId="ad">
    <w:name w:val="List Paragraph"/>
    <w:basedOn w:val="a"/>
    <w:uiPriority w:val="34"/>
    <w:qFormat/>
    <w:rsid w:val="00EE54A9"/>
    <w:pPr>
      <w:ind w:leftChars="400" w:left="800"/>
    </w:pPr>
  </w:style>
  <w:style w:type="paragraph" w:customStyle="1" w:styleId="norm13">
    <w:name w:val="norm13"/>
    <w:basedOn w:val="a"/>
    <w:rsid w:val="00EE54A9"/>
    <w:pPr>
      <w:spacing w:before="240" w:after="240" w:line="240" w:lineRule="auto"/>
      <w:jc w:val="left"/>
    </w:pPr>
    <w:rPr>
      <w:rFonts w:ascii="굴림" w:eastAsia="굴림" w:hAnsi="굴림" w:cs="굴림"/>
      <w:kern w:val="0"/>
      <w:sz w:val="22"/>
    </w:rPr>
  </w:style>
  <w:style w:type="character" w:styleId="ae">
    <w:name w:val="annotation reference"/>
    <w:uiPriority w:val="99"/>
    <w:rsid w:val="00EE54A9"/>
    <w:rPr>
      <w:sz w:val="16"/>
      <w:szCs w:val="16"/>
    </w:rPr>
  </w:style>
  <w:style w:type="paragraph" w:styleId="af">
    <w:name w:val="annotation text"/>
    <w:basedOn w:val="a"/>
    <w:link w:val="Char5"/>
    <w:uiPriority w:val="99"/>
    <w:rsid w:val="00EE54A9"/>
    <w:pPr>
      <w:spacing w:line="240" w:lineRule="auto"/>
    </w:pPr>
    <w:rPr>
      <w:kern w:val="0"/>
      <w:szCs w:val="20"/>
      <w:lang w:val="x-none" w:eastAsia="x-none"/>
    </w:rPr>
  </w:style>
  <w:style w:type="character" w:customStyle="1" w:styleId="Char5">
    <w:name w:val="메모 텍스트 Char"/>
    <w:link w:val="af"/>
    <w:uiPriority w:val="99"/>
    <w:rsid w:val="00EE54A9"/>
    <w:rPr>
      <w:rFonts w:ascii="맑은 고딕" w:eastAsia="맑은 고딕" w:hAnsi="맑은 고딕" w:cs="Times New Roman"/>
      <w:kern w:val="0"/>
      <w:szCs w:val="20"/>
      <w:lang w:val="x-none" w:eastAsia="x-none"/>
    </w:rPr>
  </w:style>
  <w:style w:type="paragraph" w:styleId="af0">
    <w:name w:val="annotation subject"/>
    <w:basedOn w:val="af"/>
    <w:link w:val="Char6"/>
    <w:uiPriority w:val="99"/>
    <w:rsid w:val="00EE54A9"/>
    <w:rPr>
      <w:b/>
    </w:rPr>
  </w:style>
  <w:style w:type="character" w:customStyle="1" w:styleId="Char6">
    <w:name w:val="메모 주제 Char"/>
    <w:link w:val="af0"/>
    <w:uiPriority w:val="99"/>
    <w:rsid w:val="00EE54A9"/>
    <w:rPr>
      <w:rFonts w:ascii="맑은 고딕" w:eastAsia="맑은 고딕" w:hAnsi="맑은 고딕" w:cs="Times New Roman"/>
      <w:b/>
      <w:kern w:val="0"/>
      <w:szCs w:val="20"/>
      <w:lang w:val="x-none" w:eastAsia="x-none"/>
    </w:rPr>
  </w:style>
  <w:style w:type="character" w:customStyle="1" w:styleId="jnl-title">
    <w:name w:val="jnl-title"/>
    <w:basedOn w:val="a0"/>
    <w:rsid w:val="00EE54A9"/>
  </w:style>
  <w:style w:type="character" w:customStyle="1" w:styleId="jnl-url">
    <w:name w:val="jnl-url"/>
    <w:basedOn w:val="a0"/>
    <w:rsid w:val="00EE54A9"/>
  </w:style>
  <w:style w:type="character" w:customStyle="1" w:styleId="slug-pub-date3">
    <w:name w:val="slug-pub-date3"/>
    <w:rsid w:val="00EE54A9"/>
    <w:rPr>
      <w:b/>
    </w:rPr>
  </w:style>
  <w:style w:type="character" w:customStyle="1" w:styleId="slug-vol2">
    <w:name w:val="slug-vol2"/>
    <w:basedOn w:val="a0"/>
    <w:rsid w:val="00EE54A9"/>
  </w:style>
  <w:style w:type="character" w:customStyle="1" w:styleId="slug-pages3">
    <w:name w:val="slug-pages3"/>
    <w:rsid w:val="00EE54A9"/>
    <w:rPr>
      <w:b/>
    </w:rPr>
  </w:style>
  <w:style w:type="character" w:customStyle="1" w:styleId="slug-doi3">
    <w:name w:val="slug-doi3"/>
    <w:basedOn w:val="a0"/>
    <w:rsid w:val="00EE54A9"/>
  </w:style>
  <w:style w:type="character" w:styleId="af1">
    <w:name w:val="Strong"/>
    <w:uiPriority w:val="22"/>
    <w:qFormat/>
    <w:rsid w:val="00EE54A9"/>
    <w:rPr>
      <w:b/>
    </w:rPr>
  </w:style>
  <w:style w:type="paragraph" w:styleId="af2">
    <w:name w:val="Normal (Web)"/>
    <w:basedOn w:val="a"/>
    <w:uiPriority w:val="99"/>
    <w:rsid w:val="00EE54A9"/>
    <w:pPr>
      <w:spacing w:before="100" w:beforeAutospacing="1" w:after="100" w:afterAutospacing="1" w:line="240" w:lineRule="auto"/>
      <w:jc w:val="left"/>
    </w:pPr>
    <w:rPr>
      <w:rFonts w:ascii="굴림" w:eastAsia="굴림" w:hAnsi="굴림" w:cs="굴림"/>
      <w:kern w:val="0"/>
      <w:sz w:val="24"/>
      <w:szCs w:val="24"/>
    </w:rPr>
  </w:style>
  <w:style w:type="character" w:customStyle="1" w:styleId="highlight2">
    <w:name w:val="highlight2"/>
    <w:rsid w:val="00EE54A9"/>
  </w:style>
  <w:style w:type="paragraph" w:customStyle="1" w:styleId="21">
    <w:name w:val="중간 눈금 21"/>
    <w:uiPriority w:val="1"/>
    <w:qFormat/>
    <w:rsid w:val="00EE54A9"/>
    <w:pPr>
      <w:spacing w:after="0" w:line="240" w:lineRule="auto"/>
    </w:pPr>
    <w:rPr>
      <w:rFonts w:ascii="맑은 고딕" w:eastAsia="맑은 고딕" w:hAnsi="맑은 고딕" w:cs="Times New Roman"/>
    </w:rPr>
  </w:style>
  <w:style w:type="character" w:customStyle="1" w:styleId="apple-converted-space">
    <w:name w:val="apple-converted-space"/>
    <w:basedOn w:val="a0"/>
    <w:rsid w:val="00EE54A9"/>
  </w:style>
  <w:style w:type="paragraph" w:customStyle="1" w:styleId="af3">
    <w:name w:val="바탕글"/>
    <w:basedOn w:val="a"/>
    <w:rsid w:val="00EE54A9"/>
    <w:pPr>
      <w:shd w:val="clear" w:color="auto" w:fill="FFFFFF"/>
      <w:spacing w:after="0" w:line="384" w:lineRule="auto"/>
    </w:pPr>
    <w:rPr>
      <w:rFonts w:ascii="바탕" w:eastAsia="굴림" w:hAnsi="굴림" w:cs="굴림"/>
      <w:color w:val="000000"/>
      <w:kern w:val="0"/>
      <w:szCs w:val="20"/>
    </w:rPr>
  </w:style>
  <w:style w:type="character" w:customStyle="1" w:styleId="Char2">
    <w:name w:val="간격 없음 Char"/>
    <w:link w:val="a8"/>
    <w:uiPriority w:val="1"/>
    <w:rsid w:val="00EE54A9"/>
    <w:rPr>
      <w:rFonts w:ascii="맑은 고딕" w:eastAsia="맑은 고딕" w:hAnsi="맑은 고딕" w:cs="Times New Roman"/>
    </w:rPr>
  </w:style>
  <w:style w:type="paragraph" w:customStyle="1" w:styleId="EndNoteBibliographyTitle">
    <w:name w:val="EndNote Bibliography Title"/>
    <w:basedOn w:val="a"/>
    <w:link w:val="EndNoteBibliographyTitleChar"/>
    <w:rsid w:val="00EE54A9"/>
    <w:pPr>
      <w:spacing w:after="0"/>
      <w:jc w:val="center"/>
    </w:pPr>
    <w:rPr>
      <w:noProof/>
    </w:rPr>
  </w:style>
  <w:style w:type="character" w:customStyle="1" w:styleId="EndNoteBibliographyTitleChar">
    <w:name w:val="EndNote Bibliography Title Char"/>
    <w:basedOn w:val="Char2"/>
    <w:link w:val="EndNoteBibliographyTitle"/>
    <w:rsid w:val="00EE54A9"/>
    <w:rPr>
      <w:rFonts w:ascii="맑은 고딕" w:eastAsia="맑은 고딕" w:hAnsi="맑은 고딕" w:cs="Times New Roman"/>
      <w:noProof/>
    </w:rPr>
  </w:style>
  <w:style w:type="paragraph" w:customStyle="1" w:styleId="EndNoteBibliography">
    <w:name w:val="EndNote Bibliography"/>
    <w:basedOn w:val="a"/>
    <w:link w:val="EndNoteBibliographyChar"/>
    <w:rsid w:val="00EE54A9"/>
    <w:pPr>
      <w:spacing w:line="240" w:lineRule="auto"/>
    </w:pPr>
    <w:rPr>
      <w:noProof/>
    </w:rPr>
  </w:style>
  <w:style w:type="character" w:customStyle="1" w:styleId="EndNoteBibliographyChar">
    <w:name w:val="EndNote Bibliography Char"/>
    <w:basedOn w:val="Char2"/>
    <w:link w:val="EndNoteBibliography"/>
    <w:rsid w:val="00EE54A9"/>
    <w:rPr>
      <w:rFonts w:ascii="맑은 고딕" w:eastAsia="맑은 고딕" w:hAnsi="맑은 고딕" w:cs="Times New Roman"/>
      <w:noProof/>
    </w:rPr>
  </w:style>
  <w:style w:type="paragraph" w:styleId="af4">
    <w:name w:val="footnote text"/>
    <w:basedOn w:val="a"/>
    <w:link w:val="Char7"/>
    <w:uiPriority w:val="99"/>
    <w:semiHidden/>
    <w:unhideWhenUsed/>
    <w:rsid w:val="00EE54A9"/>
    <w:pPr>
      <w:snapToGrid w:val="0"/>
      <w:jc w:val="left"/>
    </w:pPr>
  </w:style>
  <w:style w:type="character" w:customStyle="1" w:styleId="Char7">
    <w:name w:val="각주 텍스트 Char"/>
    <w:basedOn w:val="a0"/>
    <w:link w:val="af4"/>
    <w:uiPriority w:val="99"/>
    <w:semiHidden/>
    <w:rsid w:val="00EE54A9"/>
    <w:rPr>
      <w:rFonts w:ascii="맑은 고딕" w:eastAsia="맑은 고딕" w:hAnsi="맑은 고딕" w:cs="Times New Roman"/>
    </w:rPr>
  </w:style>
  <w:style w:type="character" w:styleId="af5">
    <w:name w:val="footnote reference"/>
    <w:basedOn w:val="a0"/>
    <w:uiPriority w:val="99"/>
    <w:semiHidden/>
    <w:unhideWhenUsed/>
    <w:rsid w:val="00EE54A9"/>
    <w:rPr>
      <w:vertAlign w:val="superscript"/>
    </w:rPr>
  </w:style>
  <w:style w:type="paragraph" w:styleId="af6">
    <w:name w:val="Revision"/>
    <w:hidden/>
    <w:uiPriority w:val="99"/>
    <w:semiHidden/>
    <w:rsid w:val="00EE54A9"/>
    <w:pPr>
      <w:spacing w:after="0" w:line="240" w:lineRule="auto"/>
      <w:jc w:val="left"/>
    </w:pPr>
    <w:rPr>
      <w:rFonts w:ascii="맑은 고딕" w:eastAsia="맑은 고딕" w:hAnsi="맑은 고딕" w:cs="Times New Roman"/>
    </w:rPr>
  </w:style>
  <w:style w:type="character" w:styleId="af7">
    <w:name w:val="line number"/>
    <w:basedOn w:val="a0"/>
    <w:uiPriority w:val="99"/>
    <w:semiHidden/>
    <w:unhideWhenUsed/>
    <w:rsid w:val="00EE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4</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2019-01-23T04:18:00Z</dcterms:created>
  <dcterms:modified xsi:type="dcterms:W3CDTF">2019-01-23T12:37:00Z</dcterms:modified>
</cp:coreProperties>
</file>