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2E" w:rsidRDefault="00814580">
      <w:pPr>
        <w:pStyle w:val="BodyA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Summary of Arnaudo and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Fern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dez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Blanco, 2016.</w:t>
      </w:r>
      <w:proofErr w:type="gramEnd"/>
    </w:p>
    <w:p w:rsidR="00116D2E" w:rsidRDefault="00116D2E">
      <w:pPr>
        <w:pStyle w:val="BodyA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D2E" w:rsidRDefault="00814580">
      <w:pPr>
        <w:pStyle w:val="BodyA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Detailed material and method of Arnaudo &amp; Fernandez Blanco (2016) </w:t>
      </w:r>
    </w:p>
    <w:p w:rsidR="00116D2E" w:rsidRDefault="00814580">
      <w:pPr>
        <w:pStyle w:val="BodyA"/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variation of the </w:t>
      </w:r>
      <w:proofErr w:type="spellStart"/>
      <w:r>
        <w:rPr>
          <w:rFonts w:ascii="Times New Roman" w:hAnsi="Times New Roman"/>
          <w:sz w:val="24"/>
          <w:szCs w:val="24"/>
        </w:rPr>
        <w:t>basicranium</w:t>
      </w:r>
      <w:proofErr w:type="spellEnd"/>
      <w:r>
        <w:rPr>
          <w:rFonts w:ascii="Times New Roman" w:hAnsi="Times New Roman"/>
          <w:sz w:val="24"/>
          <w:szCs w:val="24"/>
        </w:rPr>
        <w:t xml:space="preserve"> of Ursidae was analyzed using 2D geometric mo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phometric. The authors studied the </w:t>
      </w:r>
      <w:proofErr w:type="spellStart"/>
      <w:r>
        <w:rPr>
          <w:rFonts w:ascii="Times New Roman" w:hAnsi="Times New Roman"/>
          <w:sz w:val="24"/>
          <w:szCs w:val="24"/>
        </w:rPr>
        <w:t>basicranium</w:t>
      </w:r>
      <w:proofErr w:type="spellEnd"/>
      <w:r>
        <w:rPr>
          <w:rFonts w:ascii="Times New Roman" w:hAnsi="Times New Roman"/>
          <w:sz w:val="24"/>
          <w:szCs w:val="24"/>
        </w:rPr>
        <w:t xml:space="preserve"> of adult </w:t>
      </w:r>
      <w:r>
        <w:rPr>
          <w:rFonts w:ascii="Times New Roman" w:hAnsi="Times New Roman"/>
          <w:sz w:val="24"/>
          <w:szCs w:val="24"/>
        </w:rPr>
        <w:t xml:space="preserve">specimens of </w:t>
      </w:r>
      <w:proofErr w:type="spellStart"/>
      <w:r>
        <w:rPr>
          <w:rFonts w:ascii="Times New Roman" w:hAnsi="Times New Roman"/>
          <w:sz w:val="24"/>
          <w:szCs w:val="24"/>
        </w:rPr>
        <w:t>ursids</w:t>
      </w:r>
      <w:proofErr w:type="spellEnd"/>
      <w:r>
        <w:rPr>
          <w:rFonts w:ascii="Times New Roman" w:hAnsi="Times New Roman"/>
          <w:sz w:val="24"/>
          <w:szCs w:val="24"/>
        </w:rPr>
        <w:t xml:space="preserve"> of the three subfamilies (Table S1, Supplementary material). Twenty two type I and II landmarks were established (Table S2, Supplementary material). Shape variation was analyzed using a pri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cipal component analysis and a regression of t</w:t>
      </w:r>
      <w:r>
        <w:rPr>
          <w:rFonts w:ascii="Times New Roman" w:hAnsi="Times New Roman"/>
          <w:sz w:val="24"/>
          <w:szCs w:val="24"/>
        </w:rPr>
        <w:t>he landmark coordinates against the log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rithm of centroid size. Since CS has proposed to behave in a similar way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the body size (Hood, 2000), herein it will be considered as a body size proxy.</w:t>
      </w:r>
    </w:p>
    <w:p w:rsidR="00116D2E" w:rsidRDefault="00814580">
      <w:pPr>
        <w:pStyle w:val="BodyA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1230630</wp:posOffset>
            </wp:positionH>
            <wp:positionV relativeFrom="line">
              <wp:posOffset>78105</wp:posOffset>
            </wp:positionV>
            <wp:extent cx="3103247" cy="2054862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7" cy="20548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16D2E" w:rsidRDefault="00116D2E">
      <w:pPr>
        <w:pStyle w:val="BodyA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2E" w:rsidRDefault="00116D2E">
      <w:pPr>
        <w:pStyle w:val="BodyA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2E" w:rsidRDefault="00116D2E">
      <w:pPr>
        <w:pStyle w:val="BodyA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2E" w:rsidRDefault="00116D2E">
      <w:pPr>
        <w:pStyle w:val="BodyA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2E" w:rsidRDefault="00116D2E">
      <w:pPr>
        <w:pStyle w:val="BodyA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2E" w:rsidRDefault="00116D2E">
      <w:pPr>
        <w:pStyle w:val="BodyA"/>
        <w:spacing w:after="0" w:line="240" w:lineRule="auto"/>
        <w:rPr>
          <w:rFonts w:ascii="Book Antiqua" w:eastAsia="Book Antiqua" w:hAnsi="Book Antiqua" w:cs="Book Antiqua"/>
          <w:sz w:val="16"/>
          <w:szCs w:val="16"/>
        </w:rPr>
      </w:pPr>
    </w:p>
    <w:p w:rsidR="00116D2E" w:rsidRDefault="00116D2E">
      <w:pPr>
        <w:pStyle w:val="BodyA"/>
        <w:spacing w:after="0" w:line="240" w:lineRule="auto"/>
        <w:rPr>
          <w:rFonts w:ascii="Book Antiqua" w:eastAsia="Book Antiqua" w:hAnsi="Book Antiqua" w:cs="Book Antiqua"/>
          <w:sz w:val="16"/>
          <w:szCs w:val="16"/>
        </w:rPr>
      </w:pPr>
    </w:p>
    <w:p w:rsidR="00116D2E" w:rsidRDefault="00814580">
      <w:pPr>
        <w:pStyle w:val="BodyA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Book Antiqua" w:hAnsi="Book Antiqua"/>
          <w:sz w:val="16"/>
          <w:szCs w:val="16"/>
        </w:rPr>
        <w:t xml:space="preserve">Landmark visualization used in the geometric </w:t>
      </w:r>
      <w:r>
        <w:rPr>
          <w:rFonts w:ascii="Book Antiqua" w:hAnsi="Book Antiqua"/>
          <w:sz w:val="16"/>
          <w:szCs w:val="16"/>
        </w:rPr>
        <w:t xml:space="preserve">morphometric analysis, on the </w:t>
      </w:r>
      <w:r>
        <w:rPr>
          <w:rFonts w:ascii="Book Antiqua" w:hAnsi="Book Antiqua"/>
          <w:i/>
          <w:iCs/>
          <w:sz w:val="16"/>
          <w:szCs w:val="16"/>
        </w:rPr>
        <w:t xml:space="preserve">Tremarctos ornatus </w:t>
      </w:r>
      <w:proofErr w:type="spellStart"/>
      <w:r>
        <w:rPr>
          <w:rFonts w:ascii="Book Antiqua" w:hAnsi="Book Antiqua"/>
          <w:i/>
          <w:iCs/>
          <w:sz w:val="16"/>
          <w:szCs w:val="16"/>
        </w:rPr>
        <w:t>basicranium</w:t>
      </w:r>
      <w:proofErr w:type="spellEnd"/>
      <w:r>
        <w:rPr>
          <w:rFonts w:ascii="Book Antiqua" w:hAnsi="Book Antiqua"/>
          <w:sz w:val="16"/>
          <w:szCs w:val="16"/>
        </w:rPr>
        <w:t>.</w:t>
      </w:r>
    </w:p>
    <w:p w:rsidR="00116D2E" w:rsidRDefault="00116D2E">
      <w:pPr>
        <w:pStyle w:val="BodyA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2E" w:rsidRDefault="00116D2E">
      <w:pPr>
        <w:pStyle w:val="BodyA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D2E" w:rsidRDefault="00814580">
      <w:pPr>
        <w:pStyle w:val="BodyA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for detailed definition of the 2D Landmarks used in the geometric morphometric analysis (see figure S1 in Supplemental material for the graphic location)</w:t>
      </w:r>
    </w:p>
    <w:tbl>
      <w:tblPr>
        <w:tblW w:w="88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4"/>
        <w:gridCol w:w="5228"/>
        <w:gridCol w:w="2095"/>
      </w:tblGrid>
      <w:tr w:rsidR="00116D2E">
        <w:trPr>
          <w:trHeight w:val="23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Definition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48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LM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type</w:t>
            </w:r>
            <w:proofErr w:type="spellEnd"/>
          </w:p>
        </w:tc>
      </w:tr>
      <w:tr w:rsidR="00116D2E">
        <w:trPr>
          <w:trHeight w:val="23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1 and 15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Most lateral point of the squamosal-tympanic suture.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48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Type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I</w:t>
            </w:r>
          </w:p>
        </w:tc>
      </w:tr>
      <w:tr w:rsidR="00116D2E">
        <w:trPr>
          <w:trHeight w:val="45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lastRenderedPageBreak/>
              <w:t>2 and 14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Most lateral contact between the tympanic and the mastoid process.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48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Type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I</w:t>
            </w:r>
          </w:p>
        </w:tc>
      </w:tr>
      <w:tr w:rsidR="00116D2E">
        <w:trPr>
          <w:trHeight w:val="23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3 and 13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Most external point of the mastoid process.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48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Type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II</w:t>
            </w:r>
          </w:p>
        </w:tc>
      </w:tr>
      <w:tr w:rsidR="00116D2E">
        <w:trPr>
          <w:trHeight w:val="23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4 and 11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Posterior point of the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paraoccipital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process.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48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Type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II</w:t>
            </w:r>
          </w:p>
        </w:tc>
      </w:tr>
      <w:tr w:rsidR="00116D2E">
        <w:trPr>
          <w:trHeight w:val="45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5 and 12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Most lateral point of the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paraoccipital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process- tympanic suture.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48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Type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I</w:t>
            </w:r>
          </w:p>
        </w:tc>
      </w:tr>
      <w:tr w:rsidR="00116D2E">
        <w:trPr>
          <w:trHeight w:val="23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6 and 10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Lateral point of the condyle.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48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Type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II</w:t>
            </w:r>
          </w:p>
        </w:tc>
      </w:tr>
      <w:tr w:rsidR="00116D2E">
        <w:trPr>
          <w:trHeight w:val="23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7 and 9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Posterior point of the condyle.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48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Type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II</w:t>
            </w:r>
          </w:p>
        </w:tc>
      </w:tr>
      <w:tr w:rsidR="00116D2E">
        <w:trPr>
          <w:trHeight w:val="23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Medial point of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foramen magnum.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48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Type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II</w:t>
            </w:r>
          </w:p>
        </w:tc>
      </w:tr>
      <w:tr w:rsidR="00116D2E">
        <w:trPr>
          <w:trHeight w:val="23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16 and 21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Medial edge of the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postglenoid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foramen.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48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Type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II</w:t>
            </w:r>
          </w:p>
        </w:tc>
      </w:tr>
      <w:tr w:rsidR="00116D2E">
        <w:trPr>
          <w:trHeight w:val="23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17 and 20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Contact between tympanic,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basioccipital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basiesfenoid</w:t>
            </w:r>
            <w:proofErr w:type="spell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48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Type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I</w:t>
            </w:r>
          </w:p>
        </w:tc>
      </w:tr>
      <w:tr w:rsidR="00116D2E">
        <w:trPr>
          <w:trHeight w:val="23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18 and 19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Poterior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contact between the tympanic and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basioccipital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48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Type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I</w:t>
            </w:r>
          </w:p>
        </w:tc>
      </w:tr>
      <w:tr w:rsidR="00116D2E">
        <w:trPr>
          <w:trHeight w:val="45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Contact between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basioccipital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basiesfenoid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 the mi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dle line.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D2E" w:rsidRDefault="00814580">
            <w:pPr>
              <w:pStyle w:val="BodyA"/>
              <w:spacing w:after="0" w:line="48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Type II</w:t>
            </w:r>
          </w:p>
        </w:tc>
      </w:tr>
    </w:tbl>
    <w:p w:rsidR="00116D2E" w:rsidRDefault="00116D2E">
      <w:pPr>
        <w:pStyle w:val="BodyA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116D2E" w:rsidRDefault="00116D2E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D2E" w:rsidRDefault="00116D2E">
      <w:pPr>
        <w:pStyle w:val="BodyA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2E" w:rsidRDefault="00814580">
      <w:pPr>
        <w:pStyle w:val="BodyA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Results</w:t>
      </w:r>
    </w:p>
    <w:p w:rsidR="00116D2E" w:rsidRDefault="00814580">
      <w:pPr>
        <w:pStyle w:val="BodyA"/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Along PC1 (Fig.</w:t>
      </w:r>
      <w:proofErr w:type="gramEnd"/>
      <w:r>
        <w:rPr>
          <w:rFonts w:ascii="Times New Roman" w:hAnsi="Times New Roman"/>
          <w:sz w:val="24"/>
          <w:szCs w:val="24"/>
        </w:rPr>
        <w:t xml:space="preserve"> S16)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it was observed</w:t>
      </w:r>
      <w:r>
        <w:rPr>
          <w:rFonts w:ascii="Times New Roman" w:hAnsi="Times New Roman"/>
          <w:sz w:val="24"/>
          <w:szCs w:val="24"/>
        </w:rPr>
        <w:t xml:space="preserve"> that there was</w:t>
      </w:r>
      <w:r>
        <w:rPr>
          <w:rFonts w:ascii="Times New Roman" w:hAnsi="Times New Roman"/>
          <w:sz w:val="24"/>
          <w:szCs w:val="24"/>
        </w:rPr>
        <w:t xml:space="preserve"> a clear separation of the sample into two groups. One of the groups (</w:t>
      </w:r>
      <w:proofErr w:type="spellStart"/>
      <w:r>
        <w:rPr>
          <w:rFonts w:ascii="Times New Roman" w:hAnsi="Times New Roman"/>
          <w:sz w:val="24"/>
          <w:szCs w:val="24"/>
        </w:rPr>
        <w:t>Ursinae+Tremarctinae</w:t>
      </w:r>
      <w:proofErr w:type="spellEnd"/>
      <w:r>
        <w:rPr>
          <w:rFonts w:ascii="Times New Roman" w:hAnsi="Times New Roman"/>
          <w:sz w:val="24"/>
          <w:szCs w:val="24"/>
        </w:rPr>
        <w:t>) is located in the range -0</w:t>
      </w:r>
      <w:proofErr w:type="gramStart"/>
      <w:r>
        <w:rPr>
          <w:rFonts w:ascii="Times New Roman" w:hAnsi="Times New Roman"/>
          <w:sz w:val="24"/>
          <w:szCs w:val="24"/>
        </w:rPr>
        <w:t>,15</w:t>
      </w:r>
      <w:proofErr w:type="gramEnd"/>
      <w:r>
        <w:rPr>
          <w:rFonts w:ascii="Times New Roman" w:hAnsi="Times New Roman"/>
          <w:sz w:val="24"/>
          <w:szCs w:val="24"/>
        </w:rPr>
        <w:t xml:space="preserve"> to 0,10, on the left area of the </w:t>
      </w:r>
      <w:proofErr w:type="spellStart"/>
      <w:r>
        <w:rPr>
          <w:rFonts w:ascii="Times New Roman" w:hAnsi="Times New Roman"/>
          <w:sz w:val="24"/>
          <w:szCs w:val="24"/>
        </w:rPr>
        <w:t>morphospace</w:t>
      </w:r>
      <w:proofErr w:type="spellEnd"/>
      <w:r>
        <w:rPr>
          <w:rFonts w:ascii="Times New Roman" w:hAnsi="Times New Roman"/>
          <w:sz w:val="24"/>
          <w:szCs w:val="24"/>
        </w:rPr>
        <w:t>, while the other group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Ailuropoda</w:t>
      </w:r>
      <w:proofErr w:type="spellEnd"/>
      <w:r>
        <w:rPr>
          <w:rFonts w:ascii="Times New Roman" w:hAnsi="Times New Roman"/>
          <w:sz w:val="24"/>
          <w:szCs w:val="24"/>
        </w:rPr>
        <w:t xml:space="preserve">) occupies the right area of the </w:t>
      </w:r>
      <w:proofErr w:type="spellStart"/>
      <w:r>
        <w:rPr>
          <w:rFonts w:ascii="Times New Roman" w:hAnsi="Times New Roman"/>
          <w:sz w:val="24"/>
          <w:szCs w:val="24"/>
        </w:rPr>
        <w:t>morphospace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is in</w:t>
      </w:r>
      <w:r>
        <w:rPr>
          <w:rFonts w:ascii="Times New Roman" w:hAnsi="Times New Roman"/>
          <w:sz w:val="24"/>
          <w:szCs w:val="24"/>
        </w:rPr>
        <w:t xml:space="preserve"> a range of values from 0,10 to 0,22 approximately.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Ailuropoda</w:t>
      </w:r>
      <w:proofErr w:type="spellEnd"/>
      <w:r>
        <w:rPr>
          <w:rFonts w:ascii="Times New Roman" w:hAnsi="Times New Roman"/>
          <w:sz w:val="24"/>
          <w:szCs w:val="24"/>
        </w:rPr>
        <w:t xml:space="preserve"> is the only species which occupies a clear separated position in the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phospace</w:t>
      </w:r>
      <w:proofErr w:type="spellEnd"/>
      <w:r>
        <w:rPr>
          <w:rFonts w:ascii="Times New Roman" w:hAnsi="Times New Roman"/>
          <w:sz w:val="24"/>
          <w:szCs w:val="24"/>
        </w:rPr>
        <w:t xml:space="preserve"> on PC1, with a laterally expanded and posteriorly shorter </w:t>
      </w:r>
      <w:proofErr w:type="spellStart"/>
      <w:r>
        <w:rPr>
          <w:rFonts w:ascii="Times New Roman" w:hAnsi="Times New Roman"/>
          <w:sz w:val="24"/>
          <w:szCs w:val="24"/>
        </w:rPr>
        <w:t>basicranium</w:t>
      </w:r>
      <w:proofErr w:type="spellEnd"/>
      <w:r>
        <w:rPr>
          <w:rFonts w:ascii="Times New Roman" w:hAnsi="Times New Roman"/>
          <w:sz w:val="24"/>
          <w:szCs w:val="24"/>
        </w:rPr>
        <w:t>. Regarding the other assemblage (</w:t>
      </w:r>
      <w:proofErr w:type="spellStart"/>
      <w:r>
        <w:rPr>
          <w:rFonts w:ascii="Times New Roman" w:hAnsi="Times New Roman"/>
          <w:sz w:val="24"/>
          <w:szCs w:val="24"/>
        </w:rPr>
        <w:t>Tremarcti</w:t>
      </w:r>
      <w:r>
        <w:rPr>
          <w:rFonts w:ascii="Times New Roman" w:hAnsi="Times New Roman"/>
          <w:sz w:val="24"/>
          <w:szCs w:val="24"/>
        </w:rPr>
        <w:t>nae+Ursinae</w:t>
      </w:r>
      <w:proofErr w:type="spellEnd"/>
      <w:r>
        <w:rPr>
          <w:rFonts w:ascii="Times New Roman" w:hAnsi="Times New Roman"/>
          <w:sz w:val="24"/>
          <w:szCs w:val="24"/>
        </w:rPr>
        <w:t xml:space="preserve">), even if it is observed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 xml:space="preserve">a certain overlap of specimens, there is a clear difference in the morphological space occupied by </w:t>
      </w:r>
      <w:proofErr w:type="spellStart"/>
      <w:r>
        <w:rPr>
          <w:rFonts w:ascii="Times New Roman" w:hAnsi="Times New Roman"/>
          <w:sz w:val="24"/>
          <w:szCs w:val="24"/>
        </w:rPr>
        <w:t>ursines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(range -0.15 to ~0.5) and </w:t>
      </w:r>
      <w:proofErr w:type="spellStart"/>
      <w:r>
        <w:rPr>
          <w:rFonts w:ascii="Times New Roman" w:hAnsi="Times New Roman"/>
          <w:sz w:val="24"/>
          <w:szCs w:val="24"/>
        </w:rPr>
        <w:t>tremarctines</w:t>
      </w:r>
      <w:proofErr w:type="spellEnd"/>
      <w:r>
        <w:rPr>
          <w:rFonts w:ascii="Times New Roman" w:hAnsi="Times New Roman"/>
          <w:sz w:val="24"/>
          <w:szCs w:val="24"/>
        </w:rPr>
        <w:t xml:space="preserve"> (range 0 to -0.1). This group is characterized for longer and narrow</w:t>
      </w:r>
      <w:r>
        <w:rPr>
          <w:rFonts w:ascii="Times New Roman" w:hAnsi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/>
          <w:sz w:val="24"/>
          <w:szCs w:val="24"/>
        </w:rPr>
        <w:t>basicranium</w:t>
      </w:r>
      <w:proofErr w:type="spellEnd"/>
      <w:r>
        <w:rPr>
          <w:rFonts w:ascii="Times New Roman" w:hAnsi="Times New Roman"/>
          <w:sz w:val="24"/>
          <w:szCs w:val="24"/>
        </w:rPr>
        <w:t xml:space="preserve"> (e.g., </w:t>
      </w:r>
      <w:r>
        <w:rPr>
          <w:rFonts w:ascii="Times New Roman" w:hAnsi="Times New Roman"/>
          <w:i/>
          <w:iCs/>
          <w:sz w:val="24"/>
          <w:szCs w:val="24"/>
        </w:rPr>
        <w:t xml:space="preserve">U.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maritimus</w:t>
      </w:r>
      <w:proofErr w:type="spellEnd"/>
      <w:r>
        <w:rPr>
          <w:rFonts w:ascii="Times New Roman" w:hAnsi="Times New Roman"/>
          <w:sz w:val="24"/>
          <w:szCs w:val="24"/>
        </w:rPr>
        <w:t xml:space="preserve">; PC1), but </w:t>
      </w:r>
      <w:proofErr w:type="spellStart"/>
      <w:r>
        <w:rPr>
          <w:rFonts w:ascii="Times New Roman" w:hAnsi="Times New Roman"/>
          <w:sz w:val="24"/>
          <w:szCs w:val="24"/>
        </w:rPr>
        <w:t>antero</w:t>
      </w:r>
      <w:proofErr w:type="spellEnd"/>
      <w:r>
        <w:rPr>
          <w:rFonts w:ascii="Times New Roman" w:hAnsi="Times New Roman"/>
          <w:sz w:val="24"/>
          <w:szCs w:val="24"/>
        </w:rPr>
        <w:t xml:space="preserve">-laterally expanded, with the posterior area anteriorly and laterally compressed at the upper region of the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phospace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e.g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H.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malayanus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116D2E" w:rsidRDefault="00814580">
      <w:pPr>
        <w:pStyle w:val="BodyA"/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Ursidae species in the </w:t>
      </w:r>
      <w:proofErr w:type="spellStart"/>
      <w:r>
        <w:rPr>
          <w:rFonts w:ascii="Times New Roman" w:hAnsi="Times New Roman"/>
          <w:sz w:val="24"/>
          <w:szCs w:val="24"/>
        </w:rPr>
        <w:t>morphospace</w:t>
      </w:r>
      <w:proofErr w:type="spellEnd"/>
      <w:r>
        <w:rPr>
          <w:rFonts w:ascii="Times New Roman" w:hAnsi="Times New Roman"/>
          <w:sz w:val="24"/>
          <w:szCs w:val="24"/>
        </w:rPr>
        <w:t xml:space="preserve"> (PC1- PC2 planes) shows two</w:t>
      </w:r>
      <w:r>
        <w:rPr>
          <w:rFonts w:ascii="Times New Roman" w:hAnsi="Times New Roman"/>
          <w:sz w:val="24"/>
          <w:szCs w:val="24"/>
        </w:rPr>
        <w:t xml:space="preserve"> major groups, 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verging along the PC1 axis (Fig. S16); </w:t>
      </w:r>
      <w:proofErr w:type="gramStart"/>
      <w:r>
        <w:rPr>
          <w:rFonts w:ascii="Times New Roman" w:hAnsi="Times New Roman"/>
          <w:sz w:val="24"/>
          <w:szCs w:val="24"/>
        </w:rPr>
        <w:t>individuals located towards negative values presents</w:t>
      </w:r>
      <w:proofErr w:type="gramEnd"/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basicranium</w:t>
      </w:r>
      <w:proofErr w:type="spellEnd"/>
      <w:r>
        <w:rPr>
          <w:rFonts w:ascii="Times New Roman" w:hAnsi="Times New Roman"/>
          <w:sz w:val="24"/>
          <w:szCs w:val="24"/>
        </w:rPr>
        <w:t xml:space="preserve"> more </w:t>
      </w:r>
      <w:proofErr w:type="spellStart"/>
      <w:r>
        <w:rPr>
          <w:rFonts w:ascii="Times New Roman" w:hAnsi="Times New Roman"/>
          <w:sz w:val="24"/>
          <w:szCs w:val="24"/>
        </w:rPr>
        <w:t>antero</w:t>
      </w:r>
      <w:proofErr w:type="spellEnd"/>
      <w:r>
        <w:rPr>
          <w:rFonts w:ascii="Times New Roman" w:hAnsi="Times New Roman"/>
          <w:sz w:val="24"/>
          <w:szCs w:val="24"/>
        </w:rPr>
        <w:t xml:space="preserve">-posteriorly elongated and narrower. The anterior region of the </w:t>
      </w:r>
      <w:proofErr w:type="spellStart"/>
      <w:r>
        <w:rPr>
          <w:rFonts w:ascii="Times New Roman" w:hAnsi="Times New Roman"/>
          <w:sz w:val="24"/>
          <w:szCs w:val="24"/>
        </w:rPr>
        <w:t>basicranium</w:t>
      </w:r>
      <w:proofErr w:type="spellEnd"/>
      <w:r>
        <w:rPr>
          <w:rFonts w:ascii="Times New Roman" w:hAnsi="Times New Roman"/>
          <w:sz w:val="24"/>
          <w:szCs w:val="24"/>
        </w:rPr>
        <w:t xml:space="preserve"> presents a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shape (Fig S16). Towards the </w:t>
      </w:r>
      <w:r>
        <w:rPr>
          <w:rFonts w:ascii="Times New Roman" w:hAnsi="Times New Roman"/>
          <w:sz w:val="24"/>
          <w:szCs w:val="24"/>
        </w:rPr>
        <w:t xml:space="preserve">positive values, the specimens present a </w:t>
      </w:r>
      <w:proofErr w:type="spellStart"/>
      <w:r>
        <w:rPr>
          <w:rFonts w:ascii="Times New Roman" w:hAnsi="Times New Roman"/>
          <w:sz w:val="24"/>
          <w:szCs w:val="24"/>
        </w:rPr>
        <w:t>basicranium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anteroposteriorly</w:t>
      </w:r>
      <w:proofErr w:type="spellEnd"/>
      <w:r>
        <w:rPr>
          <w:rFonts w:ascii="Times New Roman" w:hAnsi="Times New Roman"/>
          <w:sz w:val="24"/>
          <w:szCs w:val="24"/>
        </w:rPr>
        <w:t xml:space="preserve"> shorter and wider. The anterior region of the </w:t>
      </w:r>
      <w:proofErr w:type="spellStart"/>
      <w:r>
        <w:rPr>
          <w:rFonts w:ascii="Times New Roman" w:hAnsi="Times New Roman"/>
          <w:sz w:val="24"/>
          <w:szCs w:val="24"/>
        </w:rPr>
        <w:t>bas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cranium</w:t>
      </w:r>
      <w:proofErr w:type="spellEnd"/>
      <w:r>
        <w:rPr>
          <w:rFonts w:ascii="Times New Roman" w:hAnsi="Times New Roman"/>
          <w:sz w:val="24"/>
          <w:szCs w:val="24"/>
        </w:rPr>
        <w:t xml:space="preserve"> is almost straight. (Fig S16).</w:t>
      </w:r>
    </w:p>
    <w:p w:rsidR="00116D2E" w:rsidRDefault="00814580">
      <w:pPr>
        <w:pStyle w:val="BodyA"/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Along PC2, both in the negative and positive values, the </w:t>
      </w:r>
      <w:proofErr w:type="spellStart"/>
      <w:r>
        <w:rPr>
          <w:rFonts w:ascii="Times New Roman" w:hAnsi="Times New Roman"/>
          <w:sz w:val="24"/>
          <w:szCs w:val="24"/>
        </w:rPr>
        <w:t>basicranium</w:t>
      </w:r>
      <w:proofErr w:type="spellEnd"/>
      <w:r>
        <w:rPr>
          <w:rFonts w:ascii="Times New Roman" w:hAnsi="Times New Roman"/>
          <w:sz w:val="24"/>
          <w:szCs w:val="24"/>
        </w:rPr>
        <w:t xml:space="preserve"> presents a sim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lar rhomboid</w:t>
      </w:r>
      <w:r>
        <w:rPr>
          <w:rFonts w:ascii="Times New Roman" w:hAnsi="Times New Roman"/>
          <w:sz w:val="24"/>
          <w:szCs w:val="24"/>
        </w:rPr>
        <w:t xml:space="preserve">al shape, however some differences were found: toward negative values the occipital condyles are more laterally located; the anterior border of the foramen magnum is placed anteriorly; the mastoid process are </w:t>
      </w:r>
      <w:proofErr w:type="spellStart"/>
      <w:r>
        <w:rPr>
          <w:rFonts w:ascii="Times New Roman" w:hAnsi="Times New Roman"/>
          <w:sz w:val="24"/>
          <w:szCs w:val="24"/>
        </w:rPr>
        <w:t>postero</w:t>
      </w:r>
      <w:proofErr w:type="spellEnd"/>
      <w:r>
        <w:rPr>
          <w:rFonts w:ascii="Times New Roman" w:hAnsi="Times New Roman"/>
          <w:sz w:val="24"/>
          <w:szCs w:val="24"/>
        </w:rPr>
        <w:t xml:space="preserve">-lateral; and the </w:t>
      </w:r>
      <w:proofErr w:type="spellStart"/>
      <w:r>
        <w:rPr>
          <w:rFonts w:ascii="Times New Roman" w:hAnsi="Times New Roman"/>
          <w:sz w:val="24"/>
          <w:szCs w:val="24"/>
        </w:rPr>
        <w:t>paraoccipital</w:t>
      </w:r>
      <w:proofErr w:type="spellEnd"/>
      <w:r>
        <w:rPr>
          <w:rFonts w:ascii="Times New Roman" w:hAnsi="Times New Roman"/>
          <w:sz w:val="24"/>
          <w:szCs w:val="24"/>
        </w:rPr>
        <w:t xml:space="preserve"> process </w:t>
      </w:r>
      <w:r>
        <w:rPr>
          <w:rFonts w:ascii="Times New Roman" w:hAnsi="Times New Roman"/>
          <w:sz w:val="24"/>
          <w:szCs w:val="24"/>
        </w:rPr>
        <w:t xml:space="preserve">are wider than the consensus and the anterior region of the </w:t>
      </w:r>
      <w:proofErr w:type="spellStart"/>
      <w:r>
        <w:rPr>
          <w:rFonts w:ascii="Times New Roman" w:hAnsi="Times New Roman"/>
          <w:sz w:val="24"/>
          <w:szCs w:val="24"/>
        </w:rPr>
        <w:t>basicranium</w:t>
      </w:r>
      <w:proofErr w:type="spellEnd"/>
      <w:r>
        <w:rPr>
          <w:rFonts w:ascii="Times New Roman" w:hAnsi="Times New Roman"/>
          <w:sz w:val="24"/>
          <w:szCs w:val="24"/>
        </w:rPr>
        <w:t xml:space="preserve"> is narrower (Fig S16). Towards the positive values, the </w:t>
      </w:r>
      <w:proofErr w:type="spellStart"/>
      <w:r>
        <w:rPr>
          <w:rFonts w:ascii="Times New Roman" w:hAnsi="Times New Roman"/>
          <w:sz w:val="24"/>
          <w:szCs w:val="24"/>
        </w:rPr>
        <w:t>basicranium</w:t>
      </w:r>
      <w:proofErr w:type="spellEnd"/>
      <w:r>
        <w:rPr>
          <w:rFonts w:ascii="Times New Roman" w:hAnsi="Times New Roman"/>
          <w:sz w:val="24"/>
          <w:szCs w:val="24"/>
        </w:rPr>
        <w:t xml:space="preserve"> show narrower occipital condyles, as well as the </w:t>
      </w:r>
      <w:proofErr w:type="spellStart"/>
      <w:r>
        <w:rPr>
          <w:rFonts w:ascii="Times New Roman" w:hAnsi="Times New Roman"/>
          <w:sz w:val="24"/>
          <w:szCs w:val="24"/>
        </w:rPr>
        <w:t>paraoccipital</w:t>
      </w:r>
      <w:proofErr w:type="spellEnd"/>
      <w:r>
        <w:rPr>
          <w:rFonts w:ascii="Times New Roman" w:hAnsi="Times New Roman"/>
          <w:sz w:val="24"/>
          <w:szCs w:val="24"/>
        </w:rPr>
        <w:t xml:space="preserve"> process; the anterior border of the foramen magnum is</w:t>
      </w:r>
      <w:r>
        <w:rPr>
          <w:rFonts w:ascii="Times New Roman" w:hAnsi="Times New Roman"/>
          <w:sz w:val="24"/>
          <w:szCs w:val="24"/>
        </w:rPr>
        <w:t xml:space="preserve"> posteriorly located; and the mastoid process are </w:t>
      </w:r>
      <w:proofErr w:type="spellStart"/>
      <w:r>
        <w:rPr>
          <w:rFonts w:ascii="Times New Roman" w:hAnsi="Times New Roman"/>
          <w:sz w:val="24"/>
          <w:szCs w:val="24"/>
        </w:rPr>
        <w:t>antero</w:t>
      </w:r>
      <w:proofErr w:type="spellEnd"/>
      <w:r>
        <w:rPr>
          <w:rFonts w:ascii="Times New Roman" w:hAnsi="Times New Roman"/>
          <w:sz w:val="24"/>
          <w:szCs w:val="24"/>
        </w:rPr>
        <w:t xml:space="preserve">-lateral expanded, being wider than the consensus as the anterior region of </w:t>
      </w:r>
      <w:proofErr w:type="spellStart"/>
      <w:r>
        <w:rPr>
          <w:rFonts w:ascii="Times New Roman" w:hAnsi="Times New Roman"/>
          <w:sz w:val="24"/>
          <w:szCs w:val="24"/>
        </w:rPr>
        <w:t>basicranium</w:t>
      </w:r>
      <w:proofErr w:type="spellEnd"/>
      <w:r>
        <w:rPr>
          <w:rFonts w:ascii="Times New Roman" w:hAnsi="Times New Roman"/>
          <w:sz w:val="24"/>
          <w:szCs w:val="24"/>
        </w:rPr>
        <w:t xml:space="preserve"> (Fig S16). </w:t>
      </w:r>
    </w:p>
    <w:p w:rsidR="00116D2E" w:rsidRDefault="00814580">
      <w:pPr>
        <w:pStyle w:val="BodyA"/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Within the Ursinae subfamily, it was observed </w:t>
      </w:r>
      <w:r>
        <w:rPr>
          <w:rFonts w:ascii="Times New Roman" w:hAnsi="Times New Roman"/>
          <w:sz w:val="24"/>
          <w:szCs w:val="24"/>
        </w:rPr>
        <w:t>that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certain grouping; </w:t>
      </w:r>
      <w:r>
        <w:rPr>
          <w:rFonts w:ascii="Times New Roman" w:hAnsi="Times New Roman"/>
          <w:i/>
          <w:iCs/>
          <w:sz w:val="24"/>
          <w:szCs w:val="24"/>
        </w:rPr>
        <w:t xml:space="preserve">Ursus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arctos</w:t>
      </w:r>
      <w:proofErr w:type="spellEnd"/>
      <w:r>
        <w:rPr>
          <w:rFonts w:ascii="Times New Roman" w:hAnsi="Times New Roman"/>
          <w:sz w:val="24"/>
          <w:szCs w:val="24"/>
        </w:rPr>
        <w:t xml:space="preserve"> is closer to </w:t>
      </w:r>
      <w:r>
        <w:rPr>
          <w:rFonts w:ascii="Times New Roman" w:hAnsi="Times New Roman"/>
          <w:i/>
          <w:iCs/>
          <w:sz w:val="24"/>
          <w:szCs w:val="24"/>
        </w:rPr>
        <w:t xml:space="preserve">U.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maritimus</w:t>
      </w:r>
      <w:proofErr w:type="spellEnd"/>
      <w:r>
        <w:rPr>
          <w:rFonts w:ascii="Times New Roman" w:hAnsi="Times New Roman"/>
          <w:sz w:val="24"/>
          <w:szCs w:val="24"/>
        </w:rPr>
        <w:t xml:space="preserve">, disposed in a vertical strip, and </w:t>
      </w:r>
      <w:r>
        <w:rPr>
          <w:rFonts w:ascii="Times New Roman" w:hAnsi="Times New Roman"/>
          <w:i/>
          <w:iCs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ursinus</w:t>
      </w:r>
      <w:proofErr w:type="spellEnd"/>
      <w:r>
        <w:rPr>
          <w:rFonts w:ascii="Times New Roman" w:hAnsi="Times New Roman"/>
          <w:sz w:val="24"/>
          <w:szCs w:val="24"/>
        </w:rPr>
        <w:t xml:space="preserve"> is proximal to those sp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cies. On the other hand, </w:t>
      </w:r>
      <w:r>
        <w:rPr>
          <w:rFonts w:ascii="Times New Roman" w:hAnsi="Times New Roman"/>
          <w:i/>
          <w:iCs/>
          <w:sz w:val="24"/>
          <w:szCs w:val="24"/>
        </w:rPr>
        <w:t xml:space="preserve">U.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americanus</w:t>
      </w:r>
      <w:proofErr w:type="spellEnd"/>
      <w:r>
        <w:rPr>
          <w:rFonts w:ascii="Times New Roman" w:hAnsi="Times New Roman"/>
          <w:sz w:val="24"/>
          <w:szCs w:val="24"/>
        </w:rPr>
        <w:t xml:space="preserve"> specimens are located closely to those of </w:t>
      </w:r>
      <w:r>
        <w:rPr>
          <w:rFonts w:ascii="Times New Roman" w:hAnsi="Times New Roman"/>
          <w:i/>
          <w:iCs/>
          <w:sz w:val="24"/>
          <w:szCs w:val="24"/>
        </w:rPr>
        <w:t xml:space="preserve">H.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layanus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This arrangement was observed not only in the </w:t>
      </w:r>
      <w:proofErr w:type="spellStart"/>
      <w:r>
        <w:rPr>
          <w:rFonts w:ascii="Times New Roman" w:hAnsi="Times New Roman"/>
          <w:sz w:val="24"/>
          <w:szCs w:val="24"/>
        </w:rPr>
        <w:t>morphospace</w:t>
      </w:r>
      <w:proofErr w:type="spellEnd"/>
      <w:r>
        <w:rPr>
          <w:rFonts w:ascii="Times New Roman" w:hAnsi="Times New Roman"/>
          <w:sz w:val="24"/>
          <w:szCs w:val="24"/>
        </w:rPr>
        <w:t xml:space="preserve"> but also in the dot </w:t>
      </w:r>
      <w:r>
        <w:rPr>
          <w:rFonts w:ascii="Times New Roman" w:hAnsi="Times New Roman"/>
          <w:sz w:val="24"/>
          <w:szCs w:val="24"/>
        </w:rPr>
        <w:lastRenderedPageBreak/>
        <w:t>plo</w:t>
      </w:r>
      <w:r>
        <w:rPr>
          <w:rFonts w:ascii="Times New Roman" w:hAnsi="Times New Roman"/>
          <w:sz w:val="24"/>
          <w:szCs w:val="24"/>
        </w:rPr>
        <w:t xml:space="preserve">ts graphs obtained from the Orthonormal decomposition of variance, even for the PC1 and PC2. </w:t>
      </w:r>
    </w:p>
    <w:p w:rsidR="00116D2E" w:rsidRDefault="00814580">
      <w:pPr>
        <w:pStyle w:val="BodyA"/>
        <w:spacing w:after="0" w:line="480" w:lineRule="auto"/>
        <w:ind w:firstLine="540"/>
      </w:pPr>
      <w:r>
        <w:rPr>
          <w:rFonts w:ascii="Times New Roman" w:hAnsi="Times New Roman"/>
          <w:sz w:val="24"/>
          <w:szCs w:val="24"/>
        </w:rPr>
        <w:t xml:space="preserve">In relation to the PC2, Tremarctinae and </w:t>
      </w:r>
      <w:proofErr w:type="spellStart"/>
      <w:r>
        <w:rPr>
          <w:rFonts w:ascii="Times New Roman" w:hAnsi="Times New Roman"/>
          <w:sz w:val="24"/>
          <w:szCs w:val="24"/>
        </w:rPr>
        <w:t>Ailuropodinae</w:t>
      </w:r>
      <w:proofErr w:type="spellEnd"/>
      <w:r>
        <w:rPr>
          <w:rFonts w:ascii="Times New Roman" w:hAnsi="Times New Roman"/>
          <w:sz w:val="24"/>
          <w:szCs w:val="24"/>
        </w:rPr>
        <w:t xml:space="preserve"> are mainly distributed over negative values while Ursinae specimens are distributed all over the axis (Fig.</w:t>
      </w:r>
      <w:r>
        <w:rPr>
          <w:rFonts w:ascii="Times New Roman" w:hAnsi="Times New Roman"/>
          <w:sz w:val="24"/>
          <w:szCs w:val="24"/>
        </w:rPr>
        <w:t xml:space="preserve"> S16).</w:t>
      </w:r>
    </w:p>
    <w:sectPr w:rsidR="00116D2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80" w:rsidRDefault="00814580">
      <w:r>
        <w:separator/>
      </w:r>
    </w:p>
  </w:endnote>
  <w:endnote w:type="continuationSeparator" w:id="0">
    <w:p w:rsidR="00814580" w:rsidRDefault="0081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2E" w:rsidRDefault="00116D2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80" w:rsidRDefault="00814580">
      <w:r>
        <w:separator/>
      </w:r>
    </w:p>
  </w:footnote>
  <w:footnote w:type="continuationSeparator" w:id="0">
    <w:p w:rsidR="00814580" w:rsidRDefault="0081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2E" w:rsidRDefault="00116D2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6D2E"/>
    <w:rsid w:val="00116D2E"/>
    <w:rsid w:val="0075675A"/>
    <w:rsid w:val="0081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</cp:lastModifiedBy>
  <cp:revision>2</cp:revision>
  <dcterms:created xsi:type="dcterms:W3CDTF">2018-10-09T13:15:00Z</dcterms:created>
  <dcterms:modified xsi:type="dcterms:W3CDTF">2018-10-09T13:17:00Z</dcterms:modified>
</cp:coreProperties>
</file>