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7B37" w14:textId="77777777" w:rsidR="004C76BC" w:rsidRDefault="004C76BC" w:rsidP="004C76BC">
      <w:pPr>
        <w:pStyle w:val="Heading1"/>
        <w:spacing w:before="0" w:beforeAutospacing="0" w:after="0" w:afterAutospacing="0" w:line="480" w:lineRule="auto"/>
        <w:jc w:val="center"/>
        <w:rPr>
          <w:b w:val="0"/>
          <w:bCs w:val="0"/>
          <w:sz w:val="24"/>
          <w:szCs w:val="24"/>
        </w:rPr>
      </w:pPr>
      <w:r>
        <w:rPr>
          <w:sz w:val="24"/>
          <w:szCs w:val="24"/>
        </w:rPr>
        <w:t>ONLINE SUPPLEMENTARY MATERIAL FOR:</w:t>
      </w:r>
    </w:p>
    <w:p w14:paraId="711F2EC3" w14:textId="77777777" w:rsidR="00891B92" w:rsidRPr="00884877" w:rsidRDefault="00891B92" w:rsidP="00891B92">
      <w:pPr>
        <w:spacing w:line="480" w:lineRule="auto"/>
        <w:rPr>
          <w:rStyle w:val="citation"/>
          <w:caps/>
          <w:kern w:val="24"/>
        </w:rPr>
      </w:pPr>
      <w:r w:rsidRPr="00884877">
        <w:rPr>
          <w:rStyle w:val="citation"/>
          <w:caps/>
          <w:kern w:val="24"/>
        </w:rPr>
        <w:t xml:space="preserve">Revision of the Late Jurassic deep-water teleosauroid crocodylomorph </w:t>
      </w:r>
      <w:r w:rsidRPr="00884877">
        <w:rPr>
          <w:rStyle w:val="citation"/>
          <w:i/>
          <w:caps/>
          <w:kern w:val="24"/>
        </w:rPr>
        <w:t>Teleosaurus megarhinus</w:t>
      </w:r>
      <w:r w:rsidRPr="00884877">
        <w:rPr>
          <w:rStyle w:val="citation"/>
          <w:caps/>
          <w:kern w:val="24"/>
        </w:rPr>
        <w:t xml:space="preserve"> Hulke, 1871 and evidence of pelagic adaptations in Teleosauroidea</w:t>
      </w:r>
    </w:p>
    <w:p w14:paraId="5451DEB5" w14:textId="77777777" w:rsidR="00891B92" w:rsidRPr="00884877" w:rsidRDefault="00891B92" w:rsidP="00891B92">
      <w:pPr>
        <w:spacing w:line="480" w:lineRule="auto"/>
        <w:rPr>
          <w:caps/>
        </w:rPr>
      </w:pPr>
    </w:p>
    <w:p w14:paraId="63D9A6EF" w14:textId="77777777" w:rsidR="00891B92" w:rsidRPr="00884877" w:rsidRDefault="00891B92" w:rsidP="00891B92">
      <w:pPr>
        <w:spacing w:line="480" w:lineRule="auto"/>
        <w:jc w:val="center"/>
      </w:pPr>
    </w:p>
    <w:p w14:paraId="2FE60F38" w14:textId="77777777" w:rsidR="00891B92" w:rsidRPr="00884877" w:rsidRDefault="00891B92" w:rsidP="00891B92">
      <w:pPr>
        <w:spacing w:line="480" w:lineRule="auto"/>
        <w:jc w:val="center"/>
      </w:pPr>
    </w:p>
    <w:p w14:paraId="27E29C81" w14:textId="77777777" w:rsidR="00891B92" w:rsidRPr="00884877" w:rsidRDefault="00891B92" w:rsidP="00891B92">
      <w:pPr>
        <w:spacing w:line="480" w:lineRule="auto"/>
      </w:pPr>
      <w:r w:rsidRPr="00884877">
        <w:t>Davide Foffa,</w:t>
      </w:r>
      <w:r w:rsidRPr="00884877">
        <w:rPr>
          <w:vertAlign w:val="superscript"/>
        </w:rPr>
        <w:t>1, 2*</w:t>
      </w:r>
      <w:r w:rsidRPr="00884877">
        <w:t xml:space="preserve"> Michela M. Johnson,</w:t>
      </w:r>
      <w:r w:rsidRPr="00884877">
        <w:rPr>
          <w:vertAlign w:val="superscript"/>
        </w:rPr>
        <w:t>2</w:t>
      </w:r>
      <w:r w:rsidRPr="00884877">
        <w:t xml:space="preserve"> Mark T. Young,</w:t>
      </w:r>
      <w:r w:rsidRPr="00884877">
        <w:rPr>
          <w:vertAlign w:val="superscript"/>
        </w:rPr>
        <w:t>2</w:t>
      </w:r>
      <w:r w:rsidRPr="00884877">
        <w:t xml:space="preserve"> Lorna Steel,</w:t>
      </w:r>
      <w:r w:rsidRPr="00884877">
        <w:rPr>
          <w:vertAlign w:val="superscript"/>
        </w:rPr>
        <w:t>3</w:t>
      </w:r>
      <w:r w:rsidRPr="00884877">
        <w:t xml:space="preserve"> and Stephen L. Brusatte</w:t>
      </w:r>
      <w:r w:rsidRPr="00884877">
        <w:rPr>
          <w:vertAlign w:val="superscript"/>
        </w:rPr>
        <w:t>2,1</w:t>
      </w:r>
      <w:r w:rsidRPr="00884877">
        <w:t xml:space="preserve"> </w:t>
      </w:r>
    </w:p>
    <w:p w14:paraId="3B9ACD71" w14:textId="77777777" w:rsidR="00891B92" w:rsidRPr="00884877" w:rsidRDefault="00891B92" w:rsidP="00891B92">
      <w:pPr>
        <w:spacing w:line="480" w:lineRule="auto"/>
      </w:pPr>
    </w:p>
    <w:p w14:paraId="4E5EE3AB" w14:textId="77777777" w:rsidR="00E714CE" w:rsidRPr="00884877" w:rsidRDefault="00E714CE" w:rsidP="00E714CE">
      <w:pPr>
        <w:spacing w:line="480" w:lineRule="auto"/>
      </w:pPr>
      <w:bookmarkStart w:id="0" w:name="_Hlk532288913"/>
      <w:r w:rsidRPr="00884877">
        <w:rPr>
          <w:vertAlign w:val="superscript"/>
        </w:rPr>
        <w:t>1</w:t>
      </w:r>
      <w:r>
        <w:rPr>
          <w:vertAlign w:val="superscript"/>
        </w:rPr>
        <w:t xml:space="preserve"> </w:t>
      </w:r>
      <w:r>
        <w:t xml:space="preserve">Department of Natural Sciences, </w:t>
      </w:r>
      <w:r w:rsidRPr="00884877">
        <w:t>National Museum</w:t>
      </w:r>
      <w:r>
        <w:t>s</w:t>
      </w:r>
      <w:r w:rsidRPr="00884877">
        <w:t xml:space="preserve"> Scotland</w:t>
      </w:r>
      <w:r>
        <w:t>, Edinburgh, United Kingdom</w:t>
      </w:r>
    </w:p>
    <w:p w14:paraId="29510305" w14:textId="77777777" w:rsidR="00E714CE" w:rsidRPr="00884877" w:rsidRDefault="00E714CE" w:rsidP="00E714CE">
      <w:pPr>
        <w:spacing w:line="480" w:lineRule="auto"/>
      </w:pPr>
      <w:r w:rsidRPr="00884877">
        <w:rPr>
          <w:vertAlign w:val="superscript"/>
        </w:rPr>
        <w:t xml:space="preserve">2 </w:t>
      </w:r>
      <w:r w:rsidRPr="00884877">
        <w:t>School of Geosciences</w:t>
      </w:r>
      <w:r>
        <w:t>,</w:t>
      </w:r>
      <w:r w:rsidRPr="00884877">
        <w:t xml:space="preserve"> University of Edinburgh</w:t>
      </w:r>
      <w:r>
        <w:t>, Edinburgh, United Kingdom</w:t>
      </w:r>
    </w:p>
    <w:p w14:paraId="23ED9FE0" w14:textId="77777777" w:rsidR="00E714CE" w:rsidRPr="00884877" w:rsidRDefault="00E714CE" w:rsidP="00E714CE">
      <w:pPr>
        <w:spacing w:line="480" w:lineRule="auto"/>
      </w:pPr>
      <w:r w:rsidRPr="00884877">
        <w:rPr>
          <w:vertAlign w:val="superscript"/>
        </w:rPr>
        <w:t xml:space="preserve">3 </w:t>
      </w:r>
      <w:r w:rsidRPr="00884877">
        <w:t>Department of Earth Sciences, Natural History Museum</w:t>
      </w:r>
      <w:r>
        <w:t>, London, United Kingdom</w:t>
      </w:r>
    </w:p>
    <w:bookmarkEnd w:id="0"/>
    <w:p w14:paraId="130A5F57" w14:textId="554B9B24" w:rsidR="00891B92" w:rsidRPr="00884877" w:rsidRDefault="00891B92" w:rsidP="00891B92">
      <w:pPr>
        <w:spacing w:line="480" w:lineRule="auto"/>
      </w:pPr>
    </w:p>
    <w:p w14:paraId="0FF85B35" w14:textId="77777777" w:rsidR="00891B92" w:rsidRPr="00884877" w:rsidRDefault="00891B92" w:rsidP="00891B92">
      <w:pPr>
        <w:spacing w:line="480" w:lineRule="auto"/>
      </w:pPr>
    </w:p>
    <w:p w14:paraId="45CFC87C" w14:textId="77777777" w:rsidR="00891B92" w:rsidRPr="00884877" w:rsidRDefault="00891B92" w:rsidP="00891B92">
      <w:pPr>
        <w:spacing w:line="480" w:lineRule="auto"/>
      </w:pPr>
      <w:r w:rsidRPr="00884877">
        <w:rPr>
          <w:vertAlign w:val="superscript"/>
        </w:rPr>
        <w:t>*</w:t>
      </w:r>
      <w:r w:rsidRPr="00884877">
        <w:t xml:space="preserve">Corresponding author: Davide Foffa, </w:t>
      </w:r>
      <w:hyperlink r:id="rId6" w:history="1">
        <w:r w:rsidRPr="00884877">
          <w:rPr>
            <w:rStyle w:val="Hyperlink"/>
          </w:rPr>
          <w:t>davidefoffa@gmail.com</w:t>
        </w:r>
      </w:hyperlink>
      <w:r w:rsidRPr="00884877">
        <w:t xml:space="preserve">; </w:t>
      </w:r>
      <w:hyperlink r:id="rId7" w:history="1">
        <w:r w:rsidRPr="000C115D">
          <w:rPr>
            <w:rStyle w:val="Hyperlink"/>
          </w:rPr>
          <w:t>d.foffa@nms.ac.uk</w:t>
        </w:r>
      </w:hyperlink>
    </w:p>
    <w:p w14:paraId="6FE3AA32" w14:textId="77777777" w:rsidR="004C76BC" w:rsidRDefault="004C76BC" w:rsidP="004C76BC">
      <w:pPr>
        <w:spacing w:line="480" w:lineRule="auto"/>
        <w:rPr>
          <w:sz w:val="16"/>
          <w:szCs w:val="16"/>
        </w:rPr>
      </w:pPr>
    </w:p>
    <w:p w14:paraId="4C88BAD2" w14:textId="77777777" w:rsidR="00144400" w:rsidRDefault="00144400">
      <w:pPr>
        <w:spacing w:after="160" w:line="259" w:lineRule="auto"/>
      </w:pPr>
      <w:r>
        <w:br w:type="page"/>
      </w:r>
    </w:p>
    <w:p w14:paraId="4F69398B" w14:textId="54981D5E" w:rsidR="00017181" w:rsidRDefault="00017181" w:rsidP="004C76BC">
      <w:pPr>
        <w:spacing w:line="480" w:lineRule="auto"/>
      </w:pPr>
      <w:r>
        <w:lastRenderedPageBreak/>
        <w:t>S0) Phylogenetic analysis protocol</w:t>
      </w:r>
    </w:p>
    <w:p w14:paraId="0C054551" w14:textId="41C8CCE5" w:rsidR="004C76BC" w:rsidRDefault="004C76BC" w:rsidP="004C76BC">
      <w:pPr>
        <w:spacing w:line="480" w:lineRule="auto"/>
      </w:pPr>
      <w:r>
        <w:t>S1) CrocSuperMatrix Project Overview</w:t>
      </w:r>
    </w:p>
    <w:p w14:paraId="4140DF5C" w14:textId="5D6B3D3E" w:rsidR="004C76BC" w:rsidRDefault="004C76BC" w:rsidP="004C76BC">
      <w:pPr>
        <w:spacing w:line="480" w:lineRule="auto"/>
      </w:pPr>
      <w:r>
        <w:t>S2) Dataset: Hastings + Young (H+Y)</w:t>
      </w:r>
    </w:p>
    <w:p w14:paraId="70C5A955" w14:textId="77777777" w:rsidR="004C76BC" w:rsidRDefault="004C76BC" w:rsidP="004C76BC">
      <w:pPr>
        <w:spacing w:line="480" w:lineRule="auto"/>
        <w:ind w:firstLine="720"/>
        <w:rPr>
          <w:bCs/>
        </w:rPr>
      </w:pPr>
      <w:r>
        <w:t>S2.1) H+Y dataset</w:t>
      </w:r>
      <w:r>
        <w:rPr>
          <w:bCs/>
        </w:rPr>
        <w:t xml:space="preserve"> – </w:t>
      </w:r>
      <w:r>
        <w:t>general information and scoring sources of the OTUs</w:t>
      </w:r>
    </w:p>
    <w:p w14:paraId="69FE04B5" w14:textId="77777777" w:rsidR="004C76BC" w:rsidRDefault="004C76BC" w:rsidP="004C76BC">
      <w:pPr>
        <w:spacing w:line="480" w:lineRule="auto"/>
        <w:ind w:firstLine="720"/>
      </w:pPr>
      <w:r>
        <w:t xml:space="preserve">S2.2) H+Y dataset </w:t>
      </w:r>
      <w:r>
        <w:rPr>
          <w:bCs/>
        </w:rPr>
        <w:t xml:space="preserve">– </w:t>
      </w:r>
      <w:r>
        <w:t>character list</w:t>
      </w:r>
    </w:p>
    <w:p w14:paraId="6AE16A6D" w14:textId="5E4C056E" w:rsidR="004C76BC" w:rsidRDefault="004C76BC" w:rsidP="004C76BC">
      <w:pPr>
        <w:spacing w:line="480" w:lineRule="auto"/>
      </w:pPr>
      <w:bookmarkStart w:id="1" w:name="_Hlk485392949"/>
      <w:bookmarkStart w:id="2" w:name="_Hlk486938048"/>
      <w:r>
        <w:t>S</w:t>
      </w:r>
      <w:r w:rsidR="002254BF">
        <w:t>3</w:t>
      </w:r>
      <w:r>
        <w:t>) Character and OTUs breakdowns of the merged, and parent, datasets</w:t>
      </w:r>
    </w:p>
    <w:bookmarkEnd w:id="1"/>
    <w:bookmarkEnd w:id="2"/>
    <w:p w14:paraId="64BCB7CE" w14:textId="1BC5AD21" w:rsidR="004C76BC" w:rsidRDefault="004C76BC" w:rsidP="004C76BC">
      <w:pPr>
        <w:spacing w:line="480" w:lineRule="auto"/>
      </w:pPr>
      <w:r>
        <w:t>S</w:t>
      </w:r>
      <w:r w:rsidR="002254BF">
        <w:t>4</w:t>
      </w:r>
      <w:r>
        <w:t>) Supplementary References</w:t>
      </w:r>
    </w:p>
    <w:p w14:paraId="36E43C5E" w14:textId="02F5EFC2" w:rsidR="004C76BC" w:rsidRDefault="004C76BC" w:rsidP="004C76BC">
      <w:pPr>
        <w:spacing w:line="480" w:lineRule="auto"/>
      </w:pPr>
      <w:r>
        <w:t>S</w:t>
      </w:r>
      <w:r w:rsidR="002254BF">
        <w:t>5</w:t>
      </w:r>
      <w:r>
        <w:t>) List of institutional abbreviations</w:t>
      </w:r>
    </w:p>
    <w:p w14:paraId="0E61DEB2" w14:textId="5C936CF1" w:rsidR="00017181" w:rsidRDefault="00017181" w:rsidP="004C76BC">
      <w:pPr>
        <w:rPr>
          <w:b/>
          <w:sz w:val="28"/>
        </w:rPr>
      </w:pPr>
      <w:r>
        <w:rPr>
          <w:b/>
          <w:sz w:val="28"/>
        </w:rPr>
        <w:t xml:space="preserve">S0) </w:t>
      </w:r>
      <w:r w:rsidRPr="00017181">
        <w:rPr>
          <w:b/>
          <w:sz w:val="28"/>
          <w:szCs w:val="28"/>
        </w:rPr>
        <w:t>Phylogenetic analysis protocol</w:t>
      </w:r>
    </w:p>
    <w:p w14:paraId="758AAB35" w14:textId="77777777" w:rsidR="00017181" w:rsidRDefault="00017181" w:rsidP="00017181">
      <w:bookmarkStart w:id="3" w:name="_GoBack"/>
      <w:bookmarkEnd w:id="3"/>
    </w:p>
    <w:p w14:paraId="250D9E01" w14:textId="7A499FF6" w:rsidR="00017181" w:rsidRPr="00A208C9" w:rsidRDefault="00017181" w:rsidP="00017181">
      <w:r w:rsidRPr="00A208C9">
        <w:t>The dataset</w:t>
      </w:r>
      <w:r>
        <w:t xml:space="preserve"> phylogenetic dataset</w:t>
      </w:r>
      <w:r w:rsidRPr="00A208C9">
        <w:t xml:space="preserve"> was subjected to a cladistic analysis under maximum parsimony in TNT 1.5 Willi Hennig Society Edition (Goloboff et al. 2008; Goloboff and Catalano 2016), following the methodology used in Young et al. (2016). Memory settings were increased with General RAM set to 900 Mb and the maximum number of trees to be held set to 99,999. Tree space was searched first using the ‘New Technology search’ option in TNT (Sectorial Search, Ratchet, Drift, and Tree fusing) with 1000 random-addition replicates (RAS). In addition, we increased the default setting for the iterations of each method (except for Tree fusing, which was kept at 3 rounds). In the Sectorial Search we ran 1000 Drift cycles (for selections of above 75) and 1000 starts and fuse trees 1000 times (for selections below 75), as well as 1000 rounds of Consensus Sectorial Searches (CSSs) and Exclusive Sectorial Searches (XSSs). For Ratchet, the program used 1000 ratchet iterations set to stop the perturbation when 1000 substitutions were made or 99% of the swapping was reached. Lastly, in Drift, the analysis included 1000 Drift cycles were set to stop the perturbation when 1000 substitutions were made or 99% of the swapping was reached. A final round of TBR branch swapping was perfomed after the New Technology search. The collapsing rule used was 50%. </w:t>
      </w:r>
    </w:p>
    <w:p w14:paraId="679A49C9" w14:textId="77777777" w:rsidR="00017181" w:rsidRDefault="00017181" w:rsidP="004C76BC">
      <w:pPr>
        <w:rPr>
          <w:b/>
          <w:sz w:val="28"/>
        </w:rPr>
      </w:pPr>
    </w:p>
    <w:p w14:paraId="6CECB684" w14:textId="5BA90BD5" w:rsidR="004C76BC" w:rsidRDefault="004C76BC" w:rsidP="004C76BC">
      <w:pPr>
        <w:rPr>
          <w:b/>
          <w:sz w:val="28"/>
        </w:rPr>
      </w:pPr>
      <w:r>
        <w:rPr>
          <w:b/>
          <w:sz w:val="28"/>
        </w:rPr>
        <w:t>S1) CrocSuperMatrix Project Overview</w:t>
      </w:r>
    </w:p>
    <w:p w14:paraId="5022D406" w14:textId="77777777" w:rsidR="004C76BC" w:rsidRDefault="004C76BC" w:rsidP="004C76BC">
      <w:pPr>
        <w:rPr>
          <w:b/>
        </w:rPr>
      </w:pPr>
    </w:p>
    <w:p w14:paraId="3EFF0DB6" w14:textId="0C8AC142" w:rsidR="00144400" w:rsidRDefault="004C76BC" w:rsidP="00AD3830">
      <w:r>
        <w:t xml:space="preserve">Thus far two datasets have been successfully merged, those of Alexander Hastings and Mark Young (see Ristevski </w:t>
      </w:r>
      <w:r>
        <w:rPr>
          <w:i/>
        </w:rPr>
        <w:t>et al</w:t>
      </w:r>
      <w:r>
        <w:t xml:space="preserve">., 2018). This has formed the Hastings and Young dataset (referred to herein as the H+Y matrix). Currently, </w:t>
      </w:r>
      <w:r w:rsidR="00144400">
        <w:t>four</w:t>
      </w:r>
      <w:r w:rsidR="00AD3830">
        <w:t xml:space="preserve"> </w:t>
      </w:r>
      <w:r>
        <w:t>datasets are in the process of being merged</w:t>
      </w:r>
      <w:r w:rsidR="002254BF">
        <w:t>; however herein only one dataset will be used. The</w:t>
      </w:r>
      <w:r>
        <w:t xml:space="preserve"> modified version of the Andrade </w:t>
      </w:r>
      <w:r>
        <w:rPr>
          <w:i/>
        </w:rPr>
        <w:t>et al</w:t>
      </w:r>
      <w:r>
        <w:t>. (2011) dataset (herein referred to as the mA matrix)</w:t>
      </w:r>
      <w:r w:rsidR="002254BF">
        <w:t>, alongside t</w:t>
      </w:r>
      <w:r>
        <w:t>he f</w:t>
      </w:r>
      <w:r w:rsidR="002254BF">
        <w:t>irst iteration of the H+Y</w:t>
      </w:r>
      <w:r>
        <w:t xml:space="preserve"> matri</w:t>
      </w:r>
      <w:r w:rsidR="002254BF">
        <w:t xml:space="preserve">x, was first </w:t>
      </w:r>
      <w:r>
        <w:t xml:space="preserve">published in Ristevski </w:t>
      </w:r>
      <w:r>
        <w:rPr>
          <w:i/>
        </w:rPr>
        <w:t>et al</w:t>
      </w:r>
      <w:r>
        <w:t xml:space="preserve">. (2018). </w:t>
      </w:r>
    </w:p>
    <w:p w14:paraId="50ADE5E7" w14:textId="0822EF02" w:rsidR="00144400" w:rsidRDefault="00AD3830" w:rsidP="00144400">
      <w:pPr>
        <w:ind w:firstLine="720"/>
      </w:pPr>
      <w:r>
        <w:t xml:space="preserve">The third dataset, </w:t>
      </w:r>
      <w:r w:rsidR="00144400">
        <w:t xml:space="preserve">is </w:t>
      </w:r>
      <w:r w:rsidR="00FD6E73">
        <w:t>a modification of the dataset published by</w:t>
      </w:r>
      <w:r>
        <w:t xml:space="preserve"> Wilberg (2017)</w:t>
      </w:r>
      <w:r w:rsidR="0098436A">
        <w:t>,</w:t>
      </w:r>
      <w:r>
        <w:t xml:space="preserve"> </w:t>
      </w:r>
      <w:r w:rsidR="00FD6E73">
        <w:t>(</w:t>
      </w:r>
      <w:r w:rsidR="002254BF">
        <w:t>currently being worked on</w:t>
      </w:r>
      <w:r w:rsidR="00FD6E73">
        <w:t>)</w:t>
      </w:r>
      <w:r>
        <w:t>.</w:t>
      </w:r>
      <w:r w:rsidR="00FD6E73">
        <w:t xml:space="preserve"> </w:t>
      </w:r>
      <w:r w:rsidR="002254BF">
        <w:t>A</w:t>
      </w:r>
      <w:r w:rsidR="00144400">
        <w:t xml:space="preserve"> fourth dataset has also been added, the “basal crocodylomorph” or BC dataset. This is an expansion of the dataset first published by Clark </w:t>
      </w:r>
      <w:r w:rsidR="00144400" w:rsidRPr="00144400">
        <w:rPr>
          <w:i/>
        </w:rPr>
        <w:t>et al</w:t>
      </w:r>
      <w:r w:rsidR="00144400">
        <w:t xml:space="preserve">. (2000), and recently elaborated upon by Pol </w:t>
      </w:r>
      <w:r w:rsidR="00144400" w:rsidRPr="00144400">
        <w:rPr>
          <w:i/>
        </w:rPr>
        <w:t>et al</w:t>
      </w:r>
      <w:r w:rsidR="00144400">
        <w:t xml:space="preserve">. (2013) and Leardi </w:t>
      </w:r>
      <w:r w:rsidR="00144400" w:rsidRPr="00144400">
        <w:rPr>
          <w:i/>
        </w:rPr>
        <w:t>et al</w:t>
      </w:r>
      <w:r w:rsidR="00144400">
        <w:t>. (2017).</w:t>
      </w:r>
      <w:r w:rsidR="002254BF">
        <w:t xml:space="preserve"> However, using it to look into teleosauroid internal relationships is beyond the scope of this manuscript.</w:t>
      </w:r>
    </w:p>
    <w:p w14:paraId="0DC59335" w14:textId="46787407" w:rsidR="004C76BC" w:rsidRDefault="002254BF" w:rsidP="002254BF">
      <w:pPr>
        <w:ind w:firstLine="720"/>
      </w:pPr>
      <w:r>
        <w:rPr>
          <w:szCs w:val="20"/>
        </w:rPr>
        <w:lastRenderedPageBreak/>
        <w:t>Note that here we have created two new sub-sections: 1) internal neuroanatomy, sensory systems and cranial exocrine glands, and 2) craniomandibular pneumaticity.</w:t>
      </w:r>
    </w:p>
    <w:p w14:paraId="6FAD0642" w14:textId="77777777" w:rsidR="004C76BC" w:rsidRDefault="004C76BC" w:rsidP="004C76BC"/>
    <w:p w14:paraId="5BD6000B" w14:textId="4F494A5C" w:rsidR="004C76BC" w:rsidRDefault="004C76BC" w:rsidP="004C76BC">
      <w:pPr>
        <w:rPr>
          <w:color w:val="000000"/>
        </w:rPr>
      </w:pPr>
      <w:bookmarkStart w:id="4" w:name="_Hlk486863917"/>
      <w:r>
        <w:rPr>
          <w:color w:val="000000"/>
        </w:rPr>
        <w:t xml:space="preserve">The characters for both datasets have been organised into a common anatomical order, and broken down into the same </w:t>
      </w:r>
      <w:r w:rsidR="00BC6916">
        <w:rPr>
          <w:color w:val="000000"/>
        </w:rPr>
        <w:t>20</w:t>
      </w:r>
      <w:r>
        <w:rPr>
          <w:color w:val="000000"/>
        </w:rPr>
        <w:t xml:space="preserve"> sub-sections: </w:t>
      </w:r>
    </w:p>
    <w:p w14:paraId="3BCC9FC1"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skull geometry and dimensions</w:t>
      </w:r>
    </w:p>
    <w:p w14:paraId="34198F52" w14:textId="5AAA3974"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craniomandibular ornamentation</w:t>
      </w:r>
    </w:p>
    <w:p w14:paraId="609367E8" w14:textId="77777777" w:rsidR="00BC6916" w:rsidRDefault="00BC6916" w:rsidP="00BC6916">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internal neuroanatomy, sensory systems and cranial exocrine glands</w:t>
      </w:r>
    </w:p>
    <w:p w14:paraId="2A350ABB" w14:textId="4F2E0C6C" w:rsidR="00BC6916" w:rsidRDefault="00BC6916"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craniomandibular pneumaticity</w:t>
      </w:r>
    </w:p>
    <w:p w14:paraId="539C1F52"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rostral neurovascular foramina</w:t>
      </w:r>
    </w:p>
    <w:p w14:paraId="276A6129"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cranial rostrum</w:t>
      </w:r>
    </w:p>
    <w:p w14:paraId="371E299A"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skull roof</w:t>
      </w:r>
    </w:p>
    <w:p w14:paraId="1B2ECC45"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orbit and temporal region</w:t>
      </w:r>
    </w:p>
    <w:p w14:paraId="6D5F25F1"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palate and perichoanal structures</w:t>
      </w:r>
    </w:p>
    <w:p w14:paraId="763F7533" w14:textId="77777777" w:rsidR="004C76BC" w:rsidRDefault="004C76BC" w:rsidP="004C76BC">
      <w:pPr>
        <w:pStyle w:val="ListParagraph"/>
        <w:numPr>
          <w:ilvl w:val="0"/>
          <w:numId w:val="3"/>
        </w:numPr>
        <w:spacing w:after="0" w:line="240" w:lineRule="auto"/>
        <w:ind w:left="714" w:hanging="357"/>
        <w:rPr>
          <w:rFonts w:ascii="Times New Roman" w:hAnsi="Times New Roman"/>
          <w:bCs/>
          <w:sz w:val="24"/>
          <w:szCs w:val="24"/>
        </w:rPr>
      </w:pPr>
      <w:r>
        <w:rPr>
          <w:rFonts w:ascii="Times New Roman" w:hAnsi="Times New Roman"/>
          <w:color w:val="000000"/>
          <w:sz w:val="24"/>
          <w:szCs w:val="24"/>
        </w:rPr>
        <w:t>occipital</w:t>
      </w:r>
    </w:p>
    <w:p w14:paraId="7B802008" w14:textId="77777777" w:rsidR="004C76BC" w:rsidRDefault="004C76BC" w:rsidP="004C76BC">
      <w:pPr>
        <w:pStyle w:val="ListParagraph"/>
        <w:numPr>
          <w:ilvl w:val="0"/>
          <w:numId w:val="3"/>
        </w:numPr>
        <w:spacing w:after="0" w:line="240" w:lineRule="auto"/>
        <w:ind w:left="714" w:hanging="357"/>
        <w:rPr>
          <w:rFonts w:ascii="Times New Roman" w:hAnsi="Times New Roman"/>
          <w:bCs/>
          <w:sz w:val="24"/>
          <w:szCs w:val="24"/>
        </w:rPr>
      </w:pPr>
      <w:r>
        <w:rPr>
          <w:rFonts w:ascii="Times New Roman" w:hAnsi="Times New Roman"/>
          <w:color w:val="000000"/>
          <w:sz w:val="24"/>
          <w:szCs w:val="24"/>
        </w:rPr>
        <w:t>b</w:t>
      </w:r>
      <w:r>
        <w:rPr>
          <w:rFonts w:ascii="Times New Roman" w:hAnsi="Times New Roman"/>
          <w:bCs/>
          <w:sz w:val="24"/>
          <w:szCs w:val="24"/>
        </w:rPr>
        <w:t>raincase, basicranium and suspensorium</w:t>
      </w:r>
    </w:p>
    <w:p w14:paraId="7D59D281" w14:textId="77777777" w:rsidR="004C76BC" w:rsidRDefault="004C76BC" w:rsidP="004C76BC">
      <w:pPr>
        <w:pStyle w:val="ListParagraph"/>
        <w:numPr>
          <w:ilvl w:val="0"/>
          <w:numId w:val="3"/>
        </w:numPr>
        <w:spacing w:after="0" w:line="240" w:lineRule="auto"/>
        <w:ind w:left="714" w:hanging="357"/>
        <w:rPr>
          <w:rFonts w:ascii="Times New Roman" w:hAnsi="Times New Roman"/>
          <w:bCs/>
          <w:sz w:val="24"/>
          <w:szCs w:val="24"/>
        </w:rPr>
      </w:pPr>
      <w:r>
        <w:rPr>
          <w:rFonts w:ascii="Times New Roman" w:hAnsi="Times New Roman"/>
          <w:bCs/>
          <w:sz w:val="24"/>
          <w:szCs w:val="24"/>
        </w:rPr>
        <w:t>mandibular geometry</w:t>
      </w:r>
    </w:p>
    <w:p w14:paraId="79EDABF3"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mandible</w:t>
      </w:r>
    </w:p>
    <w:p w14:paraId="2DEA8AAE"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dentition and alveolar morphologies</w:t>
      </w:r>
    </w:p>
    <w:p w14:paraId="19D7035D"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axial post-cranial skeleton</w:t>
      </w:r>
    </w:p>
    <w:p w14:paraId="68A8CB91"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appendicular skeleton: pectoral girdle and forelimbs</w:t>
      </w:r>
    </w:p>
    <w:p w14:paraId="2E967024"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appendicular skeleton: pelvic girdle and hind limbs</w:t>
      </w:r>
    </w:p>
    <w:p w14:paraId="5C58CF39"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dermal ossifications: osteoderms</w:t>
      </w:r>
    </w:p>
    <w:p w14:paraId="561295BF" w14:textId="77777777"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dermal ossifications: gastralia</w:t>
      </w:r>
    </w:p>
    <w:p w14:paraId="2207AAA3" w14:textId="6FCA299D" w:rsidR="004C76BC" w:rsidRDefault="004C76BC" w:rsidP="004C76BC">
      <w:pPr>
        <w:pStyle w:val="ListParagraph"/>
        <w:numPr>
          <w:ilvl w:val="0"/>
          <w:numId w:val="3"/>
        </w:numPr>
        <w:spacing w:after="0" w:line="240" w:lineRule="auto"/>
        <w:ind w:left="714" w:hanging="357"/>
        <w:rPr>
          <w:rFonts w:ascii="Times New Roman" w:hAnsi="Times New Roman"/>
          <w:color w:val="000000"/>
          <w:sz w:val="24"/>
          <w:szCs w:val="24"/>
        </w:rPr>
      </w:pPr>
      <w:r>
        <w:rPr>
          <w:rFonts w:ascii="Times New Roman" w:hAnsi="Times New Roman"/>
          <w:color w:val="000000"/>
          <w:sz w:val="24"/>
          <w:szCs w:val="24"/>
        </w:rPr>
        <w:t>soft tissue</w:t>
      </w:r>
    </w:p>
    <w:bookmarkEnd w:id="4"/>
    <w:p w14:paraId="1B29F86C" w14:textId="77777777" w:rsidR="004C76BC" w:rsidRDefault="004C76BC" w:rsidP="004C76BC"/>
    <w:p w14:paraId="342C0C78" w14:textId="77777777" w:rsidR="004C76BC" w:rsidRDefault="004C76BC" w:rsidP="004C76BC"/>
    <w:p w14:paraId="776ECBDB" w14:textId="77777777" w:rsidR="004C76BC" w:rsidRDefault="004C76BC" w:rsidP="004C76BC">
      <w:pPr>
        <w:spacing w:line="480" w:lineRule="auto"/>
        <w:rPr>
          <w:b/>
        </w:rPr>
      </w:pPr>
    </w:p>
    <w:p w14:paraId="708F9135" w14:textId="77777777" w:rsidR="004C76BC" w:rsidRDefault="004C76BC" w:rsidP="004C76BC">
      <w:pPr>
        <w:spacing w:line="480" w:lineRule="auto"/>
        <w:rPr>
          <w:b/>
          <w:i/>
        </w:rPr>
      </w:pPr>
      <w:r>
        <w:rPr>
          <w:b/>
          <w:i/>
        </w:rPr>
        <w:br w:type="page"/>
      </w:r>
    </w:p>
    <w:p w14:paraId="140E0371" w14:textId="77777777" w:rsidR="004C76BC" w:rsidRDefault="004C76BC" w:rsidP="004C76BC">
      <w:pPr>
        <w:rPr>
          <w:b/>
          <w:sz w:val="28"/>
        </w:rPr>
      </w:pPr>
      <w:r>
        <w:rPr>
          <w:b/>
          <w:sz w:val="28"/>
        </w:rPr>
        <w:lastRenderedPageBreak/>
        <w:t>S2) Dataset one: Hastings + Young (H+Y)</w:t>
      </w:r>
    </w:p>
    <w:p w14:paraId="78A6C523" w14:textId="77777777" w:rsidR="004C76BC" w:rsidRDefault="004C76BC" w:rsidP="004C76BC">
      <w:pPr>
        <w:autoSpaceDE w:val="0"/>
        <w:autoSpaceDN w:val="0"/>
        <w:adjustRightInd w:val="0"/>
        <w:rPr>
          <w:b/>
          <w:i/>
          <w:sz w:val="28"/>
        </w:rPr>
      </w:pPr>
      <w:r>
        <w:rPr>
          <w:b/>
          <w:bCs/>
          <w:i/>
          <w:color w:val="000000"/>
          <w:sz w:val="28"/>
        </w:rPr>
        <w:t xml:space="preserve">     S2.1) H+Y dataset – general information and scoring</w:t>
      </w:r>
      <w:r>
        <w:rPr>
          <w:b/>
          <w:i/>
          <w:sz w:val="28"/>
        </w:rPr>
        <w:t xml:space="preserve"> sources of the OTUs</w:t>
      </w:r>
    </w:p>
    <w:p w14:paraId="30E5CDAC" w14:textId="77777777" w:rsidR="004C76BC" w:rsidRDefault="004C76BC" w:rsidP="004C76BC">
      <w:pPr>
        <w:autoSpaceDE w:val="0"/>
        <w:autoSpaceDN w:val="0"/>
        <w:adjustRightInd w:val="0"/>
        <w:rPr>
          <w:color w:val="000000"/>
        </w:rPr>
      </w:pPr>
    </w:p>
    <w:p w14:paraId="7B0FFFFF" w14:textId="77777777" w:rsidR="004C76BC" w:rsidRDefault="004C76BC" w:rsidP="004C76BC">
      <w:pPr>
        <w:autoSpaceDE w:val="0"/>
        <w:autoSpaceDN w:val="0"/>
        <w:adjustRightInd w:val="0"/>
      </w:pPr>
      <w:r>
        <w:rPr>
          <w:color w:val="000000"/>
        </w:rPr>
        <w:t xml:space="preserve">The present list includes information for each operational taxonomic unit (OTU) included in the matrix. Fragmentary taxa (i.e. ones that are highly incomplete) are mentioned as: </w:t>
      </w:r>
      <w:bookmarkStart w:id="5" w:name="_Hlk479760804"/>
      <w:r>
        <w:rPr>
          <w:color w:val="000000"/>
        </w:rPr>
        <w:t>[fragmentary taxon]</w:t>
      </w:r>
      <w:bookmarkEnd w:id="5"/>
      <w:r>
        <w:rPr>
          <w:color w:val="000000"/>
        </w:rPr>
        <w:t>.</w:t>
      </w:r>
    </w:p>
    <w:p w14:paraId="2FDCC28A" w14:textId="77777777" w:rsidR="004C76BC" w:rsidRDefault="004C76BC" w:rsidP="004C76BC">
      <w:pPr>
        <w:rPr>
          <w:caps/>
          <w:color w:val="000000"/>
        </w:rPr>
      </w:pPr>
    </w:p>
    <w:p w14:paraId="431FE6FF" w14:textId="77777777" w:rsidR="004C76BC" w:rsidRDefault="004C76BC" w:rsidP="004C76BC">
      <w:pPr>
        <w:rPr>
          <w:b/>
          <w:caps/>
          <w:color w:val="000000"/>
        </w:rPr>
      </w:pPr>
      <w:r>
        <w:rPr>
          <w:b/>
          <w:caps/>
          <w:color w:val="000000"/>
        </w:rPr>
        <w:t>Outgroup taxon</w:t>
      </w:r>
    </w:p>
    <w:p w14:paraId="39EDADB0" w14:textId="77777777" w:rsidR="004C76BC" w:rsidRDefault="004C76BC" w:rsidP="004C76BC">
      <w:pPr>
        <w:rPr>
          <w:caps/>
          <w:color w:val="000000"/>
          <w:u w:val="single"/>
        </w:rPr>
      </w:pPr>
      <w:r>
        <w:rPr>
          <w:caps/>
          <w:color w:val="000000"/>
          <w:u w:val="single"/>
        </w:rPr>
        <w:t xml:space="preserve">Rauisuchidae (1 </w:t>
      </w:r>
      <w:r>
        <w:rPr>
          <w:color w:val="000000"/>
          <w:u w:val="single"/>
        </w:rPr>
        <w:t>OTU</w:t>
      </w:r>
      <w:r>
        <w:rPr>
          <w:caps/>
          <w:color w:val="000000"/>
          <w:u w:val="single"/>
        </w:rPr>
        <w:t>)</w:t>
      </w:r>
    </w:p>
    <w:p w14:paraId="6E2D05BD" w14:textId="77777777" w:rsidR="004C76BC" w:rsidRDefault="004C76BC" w:rsidP="004C76BC">
      <w:pPr>
        <w:widowControl w:val="0"/>
        <w:autoSpaceDE w:val="0"/>
        <w:autoSpaceDN w:val="0"/>
        <w:adjustRightInd w:val="0"/>
      </w:pPr>
      <w:r>
        <w:rPr>
          <w:color w:val="000000"/>
        </w:rPr>
        <w:t xml:space="preserve">(1) </w:t>
      </w:r>
      <w:r>
        <w:rPr>
          <w:i/>
          <w:color w:val="000000"/>
        </w:rPr>
        <w:t xml:space="preserve">Postosuchus kirkpatricki </w:t>
      </w:r>
      <w:r>
        <w:rPr>
          <w:color w:val="000000"/>
        </w:rPr>
        <w:t>Chatterjee, 1985</w:t>
      </w:r>
    </w:p>
    <w:p w14:paraId="50420478"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Nesbitt (2011), Weinbaum (2011), Weinbaum (2013)</w:t>
      </w:r>
      <w:r>
        <w:rPr>
          <w:color w:val="000000"/>
        </w:rPr>
        <w:t xml:space="preserve">. </w:t>
      </w:r>
    </w:p>
    <w:p w14:paraId="0FB23D26" w14:textId="77777777" w:rsidR="004C76BC" w:rsidRDefault="004C76BC" w:rsidP="004C76BC">
      <w:pPr>
        <w:autoSpaceDE w:val="0"/>
        <w:autoSpaceDN w:val="0"/>
        <w:adjustRightInd w:val="0"/>
        <w:ind w:left="357"/>
        <w:rPr>
          <w:color w:val="000000"/>
        </w:rPr>
      </w:pPr>
      <w:r>
        <w:rPr>
          <w:smallCaps/>
          <w:color w:val="000000"/>
        </w:rPr>
        <w:t>Locality</w:t>
      </w:r>
      <w:r>
        <w:rPr>
          <w:color w:val="000000"/>
        </w:rPr>
        <w:t>: Post (=Miller) Quarry, Texas, USA.</w:t>
      </w:r>
    </w:p>
    <w:p w14:paraId="43E08E35" w14:textId="77777777" w:rsidR="004C76BC" w:rsidRDefault="004C76BC" w:rsidP="004C76BC">
      <w:pPr>
        <w:autoSpaceDE w:val="0"/>
        <w:autoSpaceDN w:val="0"/>
        <w:adjustRightInd w:val="0"/>
        <w:ind w:left="357"/>
        <w:rPr>
          <w:color w:val="000000"/>
        </w:rPr>
      </w:pPr>
      <w:r>
        <w:rPr>
          <w:smallCaps/>
          <w:color w:val="000000"/>
        </w:rPr>
        <w:t>Formation</w:t>
      </w:r>
      <w:r>
        <w:rPr>
          <w:color w:val="000000"/>
        </w:rPr>
        <w:t>: Cooper Canyon Formation, Dockum Group.</w:t>
      </w:r>
    </w:p>
    <w:p w14:paraId="18BC51F6" w14:textId="77777777" w:rsidR="004C76BC" w:rsidRDefault="004C76BC" w:rsidP="004C76BC">
      <w:pPr>
        <w:autoSpaceDE w:val="0"/>
        <w:autoSpaceDN w:val="0"/>
        <w:adjustRightInd w:val="0"/>
        <w:ind w:left="357"/>
        <w:rPr>
          <w:i/>
          <w:iCs/>
          <w:color w:val="000000"/>
        </w:rPr>
      </w:pPr>
      <w:r>
        <w:rPr>
          <w:smallCaps/>
          <w:color w:val="000000"/>
        </w:rPr>
        <w:t>Age</w:t>
      </w:r>
      <w:r>
        <w:rPr>
          <w:color w:val="000000"/>
        </w:rPr>
        <w:t>: Norian, Late Triassic.</w:t>
      </w:r>
    </w:p>
    <w:p w14:paraId="0BA10185" w14:textId="77777777" w:rsidR="004C76BC" w:rsidRDefault="004C76BC" w:rsidP="004C76BC">
      <w:pPr>
        <w:rPr>
          <w:color w:val="000000"/>
        </w:rPr>
      </w:pPr>
    </w:p>
    <w:p w14:paraId="3AC3F2CE" w14:textId="77777777" w:rsidR="004C76BC" w:rsidRDefault="004C76BC" w:rsidP="004C76BC">
      <w:pPr>
        <w:rPr>
          <w:b/>
          <w:caps/>
          <w:color w:val="000000"/>
        </w:rPr>
      </w:pPr>
      <w:r>
        <w:rPr>
          <w:b/>
          <w:caps/>
          <w:color w:val="000000"/>
        </w:rPr>
        <w:t>Ingroup taxa</w:t>
      </w:r>
    </w:p>
    <w:p w14:paraId="0A46981D" w14:textId="77777777" w:rsidR="004C76BC" w:rsidRDefault="004C76BC" w:rsidP="004C76BC">
      <w:pPr>
        <w:rPr>
          <w:caps/>
          <w:color w:val="000000"/>
          <w:u w:val="single"/>
        </w:rPr>
      </w:pPr>
      <w:r>
        <w:rPr>
          <w:bCs/>
          <w:caps/>
          <w:u w:val="single"/>
        </w:rPr>
        <w:t xml:space="preserve">Basal Crocodylomorphs (= ‘sphenosuchians’ </w:t>
      </w:r>
      <w:r>
        <w:rPr>
          <w:i/>
          <w:caps/>
          <w:color w:val="000000"/>
          <w:u w:val="single"/>
        </w:rPr>
        <w:t>sensu lato</w:t>
      </w:r>
      <w:r>
        <w:rPr>
          <w:caps/>
          <w:color w:val="000000"/>
          <w:u w:val="single"/>
        </w:rPr>
        <w:t xml:space="preserve">) (5 </w:t>
      </w:r>
      <w:r>
        <w:rPr>
          <w:color w:val="000000"/>
          <w:u w:val="single"/>
        </w:rPr>
        <w:t>OTUs</w:t>
      </w:r>
      <w:r>
        <w:rPr>
          <w:caps/>
          <w:color w:val="000000"/>
          <w:u w:val="single"/>
        </w:rPr>
        <w:t>)</w:t>
      </w:r>
    </w:p>
    <w:p w14:paraId="51464AC1" w14:textId="77777777" w:rsidR="004C76BC" w:rsidRDefault="004C76BC" w:rsidP="004C76BC">
      <w:pPr>
        <w:widowControl w:val="0"/>
        <w:autoSpaceDE w:val="0"/>
        <w:autoSpaceDN w:val="0"/>
        <w:adjustRightInd w:val="0"/>
      </w:pPr>
      <w:r>
        <w:rPr>
          <w:iCs/>
        </w:rPr>
        <w:t xml:space="preserve">(2) </w:t>
      </w:r>
      <w:r>
        <w:rPr>
          <w:i/>
          <w:iCs/>
        </w:rPr>
        <w:t>Dromicosuchus grallator</w:t>
      </w:r>
      <w:r>
        <w:t xml:space="preserve"> Sues </w:t>
      </w:r>
      <w:r>
        <w:rPr>
          <w:i/>
          <w:iCs/>
        </w:rPr>
        <w:t>et al</w:t>
      </w:r>
      <w:r>
        <w:t>., 2003</w:t>
      </w:r>
    </w:p>
    <w:p w14:paraId="10AEAD20"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Sues </w:t>
      </w:r>
      <w:r>
        <w:rPr>
          <w:i/>
          <w:iCs/>
        </w:rPr>
        <w:t>et al</w:t>
      </w:r>
      <w:r>
        <w:t>. (2003), Nesbitt (2011).</w:t>
      </w:r>
    </w:p>
    <w:p w14:paraId="18346464" w14:textId="77777777" w:rsidR="004C76BC" w:rsidRDefault="004C76BC" w:rsidP="004C76BC">
      <w:pPr>
        <w:autoSpaceDE w:val="0"/>
        <w:autoSpaceDN w:val="0"/>
        <w:adjustRightInd w:val="0"/>
        <w:ind w:left="357"/>
        <w:rPr>
          <w:color w:val="000000"/>
        </w:rPr>
      </w:pPr>
      <w:r>
        <w:rPr>
          <w:smallCaps/>
          <w:color w:val="000000"/>
        </w:rPr>
        <w:t>Locality</w:t>
      </w:r>
      <w:r>
        <w:rPr>
          <w:color w:val="000000"/>
        </w:rPr>
        <w:t>: West Genlee, Durham County, North Carolina, USA.</w:t>
      </w:r>
    </w:p>
    <w:p w14:paraId="2CFC19E9" w14:textId="77777777" w:rsidR="004C76BC" w:rsidRDefault="004C76BC" w:rsidP="004C76BC">
      <w:pPr>
        <w:autoSpaceDE w:val="0"/>
        <w:autoSpaceDN w:val="0"/>
        <w:adjustRightInd w:val="0"/>
        <w:ind w:left="357"/>
        <w:rPr>
          <w:color w:val="000000"/>
        </w:rPr>
      </w:pPr>
      <w:r>
        <w:rPr>
          <w:smallCaps/>
          <w:color w:val="000000"/>
        </w:rPr>
        <w:t>Formation</w:t>
      </w:r>
      <w:r>
        <w:rPr>
          <w:color w:val="000000"/>
        </w:rPr>
        <w:t>: Mudstone of Lithofacies Association II, Newark Super-Group. South-central region of Durham sub-basin of Deep River Basin.</w:t>
      </w:r>
    </w:p>
    <w:p w14:paraId="5E7AC15B"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Carnian or lower Norian, Late Triassic.</w:t>
      </w:r>
    </w:p>
    <w:p w14:paraId="2658A55D" w14:textId="77777777" w:rsidR="004C76BC" w:rsidRDefault="004C76BC" w:rsidP="004C76BC">
      <w:pPr>
        <w:widowControl w:val="0"/>
        <w:autoSpaceDE w:val="0"/>
        <w:autoSpaceDN w:val="0"/>
        <w:adjustRightInd w:val="0"/>
      </w:pPr>
    </w:p>
    <w:p w14:paraId="31CCAA71" w14:textId="77777777" w:rsidR="004C76BC" w:rsidRDefault="004C76BC" w:rsidP="004C76BC">
      <w:pPr>
        <w:widowControl w:val="0"/>
        <w:autoSpaceDE w:val="0"/>
        <w:autoSpaceDN w:val="0"/>
        <w:adjustRightInd w:val="0"/>
        <w:rPr>
          <w:i/>
          <w:color w:val="000000"/>
        </w:rPr>
      </w:pPr>
      <w:r>
        <w:rPr>
          <w:color w:val="000000"/>
        </w:rPr>
        <w:t xml:space="preserve">(3) </w:t>
      </w:r>
      <w:r>
        <w:rPr>
          <w:i/>
          <w:color w:val="000000"/>
        </w:rPr>
        <w:t xml:space="preserve">Hesperosuchus </w:t>
      </w:r>
      <w:r>
        <w:rPr>
          <w:color w:val="000000"/>
        </w:rPr>
        <w:t xml:space="preserve">cf. </w:t>
      </w:r>
      <w:r>
        <w:rPr>
          <w:i/>
          <w:color w:val="000000"/>
        </w:rPr>
        <w:t>agilis</w:t>
      </w:r>
    </w:p>
    <w:p w14:paraId="13B379BC"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CM 29894; Clark </w:t>
      </w:r>
      <w:r>
        <w:rPr>
          <w:i/>
        </w:rPr>
        <w:t>et al</w:t>
      </w:r>
      <w:r>
        <w:t>. (2000), Nesbitt (2011).</w:t>
      </w:r>
    </w:p>
    <w:p w14:paraId="6751DC1D"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rPr>
          <w:i/>
          <w:color w:val="000000"/>
        </w:rPr>
        <w:t>Coelophysis</w:t>
      </w:r>
      <w:r>
        <w:rPr>
          <w:color w:val="000000"/>
        </w:rPr>
        <w:t xml:space="preserve"> Quarry, Ghost Ranch, northern New Mexico, USA.</w:t>
      </w:r>
    </w:p>
    <w:p w14:paraId="4A7634ED" w14:textId="77777777" w:rsidR="004C76BC" w:rsidRDefault="004C76BC" w:rsidP="004C76BC">
      <w:pPr>
        <w:autoSpaceDE w:val="0"/>
        <w:autoSpaceDN w:val="0"/>
        <w:adjustRightInd w:val="0"/>
        <w:ind w:left="357"/>
        <w:rPr>
          <w:color w:val="000000"/>
        </w:rPr>
      </w:pPr>
      <w:r>
        <w:rPr>
          <w:smallCaps/>
          <w:color w:val="000000"/>
        </w:rPr>
        <w:t>Formation</w:t>
      </w:r>
      <w:r>
        <w:rPr>
          <w:color w:val="000000"/>
        </w:rPr>
        <w:t>: “siltstone member”, Chinle Formation.</w:t>
      </w:r>
    </w:p>
    <w:p w14:paraId="33D9539F"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Norian</w:t>
      </w:r>
      <w:r>
        <w:rPr>
          <w:i/>
          <w:color w:val="000000"/>
        </w:rPr>
        <w:t>–</w:t>
      </w:r>
      <w:r>
        <w:rPr>
          <w:color w:val="000000"/>
        </w:rPr>
        <w:t>?Rhaetian, Late Triassic.</w:t>
      </w:r>
    </w:p>
    <w:p w14:paraId="3369C757" w14:textId="77777777" w:rsidR="004C76BC" w:rsidRDefault="004C76BC" w:rsidP="004C76BC">
      <w:pPr>
        <w:autoSpaceDE w:val="0"/>
        <w:autoSpaceDN w:val="0"/>
        <w:adjustRightInd w:val="0"/>
        <w:ind w:left="357"/>
        <w:rPr>
          <w:i/>
          <w:iCs/>
          <w:color w:val="000000"/>
        </w:rPr>
      </w:pPr>
    </w:p>
    <w:p w14:paraId="7C112081" w14:textId="77777777" w:rsidR="004C76BC" w:rsidRDefault="004C76BC" w:rsidP="004C76BC">
      <w:pPr>
        <w:pStyle w:val="Default"/>
      </w:pPr>
      <w:r>
        <w:rPr>
          <w:iCs/>
        </w:rPr>
        <w:t xml:space="preserve">(4) </w:t>
      </w:r>
      <w:r>
        <w:rPr>
          <w:i/>
          <w:iCs/>
        </w:rPr>
        <w:t xml:space="preserve">Terrestrisuchus gracilis </w:t>
      </w:r>
      <w:r>
        <w:t>Crush, 1984</w:t>
      </w:r>
    </w:p>
    <w:p w14:paraId="3818F524"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Crush (1984), Nesbitt (2011).</w:t>
      </w:r>
    </w:p>
    <w:p w14:paraId="30813EB8" w14:textId="77777777" w:rsidR="004C76BC" w:rsidRDefault="004C76BC" w:rsidP="004C76BC">
      <w:pPr>
        <w:autoSpaceDE w:val="0"/>
        <w:autoSpaceDN w:val="0"/>
        <w:adjustRightInd w:val="0"/>
        <w:ind w:left="357"/>
        <w:rPr>
          <w:color w:val="000000"/>
        </w:rPr>
      </w:pPr>
      <w:r>
        <w:rPr>
          <w:smallCaps/>
          <w:color w:val="000000"/>
        </w:rPr>
        <w:t>Locality</w:t>
      </w:r>
      <w:r>
        <w:rPr>
          <w:color w:val="000000"/>
        </w:rPr>
        <w:t>: Pant-y-ffynon Quarry, Cowbridge, Glamorgan, Wales, UK.</w:t>
      </w:r>
    </w:p>
    <w:p w14:paraId="694FEE1C" w14:textId="77777777" w:rsidR="004C76BC" w:rsidRDefault="004C76BC" w:rsidP="004C76BC">
      <w:pPr>
        <w:autoSpaceDE w:val="0"/>
        <w:autoSpaceDN w:val="0"/>
        <w:adjustRightInd w:val="0"/>
        <w:ind w:left="357"/>
        <w:rPr>
          <w:color w:val="000000"/>
        </w:rPr>
      </w:pPr>
      <w:r>
        <w:rPr>
          <w:smallCaps/>
          <w:color w:val="000000"/>
        </w:rPr>
        <w:t>Formation</w:t>
      </w:r>
      <w:r>
        <w:rPr>
          <w:color w:val="000000"/>
        </w:rPr>
        <w:t>: fissure fills in Carboniferous limestone.</w:t>
      </w:r>
    </w:p>
    <w:p w14:paraId="3A6E9D23" w14:textId="77777777" w:rsidR="004C76BC" w:rsidRDefault="004C76BC" w:rsidP="004C76BC">
      <w:pPr>
        <w:autoSpaceDE w:val="0"/>
        <w:autoSpaceDN w:val="0"/>
        <w:adjustRightInd w:val="0"/>
        <w:ind w:left="357"/>
        <w:rPr>
          <w:i/>
          <w:iCs/>
          <w:color w:val="000000"/>
        </w:rPr>
      </w:pPr>
      <w:r>
        <w:rPr>
          <w:smallCaps/>
          <w:color w:val="000000"/>
        </w:rPr>
        <w:t>Age</w:t>
      </w:r>
      <w:r>
        <w:rPr>
          <w:color w:val="000000"/>
        </w:rPr>
        <w:t>: ?Rhaetian, Late Triassic.</w:t>
      </w:r>
    </w:p>
    <w:p w14:paraId="408F0FF2" w14:textId="77777777" w:rsidR="004C76BC" w:rsidRDefault="004C76BC" w:rsidP="004C76BC">
      <w:pPr>
        <w:pStyle w:val="Default"/>
      </w:pPr>
    </w:p>
    <w:p w14:paraId="4B6394A6" w14:textId="77777777" w:rsidR="004C76BC" w:rsidRDefault="004C76BC" w:rsidP="004C76BC">
      <w:pPr>
        <w:pStyle w:val="Default"/>
      </w:pPr>
      <w:r>
        <w:rPr>
          <w:lang w:eastAsia="en-GB"/>
        </w:rPr>
        <w:t xml:space="preserve">(5) </w:t>
      </w:r>
      <w:r>
        <w:rPr>
          <w:i/>
          <w:lang w:eastAsia="en-GB"/>
        </w:rPr>
        <w:t>Dibothrosuchus elaphros</w:t>
      </w:r>
      <w:r>
        <w:rPr>
          <w:lang w:eastAsia="en-GB"/>
        </w:rPr>
        <w:t xml:space="preserve"> </w:t>
      </w:r>
      <w:r>
        <w:t>Simmons, 1965</w:t>
      </w:r>
    </w:p>
    <w:p w14:paraId="464A870F"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Wu (1986); Nesbitt (2011).</w:t>
      </w:r>
    </w:p>
    <w:p w14:paraId="342C33B9" w14:textId="77777777" w:rsidR="004C76BC" w:rsidRDefault="004C76BC" w:rsidP="004C76BC">
      <w:pPr>
        <w:autoSpaceDE w:val="0"/>
        <w:autoSpaceDN w:val="0"/>
        <w:adjustRightInd w:val="0"/>
        <w:ind w:left="357"/>
        <w:rPr>
          <w:color w:val="000000"/>
        </w:rPr>
      </w:pPr>
      <w:r>
        <w:rPr>
          <w:smallCaps/>
          <w:color w:val="000000"/>
        </w:rPr>
        <w:t>Locality</w:t>
      </w:r>
      <w:r>
        <w:rPr>
          <w:color w:val="000000"/>
        </w:rPr>
        <w:t>: Huangchiatien, Lufeng, Yunnan, China.</w:t>
      </w:r>
    </w:p>
    <w:p w14:paraId="1EC921EA" w14:textId="77777777" w:rsidR="004C76BC" w:rsidRDefault="004C76BC" w:rsidP="004C76BC">
      <w:pPr>
        <w:autoSpaceDE w:val="0"/>
        <w:autoSpaceDN w:val="0"/>
        <w:adjustRightInd w:val="0"/>
        <w:ind w:left="357"/>
        <w:rPr>
          <w:color w:val="000000"/>
        </w:rPr>
      </w:pPr>
      <w:r>
        <w:rPr>
          <w:smallCaps/>
          <w:color w:val="000000"/>
        </w:rPr>
        <w:t>Formation</w:t>
      </w:r>
      <w:r>
        <w:rPr>
          <w:color w:val="000000"/>
        </w:rPr>
        <w:t>: Zhangjiawa Formation, Lower Lufeng Group.</w:t>
      </w:r>
    </w:p>
    <w:p w14:paraId="2526E274" w14:textId="77777777" w:rsidR="004C76BC" w:rsidRDefault="004C76BC" w:rsidP="004C76BC">
      <w:pPr>
        <w:autoSpaceDE w:val="0"/>
        <w:autoSpaceDN w:val="0"/>
        <w:adjustRightInd w:val="0"/>
        <w:ind w:left="357"/>
        <w:rPr>
          <w:i/>
          <w:iCs/>
          <w:color w:val="000000"/>
        </w:rPr>
      </w:pPr>
      <w:r>
        <w:rPr>
          <w:smallCaps/>
          <w:color w:val="000000"/>
        </w:rPr>
        <w:t>Age</w:t>
      </w:r>
      <w:r>
        <w:rPr>
          <w:color w:val="000000"/>
        </w:rPr>
        <w:t>: Sinemurian</w:t>
      </w:r>
      <w:r>
        <w:rPr>
          <w:i/>
          <w:color w:val="000000"/>
        </w:rPr>
        <w:t>–</w:t>
      </w:r>
      <w:r>
        <w:rPr>
          <w:color w:val="000000"/>
        </w:rPr>
        <w:t>Pliensbachian, Lower Jurassic.</w:t>
      </w:r>
    </w:p>
    <w:p w14:paraId="5FCA4AD0" w14:textId="77777777" w:rsidR="004C76BC" w:rsidRDefault="004C76BC" w:rsidP="004C76BC">
      <w:pPr>
        <w:rPr>
          <w:caps/>
          <w:color w:val="000000"/>
        </w:rPr>
      </w:pPr>
    </w:p>
    <w:p w14:paraId="6EA5031F" w14:textId="77777777" w:rsidR="004C76BC" w:rsidRDefault="004C76BC" w:rsidP="004C76BC">
      <w:pPr>
        <w:pStyle w:val="Default"/>
      </w:pPr>
      <w:r>
        <w:rPr>
          <w:lang w:eastAsia="en-GB"/>
        </w:rPr>
        <w:t xml:space="preserve">(6) </w:t>
      </w:r>
      <w:r>
        <w:rPr>
          <w:i/>
          <w:lang w:eastAsia="en-GB"/>
        </w:rPr>
        <w:t>Junggarsuchus sloani</w:t>
      </w:r>
      <w:r>
        <w:rPr>
          <w:lang w:eastAsia="en-GB"/>
        </w:rPr>
        <w:t xml:space="preserve"> </w:t>
      </w:r>
      <w:r>
        <w:t xml:space="preserve">Clark </w:t>
      </w:r>
      <w:r>
        <w:rPr>
          <w:i/>
        </w:rPr>
        <w:t>et al</w:t>
      </w:r>
      <w:r>
        <w:t>., 2004</w:t>
      </w:r>
    </w:p>
    <w:p w14:paraId="4B75BC3D"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photographs of the holotype provided by Eric Wilberg; Clark </w:t>
      </w:r>
      <w:r>
        <w:rPr>
          <w:i/>
        </w:rPr>
        <w:t>et al</w:t>
      </w:r>
      <w:r>
        <w:t>. (2004).</w:t>
      </w:r>
    </w:p>
    <w:p w14:paraId="7EC35349" w14:textId="77777777" w:rsidR="004C76BC" w:rsidRDefault="004C76BC" w:rsidP="004C76BC">
      <w:pPr>
        <w:autoSpaceDE w:val="0"/>
        <w:autoSpaceDN w:val="0"/>
        <w:adjustRightInd w:val="0"/>
        <w:ind w:left="357"/>
        <w:rPr>
          <w:color w:val="000000"/>
        </w:rPr>
      </w:pPr>
      <w:r>
        <w:rPr>
          <w:smallCaps/>
          <w:color w:val="000000"/>
        </w:rPr>
        <w:t>Locality</w:t>
      </w:r>
      <w:r>
        <w:rPr>
          <w:color w:val="000000"/>
        </w:rPr>
        <w:t>: Wucaiwan, Altay Prefecture, Xinjiang Province, NW China.</w:t>
      </w:r>
    </w:p>
    <w:p w14:paraId="265F23A3" w14:textId="77777777" w:rsidR="004C76BC" w:rsidRDefault="004C76BC" w:rsidP="004C76BC">
      <w:pPr>
        <w:autoSpaceDE w:val="0"/>
        <w:autoSpaceDN w:val="0"/>
        <w:adjustRightInd w:val="0"/>
        <w:ind w:left="357"/>
        <w:rPr>
          <w:color w:val="000000"/>
        </w:rPr>
      </w:pPr>
      <w:r>
        <w:rPr>
          <w:smallCaps/>
          <w:color w:val="000000"/>
        </w:rPr>
        <w:t>Formation</w:t>
      </w:r>
      <w:r>
        <w:rPr>
          <w:color w:val="000000"/>
        </w:rPr>
        <w:t>: lower part of the Shishugou Formation (= Wucaiwan Formation).</w:t>
      </w:r>
    </w:p>
    <w:p w14:paraId="2AE6F178" w14:textId="77777777" w:rsidR="004C76BC" w:rsidRDefault="004C76BC" w:rsidP="004C76BC">
      <w:pPr>
        <w:autoSpaceDE w:val="0"/>
        <w:autoSpaceDN w:val="0"/>
        <w:adjustRightInd w:val="0"/>
        <w:ind w:left="357"/>
        <w:rPr>
          <w:i/>
          <w:iCs/>
          <w:color w:val="000000"/>
        </w:rPr>
      </w:pPr>
      <w:r>
        <w:rPr>
          <w:smallCaps/>
          <w:color w:val="000000"/>
        </w:rPr>
        <w:t>Age</w:t>
      </w:r>
      <w:r>
        <w:rPr>
          <w:color w:val="000000"/>
        </w:rPr>
        <w:t>: Bathonian</w:t>
      </w:r>
      <w:r>
        <w:rPr>
          <w:i/>
          <w:color w:val="000000"/>
        </w:rPr>
        <w:t>–</w:t>
      </w:r>
      <w:r>
        <w:rPr>
          <w:color w:val="000000"/>
        </w:rPr>
        <w:t>Callovian, Middle Jurassic.</w:t>
      </w:r>
    </w:p>
    <w:p w14:paraId="78CA467B" w14:textId="77777777" w:rsidR="004C76BC" w:rsidRDefault="004C76BC" w:rsidP="004C76BC">
      <w:pPr>
        <w:rPr>
          <w:caps/>
          <w:color w:val="000000"/>
        </w:rPr>
      </w:pPr>
    </w:p>
    <w:p w14:paraId="02FEDE3D" w14:textId="77777777" w:rsidR="004C76BC" w:rsidRDefault="004C76BC" w:rsidP="004C76BC">
      <w:pPr>
        <w:rPr>
          <w:caps/>
          <w:color w:val="000000"/>
          <w:u w:val="single"/>
        </w:rPr>
      </w:pPr>
      <w:r>
        <w:rPr>
          <w:caps/>
          <w:color w:val="000000"/>
          <w:u w:val="single"/>
        </w:rPr>
        <w:t xml:space="preserve">Basal crocodyliforms: ‘Protosuchians’ </w:t>
      </w:r>
      <w:r>
        <w:rPr>
          <w:i/>
          <w:caps/>
          <w:color w:val="000000"/>
          <w:u w:val="single"/>
        </w:rPr>
        <w:t>sensu lato</w:t>
      </w:r>
      <w:r>
        <w:rPr>
          <w:caps/>
          <w:color w:val="000000"/>
          <w:u w:val="single"/>
        </w:rPr>
        <w:t xml:space="preserve"> (4 otU</w:t>
      </w:r>
      <w:r>
        <w:rPr>
          <w:color w:val="000000"/>
          <w:u w:val="single"/>
        </w:rPr>
        <w:t>s</w:t>
      </w:r>
      <w:r>
        <w:rPr>
          <w:caps/>
          <w:color w:val="000000"/>
          <w:u w:val="single"/>
        </w:rPr>
        <w:t>)</w:t>
      </w:r>
    </w:p>
    <w:p w14:paraId="06A07FE3" w14:textId="77777777" w:rsidR="004C76BC" w:rsidRDefault="004C76BC" w:rsidP="004C76BC">
      <w:pPr>
        <w:rPr>
          <w:color w:val="000000"/>
        </w:rPr>
      </w:pPr>
      <w:r>
        <w:rPr>
          <w:color w:val="000000"/>
        </w:rPr>
        <w:t xml:space="preserve">(7) </w:t>
      </w:r>
      <w:r>
        <w:rPr>
          <w:i/>
          <w:color w:val="000000"/>
        </w:rPr>
        <w:t>Hemiprotosuchus leali</w:t>
      </w:r>
      <w:r>
        <w:rPr>
          <w:color w:val="000000"/>
        </w:rPr>
        <w:t xml:space="preserve"> Bonaparte, 1971</w:t>
      </w:r>
    </w:p>
    <w:p w14:paraId="5656E402" w14:textId="77777777" w:rsidR="004C76BC" w:rsidRDefault="004C76BC" w:rsidP="004C76BC">
      <w:pPr>
        <w:autoSpaceDE w:val="0"/>
        <w:autoSpaceDN w:val="0"/>
        <w:adjustRightInd w:val="0"/>
        <w:ind w:left="357"/>
        <w:rPr>
          <w:color w:val="000000"/>
        </w:rPr>
      </w:pPr>
      <w:r>
        <w:rPr>
          <w:smallCaps/>
          <w:color w:val="000000"/>
        </w:rPr>
        <w:lastRenderedPageBreak/>
        <w:t>Data from</w:t>
      </w:r>
      <w:r>
        <w:rPr>
          <w:color w:val="000000"/>
        </w:rPr>
        <w:t>:</w:t>
      </w:r>
      <w:r>
        <w:t xml:space="preserve"> </w:t>
      </w:r>
      <w:r>
        <w:rPr>
          <w:color w:val="000000"/>
        </w:rPr>
        <w:t>Bonaparte (1971)</w:t>
      </w:r>
      <w:r>
        <w:t>.</w:t>
      </w:r>
    </w:p>
    <w:p w14:paraId="5E760891" w14:textId="77777777" w:rsidR="004C76BC" w:rsidRDefault="004C76BC" w:rsidP="004C76BC">
      <w:pPr>
        <w:autoSpaceDE w:val="0"/>
        <w:autoSpaceDN w:val="0"/>
        <w:adjustRightInd w:val="0"/>
        <w:ind w:left="357"/>
        <w:rPr>
          <w:color w:val="000000"/>
        </w:rPr>
      </w:pPr>
      <w:r>
        <w:rPr>
          <w:smallCaps/>
          <w:color w:val="000000"/>
        </w:rPr>
        <w:t>Locality</w:t>
      </w:r>
      <w:r>
        <w:rPr>
          <w:color w:val="000000"/>
        </w:rPr>
        <w:t>: Quebrada de los Jachaleros, W La Rioja Province, Argentina.</w:t>
      </w:r>
    </w:p>
    <w:p w14:paraId="71338A26" w14:textId="77777777" w:rsidR="004C76BC" w:rsidRDefault="004C76BC" w:rsidP="004C76BC">
      <w:pPr>
        <w:autoSpaceDE w:val="0"/>
        <w:autoSpaceDN w:val="0"/>
        <w:adjustRightInd w:val="0"/>
        <w:ind w:left="357"/>
        <w:rPr>
          <w:color w:val="000000"/>
        </w:rPr>
      </w:pPr>
      <w:r>
        <w:rPr>
          <w:smallCaps/>
          <w:color w:val="000000"/>
        </w:rPr>
        <w:t>Formation</w:t>
      </w:r>
      <w:r>
        <w:rPr>
          <w:color w:val="000000"/>
        </w:rPr>
        <w:t>: Los Colorados Formation.</w:t>
      </w:r>
    </w:p>
    <w:p w14:paraId="6147CE16" w14:textId="77777777" w:rsidR="004C76BC" w:rsidRDefault="004C76BC" w:rsidP="004C76BC">
      <w:pPr>
        <w:autoSpaceDE w:val="0"/>
        <w:autoSpaceDN w:val="0"/>
        <w:adjustRightInd w:val="0"/>
        <w:ind w:left="357"/>
        <w:rPr>
          <w:i/>
          <w:iCs/>
          <w:color w:val="000000"/>
        </w:rPr>
      </w:pPr>
      <w:r>
        <w:rPr>
          <w:smallCaps/>
          <w:color w:val="000000"/>
        </w:rPr>
        <w:t>Age</w:t>
      </w:r>
      <w:r>
        <w:rPr>
          <w:color w:val="000000"/>
        </w:rPr>
        <w:t>: Coloradense, Norian, Upper Triassic.</w:t>
      </w:r>
    </w:p>
    <w:p w14:paraId="1ABA0C9E" w14:textId="77777777" w:rsidR="004C76BC" w:rsidRDefault="004C76BC" w:rsidP="004C76BC">
      <w:pPr>
        <w:rPr>
          <w:color w:val="000000"/>
        </w:rPr>
      </w:pPr>
    </w:p>
    <w:p w14:paraId="6E82CF14" w14:textId="77777777" w:rsidR="004C76BC" w:rsidRDefault="004C76BC" w:rsidP="004C76BC">
      <w:pPr>
        <w:rPr>
          <w:color w:val="000000"/>
        </w:rPr>
      </w:pPr>
      <w:r>
        <w:rPr>
          <w:color w:val="000000"/>
        </w:rPr>
        <w:t xml:space="preserve">(8) </w:t>
      </w:r>
      <w:r>
        <w:rPr>
          <w:i/>
          <w:color w:val="000000"/>
        </w:rPr>
        <w:t xml:space="preserve">Protosuchus richardsoni </w:t>
      </w:r>
      <w:r>
        <w:rPr>
          <w:color w:val="000000"/>
        </w:rPr>
        <w:t>Brown, 1933</w:t>
      </w:r>
    </w:p>
    <w:p w14:paraId="2B4F2F9F"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r>
        <w:rPr>
          <w:color w:val="000000"/>
        </w:rPr>
        <w:t xml:space="preserve">Colbert &amp; Mook (1951), </w:t>
      </w:r>
      <w:r>
        <w:t>Nesbitt (2011).</w:t>
      </w:r>
    </w:p>
    <w:p w14:paraId="17E2BC42" w14:textId="77777777" w:rsidR="004C76BC" w:rsidRDefault="004C76BC" w:rsidP="004C76BC">
      <w:pPr>
        <w:autoSpaceDE w:val="0"/>
        <w:autoSpaceDN w:val="0"/>
        <w:adjustRightInd w:val="0"/>
        <w:ind w:left="357"/>
        <w:rPr>
          <w:color w:val="000000"/>
        </w:rPr>
      </w:pPr>
      <w:r>
        <w:rPr>
          <w:smallCaps/>
          <w:color w:val="000000"/>
        </w:rPr>
        <w:t>Locality</w:t>
      </w:r>
      <w:r>
        <w:rPr>
          <w:color w:val="000000"/>
        </w:rPr>
        <w:t>: Ward’s Terrace, Arizona, USA.</w:t>
      </w:r>
    </w:p>
    <w:p w14:paraId="705CED1E" w14:textId="77777777" w:rsidR="004C76BC" w:rsidRDefault="004C76BC" w:rsidP="004C76BC">
      <w:pPr>
        <w:autoSpaceDE w:val="0"/>
        <w:autoSpaceDN w:val="0"/>
        <w:adjustRightInd w:val="0"/>
        <w:ind w:left="357"/>
        <w:rPr>
          <w:color w:val="000000"/>
        </w:rPr>
      </w:pPr>
      <w:r>
        <w:rPr>
          <w:smallCaps/>
          <w:color w:val="000000"/>
        </w:rPr>
        <w:t>Formation</w:t>
      </w:r>
      <w:r>
        <w:rPr>
          <w:color w:val="000000"/>
        </w:rPr>
        <w:t>: upper half of the Moenave Formation, Glen Canyon Group.</w:t>
      </w:r>
    </w:p>
    <w:p w14:paraId="38017A21" w14:textId="77777777" w:rsidR="004C76BC" w:rsidRDefault="004C76BC" w:rsidP="004C76BC">
      <w:pPr>
        <w:autoSpaceDE w:val="0"/>
        <w:autoSpaceDN w:val="0"/>
        <w:adjustRightInd w:val="0"/>
        <w:ind w:left="357"/>
        <w:rPr>
          <w:color w:val="000000"/>
        </w:rPr>
      </w:pPr>
      <w:r>
        <w:rPr>
          <w:smallCaps/>
          <w:color w:val="000000"/>
        </w:rPr>
        <w:t>Age</w:t>
      </w:r>
      <w:r>
        <w:rPr>
          <w:color w:val="000000"/>
        </w:rPr>
        <w:t>: Hettangian, Lower Jurassic.</w:t>
      </w:r>
    </w:p>
    <w:p w14:paraId="2BB722ED" w14:textId="77777777" w:rsidR="004C76BC" w:rsidRDefault="004C76BC" w:rsidP="004C76BC">
      <w:pPr>
        <w:autoSpaceDE w:val="0"/>
        <w:autoSpaceDN w:val="0"/>
        <w:adjustRightInd w:val="0"/>
        <w:ind w:left="357"/>
        <w:rPr>
          <w:i/>
          <w:iCs/>
          <w:color w:val="000000"/>
        </w:rPr>
      </w:pPr>
    </w:p>
    <w:p w14:paraId="2BC396E5" w14:textId="77777777" w:rsidR="004C76BC" w:rsidRDefault="004C76BC" w:rsidP="004C76BC">
      <w:pPr>
        <w:rPr>
          <w:color w:val="000000"/>
        </w:rPr>
      </w:pPr>
      <w:r>
        <w:rPr>
          <w:color w:val="000000"/>
        </w:rPr>
        <w:t xml:space="preserve">(9) </w:t>
      </w:r>
      <w:r>
        <w:rPr>
          <w:i/>
          <w:color w:val="000000"/>
        </w:rPr>
        <w:t xml:space="preserve">Protosuchus haughtoni </w:t>
      </w:r>
      <w:r>
        <w:rPr>
          <w:color w:val="000000"/>
        </w:rPr>
        <w:t>(Busbey &amp; Gow, 1984)</w:t>
      </w:r>
    </w:p>
    <w:p w14:paraId="09809CE5"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r>
        <w:rPr>
          <w:color w:val="000000"/>
        </w:rPr>
        <w:t xml:space="preserve">Gow (2000), </w:t>
      </w:r>
      <w:r>
        <w:t>Nesbitt (2011).</w:t>
      </w:r>
    </w:p>
    <w:p w14:paraId="260FBE88" w14:textId="77777777" w:rsidR="004C76BC" w:rsidRDefault="004C76BC" w:rsidP="004C76BC">
      <w:pPr>
        <w:autoSpaceDE w:val="0"/>
        <w:autoSpaceDN w:val="0"/>
        <w:adjustRightInd w:val="0"/>
        <w:ind w:left="357"/>
        <w:rPr>
          <w:color w:val="000000"/>
        </w:rPr>
      </w:pPr>
      <w:r>
        <w:rPr>
          <w:smallCaps/>
          <w:color w:val="000000"/>
        </w:rPr>
        <w:t>Locality</w:t>
      </w:r>
      <w:r>
        <w:rPr>
          <w:color w:val="000000"/>
        </w:rPr>
        <w:t>: South Africa.</w:t>
      </w:r>
    </w:p>
    <w:p w14:paraId="450D29DE" w14:textId="77777777" w:rsidR="004C76BC" w:rsidRDefault="004C76BC" w:rsidP="004C76BC">
      <w:pPr>
        <w:autoSpaceDE w:val="0"/>
        <w:autoSpaceDN w:val="0"/>
        <w:adjustRightInd w:val="0"/>
        <w:ind w:left="357"/>
        <w:rPr>
          <w:color w:val="000000"/>
        </w:rPr>
      </w:pPr>
      <w:r>
        <w:rPr>
          <w:smallCaps/>
          <w:color w:val="000000"/>
        </w:rPr>
        <w:t>Formation</w:t>
      </w:r>
      <w:r>
        <w:rPr>
          <w:color w:val="000000"/>
        </w:rPr>
        <w:t>: Upper Elliot Formation.</w:t>
      </w:r>
    </w:p>
    <w:p w14:paraId="250C07E9"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Jurassic.</w:t>
      </w:r>
    </w:p>
    <w:p w14:paraId="59983C73" w14:textId="77777777" w:rsidR="004C76BC" w:rsidRDefault="004C76BC" w:rsidP="004C76BC">
      <w:pPr>
        <w:rPr>
          <w:color w:val="000000"/>
        </w:rPr>
      </w:pPr>
    </w:p>
    <w:p w14:paraId="4053FA91" w14:textId="77777777" w:rsidR="004C76BC" w:rsidRDefault="004C76BC" w:rsidP="004C76BC">
      <w:pPr>
        <w:ind w:left="720" w:hanging="720"/>
      </w:pPr>
      <w:r>
        <w:t xml:space="preserve">(10) </w:t>
      </w:r>
      <w:r>
        <w:rPr>
          <w:i/>
        </w:rPr>
        <w:t>Eopneumatosuchus colberti</w:t>
      </w:r>
      <w:r>
        <w:t xml:space="preserve"> Crompton &amp; Smith, 1980</w:t>
      </w:r>
    </w:p>
    <w:p w14:paraId="70C07101"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Crompton &amp; Smith (1980); high-resolution images of the holotype provided by Lawrence Witmer</w:t>
      </w:r>
      <w:r>
        <w:rPr>
          <w:iCs/>
        </w:rPr>
        <w:t>.</w:t>
      </w:r>
    </w:p>
    <w:p w14:paraId="21BC1586" w14:textId="77777777" w:rsidR="004C76BC" w:rsidRDefault="004C76BC" w:rsidP="004C76BC">
      <w:pPr>
        <w:autoSpaceDE w:val="0"/>
        <w:autoSpaceDN w:val="0"/>
        <w:adjustRightInd w:val="0"/>
        <w:ind w:left="357"/>
        <w:rPr>
          <w:color w:val="000000"/>
        </w:rPr>
      </w:pPr>
      <w:r>
        <w:rPr>
          <w:smallCaps/>
          <w:color w:val="000000"/>
        </w:rPr>
        <w:t>Locality</w:t>
      </w:r>
      <w:r>
        <w:rPr>
          <w:color w:val="000000"/>
        </w:rPr>
        <w:t>: 11 miles NE of Cameron, Coconino County, Arizona, USA.</w:t>
      </w:r>
    </w:p>
    <w:p w14:paraId="4792675B" w14:textId="77777777" w:rsidR="004C76BC" w:rsidRDefault="004C76BC" w:rsidP="004C76BC">
      <w:pPr>
        <w:autoSpaceDE w:val="0"/>
        <w:autoSpaceDN w:val="0"/>
        <w:adjustRightInd w:val="0"/>
        <w:ind w:left="357"/>
        <w:rPr>
          <w:color w:val="000000"/>
        </w:rPr>
      </w:pPr>
      <w:r>
        <w:rPr>
          <w:smallCaps/>
          <w:color w:val="000000"/>
        </w:rPr>
        <w:t>Formation</w:t>
      </w:r>
      <w:r>
        <w:rPr>
          <w:color w:val="000000"/>
        </w:rPr>
        <w:t>: ‘Silty facies’, Kayenta Formation, Glen Canyon Group.</w:t>
      </w:r>
    </w:p>
    <w:p w14:paraId="5693F84E" w14:textId="77777777" w:rsidR="004C76BC" w:rsidRDefault="004C76BC" w:rsidP="004C76BC">
      <w:pPr>
        <w:autoSpaceDE w:val="0"/>
        <w:autoSpaceDN w:val="0"/>
        <w:adjustRightInd w:val="0"/>
        <w:ind w:left="357"/>
        <w:rPr>
          <w:i/>
          <w:iCs/>
          <w:color w:val="000000"/>
        </w:rPr>
      </w:pPr>
      <w:r>
        <w:rPr>
          <w:smallCaps/>
          <w:color w:val="000000"/>
        </w:rPr>
        <w:t>Age</w:t>
      </w:r>
      <w:r>
        <w:rPr>
          <w:color w:val="000000"/>
        </w:rPr>
        <w:t>: Sinemurian-Pliensbachian, Lower Jurassic.</w:t>
      </w:r>
    </w:p>
    <w:p w14:paraId="05A9B7E8" w14:textId="77777777" w:rsidR="004C76BC" w:rsidRDefault="004C76BC" w:rsidP="004C76BC">
      <w:pPr>
        <w:ind w:left="720" w:hanging="720"/>
        <w:rPr>
          <w:color w:val="000000"/>
        </w:rPr>
      </w:pPr>
    </w:p>
    <w:p w14:paraId="5B010483" w14:textId="77777777" w:rsidR="004C76BC" w:rsidRDefault="004C76BC" w:rsidP="004C76BC">
      <w:pPr>
        <w:rPr>
          <w:caps/>
          <w:color w:val="000000"/>
          <w:u w:val="single"/>
        </w:rPr>
      </w:pPr>
      <w:r>
        <w:rPr>
          <w:caps/>
          <w:color w:val="000000"/>
          <w:u w:val="single"/>
        </w:rPr>
        <w:t>Basal crocodyliforms: Shartegosuchidae (1 OTU)</w:t>
      </w:r>
    </w:p>
    <w:p w14:paraId="51170F7F" w14:textId="1CFCFF60" w:rsidR="004C76BC" w:rsidRDefault="004C76BC" w:rsidP="004C76BC">
      <w:pPr>
        <w:ind w:left="720" w:hanging="720"/>
        <w:rPr>
          <w:color w:val="000000"/>
        </w:rPr>
      </w:pPr>
      <w:r>
        <w:rPr>
          <w:iCs/>
        </w:rPr>
        <w:t xml:space="preserve">(11) </w:t>
      </w:r>
      <w:r>
        <w:rPr>
          <w:i/>
          <w:iCs/>
        </w:rPr>
        <w:t xml:space="preserve">Fruitachampsa callisoni </w:t>
      </w:r>
      <w:r w:rsidR="00AF438E">
        <w:t>Clark, 2011</w:t>
      </w:r>
    </w:p>
    <w:p w14:paraId="7CBA6947"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Clark (2011)</w:t>
      </w:r>
      <w:r>
        <w:rPr>
          <w:iCs/>
        </w:rPr>
        <w:t>.</w:t>
      </w:r>
    </w:p>
    <w:p w14:paraId="1665C973" w14:textId="77777777" w:rsidR="004C76BC" w:rsidRDefault="004C76BC" w:rsidP="004C76BC">
      <w:pPr>
        <w:autoSpaceDE w:val="0"/>
        <w:autoSpaceDN w:val="0"/>
        <w:adjustRightInd w:val="0"/>
        <w:ind w:left="357"/>
        <w:rPr>
          <w:color w:val="000000"/>
        </w:rPr>
      </w:pPr>
      <w:r>
        <w:rPr>
          <w:smallCaps/>
          <w:color w:val="000000"/>
        </w:rPr>
        <w:t>Locality</w:t>
      </w:r>
      <w:r>
        <w:rPr>
          <w:color w:val="000000"/>
        </w:rPr>
        <w:t>: Fruita, Colorado, USA.</w:t>
      </w:r>
    </w:p>
    <w:p w14:paraId="59EDEF9B" w14:textId="77777777" w:rsidR="004C76BC" w:rsidRDefault="004C76BC" w:rsidP="004C76BC">
      <w:pPr>
        <w:autoSpaceDE w:val="0"/>
        <w:autoSpaceDN w:val="0"/>
        <w:adjustRightInd w:val="0"/>
        <w:ind w:left="357"/>
        <w:rPr>
          <w:color w:val="000000"/>
        </w:rPr>
      </w:pPr>
      <w:r>
        <w:rPr>
          <w:smallCaps/>
          <w:color w:val="000000"/>
        </w:rPr>
        <w:t>Formation</w:t>
      </w:r>
      <w:r>
        <w:rPr>
          <w:color w:val="000000"/>
        </w:rPr>
        <w:t>: Morrison Formation.</w:t>
      </w:r>
    </w:p>
    <w:p w14:paraId="180DFB4E"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Jurassic.</w:t>
      </w:r>
    </w:p>
    <w:p w14:paraId="6B6EABAF" w14:textId="77777777" w:rsidR="004C76BC" w:rsidRDefault="004C76BC" w:rsidP="004C76BC">
      <w:pPr>
        <w:tabs>
          <w:tab w:val="left" w:pos="1560"/>
        </w:tabs>
        <w:rPr>
          <w:color w:val="000000"/>
        </w:rPr>
      </w:pPr>
    </w:p>
    <w:p w14:paraId="0FBD5C4D" w14:textId="77777777" w:rsidR="004C76BC" w:rsidRDefault="004C76BC" w:rsidP="004C76BC">
      <w:bookmarkStart w:id="6" w:name="_Hlk487723196"/>
      <w:r>
        <w:rPr>
          <w:caps/>
          <w:u w:val="single"/>
        </w:rPr>
        <w:t xml:space="preserve">Notosuchia: ‘Notosuchidae’ </w:t>
      </w:r>
      <w:r>
        <w:rPr>
          <w:u w:val="single"/>
        </w:rPr>
        <w:t>(2 OTUs)</w:t>
      </w:r>
    </w:p>
    <w:bookmarkEnd w:id="6"/>
    <w:p w14:paraId="6E8AB609" w14:textId="77777777" w:rsidR="004C76BC" w:rsidRDefault="004C76BC" w:rsidP="004C76BC">
      <w:pPr>
        <w:pStyle w:val="Default"/>
        <w:ind w:left="720" w:hanging="720"/>
      </w:pPr>
      <w:r>
        <w:rPr>
          <w:iCs/>
        </w:rPr>
        <w:t xml:space="preserve">(12) </w:t>
      </w:r>
      <w:r>
        <w:rPr>
          <w:i/>
          <w:iCs/>
        </w:rPr>
        <w:t xml:space="preserve">Notosuchus terrestris </w:t>
      </w:r>
      <w:r>
        <w:t>Woodward, 1896</w:t>
      </w:r>
    </w:p>
    <w:p w14:paraId="5A765CB9"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7" w:name="_Hlk479275265"/>
      <w:r>
        <w:rPr>
          <w:color w:val="000000"/>
        </w:rPr>
        <w:t>MACN</w:t>
      </w:r>
      <w:bookmarkEnd w:id="7"/>
      <w:r>
        <w:rPr>
          <w:color w:val="000000"/>
        </w:rPr>
        <w:t xml:space="preserve">-Pv-N-22, MACN-Pv-N-23, MACN-Pv-N-24, MACN-Pv-N-43, MACN-Pv-N-107, MACN-Pv-RN-1015, MACNPv-RN-1037, MACN-Pv-RN-1038, MACN-Pv-RN-1039, MACN-Pv-RN-1040, MACN-Pv-RN-1041, MACN-Pv-RN-1043, MACN-Pv-RN-1044, MACN-Pv-RN-1045, MACN-Pv-RN-1046, MACN-Pv-RN-1047, MACN-Pv-RN-1048, MACN-Pv-RN-1118, MACN-Pv-RN-1119, </w:t>
      </w:r>
      <w:bookmarkStart w:id="8" w:name="_Hlk479275273"/>
      <w:r>
        <w:rPr>
          <w:color w:val="000000"/>
        </w:rPr>
        <w:t>MLP</w:t>
      </w:r>
      <w:bookmarkEnd w:id="8"/>
      <w:r>
        <w:rPr>
          <w:color w:val="000000"/>
        </w:rPr>
        <w:t xml:space="preserve">-64-IV-16-1, MLP-64-IV-16-5(253) (lectotype), MLP-64-IV-16-6(203), MLP-64-IV-16-7(219), MLP-64-IV-16-8(209), MLP-64-IV-16-9(201), MLP-64-IV-16-10(221), MLP-64-IV-16-11, MLP-64-IV-16-12, MLP-64-IV-16-13, MLP-64-IV-16-14, MLP-64-IV-16-15, MLP-64-IV-16-16, MLP-64-IV-16-17, MLP-64-IV-16-18, MLP-64-IV-16-20, MLP-64-IV-16-21, MLP-64-IV-16-22, MLP-64-IV-16-23, MLP-64-IV-16-24, MLP-64-IV-16-25, MLP-64-IV-16-28, MLP-64-IV-16-30, MLP-64-IV-16-31(206), </w:t>
      </w:r>
      <w:bookmarkStart w:id="9" w:name="_Hlk479275295"/>
      <w:r>
        <w:rPr>
          <w:color w:val="000000"/>
        </w:rPr>
        <w:t>MPCA</w:t>
      </w:r>
      <w:bookmarkEnd w:id="9"/>
      <w:r>
        <w:rPr>
          <w:color w:val="000000"/>
        </w:rPr>
        <w:t>-Pv-528; MPCA-Pv-789/1; MPCA-Pv-791; Woodward (1896), Gasparini (1971), Bonaparte (1991, 1996), Andrade &amp; Bertini (2008b), Fiorelli &amp; Calvo (2008).</w:t>
      </w:r>
    </w:p>
    <w:p w14:paraId="09CFFCF4" w14:textId="77777777" w:rsidR="004C76BC" w:rsidRDefault="004C76BC" w:rsidP="004C76BC">
      <w:pPr>
        <w:autoSpaceDE w:val="0"/>
        <w:autoSpaceDN w:val="0"/>
        <w:adjustRightInd w:val="0"/>
        <w:ind w:left="357"/>
        <w:rPr>
          <w:color w:val="000000"/>
        </w:rPr>
      </w:pPr>
      <w:r>
        <w:rPr>
          <w:smallCaps/>
          <w:color w:val="000000"/>
        </w:rPr>
        <w:t xml:space="preserve">Localites: </w:t>
      </w:r>
      <w:r>
        <w:rPr>
          <w:color w:val="000000"/>
        </w:rPr>
        <w:t>several outcrops in the Neuquén and Rio Negro provinces, Argentina</w:t>
      </w:r>
    </w:p>
    <w:p w14:paraId="0B27C4A8" w14:textId="77777777" w:rsidR="004C76BC" w:rsidRDefault="004C76BC" w:rsidP="004C76BC">
      <w:pPr>
        <w:autoSpaceDE w:val="0"/>
        <w:autoSpaceDN w:val="0"/>
        <w:adjustRightInd w:val="0"/>
        <w:ind w:left="357"/>
        <w:rPr>
          <w:color w:val="000000"/>
        </w:rPr>
      </w:pPr>
      <w:r>
        <w:rPr>
          <w:smallCaps/>
          <w:color w:val="000000"/>
        </w:rPr>
        <w:t>Formation</w:t>
      </w:r>
      <w:r>
        <w:rPr>
          <w:color w:val="000000"/>
        </w:rPr>
        <w:t>: Bajo de La Carpa Formation, Neuquén Group. Neuquén Basin.</w:t>
      </w:r>
    </w:p>
    <w:p w14:paraId="0FB0145C" w14:textId="77777777" w:rsidR="004C76BC" w:rsidRDefault="004C76BC" w:rsidP="004C76BC">
      <w:pPr>
        <w:autoSpaceDE w:val="0"/>
        <w:autoSpaceDN w:val="0"/>
        <w:adjustRightInd w:val="0"/>
        <w:ind w:left="357"/>
        <w:rPr>
          <w:color w:val="000000"/>
        </w:rPr>
      </w:pPr>
      <w:r>
        <w:rPr>
          <w:smallCaps/>
          <w:color w:val="000000"/>
        </w:rPr>
        <w:t>Age</w:t>
      </w:r>
      <w:r>
        <w:rPr>
          <w:color w:val="000000"/>
        </w:rPr>
        <w:t>: Santonian–Campanian, Upper Cretaceous.</w:t>
      </w:r>
    </w:p>
    <w:p w14:paraId="7109D128" w14:textId="77777777" w:rsidR="004C76BC" w:rsidRDefault="004C76BC" w:rsidP="004C76BC">
      <w:pPr>
        <w:pStyle w:val="Default"/>
        <w:ind w:left="720" w:hanging="720"/>
      </w:pPr>
    </w:p>
    <w:p w14:paraId="20A9CD2A" w14:textId="77777777" w:rsidR="004C76BC" w:rsidRDefault="004C76BC" w:rsidP="004C76BC">
      <w:pPr>
        <w:pStyle w:val="Default"/>
        <w:ind w:left="720" w:hanging="720"/>
      </w:pPr>
      <w:r>
        <w:rPr>
          <w:iCs/>
        </w:rPr>
        <w:lastRenderedPageBreak/>
        <w:t xml:space="preserve">(13) </w:t>
      </w:r>
      <w:r>
        <w:rPr>
          <w:i/>
          <w:iCs/>
        </w:rPr>
        <w:t xml:space="preserve">Mariliasuchus amarali </w:t>
      </w:r>
      <w:r>
        <w:t>Carvalho &amp; Bertini, 1999</w:t>
      </w:r>
    </w:p>
    <w:p w14:paraId="2D3091CF"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10" w:name="_Hlk479275254"/>
      <w:r>
        <w:rPr>
          <w:color w:val="000000"/>
        </w:rPr>
        <w:t>MN</w:t>
      </w:r>
      <w:bookmarkEnd w:id="10"/>
      <w:r>
        <w:rPr>
          <w:color w:val="000000"/>
        </w:rPr>
        <w:t xml:space="preserve">-6298-V, MN-6756-V, UFRJ-DG-50-R(type), UFRJ-DG-56-R, UFRJ-DG-105-R, UFRJ-DG-106-R, UFRJ-DG-115-R, URC-R-67, URC-R-68, URC-R-69; Carvalho &amp; Bertini (1999), Andrade (2005), </w:t>
      </w:r>
      <w:r>
        <w:t>Vasconcellos &amp; Carvalho (2005)</w:t>
      </w:r>
      <w:r>
        <w:rPr>
          <w:color w:val="000000"/>
        </w:rPr>
        <w:t>.</w:t>
      </w:r>
    </w:p>
    <w:p w14:paraId="3B568BF7"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Rio do Peixe, São Paulo State, Brazil.</w:t>
      </w:r>
    </w:p>
    <w:p w14:paraId="02444D70" w14:textId="77777777" w:rsidR="004C76BC" w:rsidRDefault="004C76BC" w:rsidP="004C76BC">
      <w:pPr>
        <w:autoSpaceDE w:val="0"/>
        <w:autoSpaceDN w:val="0"/>
        <w:adjustRightInd w:val="0"/>
        <w:ind w:left="357"/>
        <w:rPr>
          <w:color w:val="000000"/>
        </w:rPr>
      </w:pPr>
      <w:r>
        <w:rPr>
          <w:smallCaps/>
          <w:color w:val="000000"/>
        </w:rPr>
        <w:t>Formation</w:t>
      </w:r>
      <w:r>
        <w:rPr>
          <w:color w:val="000000"/>
        </w:rPr>
        <w:t>: Aracatuba Formation, Bauru Group. Bauru Basin.</w:t>
      </w:r>
    </w:p>
    <w:p w14:paraId="115B78D7" w14:textId="77777777" w:rsidR="004C76BC" w:rsidRDefault="004C76BC" w:rsidP="004C76BC">
      <w:pPr>
        <w:autoSpaceDE w:val="0"/>
        <w:autoSpaceDN w:val="0"/>
        <w:adjustRightInd w:val="0"/>
        <w:ind w:left="357"/>
        <w:rPr>
          <w:color w:val="000000"/>
        </w:rPr>
      </w:pPr>
      <w:r>
        <w:rPr>
          <w:smallCaps/>
          <w:color w:val="000000"/>
        </w:rPr>
        <w:t>Age</w:t>
      </w:r>
      <w:r>
        <w:rPr>
          <w:color w:val="000000"/>
        </w:rPr>
        <w:t>: Campanian, Upper Cretaceous.</w:t>
      </w:r>
    </w:p>
    <w:p w14:paraId="7D377797" w14:textId="77777777" w:rsidR="004C76BC" w:rsidRDefault="004C76BC" w:rsidP="004C76BC">
      <w:pPr>
        <w:pStyle w:val="Default"/>
        <w:ind w:left="720" w:hanging="720"/>
      </w:pPr>
    </w:p>
    <w:p w14:paraId="53F3E87F" w14:textId="77777777" w:rsidR="004C76BC" w:rsidRDefault="004C76BC" w:rsidP="004C76BC">
      <w:bookmarkStart w:id="11" w:name="_Hlk487723029"/>
      <w:r>
        <w:rPr>
          <w:caps/>
          <w:u w:val="single"/>
        </w:rPr>
        <w:t>Notosuchia: Sphagesauridae</w:t>
      </w:r>
      <w:r>
        <w:rPr>
          <w:u w:val="single"/>
        </w:rPr>
        <w:t xml:space="preserve"> (3 OTUs)</w:t>
      </w:r>
    </w:p>
    <w:bookmarkEnd w:id="11"/>
    <w:p w14:paraId="4F2B27BA" w14:textId="77777777" w:rsidR="004C76BC" w:rsidRDefault="004C76BC" w:rsidP="004C76BC">
      <w:pPr>
        <w:pStyle w:val="Default"/>
        <w:ind w:left="720" w:hanging="720"/>
      </w:pPr>
      <w:r>
        <w:rPr>
          <w:iCs/>
        </w:rPr>
        <w:t xml:space="preserve">(14) </w:t>
      </w:r>
      <w:r>
        <w:rPr>
          <w:i/>
          <w:iCs/>
        </w:rPr>
        <w:t xml:space="preserve">Adamantinasuchus navae </w:t>
      </w:r>
      <w:r>
        <w:t>Nobre &amp; Carvalho, 2006</w:t>
      </w:r>
    </w:p>
    <w:p w14:paraId="459FF15F"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12" w:name="_Hlk479275238"/>
      <w:r>
        <w:rPr>
          <w:color w:val="000000"/>
        </w:rPr>
        <w:t>UFRJ</w:t>
      </w:r>
      <w:bookmarkEnd w:id="12"/>
      <w:r>
        <w:rPr>
          <w:color w:val="000000"/>
        </w:rPr>
        <w:t>-DG-107-R (type), UFRJ-DG-216-R; Nobre &amp; Carvalho (2006).</w:t>
      </w:r>
    </w:p>
    <w:p w14:paraId="23FBAB72"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Rio do Peixe, São Paulo State, Brazil.</w:t>
      </w:r>
    </w:p>
    <w:p w14:paraId="08ECF767" w14:textId="77777777" w:rsidR="004C76BC" w:rsidRDefault="004C76BC" w:rsidP="004C76BC">
      <w:pPr>
        <w:autoSpaceDE w:val="0"/>
        <w:autoSpaceDN w:val="0"/>
        <w:adjustRightInd w:val="0"/>
        <w:ind w:left="357"/>
        <w:rPr>
          <w:color w:val="000000"/>
        </w:rPr>
      </w:pPr>
      <w:r>
        <w:rPr>
          <w:smallCaps/>
          <w:color w:val="000000"/>
        </w:rPr>
        <w:t>Formation</w:t>
      </w:r>
      <w:r>
        <w:rPr>
          <w:color w:val="000000"/>
        </w:rPr>
        <w:t>: Aracatuba Formation, Bauru Group. Bauru Basin.</w:t>
      </w:r>
    </w:p>
    <w:p w14:paraId="05DBECBC" w14:textId="77777777" w:rsidR="004C76BC" w:rsidRDefault="004C76BC" w:rsidP="004C76BC">
      <w:pPr>
        <w:autoSpaceDE w:val="0"/>
        <w:autoSpaceDN w:val="0"/>
        <w:adjustRightInd w:val="0"/>
        <w:ind w:left="357"/>
        <w:rPr>
          <w:color w:val="000000"/>
        </w:rPr>
      </w:pPr>
      <w:r>
        <w:rPr>
          <w:smallCaps/>
          <w:color w:val="000000"/>
        </w:rPr>
        <w:t>Age</w:t>
      </w:r>
      <w:r>
        <w:rPr>
          <w:color w:val="000000"/>
        </w:rPr>
        <w:t>: Campanian, Upper Cretaceous.</w:t>
      </w:r>
    </w:p>
    <w:p w14:paraId="61159241" w14:textId="77777777" w:rsidR="004C76BC" w:rsidRDefault="004C76BC" w:rsidP="004C76BC">
      <w:pPr>
        <w:pStyle w:val="Default"/>
      </w:pPr>
    </w:p>
    <w:p w14:paraId="1398BD07" w14:textId="77777777" w:rsidR="004C76BC" w:rsidRDefault="004C76BC" w:rsidP="004C76BC">
      <w:pPr>
        <w:pStyle w:val="Default"/>
        <w:ind w:left="720" w:hanging="720"/>
      </w:pPr>
      <w:r>
        <w:rPr>
          <w:iCs/>
        </w:rPr>
        <w:t xml:space="preserve">(15) </w:t>
      </w:r>
      <w:r>
        <w:rPr>
          <w:i/>
          <w:iCs/>
        </w:rPr>
        <w:t>Sphagesaurus huenei</w:t>
      </w:r>
      <w:r>
        <w:t xml:space="preserve"> Price, 1950</w:t>
      </w:r>
    </w:p>
    <w:p w14:paraId="65988138" w14:textId="77777777" w:rsidR="004C76BC" w:rsidRDefault="004C76BC" w:rsidP="004C76BC">
      <w:pPr>
        <w:autoSpaceDE w:val="0"/>
        <w:autoSpaceDN w:val="0"/>
        <w:adjustRightInd w:val="0"/>
        <w:ind w:left="357"/>
        <w:rPr>
          <w:color w:val="000000"/>
        </w:rPr>
      </w:pPr>
      <w:r>
        <w:rPr>
          <w:smallCaps/>
          <w:color w:val="000000"/>
        </w:rPr>
        <w:t>Data from</w:t>
      </w:r>
      <w:r>
        <w:rPr>
          <w:color w:val="000000"/>
        </w:rPr>
        <w:t>: Pol (2003).</w:t>
      </w:r>
    </w:p>
    <w:p w14:paraId="26A22CB8"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N São Paulo State, Brazil.</w:t>
      </w:r>
    </w:p>
    <w:p w14:paraId="369A4D7C" w14:textId="77777777" w:rsidR="004C76BC" w:rsidRDefault="004C76BC" w:rsidP="004C76BC">
      <w:pPr>
        <w:autoSpaceDE w:val="0"/>
        <w:autoSpaceDN w:val="0"/>
        <w:adjustRightInd w:val="0"/>
        <w:ind w:left="357"/>
        <w:rPr>
          <w:color w:val="000000"/>
        </w:rPr>
      </w:pPr>
      <w:r>
        <w:rPr>
          <w:smallCaps/>
          <w:color w:val="000000"/>
        </w:rPr>
        <w:t>Formation</w:t>
      </w:r>
      <w:r>
        <w:rPr>
          <w:color w:val="000000"/>
        </w:rPr>
        <w:t>: Adamantina Formation, Bauru Group. Bauru Basin.</w:t>
      </w:r>
    </w:p>
    <w:p w14:paraId="589B6231" w14:textId="77777777" w:rsidR="004C76BC" w:rsidRDefault="004C76BC" w:rsidP="004C76BC">
      <w:pPr>
        <w:autoSpaceDE w:val="0"/>
        <w:autoSpaceDN w:val="0"/>
        <w:adjustRightInd w:val="0"/>
        <w:ind w:left="357"/>
        <w:rPr>
          <w:color w:val="000000"/>
        </w:rPr>
      </w:pPr>
      <w:r>
        <w:rPr>
          <w:smallCaps/>
          <w:color w:val="000000"/>
        </w:rPr>
        <w:t>Age</w:t>
      </w:r>
      <w:r>
        <w:rPr>
          <w:color w:val="000000"/>
        </w:rPr>
        <w:t>: Campanian–Maastrichtian, Upper Cretaceous.</w:t>
      </w:r>
    </w:p>
    <w:p w14:paraId="5C12CAF7" w14:textId="77777777" w:rsidR="004C76BC" w:rsidRDefault="004C76BC" w:rsidP="004C76BC">
      <w:pPr>
        <w:autoSpaceDE w:val="0"/>
        <w:autoSpaceDN w:val="0"/>
        <w:adjustRightInd w:val="0"/>
        <w:ind w:left="357"/>
        <w:rPr>
          <w:color w:val="000000"/>
        </w:rPr>
      </w:pPr>
    </w:p>
    <w:p w14:paraId="5801456A" w14:textId="77777777" w:rsidR="004C76BC" w:rsidRDefault="004C76BC" w:rsidP="004C76BC">
      <w:pPr>
        <w:pStyle w:val="Default"/>
        <w:ind w:left="720" w:hanging="720"/>
      </w:pPr>
      <w:r>
        <w:rPr>
          <w:iCs/>
        </w:rPr>
        <w:t xml:space="preserve"> (16) </w:t>
      </w:r>
      <w:r>
        <w:rPr>
          <w:i/>
          <w:iCs/>
        </w:rPr>
        <w:t>Caipirasuchus montealtensis</w:t>
      </w:r>
      <w:r>
        <w:t xml:space="preserve"> (Andrade &amp; Bertini, 2008a)</w:t>
      </w:r>
    </w:p>
    <w:p w14:paraId="43D0CBA0"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Andrade (2005), </w:t>
      </w:r>
      <w:r>
        <w:rPr>
          <w:color w:val="000000"/>
        </w:rPr>
        <w:t xml:space="preserve">Andrade &amp; Bertini (2008a), Iori </w:t>
      </w:r>
      <w:r>
        <w:rPr>
          <w:i/>
          <w:color w:val="000000"/>
        </w:rPr>
        <w:t>et al</w:t>
      </w:r>
      <w:r>
        <w:rPr>
          <w:color w:val="000000"/>
        </w:rPr>
        <w:t>. (2016).</w:t>
      </w:r>
    </w:p>
    <w:p w14:paraId="3C2083FB"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Monte Alto, N São Paulo State, Brazil.</w:t>
      </w:r>
    </w:p>
    <w:p w14:paraId="4673F944" w14:textId="77777777" w:rsidR="004C76BC" w:rsidRDefault="004C76BC" w:rsidP="004C76BC">
      <w:pPr>
        <w:autoSpaceDE w:val="0"/>
        <w:autoSpaceDN w:val="0"/>
        <w:adjustRightInd w:val="0"/>
        <w:ind w:left="357"/>
        <w:rPr>
          <w:color w:val="000000"/>
        </w:rPr>
      </w:pPr>
      <w:r>
        <w:rPr>
          <w:smallCaps/>
          <w:color w:val="000000"/>
        </w:rPr>
        <w:t>Formation</w:t>
      </w:r>
      <w:r>
        <w:rPr>
          <w:color w:val="000000"/>
        </w:rPr>
        <w:t>: Adamantina Formation, Bauru Group. Bauru Basin.</w:t>
      </w:r>
    </w:p>
    <w:p w14:paraId="6A2E91AC" w14:textId="77777777" w:rsidR="004C76BC" w:rsidRDefault="004C76BC" w:rsidP="004C76BC">
      <w:pPr>
        <w:autoSpaceDE w:val="0"/>
        <w:autoSpaceDN w:val="0"/>
        <w:adjustRightInd w:val="0"/>
        <w:ind w:left="357"/>
        <w:rPr>
          <w:color w:val="000000"/>
        </w:rPr>
      </w:pPr>
      <w:r>
        <w:rPr>
          <w:smallCaps/>
          <w:color w:val="000000"/>
        </w:rPr>
        <w:t>Age</w:t>
      </w:r>
      <w:r>
        <w:rPr>
          <w:color w:val="000000"/>
        </w:rPr>
        <w:t>: Campanian–Maastrichtian, Upper Cretaceous.</w:t>
      </w:r>
    </w:p>
    <w:p w14:paraId="179769E0" w14:textId="77777777" w:rsidR="004C76BC" w:rsidRDefault="004C76BC" w:rsidP="004C76BC">
      <w:pPr>
        <w:autoSpaceDE w:val="0"/>
        <w:autoSpaceDN w:val="0"/>
        <w:adjustRightInd w:val="0"/>
        <w:ind w:left="357"/>
        <w:rPr>
          <w:color w:val="000000"/>
        </w:rPr>
      </w:pPr>
    </w:p>
    <w:p w14:paraId="26C5698E" w14:textId="77777777" w:rsidR="004C76BC" w:rsidRDefault="004C76BC" w:rsidP="004C76BC">
      <w:bookmarkStart w:id="13" w:name="_Hlk487722966"/>
      <w:r>
        <w:rPr>
          <w:caps/>
          <w:u w:val="single"/>
        </w:rPr>
        <w:t>Notosuchia: Baurusuchidae</w:t>
      </w:r>
      <w:r>
        <w:rPr>
          <w:u w:val="single"/>
        </w:rPr>
        <w:t xml:space="preserve"> (1 OTU)</w:t>
      </w:r>
    </w:p>
    <w:bookmarkEnd w:id="13"/>
    <w:p w14:paraId="7E6F2262" w14:textId="77777777" w:rsidR="004C76BC" w:rsidRDefault="004C76BC" w:rsidP="004C76BC">
      <w:pPr>
        <w:pStyle w:val="Default"/>
        <w:ind w:left="720" w:hanging="720"/>
      </w:pPr>
      <w:r>
        <w:rPr>
          <w:iCs/>
        </w:rPr>
        <w:t xml:space="preserve">(17) </w:t>
      </w:r>
      <w:r>
        <w:rPr>
          <w:i/>
          <w:iCs/>
        </w:rPr>
        <w:t xml:space="preserve">Baurusuchus pachecoi </w:t>
      </w:r>
      <w:r>
        <w:t>Price, 1945</w:t>
      </w:r>
    </w:p>
    <w:p w14:paraId="0886F37B"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14" w:name="_Hlk479275225"/>
      <w:r>
        <w:rPr>
          <w:color w:val="000000"/>
        </w:rPr>
        <w:t>FEF</w:t>
      </w:r>
      <w:bookmarkEnd w:id="14"/>
      <w:r>
        <w:rPr>
          <w:color w:val="000000"/>
        </w:rPr>
        <w:t xml:space="preserve">-R-1-9; Price (1945), Carvalho </w:t>
      </w:r>
      <w:r>
        <w:rPr>
          <w:i/>
          <w:iCs/>
          <w:color w:val="000000"/>
        </w:rPr>
        <w:t xml:space="preserve">et al. </w:t>
      </w:r>
      <w:r>
        <w:rPr>
          <w:color w:val="000000"/>
        </w:rPr>
        <w:t>(2005; MPMA 62-0001-02).</w:t>
      </w:r>
    </w:p>
    <w:p w14:paraId="3C375C1F"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72 km SW of Vila do Veadinho (type locality), Paulo de Faria city. and several other localities spread at the N-NW São Paulo State, Brazil.</w:t>
      </w:r>
    </w:p>
    <w:p w14:paraId="32D5F212" w14:textId="77777777" w:rsidR="004C76BC" w:rsidRDefault="004C76BC" w:rsidP="004C76BC">
      <w:pPr>
        <w:autoSpaceDE w:val="0"/>
        <w:autoSpaceDN w:val="0"/>
        <w:adjustRightInd w:val="0"/>
        <w:ind w:left="357"/>
        <w:rPr>
          <w:color w:val="000000"/>
        </w:rPr>
      </w:pPr>
      <w:r>
        <w:rPr>
          <w:smallCaps/>
          <w:color w:val="000000"/>
        </w:rPr>
        <w:t>Formation</w:t>
      </w:r>
      <w:r>
        <w:rPr>
          <w:color w:val="000000"/>
        </w:rPr>
        <w:t>: Adamantina Formation, Bauru Group. Bauru Basin.</w:t>
      </w:r>
    </w:p>
    <w:p w14:paraId="54B46A17"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Campanian-Maastrichtian, Upper Cretaceous. </w:t>
      </w:r>
    </w:p>
    <w:p w14:paraId="2856CE1F" w14:textId="77777777" w:rsidR="004C76BC" w:rsidRDefault="004C76BC" w:rsidP="004C76BC">
      <w:pPr>
        <w:autoSpaceDE w:val="0"/>
        <w:autoSpaceDN w:val="0"/>
        <w:adjustRightInd w:val="0"/>
        <w:ind w:left="357"/>
        <w:rPr>
          <w:color w:val="000000"/>
        </w:rPr>
      </w:pPr>
      <w:r>
        <w:rPr>
          <w:smallCaps/>
          <w:color w:val="000000"/>
        </w:rPr>
        <w:t>Observation</w:t>
      </w:r>
      <w:r>
        <w:rPr>
          <w:color w:val="000000"/>
        </w:rPr>
        <w:t xml:space="preserve">: Here </w:t>
      </w:r>
      <w:r>
        <w:rPr>
          <w:i/>
          <w:iCs/>
          <w:color w:val="000000"/>
        </w:rPr>
        <w:t xml:space="preserve">B. salgadoensis </w:t>
      </w:r>
      <w:r>
        <w:rPr>
          <w:color w:val="000000"/>
        </w:rPr>
        <w:t xml:space="preserve">Carvalho </w:t>
      </w:r>
      <w:r>
        <w:rPr>
          <w:i/>
          <w:iCs/>
          <w:color w:val="000000"/>
        </w:rPr>
        <w:t xml:space="preserve">et al. </w:t>
      </w:r>
      <w:r>
        <w:rPr>
          <w:color w:val="000000"/>
        </w:rPr>
        <w:t xml:space="preserve">2005 is treated as a subjective junior synonym of </w:t>
      </w:r>
      <w:r>
        <w:rPr>
          <w:i/>
          <w:iCs/>
          <w:color w:val="000000"/>
        </w:rPr>
        <w:t>B. pachecoi</w:t>
      </w:r>
      <w:r>
        <w:rPr>
          <w:color w:val="000000"/>
        </w:rPr>
        <w:t>.</w:t>
      </w:r>
    </w:p>
    <w:p w14:paraId="252E45F8" w14:textId="77777777" w:rsidR="004C76BC" w:rsidRDefault="004C76BC" w:rsidP="004C76BC">
      <w:pPr>
        <w:pStyle w:val="Default"/>
      </w:pPr>
    </w:p>
    <w:p w14:paraId="7B3EF23D" w14:textId="77777777" w:rsidR="004C76BC" w:rsidRDefault="004C76BC" w:rsidP="004C76BC">
      <w:pPr>
        <w:rPr>
          <w:caps/>
          <w:color w:val="000000"/>
          <w:u w:val="single"/>
        </w:rPr>
      </w:pPr>
      <w:r>
        <w:rPr>
          <w:caps/>
          <w:color w:val="000000"/>
          <w:u w:val="single"/>
        </w:rPr>
        <w:t xml:space="preserve">Notosuchia: </w:t>
      </w:r>
      <w:r>
        <w:rPr>
          <w:caps/>
          <w:u w:val="single"/>
        </w:rPr>
        <w:t>‘Uruguaysuchidae’</w:t>
      </w:r>
      <w:r>
        <w:rPr>
          <w:u w:val="single"/>
        </w:rPr>
        <w:t xml:space="preserve"> </w:t>
      </w:r>
      <w:r>
        <w:rPr>
          <w:caps/>
          <w:color w:val="000000"/>
          <w:u w:val="single"/>
        </w:rPr>
        <w:t>(1 OTU)</w:t>
      </w:r>
    </w:p>
    <w:p w14:paraId="38E00260" w14:textId="77777777" w:rsidR="004C76BC" w:rsidRDefault="004C76BC" w:rsidP="004C76BC">
      <w:pPr>
        <w:pStyle w:val="Default"/>
        <w:ind w:left="720" w:hanging="720"/>
      </w:pPr>
      <w:r>
        <w:rPr>
          <w:iCs/>
        </w:rPr>
        <w:t xml:space="preserve">(18) </w:t>
      </w:r>
      <w:r>
        <w:rPr>
          <w:i/>
          <w:iCs/>
        </w:rPr>
        <w:t xml:space="preserve">Araripesuchus patagonicus </w:t>
      </w:r>
      <w:r>
        <w:t xml:space="preserve">Ortega </w:t>
      </w:r>
      <w:r>
        <w:rPr>
          <w:i/>
          <w:iCs/>
        </w:rPr>
        <w:t>et al.</w:t>
      </w:r>
      <w:r>
        <w:rPr>
          <w:iCs/>
        </w:rPr>
        <w:t>,</w:t>
      </w:r>
      <w:r>
        <w:rPr>
          <w:i/>
          <w:iCs/>
        </w:rPr>
        <w:t xml:space="preserve"> </w:t>
      </w:r>
      <w:r>
        <w:t>2000</w:t>
      </w:r>
    </w:p>
    <w:p w14:paraId="04C7EC3A"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bookmarkStart w:id="15" w:name="_Hlk479275214"/>
      <w:r>
        <w:rPr>
          <w:color w:val="000000"/>
        </w:rPr>
        <w:t>MUCPv</w:t>
      </w:r>
      <w:bookmarkEnd w:id="15"/>
      <w:r>
        <w:rPr>
          <w:color w:val="000000"/>
        </w:rPr>
        <w:t xml:space="preserve">-267, MUCPv-268, MUCPv-269 (holotype); Ortega </w:t>
      </w:r>
      <w:r>
        <w:rPr>
          <w:i/>
          <w:iCs/>
          <w:color w:val="000000"/>
        </w:rPr>
        <w:t xml:space="preserve">et al. </w:t>
      </w:r>
      <w:r>
        <w:rPr>
          <w:color w:val="000000"/>
        </w:rPr>
        <w:t>(2000).</w:t>
      </w:r>
    </w:p>
    <w:p w14:paraId="04BE2E43" w14:textId="77777777" w:rsidR="004C76BC" w:rsidRDefault="004C76BC" w:rsidP="004C76BC">
      <w:pPr>
        <w:autoSpaceDE w:val="0"/>
        <w:autoSpaceDN w:val="0"/>
        <w:adjustRightInd w:val="0"/>
        <w:ind w:left="357"/>
        <w:rPr>
          <w:color w:val="000000"/>
        </w:rPr>
      </w:pPr>
      <w:r>
        <w:rPr>
          <w:smallCaps/>
          <w:color w:val="000000"/>
        </w:rPr>
        <w:t>Locality</w:t>
      </w:r>
      <w:r>
        <w:rPr>
          <w:color w:val="000000"/>
        </w:rPr>
        <w:t>: El Chocon (Embalse Ezequiel Ramos Mexia), Neuquén Province, NW Patagonia, W Argentina.</w:t>
      </w:r>
    </w:p>
    <w:p w14:paraId="0F0174DE"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Candeleros Member, Rio Limay Formation, Neuquén Group. Neuquén Basin. </w:t>
      </w:r>
    </w:p>
    <w:p w14:paraId="45ED28C9" w14:textId="77777777" w:rsidR="004C76BC" w:rsidRDefault="004C76BC" w:rsidP="004C76BC">
      <w:pPr>
        <w:autoSpaceDE w:val="0"/>
        <w:autoSpaceDN w:val="0"/>
        <w:adjustRightInd w:val="0"/>
        <w:ind w:left="357"/>
        <w:rPr>
          <w:i/>
          <w:iCs/>
          <w:color w:val="000000"/>
        </w:rPr>
      </w:pPr>
      <w:r>
        <w:rPr>
          <w:smallCaps/>
          <w:color w:val="000000"/>
        </w:rPr>
        <w:t>Age</w:t>
      </w:r>
      <w:r>
        <w:rPr>
          <w:color w:val="000000"/>
        </w:rPr>
        <w:t>: Albian-Cenomanian, ‘mid’ Cretaceous.</w:t>
      </w:r>
    </w:p>
    <w:p w14:paraId="36429371" w14:textId="77777777" w:rsidR="004C76BC" w:rsidRDefault="004C76BC" w:rsidP="004C76BC">
      <w:pPr>
        <w:pStyle w:val="Default"/>
        <w:ind w:left="720" w:hanging="720"/>
      </w:pPr>
    </w:p>
    <w:p w14:paraId="331F2986" w14:textId="77777777" w:rsidR="004C76BC" w:rsidRDefault="004C76BC" w:rsidP="004C76BC">
      <w:r>
        <w:rPr>
          <w:caps/>
          <w:u w:val="single"/>
        </w:rPr>
        <w:t>Notosuchia: Peirosauridae</w:t>
      </w:r>
      <w:r>
        <w:rPr>
          <w:u w:val="single"/>
        </w:rPr>
        <w:t xml:space="preserve"> (2 OTUs)</w:t>
      </w:r>
    </w:p>
    <w:p w14:paraId="4D88BA7E" w14:textId="77777777" w:rsidR="004C76BC" w:rsidRDefault="004C76BC" w:rsidP="004C76BC">
      <w:pPr>
        <w:pStyle w:val="Default"/>
        <w:ind w:left="720" w:hanging="720"/>
      </w:pPr>
      <w:r>
        <w:rPr>
          <w:iCs/>
        </w:rPr>
        <w:t xml:space="preserve">(19) </w:t>
      </w:r>
      <w:r>
        <w:rPr>
          <w:i/>
          <w:iCs/>
        </w:rPr>
        <w:t xml:space="preserve">Montealtosuchus arrudacamposi </w:t>
      </w:r>
      <w:r>
        <w:t xml:space="preserve">Carvalho </w:t>
      </w:r>
      <w:r>
        <w:rPr>
          <w:i/>
          <w:iCs/>
        </w:rPr>
        <w:t>et al</w:t>
      </w:r>
      <w:r>
        <w:t>., 2007</w:t>
      </w:r>
    </w:p>
    <w:p w14:paraId="11675230"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Carvalho </w:t>
      </w:r>
      <w:r>
        <w:rPr>
          <w:i/>
          <w:iCs/>
          <w:color w:val="000000"/>
        </w:rPr>
        <w:t>et al.</w:t>
      </w:r>
      <w:r>
        <w:rPr>
          <w:color w:val="000000"/>
        </w:rPr>
        <w:t xml:space="preserve"> (2007)</w:t>
      </w:r>
    </w:p>
    <w:p w14:paraId="43C8A9D1"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Monte Alto, N São Paulo State, Brazil.</w:t>
      </w:r>
    </w:p>
    <w:p w14:paraId="0427A17A" w14:textId="77777777" w:rsidR="004C76BC" w:rsidRDefault="004C76BC" w:rsidP="004C76BC">
      <w:pPr>
        <w:autoSpaceDE w:val="0"/>
        <w:autoSpaceDN w:val="0"/>
        <w:adjustRightInd w:val="0"/>
        <w:ind w:left="357"/>
        <w:rPr>
          <w:color w:val="000000"/>
        </w:rPr>
      </w:pPr>
      <w:r>
        <w:rPr>
          <w:smallCaps/>
          <w:color w:val="000000"/>
        </w:rPr>
        <w:lastRenderedPageBreak/>
        <w:t>Formation</w:t>
      </w:r>
      <w:r>
        <w:rPr>
          <w:color w:val="000000"/>
        </w:rPr>
        <w:t>: Adamantina Formation, Bauru Group. Bauru Basin.</w:t>
      </w:r>
    </w:p>
    <w:p w14:paraId="7F6A8408" w14:textId="77777777" w:rsidR="004C76BC" w:rsidRDefault="004C76BC" w:rsidP="004C76BC">
      <w:pPr>
        <w:autoSpaceDE w:val="0"/>
        <w:autoSpaceDN w:val="0"/>
        <w:adjustRightInd w:val="0"/>
        <w:ind w:left="357"/>
        <w:rPr>
          <w:color w:val="000000"/>
        </w:rPr>
      </w:pPr>
      <w:r>
        <w:rPr>
          <w:smallCaps/>
          <w:color w:val="000000"/>
        </w:rPr>
        <w:t>Age</w:t>
      </w:r>
      <w:r>
        <w:rPr>
          <w:color w:val="000000"/>
        </w:rPr>
        <w:t>: Campanian–Maastrichtian, Upper Cretaceous.</w:t>
      </w:r>
    </w:p>
    <w:p w14:paraId="34582862" w14:textId="77777777" w:rsidR="004C76BC" w:rsidRDefault="004C76BC" w:rsidP="004C76BC">
      <w:pPr>
        <w:pStyle w:val="Default"/>
        <w:ind w:left="720" w:hanging="720"/>
      </w:pPr>
    </w:p>
    <w:p w14:paraId="35120CA5" w14:textId="77777777" w:rsidR="004C76BC" w:rsidRDefault="004C76BC" w:rsidP="004C76BC">
      <w:pPr>
        <w:ind w:left="720" w:hanging="720"/>
      </w:pPr>
      <w:r>
        <w:rPr>
          <w:iCs/>
        </w:rPr>
        <w:t xml:space="preserve">(20) </w:t>
      </w:r>
      <w:r>
        <w:rPr>
          <w:i/>
          <w:iCs/>
        </w:rPr>
        <w:t xml:space="preserve">Uberabasuchus terreficus </w:t>
      </w:r>
      <w:r>
        <w:t xml:space="preserve">Carvalho </w:t>
      </w:r>
      <w:r>
        <w:rPr>
          <w:i/>
          <w:iCs/>
        </w:rPr>
        <w:t>et al</w:t>
      </w:r>
      <w:r>
        <w:t>., 2004</w:t>
      </w:r>
    </w:p>
    <w:p w14:paraId="107BF601"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Carvalho </w:t>
      </w:r>
      <w:r>
        <w:rPr>
          <w:i/>
          <w:iCs/>
          <w:color w:val="000000"/>
        </w:rPr>
        <w:t xml:space="preserve">et al. </w:t>
      </w:r>
      <w:r>
        <w:rPr>
          <w:color w:val="000000"/>
        </w:rPr>
        <w:t>(2004).</w:t>
      </w:r>
    </w:p>
    <w:p w14:paraId="7E993297"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Caieira outcrop, Peiropolis, Uberaba Municipality, S Minas Gerais State, SE Brazil.</w:t>
      </w:r>
    </w:p>
    <w:p w14:paraId="5636CDD4" w14:textId="77777777" w:rsidR="004C76BC" w:rsidRDefault="004C76BC" w:rsidP="004C76BC">
      <w:pPr>
        <w:tabs>
          <w:tab w:val="center" w:pos="4691"/>
        </w:tabs>
        <w:autoSpaceDE w:val="0"/>
        <w:autoSpaceDN w:val="0"/>
        <w:adjustRightInd w:val="0"/>
        <w:ind w:left="357"/>
        <w:rPr>
          <w:color w:val="000000"/>
        </w:rPr>
      </w:pPr>
      <w:r>
        <w:rPr>
          <w:smallCaps/>
          <w:color w:val="000000"/>
        </w:rPr>
        <w:t>Formation</w:t>
      </w:r>
      <w:r>
        <w:rPr>
          <w:color w:val="000000"/>
        </w:rPr>
        <w:t>: Marilia Formation, Bauru Group. Bauru Basin.</w:t>
      </w:r>
    </w:p>
    <w:p w14:paraId="0F832B57" w14:textId="77777777" w:rsidR="004C76BC" w:rsidRDefault="004C76BC" w:rsidP="004C76BC">
      <w:pPr>
        <w:autoSpaceDE w:val="0"/>
        <w:autoSpaceDN w:val="0"/>
        <w:adjustRightInd w:val="0"/>
        <w:ind w:left="357"/>
        <w:rPr>
          <w:color w:val="000000"/>
        </w:rPr>
      </w:pPr>
      <w:r>
        <w:rPr>
          <w:smallCaps/>
          <w:color w:val="000000"/>
        </w:rPr>
        <w:t>Age</w:t>
      </w:r>
      <w:r>
        <w:rPr>
          <w:color w:val="000000"/>
        </w:rPr>
        <w:t>: Campanian–Maastrichtian, Upper Cretaceous.</w:t>
      </w:r>
    </w:p>
    <w:p w14:paraId="36225C9B" w14:textId="77777777" w:rsidR="004C76BC" w:rsidRDefault="004C76BC" w:rsidP="004C76BC">
      <w:pPr>
        <w:pStyle w:val="Default"/>
        <w:ind w:left="720" w:hanging="720"/>
      </w:pPr>
    </w:p>
    <w:p w14:paraId="5F478265" w14:textId="77777777" w:rsidR="004C76BC" w:rsidRDefault="004C76BC" w:rsidP="004C76BC">
      <w:bookmarkStart w:id="16" w:name="_Hlk487635260"/>
      <w:r>
        <w:rPr>
          <w:caps/>
          <w:u w:val="single"/>
        </w:rPr>
        <w:t>Notosuchia: ‘trematochampsidae’</w:t>
      </w:r>
      <w:r>
        <w:rPr>
          <w:u w:val="single"/>
        </w:rPr>
        <w:t xml:space="preserve"> (1 OTU)</w:t>
      </w:r>
    </w:p>
    <w:bookmarkEnd w:id="16"/>
    <w:p w14:paraId="55623F99" w14:textId="77777777" w:rsidR="004C76BC" w:rsidRDefault="004C76BC" w:rsidP="004C76BC">
      <w:pPr>
        <w:pStyle w:val="Default"/>
        <w:ind w:left="720" w:hanging="720"/>
      </w:pPr>
      <w:r>
        <w:rPr>
          <w:iCs/>
        </w:rPr>
        <w:t xml:space="preserve">(21) cf. </w:t>
      </w:r>
      <w:r>
        <w:rPr>
          <w:i/>
          <w:iCs/>
        </w:rPr>
        <w:t xml:space="preserve">Hamadasuchus rebouli </w:t>
      </w:r>
      <w:r>
        <w:t>Buffetaut, 1994</w:t>
      </w:r>
    </w:p>
    <w:p w14:paraId="352EA16E"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This OTU was scored for specimens referred to </w:t>
      </w:r>
      <w:r>
        <w:rPr>
          <w:i/>
          <w:iCs/>
          <w:color w:val="000000"/>
        </w:rPr>
        <w:t xml:space="preserve">H. rebouli </w:t>
      </w:r>
      <w:r>
        <w:rPr>
          <w:color w:val="000000"/>
        </w:rPr>
        <w:t xml:space="preserve">by Larsson &amp; Sues (2007; mainly ROM-52620), not the type material. Therefore, the use of cf. </w:t>
      </w:r>
      <w:r>
        <w:rPr>
          <w:i/>
          <w:iCs/>
          <w:color w:val="000000"/>
        </w:rPr>
        <w:t>H. rebouli</w:t>
      </w:r>
      <w:r>
        <w:rPr>
          <w:color w:val="000000"/>
        </w:rPr>
        <w:t>.</w:t>
      </w:r>
    </w:p>
    <w:p w14:paraId="58F3D26D"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SE Morocco.</w:t>
      </w:r>
    </w:p>
    <w:p w14:paraId="1CDC74CB" w14:textId="77777777" w:rsidR="004C76BC" w:rsidRDefault="004C76BC" w:rsidP="004C76BC">
      <w:pPr>
        <w:tabs>
          <w:tab w:val="center" w:pos="4691"/>
        </w:tabs>
        <w:autoSpaceDE w:val="0"/>
        <w:autoSpaceDN w:val="0"/>
        <w:adjustRightInd w:val="0"/>
        <w:ind w:left="357"/>
        <w:rPr>
          <w:color w:val="000000"/>
        </w:rPr>
      </w:pPr>
      <w:r>
        <w:rPr>
          <w:smallCaps/>
          <w:color w:val="000000"/>
        </w:rPr>
        <w:t>Formation</w:t>
      </w:r>
      <w:r>
        <w:rPr>
          <w:color w:val="000000"/>
        </w:rPr>
        <w:t>: Kem Kem beds.</w:t>
      </w:r>
    </w:p>
    <w:p w14:paraId="50795760" w14:textId="77777777" w:rsidR="004C76BC" w:rsidRDefault="004C76BC" w:rsidP="004C76BC">
      <w:pPr>
        <w:autoSpaceDE w:val="0"/>
        <w:autoSpaceDN w:val="0"/>
        <w:adjustRightInd w:val="0"/>
        <w:ind w:left="357"/>
        <w:rPr>
          <w:color w:val="000000"/>
        </w:rPr>
      </w:pPr>
      <w:r>
        <w:rPr>
          <w:smallCaps/>
          <w:color w:val="000000"/>
        </w:rPr>
        <w:t>Age</w:t>
      </w:r>
      <w:r>
        <w:rPr>
          <w:color w:val="000000"/>
        </w:rPr>
        <w:t>: Albian–Cenomanian, ‘mid’ Cretaceous.</w:t>
      </w:r>
    </w:p>
    <w:p w14:paraId="5A19F097" w14:textId="77777777" w:rsidR="004C76BC" w:rsidRDefault="004C76BC" w:rsidP="004C76BC">
      <w:pPr>
        <w:pStyle w:val="Default"/>
        <w:ind w:left="720" w:hanging="720"/>
      </w:pPr>
    </w:p>
    <w:p w14:paraId="302FAE38" w14:textId="77777777" w:rsidR="004C76BC" w:rsidRDefault="004C76BC" w:rsidP="004C76BC">
      <w:bookmarkStart w:id="17" w:name="_Hlk487635273"/>
      <w:r>
        <w:rPr>
          <w:caps/>
          <w:u w:val="single"/>
        </w:rPr>
        <w:t>Notosuchia: Sebecidae</w:t>
      </w:r>
      <w:r>
        <w:rPr>
          <w:u w:val="single"/>
        </w:rPr>
        <w:t xml:space="preserve"> (1 OTU)</w:t>
      </w:r>
    </w:p>
    <w:bookmarkEnd w:id="17"/>
    <w:p w14:paraId="303B5A42" w14:textId="77777777" w:rsidR="004C76BC" w:rsidRDefault="004C76BC" w:rsidP="004C76BC">
      <w:pPr>
        <w:pStyle w:val="Default"/>
        <w:ind w:left="720" w:hanging="720"/>
      </w:pPr>
      <w:r>
        <w:rPr>
          <w:iCs/>
        </w:rPr>
        <w:t xml:space="preserve">(22) </w:t>
      </w:r>
      <w:r>
        <w:rPr>
          <w:i/>
          <w:iCs/>
        </w:rPr>
        <w:t xml:space="preserve">Sebecus icaeorhinus </w:t>
      </w:r>
      <w:r>
        <w:t>Simpson, 1937</w:t>
      </w:r>
    </w:p>
    <w:p w14:paraId="70026D7D"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18" w:name="_Hlk479275317"/>
      <w:r>
        <w:t xml:space="preserve">AMNH </w:t>
      </w:r>
      <w:bookmarkEnd w:id="18"/>
      <w:r>
        <w:t>3160 (cast); Larsson &amp; Sues (2007).</w:t>
      </w:r>
    </w:p>
    <w:p w14:paraId="282F5A9C"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Canadon Hondo and Canadon Vaca, tributaries to the Rio Chico del Chubut, Chubut, Patagonia, Argentina.</w:t>
      </w:r>
    </w:p>
    <w:p w14:paraId="3BB3D270" w14:textId="77777777" w:rsidR="004C76BC" w:rsidRDefault="004C76BC" w:rsidP="004C76BC">
      <w:pPr>
        <w:tabs>
          <w:tab w:val="center" w:pos="4691"/>
        </w:tabs>
        <w:autoSpaceDE w:val="0"/>
        <w:autoSpaceDN w:val="0"/>
        <w:adjustRightInd w:val="0"/>
        <w:ind w:left="357"/>
        <w:rPr>
          <w:color w:val="000000"/>
        </w:rPr>
      </w:pPr>
      <w:r>
        <w:rPr>
          <w:smallCaps/>
          <w:color w:val="000000"/>
        </w:rPr>
        <w:t>Formation</w:t>
      </w:r>
      <w:r>
        <w:rPr>
          <w:color w:val="000000"/>
        </w:rPr>
        <w:t>: Casamayor Formation.</w:t>
      </w:r>
    </w:p>
    <w:p w14:paraId="7C9CDC44" w14:textId="77777777" w:rsidR="004C76BC" w:rsidRDefault="004C76BC" w:rsidP="004C76BC">
      <w:pPr>
        <w:autoSpaceDE w:val="0"/>
        <w:autoSpaceDN w:val="0"/>
        <w:adjustRightInd w:val="0"/>
        <w:ind w:left="357"/>
        <w:rPr>
          <w:color w:val="000000"/>
        </w:rPr>
      </w:pPr>
      <w:r>
        <w:rPr>
          <w:smallCaps/>
          <w:color w:val="000000"/>
        </w:rPr>
        <w:t>Age</w:t>
      </w:r>
      <w:r>
        <w:rPr>
          <w:color w:val="000000"/>
        </w:rPr>
        <w:t>: early–middle Eocene, Paleogene.</w:t>
      </w:r>
    </w:p>
    <w:p w14:paraId="28BB04C8" w14:textId="77777777" w:rsidR="004C76BC" w:rsidRDefault="004C76BC" w:rsidP="004C76BC">
      <w:pPr>
        <w:pStyle w:val="Default"/>
        <w:ind w:left="720" w:hanging="720"/>
      </w:pPr>
    </w:p>
    <w:p w14:paraId="29B32BAC" w14:textId="77777777" w:rsidR="004C76BC" w:rsidRDefault="004C76BC" w:rsidP="004C76BC">
      <w:pPr>
        <w:rPr>
          <w:rFonts w:eastAsiaTheme="minorHAnsi"/>
          <w:caps/>
          <w:u w:val="single"/>
        </w:rPr>
      </w:pPr>
      <w:r>
        <w:rPr>
          <w:caps/>
          <w:u w:val="single"/>
        </w:rPr>
        <w:t xml:space="preserve">Notosuchia: Mahajangasuchidae (1 </w:t>
      </w:r>
      <w:r>
        <w:rPr>
          <w:u w:val="single"/>
        </w:rPr>
        <w:t>OTU</w:t>
      </w:r>
      <w:r>
        <w:rPr>
          <w:caps/>
          <w:u w:val="single"/>
        </w:rPr>
        <w:t>)</w:t>
      </w:r>
    </w:p>
    <w:p w14:paraId="599F361B" w14:textId="77777777" w:rsidR="004C76BC" w:rsidRDefault="004C76BC" w:rsidP="004C76BC">
      <w:pPr>
        <w:pStyle w:val="Default"/>
        <w:ind w:left="720" w:hanging="720"/>
      </w:pPr>
      <w:r>
        <w:rPr>
          <w:iCs/>
        </w:rPr>
        <w:t xml:space="preserve">(23) </w:t>
      </w:r>
      <w:r>
        <w:rPr>
          <w:i/>
          <w:iCs/>
        </w:rPr>
        <w:t>Mahajangasuchus insignis</w:t>
      </w:r>
      <w:r>
        <w:t xml:space="preserve"> Buckley &amp; Brochu, 1999</w:t>
      </w:r>
    </w:p>
    <w:p w14:paraId="4BEB94BB" w14:textId="77777777" w:rsidR="004C76BC" w:rsidRDefault="004C76BC" w:rsidP="004C76BC">
      <w:pPr>
        <w:autoSpaceDE w:val="0"/>
        <w:autoSpaceDN w:val="0"/>
        <w:adjustRightInd w:val="0"/>
        <w:ind w:left="357"/>
        <w:rPr>
          <w:color w:val="000000"/>
        </w:rPr>
      </w:pPr>
      <w:r>
        <w:rPr>
          <w:smallCaps/>
          <w:color w:val="000000"/>
        </w:rPr>
        <w:t>Data from</w:t>
      </w:r>
      <w:r>
        <w:rPr>
          <w:color w:val="000000"/>
        </w:rPr>
        <w:t>: Buckley &amp; Brochu (1999), Turner &amp; Buckley (2008).</w:t>
      </w:r>
    </w:p>
    <w:p w14:paraId="27B5AB7E"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1km SW Berivotra Village, SW Mahajanga, NW Madagascar.</w:t>
      </w:r>
    </w:p>
    <w:p w14:paraId="7F80C747" w14:textId="77777777" w:rsidR="004C76BC" w:rsidRDefault="004C76BC" w:rsidP="004C76BC">
      <w:pPr>
        <w:tabs>
          <w:tab w:val="center" w:pos="4691"/>
        </w:tabs>
        <w:autoSpaceDE w:val="0"/>
        <w:autoSpaceDN w:val="0"/>
        <w:adjustRightInd w:val="0"/>
        <w:ind w:left="357"/>
        <w:rPr>
          <w:color w:val="000000"/>
        </w:rPr>
      </w:pPr>
      <w:r>
        <w:rPr>
          <w:smallCaps/>
          <w:color w:val="000000"/>
        </w:rPr>
        <w:t>Formation</w:t>
      </w:r>
      <w:r>
        <w:rPr>
          <w:color w:val="000000"/>
        </w:rPr>
        <w:t>: Maevarano Formation. Mahajanga Basin.</w:t>
      </w:r>
    </w:p>
    <w:p w14:paraId="0A69EC14" w14:textId="77777777" w:rsidR="004C76BC" w:rsidRDefault="004C76BC" w:rsidP="004C76BC">
      <w:pPr>
        <w:autoSpaceDE w:val="0"/>
        <w:autoSpaceDN w:val="0"/>
        <w:adjustRightInd w:val="0"/>
        <w:ind w:left="357"/>
        <w:rPr>
          <w:color w:val="000000"/>
        </w:rPr>
      </w:pPr>
      <w:r>
        <w:rPr>
          <w:smallCaps/>
          <w:color w:val="000000"/>
        </w:rPr>
        <w:t>Age</w:t>
      </w:r>
      <w:r>
        <w:rPr>
          <w:color w:val="000000"/>
        </w:rPr>
        <w:t>: Campanian–Maastrichtian, Upper Cretaceous.</w:t>
      </w:r>
    </w:p>
    <w:p w14:paraId="1C92635B" w14:textId="77777777" w:rsidR="004C76BC" w:rsidRDefault="004C76BC" w:rsidP="004C76BC"/>
    <w:p w14:paraId="36FA545B" w14:textId="77777777" w:rsidR="004C76BC" w:rsidRDefault="004C76BC" w:rsidP="004C76BC">
      <w:pPr>
        <w:rPr>
          <w:caps/>
          <w:u w:val="single"/>
        </w:rPr>
      </w:pPr>
      <w:r>
        <w:rPr>
          <w:caps/>
          <w:u w:val="single"/>
        </w:rPr>
        <w:t xml:space="preserve">Neosuchia: atoposauridae (2 </w:t>
      </w:r>
      <w:r>
        <w:rPr>
          <w:u w:val="single"/>
        </w:rPr>
        <w:t>OTUs</w:t>
      </w:r>
      <w:r>
        <w:rPr>
          <w:caps/>
          <w:u w:val="single"/>
        </w:rPr>
        <w:t>)</w:t>
      </w:r>
    </w:p>
    <w:p w14:paraId="3C82E6AC" w14:textId="77777777" w:rsidR="004C76BC" w:rsidRDefault="004C76BC" w:rsidP="004C76BC">
      <w:pPr>
        <w:ind w:left="720" w:hanging="720"/>
      </w:pPr>
      <w:r>
        <w:rPr>
          <w:iCs/>
        </w:rPr>
        <w:t xml:space="preserve">(24) </w:t>
      </w:r>
      <w:r>
        <w:rPr>
          <w:i/>
          <w:iCs/>
        </w:rPr>
        <w:t xml:space="preserve">Alligatorium meyeri </w:t>
      </w:r>
      <w:r>
        <w:t>Gervais, 1871</w:t>
      </w:r>
    </w:p>
    <w:p w14:paraId="04D8367F"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photographs of the holotype provided by Jon Tennant.</w:t>
      </w:r>
    </w:p>
    <w:p w14:paraId="75AF49BA"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Cerin, France.</w:t>
      </w:r>
    </w:p>
    <w:p w14:paraId="60AC491F"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Cerin </w:t>
      </w:r>
      <w:r>
        <w:rPr>
          <w:rStyle w:val="st"/>
        </w:rPr>
        <w:t>Lagerstätte</w:t>
      </w:r>
      <w:r>
        <w:rPr>
          <w:color w:val="000000"/>
        </w:rPr>
        <w:t>.</w:t>
      </w:r>
    </w:p>
    <w:p w14:paraId="4C7E2179" w14:textId="77777777" w:rsidR="004C76BC" w:rsidRDefault="004C76BC" w:rsidP="004C76BC">
      <w:pPr>
        <w:autoSpaceDE w:val="0"/>
        <w:autoSpaceDN w:val="0"/>
        <w:adjustRightInd w:val="0"/>
        <w:ind w:left="357"/>
        <w:rPr>
          <w:color w:val="000000"/>
        </w:rPr>
      </w:pPr>
      <w:r>
        <w:rPr>
          <w:smallCaps/>
          <w:color w:val="000000"/>
        </w:rPr>
        <w:t>Age</w:t>
      </w:r>
      <w:r>
        <w:rPr>
          <w:color w:val="000000"/>
        </w:rPr>
        <w:t>: upper Kimmeridgian, Upper Jurassic.</w:t>
      </w:r>
    </w:p>
    <w:p w14:paraId="1DD6F86C" w14:textId="77777777" w:rsidR="004C76BC" w:rsidRDefault="004C76BC" w:rsidP="004C76BC">
      <w:pPr>
        <w:ind w:left="720" w:hanging="720"/>
        <w:rPr>
          <w:i/>
          <w:color w:val="000000"/>
        </w:rPr>
      </w:pPr>
    </w:p>
    <w:p w14:paraId="5B051C6D" w14:textId="77777777" w:rsidR="004C76BC" w:rsidRDefault="004C76BC" w:rsidP="004C76BC">
      <w:pPr>
        <w:ind w:left="720" w:hanging="720"/>
      </w:pPr>
      <w:r>
        <w:rPr>
          <w:iCs/>
        </w:rPr>
        <w:t xml:space="preserve">(25) </w:t>
      </w:r>
      <w:r>
        <w:rPr>
          <w:i/>
          <w:iCs/>
        </w:rPr>
        <w:t xml:space="preserve">Theriosuchus pusillus </w:t>
      </w:r>
      <w:r>
        <w:t xml:space="preserve">Owen, 1878 </w:t>
      </w:r>
    </w:p>
    <w:p w14:paraId="6E206F97"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NHMUK PV OR 48216 (lectotype), NHMUK PV OR 48330 (paratype), </w:t>
      </w:r>
      <w:r>
        <w:t>NHMUK PV OR 48262</w:t>
      </w:r>
      <w:r>
        <w:rPr>
          <w:color w:val="000000"/>
        </w:rPr>
        <w:t xml:space="preserve">; </w:t>
      </w:r>
      <w:r>
        <w:t xml:space="preserve">Tennant </w:t>
      </w:r>
      <w:r>
        <w:rPr>
          <w:i/>
        </w:rPr>
        <w:t>et al</w:t>
      </w:r>
      <w:r>
        <w:t>. (2016).</w:t>
      </w:r>
    </w:p>
    <w:p w14:paraId="6D65E691"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Durlston Bay, Swanage, Dorset County, Jurassic Coast, S-SW England, UK.</w:t>
      </w:r>
    </w:p>
    <w:p w14:paraId="794B4C79" w14:textId="77777777" w:rsidR="004C76BC" w:rsidRDefault="004C76BC" w:rsidP="004C76BC">
      <w:pPr>
        <w:autoSpaceDE w:val="0"/>
        <w:autoSpaceDN w:val="0"/>
        <w:adjustRightInd w:val="0"/>
        <w:ind w:left="357"/>
        <w:rPr>
          <w:color w:val="000000"/>
        </w:rPr>
      </w:pPr>
      <w:r>
        <w:rPr>
          <w:smallCaps/>
          <w:color w:val="000000"/>
        </w:rPr>
        <w:t>Formation</w:t>
      </w:r>
      <w:r>
        <w:rPr>
          <w:color w:val="000000"/>
        </w:rPr>
        <w:t>: “Beccles’ residuary marls” (beds 83–93; Clements, 1993), Worbarrow Tout Member (sensu Westhead &amp; Mather, 1996), Lulworth Formation, Purbeck Limestone Group.</w:t>
      </w:r>
    </w:p>
    <w:p w14:paraId="58C1AB47" w14:textId="77777777" w:rsidR="004C76BC" w:rsidRDefault="004C76BC" w:rsidP="004C76BC">
      <w:pPr>
        <w:autoSpaceDE w:val="0"/>
        <w:autoSpaceDN w:val="0"/>
        <w:adjustRightInd w:val="0"/>
        <w:ind w:left="357"/>
        <w:rPr>
          <w:color w:val="000000"/>
        </w:rPr>
      </w:pPr>
      <w:r>
        <w:rPr>
          <w:smallCaps/>
          <w:color w:val="000000"/>
        </w:rPr>
        <w:t>Age</w:t>
      </w:r>
      <w:r>
        <w:rPr>
          <w:color w:val="000000"/>
        </w:rPr>
        <w:t>: Berriasian, Lower Cretaceous.</w:t>
      </w:r>
    </w:p>
    <w:p w14:paraId="18D49D3C" w14:textId="77777777" w:rsidR="004C76BC" w:rsidRDefault="004C76BC" w:rsidP="004C76BC"/>
    <w:p w14:paraId="2FA0C37D" w14:textId="77777777" w:rsidR="004C76BC" w:rsidRDefault="004C76BC" w:rsidP="004C76BC">
      <w:pPr>
        <w:rPr>
          <w:caps/>
          <w:u w:val="single"/>
        </w:rPr>
      </w:pPr>
      <w:r>
        <w:rPr>
          <w:caps/>
          <w:u w:val="single"/>
        </w:rPr>
        <w:lastRenderedPageBreak/>
        <w:t xml:space="preserve">Neosuchia: Goniopholididae (8 </w:t>
      </w:r>
      <w:r>
        <w:rPr>
          <w:u w:val="single"/>
        </w:rPr>
        <w:t>OTUs</w:t>
      </w:r>
      <w:r>
        <w:rPr>
          <w:caps/>
          <w:u w:val="single"/>
        </w:rPr>
        <w:t>)</w:t>
      </w:r>
    </w:p>
    <w:p w14:paraId="45787132" w14:textId="77777777" w:rsidR="004C76BC" w:rsidRDefault="004C76BC" w:rsidP="004C76BC">
      <w:r>
        <w:rPr>
          <w:color w:val="000000"/>
        </w:rPr>
        <w:t xml:space="preserve">(26) </w:t>
      </w:r>
      <w:r>
        <w:rPr>
          <w:i/>
          <w:color w:val="000000"/>
        </w:rPr>
        <w:t>Eutretauranosuchus</w:t>
      </w:r>
      <w:r>
        <w:rPr>
          <w:color w:val="000000"/>
        </w:rPr>
        <w:t xml:space="preserve"> </w:t>
      </w:r>
      <w:r>
        <w:rPr>
          <w:i/>
          <w:color w:val="000000"/>
        </w:rPr>
        <w:t>delfsi</w:t>
      </w:r>
      <w:r>
        <w:rPr>
          <w:color w:val="000000"/>
        </w:rPr>
        <w:t xml:space="preserve"> </w:t>
      </w:r>
      <w:r>
        <w:t>Mook, 1967</w:t>
      </w:r>
    </w:p>
    <w:p w14:paraId="389B5C63"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CM 8028 (holotype); </w:t>
      </w:r>
      <w:r>
        <w:rPr>
          <w:color w:val="000000"/>
        </w:rPr>
        <w:t xml:space="preserve">Smith </w:t>
      </w:r>
      <w:r>
        <w:rPr>
          <w:i/>
          <w:color w:val="000000"/>
        </w:rPr>
        <w:t>et al</w:t>
      </w:r>
      <w:r>
        <w:rPr>
          <w:color w:val="000000"/>
        </w:rPr>
        <w:t>. (2010).</w:t>
      </w:r>
    </w:p>
    <w:p w14:paraId="3B3417E9"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Canon City, Colorado, USA.</w:t>
      </w:r>
    </w:p>
    <w:p w14:paraId="5886063B" w14:textId="77777777" w:rsidR="004C76BC" w:rsidRDefault="004C76BC" w:rsidP="004C76BC">
      <w:pPr>
        <w:autoSpaceDE w:val="0"/>
        <w:autoSpaceDN w:val="0"/>
        <w:adjustRightInd w:val="0"/>
        <w:ind w:left="357"/>
        <w:rPr>
          <w:color w:val="000000"/>
        </w:rPr>
      </w:pPr>
      <w:r>
        <w:rPr>
          <w:smallCaps/>
          <w:color w:val="000000"/>
        </w:rPr>
        <w:t>Formation</w:t>
      </w:r>
      <w:r>
        <w:rPr>
          <w:color w:val="000000"/>
        </w:rPr>
        <w:t>: Morrison Formation. Morrison Basin.</w:t>
      </w:r>
    </w:p>
    <w:p w14:paraId="28A9F54E" w14:textId="77777777" w:rsidR="004C76BC" w:rsidRDefault="004C76BC" w:rsidP="004C76BC">
      <w:pPr>
        <w:autoSpaceDE w:val="0"/>
        <w:autoSpaceDN w:val="0"/>
        <w:adjustRightInd w:val="0"/>
        <w:ind w:left="357"/>
        <w:rPr>
          <w:color w:val="000000"/>
        </w:rPr>
      </w:pPr>
      <w:r>
        <w:rPr>
          <w:smallCaps/>
          <w:color w:val="000000"/>
        </w:rPr>
        <w:t>Age</w:t>
      </w:r>
      <w:r>
        <w:rPr>
          <w:color w:val="000000"/>
        </w:rPr>
        <w:t>: Kimmeridgian, Upper Jurassic.</w:t>
      </w:r>
    </w:p>
    <w:p w14:paraId="1B346C15" w14:textId="77777777" w:rsidR="004C76BC" w:rsidRDefault="004C76BC" w:rsidP="004C76BC">
      <w:pPr>
        <w:pStyle w:val="Default"/>
        <w:rPr>
          <w:iCs/>
        </w:rPr>
      </w:pPr>
    </w:p>
    <w:p w14:paraId="452324B1" w14:textId="77777777" w:rsidR="004C76BC" w:rsidRDefault="004C76BC" w:rsidP="004C76BC">
      <w:pPr>
        <w:pStyle w:val="Default"/>
      </w:pPr>
      <w:r>
        <w:rPr>
          <w:iCs/>
        </w:rPr>
        <w:t xml:space="preserve">(27) </w:t>
      </w:r>
      <w:r>
        <w:rPr>
          <w:i/>
          <w:iCs/>
        </w:rPr>
        <w:t xml:space="preserve">Amphicotylus stovalli </w:t>
      </w:r>
      <w:r>
        <w:t>(Mook, 1964)</w:t>
      </w:r>
    </w:p>
    <w:p w14:paraId="70436394"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19" w:name="_Hlk479275341"/>
      <w:r>
        <w:t xml:space="preserve">CMC </w:t>
      </w:r>
      <w:bookmarkEnd w:id="19"/>
      <w:r>
        <w:t>VP7798 (cast).</w:t>
      </w:r>
    </w:p>
    <w:p w14:paraId="64501754"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V97, Cimarron County, Oklahoma, USA.</w:t>
      </w:r>
    </w:p>
    <w:p w14:paraId="6F9BE760" w14:textId="77777777" w:rsidR="004C76BC" w:rsidRDefault="004C76BC" w:rsidP="004C76BC">
      <w:pPr>
        <w:autoSpaceDE w:val="0"/>
        <w:autoSpaceDN w:val="0"/>
        <w:adjustRightInd w:val="0"/>
        <w:ind w:left="357"/>
        <w:rPr>
          <w:color w:val="000000"/>
        </w:rPr>
      </w:pPr>
      <w:r>
        <w:rPr>
          <w:smallCaps/>
          <w:color w:val="000000"/>
        </w:rPr>
        <w:t>Formation</w:t>
      </w:r>
      <w:r>
        <w:rPr>
          <w:color w:val="000000"/>
        </w:rPr>
        <w:t>: Morrison Formation.</w:t>
      </w:r>
    </w:p>
    <w:p w14:paraId="4B08435D" w14:textId="77777777" w:rsidR="004C76BC" w:rsidRDefault="004C76BC" w:rsidP="004C76BC">
      <w:pPr>
        <w:autoSpaceDE w:val="0"/>
        <w:autoSpaceDN w:val="0"/>
        <w:adjustRightInd w:val="0"/>
        <w:ind w:left="357"/>
        <w:rPr>
          <w:color w:val="000000"/>
        </w:rPr>
      </w:pPr>
      <w:r>
        <w:rPr>
          <w:smallCaps/>
          <w:color w:val="000000"/>
        </w:rPr>
        <w:t>Age</w:t>
      </w:r>
      <w:r>
        <w:rPr>
          <w:color w:val="000000"/>
        </w:rPr>
        <w:t>: ?Kimmeridgian, Upper Jurassic.</w:t>
      </w:r>
    </w:p>
    <w:p w14:paraId="170D196F" w14:textId="77777777" w:rsidR="004C76BC" w:rsidRDefault="004C76BC" w:rsidP="004C76BC">
      <w:pPr>
        <w:pStyle w:val="Default"/>
      </w:pPr>
    </w:p>
    <w:p w14:paraId="6C957836" w14:textId="77777777" w:rsidR="004C76BC" w:rsidRDefault="004C76BC" w:rsidP="004C76BC">
      <w:r>
        <w:rPr>
          <w:color w:val="000000"/>
        </w:rPr>
        <w:t xml:space="preserve">(28) </w:t>
      </w:r>
      <w:r>
        <w:rPr>
          <w:i/>
          <w:color w:val="000000"/>
        </w:rPr>
        <w:t>Goniopholis</w:t>
      </w:r>
      <w:r>
        <w:rPr>
          <w:color w:val="000000"/>
        </w:rPr>
        <w:t xml:space="preserve"> </w:t>
      </w:r>
      <w:r>
        <w:rPr>
          <w:i/>
          <w:color w:val="000000"/>
        </w:rPr>
        <w:t>baryglyphaeus</w:t>
      </w:r>
      <w:r>
        <w:rPr>
          <w:color w:val="000000"/>
        </w:rPr>
        <w:t xml:space="preserve"> </w:t>
      </w:r>
      <w:r>
        <w:t>Schwarz, 2002</w:t>
      </w:r>
    </w:p>
    <w:p w14:paraId="3D3194FF" w14:textId="77777777" w:rsidR="004C76BC" w:rsidRDefault="004C76BC" w:rsidP="004C76BC">
      <w:pPr>
        <w:autoSpaceDE w:val="0"/>
        <w:autoSpaceDN w:val="0"/>
        <w:adjustRightInd w:val="0"/>
        <w:ind w:left="357"/>
        <w:rPr>
          <w:color w:val="000000"/>
        </w:rPr>
      </w:pPr>
      <w:r>
        <w:rPr>
          <w:smallCaps/>
          <w:color w:val="000000"/>
        </w:rPr>
        <w:t>Data from</w:t>
      </w:r>
      <w:r>
        <w:rPr>
          <w:color w:val="000000"/>
        </w:rPr>
        <w:t>: Schwarz (2002).</w:t>
      </w:r>
    </w:p>
    <w:p w14:paraId="322DCB56"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Guimarota coal mine, Leiria, Portugal.</w:t>
      </w:r>
    </w:p>
    <w:p w14:paraId="21DE6DC6" w14:textId="77777777" w:rsidR="004C76BC" w:rsidRDefault="004C76BC" w:rsidP="004C76BC">
      <w:pPr>
        <w:autoSpaceDE w:val="0"/>
        <w:autoSpaceDN w:val="0"/>
        <w:adjustRightInd w:val="0"/>
        <w:ind w:left="357"/>
        <w:rPr>
          <w:color w:val="000000"/>
        </w:rPr>
      </w:pPr>
      <w:r>
        <w:rPr>
          <w:smallCaps/>
          <w:color w:val="000000"/>
        </w:rPr>
        <w:t>Formation</w:t>
      </w:r>
      <w:r>
        <w:rPr>
          <w:color w:val="000000"/>
        </w:rPr>
        <w:t>: Lower lignite coal layer (`Fundschichten'), `Guimarota Strata', Alcobaca Formation.</w:t>
      </w:r>
    </w:p>
    <w:p w14:paraId="6D25FC00"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Kimmeridgian, Upper Jurassic. </w:t>
      </w:r>
    </w:p>
    <w:p w14:paraId="6541793E" w14:textId="77777777" w:rsidR="004C76BC" w:rsidRDefault="004C76BC" w:rsidP="004C76BC"/>
    <w:p w14:paraId="1BD5396F" w14:textId="77777777" w:rsidR="004C76BC" w:rsidRDefault="004C76BC" w:rsidP="004C76BC">
      <w:r>
        <w:t xml:space="preserve">(29) </w:t>
      </w:r>
      <w:r>
        <w:rPr>
          <w:i/>
        </w:rPr>
        <w:t>Goniopholis kiplingi</w:t>
      </w:r>
      <w:r>
        <w:t xml:space="preserve"> Andrade </w:t>
      </w:r>
      <w:r>
        <w:rPr>
          <w:i/>
        </w:rPr>
        <w:t>et al</w:t>
      </w:r>
      <w:r>
        <w:t>., 2011.</w:t>
      </w:r>
    </w:p>
    <w:p w14:paraId="5E091F1B"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DORCM 12154 (holotype); Andrade </w:t>
      </w:r>
      <w:r>
        <w:rPr>
          <w:i/>
          <w:color w:val="000000"/>
        </w:rPr>
        <w:t>et al</w:t>
      </w:r>
      <w:r>
        <w:rPr>
          <w:color w:val="000000"/>
        </w:rPr>
        <w:t>. (2011).</w:t>
      </w:r>
    </w:p>
    <w:p w14:paraId="1EFB2919"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Durlston Bay, Swanage, Dorset County, Jurassic Coast, SSW England, UK.</w:t>
      </w:r>
    </w:p>
    <w:p w14:paraId="24647934" w14:textId="77777777" w:rsidR="004C76BC" w:rsidRDefault="004C76BC" w:rsidP="004C76BC">
      <w:pPr>
        <w:autoSpaceDE w:val="0"/>
        <w:autoSpaceDN w:val="0"/>
        <w:adjustRightInd w:val="0"/>
        <w:ind w:left="357"/>
        <w:rPr>
          <w:color w:val="000000"/>
        </w:rPr>
      </w:pPr>
      <w:r>
        <w:rPr>
          <w:smallCaps/>
          <w:color w:val="000000"/>
        </w:rPr>
        <w:t>Formation</w:t>
      </w:r>
      <w:r>
        <w:rPr>
          <w:color w:val="000000"/>
        </w:rPr>
        <w:t>: Bed 129b (Clements 1993), Intemarine beds (sensu Wimbledon, 1995), Stair Hole Member (sensu Westhead &amp; Mather 1996), Durlston Formation, Purbeck Limestone Group.</w:t>
      </w:r>
    </w:p>
    <w:p w14:paraId="3D8A808E" w14:textId="77777777" w:rsidR="004C76BC" w:rsidRDefault="004C76BC" w:rsidP="004C76BC">
      <w:pPr>
        <w:autoSpaceDE w:val="0"/>
        <w:autoSpaceDN w:val="0"/>
        <w:adjustRightInd w:val="0"/>
        <w:ind w:left="357"/>
        <w:rPr>
          <w:color w:val="000000"/>
        </w:rPr>
      </w:pPr>
      <w:r>
        <w:rPr>
          <w:smallCaps/>
          <w:color w:val="000000"/>
        </w:rPr>
        <w:t>Age</w:t>
      </w:r>
      <w:r>
        <w:rPr>
          <w:color w:val="000000"/>
        </w:rPr>
        <w:t>: Berriasian, Lower Cretaceous.</w:t>
      </w:r>
    </w:p>
    <w:p w14:paraId="05729810" w14:textId="77777777" w:rsidR="004C76BC" w:rsidRDefault="004C76BC" w:rsidP="004C76BC"/>
    <w:p w14:paraId="18405470" w14:textId="77777777" w:rsidR="004C76BC" w:rsidRDefault="004C76BC" w:rsidP="004C76BC">
      <w:pPr>
        <w:ind w:left="720" w:hanging="720"/>
        <w:rPr>
          <w:color w:val="000000"/>
        </w:rPr>
      </w:pPr>
      <w:r>
        <w:rPr>
          <w:color w:val="000000"/>
        </w:rPr>
        <w:t xml:space="preserve">(30) </w:t>
      </w:r>
      <w:r>
        <w:rPr>
          <w:i/>
          <w:color w:val="000000"/>
        </w:rPr>
        <w:t>Goniopholis simus</w:t>
      </w:r>
      <w:r>
        <w:rPr>
          <w:color w:val="000000"/>
        </w:rPr>
        <w:t xml:space="preserve"> Owen, 1878</w:t>
      </w:r>
    </w:p>
    <w:p w14:paraId="76F4101F" w14:textId="77777777" w:rsidR="004C76BC" w:rsidRDefault="004C76BC" w:rsidP="004C76BC">
      <w:pPr>
        <w:autoSpaceDE w:val="0"/>
        <w:autoSpaceDN w:val="0"/>
        <w:adjustRightInd w:val="0"/>
        <w:ind w:left="357"/>
        <w:rPr>
          <w:color w:val="000000"/>
        </w:rPr>
      </w:pPr>
      <w:r>
        <w:rPr>
          <w:smallCaps/>
          <w:color w:val="000000"/>
        </w:rPr>
        <w:t>Data from</w:t>
      </w:r>
      <w:r>
        <w:rPr>
          <w:color w:val="000000"/>
        </w:rPr>
        <w:t>: NHMUK PV OR 41098 (type), NHMUK PV R 5814.</w:t>
      </w:r>
    </w:p>
    <w:p w14:paraId="0C1B6163"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Swanage, Dorset County, Jurassic Coast, S-SW England; further referred materials from Schaumburg-Lippe Region, NW Germany.</w:t>
      </w:r>
    </w:p>
    <w:p w14:paraId="1173CAA4" w14:textId="77777777" w:rsidR="004C76BC" w:rsidRDefault="004C76BC" w:rsidP="004C76BC">
      <w:pPr>
        <w:autoSpaceDE w:val="0"/>
        <w:autoSpaceDN w:val="0"/>
        <w:adjustRightInd w:val="0"/>
        <w:ind w:left="357"/>
        <w:rPr>
          <w:color w:val="000000"/>
        </w:rPr>
      </w:pPr>
      <w:r>
        <w:rPr>
          <w:smallCaps/>
          <w:color w:val="000000"/>
        </w:rPr>
        <w:t>Formations</w:t>
      </w:r>
      <w:r>
        <w:rPr>
          <w:color w:val="000000"/>
        </w:rPr>
        <w:t>: Purbeck Limestone Group (UK) and Obernkirchen Sandstone, Buckeburg Member (Germany).</w:t>
      </w:r>
    </w:p>
    <w:p w14:paraId="2231A77C" w14:textId="77777777" w:rsidR="004C76BC" w:rsidRDefault="004C76BC" w:rsidP="004C76BC">
      <w:pPr>
        <w:autoSpaceDE w:val="0"/>
        <w:autoSpaceDN w:val="0"/>
        <w:adjustRightInd w:val="0"/>
        <w:ind w:left="357"/>
        <w:rPr>
          <w:color w:val="000000"/>
        </w:rPr>
      </w:pPr>
      <w:r>
        <w:rPr>
          <w:smallCaps/>
          <w:color w:val="000000"/>
        </w:rPr>
        <w:t>Age</w:t>
      </w:r>
      <w:r>
        <w:rPr>
          <w:color w:val="000000"/>
        </w:rPr>
        <w:t>: Berriasian, Lower Cretaceous.</w:t>
      </w:r>
    </w:p>
    <w:p w14:paraId="65F2F279" w14:textId="77777777" w:rsidR="004C76BC" w:rsidRDefault="004C76BC" w:rsidP="004C76BC">
      <w:pPr>
        <w:autoSpaceDE w:val="0"/>
        <w:autoSpaceDN w:val="0"/>
        <w:adjustRightInd w:val="0"/>
        <w:ind w:left="357"/>
        <w:rPr>
          <w:color w:val="000000"/>
        </w:rPr>
      </w:pPr>
    </w:p>
    <w:p w14:paraId="344CEF2A" w14:textId="77777777" w:rsidR="004C76BC" w:rsidRDefault="004C76BC" w:rsidP="004C76BC">
      <w:pPr>
        <w:pStyle w:val="Default"/>
      </w:pPr>
      <w:r>
        <w:t xml:space="preserve"> (31) </w:t>
      </w:r>
      <w:r>
        <w:rPr>
          <w:i/>
        </w:rPr>
        <w:t>Anteophthalmosuchus hooleyi</w:t>
      </w:r>
      <w:r>
        <w:t xml:space="preserve"> Salisbury &amp; Naish, 2011</w:t>
      </w:r>
    </w:p>
    <w:p w14:paraId="067FE49F" w14:textId="77777777" w:rsidR="004C76BC" w:rsidRDefault="004C76BC" w:rsidP="004C76BC">
      <w:pPr>
        <w:autoSpaceDE w:val="0"/>
        <w:autoSpaceDN w:val="0"/>
        <w:adjustRightInd w:val="0"/>
        <w:ind w:left="357"/>
        <w:rPr>
          <w:color w:val="000000"/>
        </w:rPr>
      </w:pPr>
      <w:r>
        <w:rPr>
          <w:smallCaps/>
          <w:color w:val="000000"/>
        </w:rPr>
        <w:t>Data from</w:t>
      </w:r>
      <w:r>
        <w:rPr>
          <w:color w:val="000000"/>
        </w:rPr>
        <w:t>: NHMUK PV R 3876 (holotype); Salisbury &amp; Naish (2011).</w:t>
      </w:r>
    </w:p>
    <w:p w14:paraId="73724A60"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near the</w:t>
      </w:r>
      <w:r>
        <w:rPr>
          <w:smallCaps/>
          <w:color w:val="000000"/>
        </w:rPr>
        <w:t xml:space="preserve"> “</w:t>
      </w:r>
      <w:r>
        <w:rPr>
          <w:color w:val="000000"/>
        </w:rPr>
        <w:t>Tie Pits”, Atherfield Point, Isle of Wight, UK.</w:t>
      </w:r>
    </w:p>
    <w:p w14:paraId="029C41EF" w14:textId="77777777" w:rsidR="004C76BC" w:rsidRDefault="004C76BC" w:rsidP="004C76BC">
      <w:pPr>
        <w:autoSpaceDE w:val="0"/>
        <w:autoSpaceDN w:val="0"/>
        <w:adjustRightInd w:val="0"/>
        <w:ind w:left="357"/>
        <w:rPr>
          <w:color w:val="000000"/>
        </w:rPr>
      </w:pPr>
      <w:r>
        <w:rPr>
          <w:smallCaps/>
          <w:color w:val="000000"/>
        </w:rPr>
        <w:t>Formation</w:t>
      </w:r>
      <w:r>
        <w:rPr>
          <w:color w:val="000000"/>
        </w:rPr>
        <w:t>: Shepherd’s Chine Member, Vectis Formation, Wealden Group.</w:t>
      </w:r>
    </w:p>
    <w:p w14:paraId="3F9A2772" w14:textId="77777777" w:rsidR="004C76BC" w:rsidRDefault="004C76BC" w:rsidP="004C76BC">
      <w:pPr>
        <w:autoSpaceDE w:val="0"/>
        <w:autoSpaceDN w:val="0"/>
        <w:adjustRightInd w:val="0"/>
        <w:ind w:left="357"/>
        <w:rPr>
          <w:color w:val="000000"/>
        </w:rPr>
      </w:pPr>
      <w:r>
        <w:rPr>
          <w:smallCaps/>
          <w:color w:val="000000"/>
        </w:rPr>
        <w:t>Age</w:t>
      </w:r>
      <w:r>
        <w:rPr>
          <w:color w:val="000000"/>
        </w:rPr>
        <w:t>: Barremian to early Aptian, Lower Cretaceous.</w:t>
      </w:r>
    </w:p>
    <w:p w14:paraId="17E80E0B" w14:textId="77777777" w:rsidR="004C76BC" w:rsidRDefault="004C76BC" w:rsidP="004C76BC">
      <w:pPr>
        <w:pStyle w:val="Default"/>
      </w:pPr>
    </w:p>
    <w:p w14:paraId="3C6F8D5E" w14:textId="77777777" w:rsidR="004C76BC" w:rsidRDefault="004C76BC" w:rsidP="004C76BC">
      <w:pPr>
        <w:pStyle w:val="Default"/>
      </w:pPr>
      <w:r>
        <w:t xml:space="preserve"> (32) </w:t>
      </w:r>
      <w:r>
        <w:rPr>
          <w:i/>
        </w:rPr>
        <w:t>Anteophthalmosuchus epikrator</w:t>
      </w:r>
      <w:r>
        <w:t xml:space="preserve"> Ristevski </w:t>
      </w:r>
      <w:r>
        <w:rPr>
          <w:i/>
        </w:rPr>
        <w:t>et al</w:t>
      </w:r>
      <w:r>
        <w:t>., 2018.</w:t>
      </w:r>
    </w:p>
    <w:p w14:paraId="1E8F3308"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20" w:name="_Hlk479275388"/>
      <w:r>
        <w:t xml:space="preserve">IWCMS </w:t>
      </w:r>
      <w:bookmarkEnd w:id="20"/>
      <w:r>
        <w:t xml:space="preserve">2001.446, IWCMS 2005.127; Martin </w:t>
      </w:r>
      <w:r>
        <w:rPr>
          <w:i/>
        </w:rPr>
        <w:t>et al</w:t>
      </w:r>
      <w:r>
        <w:t>. (2016).</w:t>
      </w:r>
    </w:p>
    <w:p w14:paraId="76A57240"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Hanover Point, Isle of Wight, UK.</w:t>
      </w:r>
    </w:p>
    <w:p w14:paraId="441CF1DE" w14:textId="77777777" w:rsidR="004C76BC" w:rsidRDefault="004C76BC" w:rsidP="004C76BC">
      <w:pPr>
        <w:autoSpaceDE w:val="0"/>
        <w:autoSpaceDN w:val="0"/>
        <w:adjustRightInd w:val="0"/>
        <w:ind w:left="357"/>
        <w:rPr>
          <w:color w:val="000000"/>
        </w:rPr>
      </w:pPr>
      <w:r>
        <w:rPr>
          <w:smallCaps/>
          <w:color w:val="000000"/>
        </w:rPr>
        <w:t>Formation</w:t>
      </w:r>
      <w:r>
        <w:rPr>
          <w:color w:val="000000"/>
        </w:rPr>
        <w:t>: upper part of Wessex Formation, Wealden Group.</w:t>
      </w:r>
    </w:p>
    <w:p w14:paraId="2577ABCA" w14:textId="77777777" w:rsidR="004C76BC" w:rsidRDefault="004C76BC" w:rsidP="004C76BC">
      <w:pPr>
        <w:autoSpaceDE w:val="0"/>
        <w:autoSpaceDN w:val="0"/>
        <w:adjustRightInd w:val="0"/>
        <w:ind w:left="357"/>
        <w:rPr>
          <w:color w:val="000000"/>
        </w:rPr>
      </w:pPr>
      <w:r>
        <w:rPr>
          <w:smallCaps/>
          <w:color w:val="000000"/>
        </w:rPr>
        <w:t>Age</w:t>
      </w:r>
      <w:r>
        <w:rPr>
          <w:color w:val="000000"/>
        </w:rPr>
        <w:t>: Barremian, Lower Cretaceous.</w:t>
      </w:r>
    </w:p>
    <w:p w14:paraId="7B062B90" w14:textId="77777777" w:rsidR="004C76BC" w:rsidRDefault="004C76BC" w:rsidP="004C76BC"/>
    <w:p w14:paraId="36C22295" w14:textId="77777777" w:rsidR="004C76BC" w:rsidRDefault="004C76BC" w:rsidP="004C76BC">
      <w:pPr>
        <w:rPr>
          <w:caps/>
          <w:u w:val="single"/>
        </w:rPr>
      </w:pPr>
      <w:r>
        <w:rPr>
          <w:caps/>
          <w:u w:val="single"/>
        </w:rPr>
        <w:t xml:space="preserve">Tethysuchia: Pholidosauridae (11 </w:t>
      </w:r>
      <w:r>
        <w:rPr>
          <w:caps/>
          <w:color w:val="000000"/>
          <w:u w:val="single"/>
        </w:rPr>
        <w:t>OTU</w:t>
      </w:r>
      <w:r>
        <w:rPr>
          <w:color w:val="000000"/>
          <w:u w:val="single"/>
        </w:rPr>
        <w:t>s</w:t>
      </w:r>
      <w:r>
        <w:rPr>
          <w:caps/>
          <w:u w:val="single"/>
        </w:rPr>
        <w:t>)</w:t>
      </w:r>
    </w:p>
    <w:p w14:paraId="50B57DED" w14:textId="77777777" w:rsidR="004C76BC" w:rsidRDefault="004C76BC" w:rsidP="004C76BC">
      <w:pPr>
        <w:ind w:left="720" w:hanging="720"/>
      </w:pPr>
      <w:r>
        <w:rPr>
          <w:color w:val="000000"/>
        </w:rPr>
        <w:t xml:space="preserve">(33) </w:t>
      </w:r>
      <w:r>
        <w:rPr>
          <w:i/>
          <w:color w:val="000000"/>
        </w:rPr>
        <w:t xml:space="preserve">Elosuchus cherifensis </w:t>
      </w:r>
      <w:r>
        <w:t>(Lavocat, 1955)</w:t>
      </w:r>
    </w:p>
    <w:p w14:paraId="5DACD818" w14:textId="77777777" w:rsidR="004C76BC" w:rsidRDefault="004C76BC" w:rsidP="004C76BC">
      <w:pPr>
        <w:autoSpaceDE w:val="0"/>
        <w:autoSpaceDN w:val="0"/>
        <w:adjustRightInd w:val="0"/>
        <w:ind w:left="357"/>
        <w:rPr>
          <w:color w:val="000000"/>
        </w:rPr>
      </w:pPr>
      <w:r>
        <w:rPr>
          <w:smallCaps/>
          <w:color w:val="000000"/>
        </w:rPr>
        <w:lastRenderedPageBreak/>
        <w:t>Data from</w:t>
      </w:r>
      <w:r>
        <w:rPr>
          <w:color w:val="000000"/>
        </w:rPr>
        <w:t xml:space="preserve">: </w:t>
      </w:r>
      <w:bookmarkStart w:id="21" w:name="_Hlk479275438"/>
      <w:r>
        <w:rPr>
          <w:color w:val="000000"/>
        </w:rPr>
        <w:t xml:space="preserve">MNHN.F MRS </w:t>
      </w:r>
      <w:bookmarkEnd w:id="21"/>
      <w:r>
        <w:rPr>
          <w:color w:val="000000"/>
        </w:rPr>
        <w:t xml:space="preserve">340, </w:t>
      </w:r>
      <w:r>
        <w:t xml:space="preserve">MNHN Escuillé collection; de Lapparent de Broin </w:t>
      </w:r>
      <w:r>
        <w:rPr>
          <w:color w:val="000000"/>
        </w:rPr>
        <w:t>(2002), Meunier &amp; Larsson (2016).</w:t>
      </w:r>
    </w:p>
    <w:p w14:paraId="4AEAF93E"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Hamadas, Morocco.</w:t>
      </w:r>
    </w:p>
    <w:p w14:paraId="3368A846" w14:textId="77777777" w:rsidR="004C76BC" w:rsidRDefault="004C76BC" w:rsidP="004C76BC">
      <w:pPr>
        <w:autoSpaceDE w:val="0"/>
        <w:autoSpaceDN w:val="0"/>
        <w:adjustRightInd w:val="0"/>
        <w:ind w:left="357"/>
        <w:rPr>
          <w:color w:val="000000"/>
        </w:rPr>
      </w:pPr>
      <w:r>
        <w:rPr>
          <w:smallCaps/>
          <w:color w:val="000000"/>
        </w:rPr>
        <w:t>Formation</w:t>
      </w:r>
      <w:r>
        <w:rPr>
          <w:color w:val="000000"/>
        </w:rPr>
        <w:t>: Kem Kem beds, Ifezouanae and Aoufous Formations.</w:t>
      </w:r>
    </w:p>
    <w:p w14:paraId="510C5CB8" w14:textId="77777777" w:rsidR="004C76BC" w:rsidRDefault="004C76BC" w:rsidP="004C76BC">
      <w:pPr>
        <w:autoSpaceDE w:val="0"/>
        <w:autoSpaceDN w:val="0"/>
        <w:adjustRightInd w:val="0"/>
        <w:ind w:left="357"/>
        <w:rPr>
          <w:color w:val="000000"/>
        </w:rPr>
      </w:pPr>
      <w:r>
        <w:rPr>
          <w:smallCaps/>
          <w:color w:val="000000"/>
        </w:rPr>
        <w:t>Age</w:t>
      </w:r>
      <w:r>
        <w:rPr>
          <w:color w:val="000000"/>
        </w:rPr>
        <w:t>: Cenomanian, Upper Cretaceous.</w:t>
      </w:r>
    </w:p>
    <w:p w14:paraId="624DF022" w14:textId="77777777" w:rsidR="004C76BC" w:rsidRDefault="004C76BC" w:rsidP="004C76BC">
      <w:pPr>
        <w:ind w:left="720" w:hanging="720"/>
      </w:pPr>
    </w:p>
    <w:p w14:paraId="63023AC4" w14:textId="77777777" w:rsidR="004C76BC" w:rsidRDefault="004C76BC" w:rsidP="004C76BC">
      <w:pPr>
        <w:ind w:left="720" w:hanging="720"/>
      </w:pPr>
      <w:r>
        <w:rPr>
          <w:color w:val="000000"/>
        </w:rPr>
        <w:t xml:space="preserve">(34) </w:t>
      </w:r>
      <w:r>
        <w:rPr>
          <w:i/>
          <w:color w:val="000000"/>
        </w:rPr>
        <w:t xml:space="preserve">Elosuchus broinae </w:t>
      </w:r>
      <w:r>
        <w:t>Meunier &amp; Larsson, 2016</w:t>
      </w:r>
    </w:p>
    <w:p w14:paraId="6795590D"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MNHN.F </w:t>
      </w:r>
      <w:bookmarkStart w:id="22" w:name="_Hlk479275446"/>
      <w:r>
        <w:t xml:space="preserve">SAM </w:t>
      </w:r>
      <w:bookmarkEnd w:id="22"/>
      <w:r>
        <w:t>129 (holotype), de Lapparent de Broin (2002); Meunier &amp; Larsson (2016).</w:t>
      </w:r>
    </w:p>
    <w:p w14:paraId="67863E7B"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Gara Samani, Algeria.</w:t>
      </w:r>
    </w:p>
    <w:p w14:paraId="2417F111" w14:textId="77777777" w:rsidR="004C76BC" w:rsidRDefault="004C76BC" w:rsidP="004C76BC">
      <w:pPr>
        <w:autoSpaceDE w:val="0"/>
        <w:autoSpaceDN w:val="0"/>
        <w:adjustRightInd w:val="0"/>
        <w:ind w:left="357"/>
        <w:rPr>
          <w:color w:val="000000"/>
        </w:rPr>
      </w:pPr>
      <w:r>
        <w:rPr>
          <w:smallCaps/>
          <w:color w:val="000000"/>
        </w:rPr>
        <w:t>Formation</w:t>
      </w:r>
      <w:r>
        <w:rPr>
          <w:color w:val="000000"/>
        </w:rPr>
        <w:t>: unnamed formation.</w:t>
      </w:r>
    </w:p>
    <w:p w14:paraId="4587E0BB" w14:textId="77777777" w:rsidR="004C76BC" w:rsidRDefault="004C76BC" w:rsidP="004C76BC">
      <w:pPr>
        <w:autoSpaceDE w:val="0"/>
        <w:autoSpaceDN w:val="0"/>
        <w:adjustRightInd w:val="0"/>
        <w:ind w:left="357"/>
        <w:rPr>
          <w:color w:val="000000"/>
        </w:rPr>
      </w:pPr>
      <w:r>
        <w:rPr>
          <w:smallCaps/>
          <w:color w:val="000000"/>
        </w:rPr>
        <w:t>Age</w:t>
      </w:r>
      <w:r>
        <w:rPr>
          <w:color w:val="000000"/>
        </w:rPr>
        <w:t>: upper Albian, Lower Cretaceous.</w:t>
      </w:r>
    </w:p>
    <w:p w14:paraId="08C551AF" w14:textId="77777777" w:rsidR="004C76BC" w:rsidRDefault="004C76BC" w:rsidP="004C76BC">
      <w:pPr>
        <w:autoSpaceDE w:val="0"/>
        <w:autoSpaceDN w:val="0"/>
        <w:adjustRightInd w:val="0"/>
        <w:ind w:left="357"/>
        <w:rPr>
          <w:color w:val="000000"/>
        </w:rPr>
      </w:pPr>
    </w:p>
    <w:p w14:paraId="14DB61B2" w14:textId="77777777" w:rsidR="004C76BC" w:rsidRDefault="004C76BC" w:rsidP="004C76BC">
      <w:r>
        <w:t xml:space="preserve">(35) </w:t>
      </w:r>
      <w:r>
        <w:rPr>
          <w:i/>
        </w:rPr>
        <w:t>Vectisuchus leptognathus</w:t>
      </w:r>
      <w:r>
        <w:rPr>
          <w:i/>
          <w:color w:val="000000"/>
        </w:rPr>
        <w:t xml:space="preserve"> </w:t>
      </w:r>
      <w:r>
        <w:rPr>
          <w:color w:val="000000"/>
        </w:rPr>
        <w:t>Buffetaut &amp; Hutt, 1980</w:t>
      </w:r>
    </w:p>
    <w:p w14:paraId="3F3FA934" w14:textId="77777777" w:rsidR="004C76BC" w:rsidRDefault="004C76BC" w:rsidP="004C76BC">
      <w:pPr>
        <w:autoSpaceDE w:val="0"/>
        <w:autoSpaceDN w:val="0"/>
        <w:adjustRightInd w:val="0"/>
        <w:ind w:left="357"/>
        <w:rPr>
          <w:color w:val="000000"/>
        </w:rPr>
      </w:pPr>
      <w:r>
        <w:rPr>
          <w:smallCaps/>
          <w:color w:val="000000"/>
        </w:rPr>
        <w:t>Data from</w:t>
      </w:r>
      <w:r>
        <w:rPr>
          <w:color w:val="000000"/>
        </w:rPr>
        <w:t>: SMNS 50984 (holotype).</w:t>
      </w:r>
    </w:p>
    <w:p w14:paraId="084B0AEF"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Isle of Wight, UK.</w:t>
      </w:r>
    </w:p>
    <w:p w14:paraId="41EF1A89" w14:textId="77777777" w:rsidR="004C76BC" w:rsidRDefault="004C76BC" w:rsidP="004C76BC">
      <w:pPr>
        <w:autoSpaceDE w:val="0"/>
        <w:autoSpaceDN w:val="0"/>
        <w:adjustRightInd w:val="0"/>
        <w:ind w:left="357"/>
        <w:rPr>
          <w:color w:val="000000"/>
        </w:rPr>
      </w:pPr>
      <w:r>
        <w:rPr>
          <w:smallCaps/>
          <w:color w:val="000000"/>
        </w:rPr>
        <w:t>Formation</w:t>
      </w:r>
      <w:r>
        <w:rPr>
          <w:color w:val="000000"/>
        </w:rPr>
        <w:t>: Vectis Formation, Wealden Group. Wessex Sub-basin.</w:t>
      </w:r>
    </w:p>
    <w:p w14:paraId="0CD9DDF4" w14:textId="77777777" w:rsidR="004C76BC" w:rsidRDefault="004C76BC" w:rsidP="004C76BC">
      <w:pPr>
        <w:autoSpaceDE w:val="0"/>
        <w:autoSpaceDN w:val="0"/>
        <w:adjustRightInd w:val="0"/>
        <w:ind w:left="357"/>
        <w:rPr>
          <w:color w:val="000000"/>
        </w:rPr>
      </w:pPr>
      <w:r>
        <w:rPr>
          <w:smallCaps/>
          <w:color w:val="000000"/>
        </w:rPr>
        <w:t>Age</w:t>
      </w:r>
      <w:r>
        <w:rPr>
          <w:color w:val="000000"/>
        </w:rPr>
        <w:t>: Barremian–?early Aptian, Lower Cretaceous.</w:t>
      </w:r>
    </w:p>
    <w:p w14:paraId="1D248780" w14:textId="77777777" w:rsidR="004C76BC" w:rsidRDefault="004C76BC" w:rsidP="004C76BC">
      <w:pPr>
        <w:ind w:left="720" w:hanging="720"/>
        <w:rPr>
          <w:color w:val="000000"/>
        </w:rPr>
      </w:pPr>
    </w:p>
    <w:p w14:paraId="1D6EF346" w14:textId="77777777" w:rsidR="004C76BC" w:rsidRDefault="004C76BC" w:rsidP="004C76BC">
      <w:pPr>
        <w:ind w:left="720" w:hanging="720"/>
      </w:pPr>
      <w:r>
        <w:rPr>
          <w:color w:val="000000"/>
        </w:rPr>
        <w:t xml:space="preserve">(36) </w:t>
      </w:r>
      <w:r>
        <w:rPr>
          <w:i/>
          <w:color w:val="000000"/>
        </w:rPr>
        <w:t xml:space="preserve">Pholidosaurus schaumburgensis </w:t>
      </w:r>
      <w:r>
        <w:rPr>
          <w:iCs/>
          <w:color w:val="000000"/>
        </w:rPr>
        <w:t xml:space="preserve">von </w:t>
      </w:r>
      <w:r>
        <w:rPr>
          <w:color w:val="000000"/>
        </w:rPr>
        <w:t>Meyer, 1841</w:t>
      </w:r>
    </w:p>
    <w:p w14:paraId="447779A1" w14:textId="77777777" w:rsidR="004C76BC" w:rsidRDefault="004C76BC" w:rsidP="004C76BC">
      <w:pPr>
        <w:autoSpaceDE w:val="0"/>
        <w:autoSpaceDN w:val="0"/>
        <w:adjustRightInd w:val="0"/>
        <w:ind w:left="357"/>
        <w:rPr>
          <w:color w:val="000000"/>
        </w:rPr>
      </w:pPr>
      <w:r>
        <w:rPr>
          <w:smallCaps/>
          <w:color w:val="000000"/>
        </w:rPr>
        <w:t>Data from</w:t>
      </w:r>
      <w:r>
        <w:rPr>
          <w:color w:val="000000"/>
        </w:rPr>
        <w:t>: c</w:t>
      </w:r>
      <w:r>
        <w:t xml:space="preserve">asts of the Koken (1887) specimens (including </w:t>
      </w:r>
      <w:bookmarkStart w:id="23" w:name="_Hlk479275456"/>
      <w:r>
        <w:t>MB</w:t>
      </w:r>
      <w:bookmarkEnd w:id="23"/>
      <w:r>
        <w:t>.R.1965, MB.R.1966, MB.R.1970.304</w:t>
      </w:r>
      <w:r>
        <w:rPr>
          <w:u w:val="single"/>
        </w:rPr>
        <w:t>)</w:t>
      </w:r>
      <w:r>
        <w:t>; the natural external and internal moulds of Bückeburg specimens (MB.R.2025.1, two MB.R.unumbered specimens); Koken, 1887.</w:t>
      </w:r>
    </w:p>
    <w:p w14:paraId="3681EDFB"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quarry near Harrel im Furstentum, Schaumburg-Lippe Region, NW Germany.</w:t>
      </w:r>
    </w:p>
    <w:p w14:paraId="31937D84"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Obernkirchen Member, </w:t>
      </w:r>
      <w:r>
        <w:t xml:space="preserve">Bückeburg </w:t>
      </w:r>
      <w:r>
        <w:rPr>
          <w:color w:val="000000"/>
        </w:rPr>
        <w:t>Formation.</w:t>
      </w:r>
    </w:p>
    <w:p w14:paraId="024307CD" w14:textId="77777777" w:rsidR="004C76BC" w:rsidRDefault="004C76BC" w:rsidP="004C76BC">
      <w:pPr>
        <w:autoSpaceDE w:val="0"/>
        <w:autoSpaceDN w:val="0"/>
        <w:adjustRightInd w:val="0"/>
        <w:ind w:left="357"/>
        <w:rPr>
          <w:color w:val="000000"/>
        </w:rPr>
      </w:pPr>
      <w:r>
        <w:rPr>
          <w:smallCaps/>
          <w:color w:val="000000"/>
        </w:rPr>
        <w:t>Age</w:t>
      </w:r>
      <w:r>
        <w:rPr>
          <w:color w:val="000000"/>
        </w:rPr>
        <w:t>: Berriasian, Lower Cretaceous.</w:t>
      </w:r>
    </w:p>
    <w:p w14:paraId="608EE497" w14:textId="77777777" w:rsidR="004C76BC" w:rsidRDefault="004C76BC" w:rsidP="004C76BC">
      <w:pPr>
        <w:ind w:left="357"/>
      </w:pPr>
      <w:r>
        <w:rPr>
          <w:smallCaps/>
        </w:rPr>
        <w:t>Observation</w:t>
      </w:r>
      <w:r>
        <w:t>: Only specimens from the Bückeburg Formation are used to score this OTU.</w:t>
      </w:r>
    </w:p>
    <w:p w14:paraId="64E459A2" w14:textId="77777777" w:rsidR="004C76BC" w:rsidRDefault="004C76BC" w:rsidP="004C76BC">
      <w:pPr>
        <w:ind w:left="357"/>
      </w:pPr>
    </w:p>
    <w:p w14:paraId="274F9876" w14:textId="77777777" w:rsidR="004C76BC" w:rsidRDefault="004C76BC" w:rsidP="004C76BC">
      <w:pPr>
        <w:autoSpaceDE w:val="0"/>
        <w:autoSpaceDN w:val="0"/>
        <w:adjustRightInd w:val="0"/>
      </w:pPr>
      <w:r>
        <w:t xml:space="preserve">(37) </w:t>
      </w:r>
      <w:r>
        <w:rPr>
          <w:i/>
          <w:iCs/>
        </w:rPr>
        <w:t xml:space="preserve">Pholidosaurus </w:t>
      </w:r>
      <w:r>
        <w:rPr>
          <w:iCs/>
        </w:rPr>
        <w:t>sp. (Charente)</w:t>
      </w:r>
    </w:p>
    <w:p w14:paraId="33989CF7" w14:textId="77777777" w:rsidR="004C76BC" w:rsidRDefault="004C76BC" w:rsidP="004C76BC">
      <w:pPr>
        <w:autoSpaceDE w:val="0"/>
        <w:autoSpaceDN w:val="0"/>
        <w:adjustRightInd w:val="0"/>
        <w:ind w:left="357"/>
      </w:pPr>
      <w:r>
        <w:rPr>
          <w:smallCaps/>
        </w:rPr>
        <w:t>Data from</w:t>
      </w:r>
      <w:r>
        <w:t xml:space="preserve">: Martin </w:t>
      </w:r>
      <w:r>
        <w:rPr>
          <w:i/>
        </w:rPr>
        <w:t>et al</w:t>
      </w:r>
      <w:r>
        <w:t>. (2016b).</w:t>
      </w:r>
    </w:p>
    <w:p w14:paraId="00CA8F1E" w14:textId="77777777" w:rsidR="004C76BC" w:rsidRDefault="004C76BC" w:rsidP="004C76BC">
      <w:pPr>
        <w:autoSpaceDE w:val="0"/>
        <w:autoSpaceDN w:val="0"/>
        <w:adjustRightInd w:val="0"/>
        <w:ind w:left="357"/>
      </w:pPr>
      <w:r>
        <w:rPr>
          <w:smallCaps/>
        </w:rPr>
        <w:t xml:space="preserve">Locality: </w:t>
      </w:r>
      <w:r>
        <w:t>Cherves-de-Cognac, Carrière de Champblanc, Charente Department, SW France.</w:t>
      </w:r>
    </w:p>
    <w:p w14:paraId="75E12E23" w14:textId="77777777" w:rsidR="004C76BC" w:rsidRDefault="004C76BC" w:rsidP="004C76BC">
      <w:pPr>
        <w:autoSpaceDE w:val="0"/>
        <w:autoSpaceDN w:val="0"/>
        <w:adjustRightInd w:val="0"/>
        <w:ind w:left="357"/>
      </w:pPr>
      <w:r>
        <w:rPr>
          <w:smallCaps/>
        </w:rPr>
        <w:t>Formation</w:t>
      </w:r>
      <w:r>
        <w:t>: Horizon C36.</w:t>
      </w:r>
    </w:p>
    <w:p w14:paraId="5AB3F66A" w14:textId="77777777" w:rsidR="004C76BC" w:rsidRDefault="004C76BC" w:rsidP="004C76BC">
      <w:pPr>
        <w:autoSpaceDE w:val="0"/>
        <w:autoSpaceDN w:val="0"/>
        <w:adjustRightInd w:val="0"/>
        <w:ind w:left="357"/>
      </w:pPr>
      <w:r>
        <w:rPr>
          <w:smallCaps/>
        </w:rPr>
        <w:t>Age</w:t>
      </w:r>
      <w:r>
        <w:t>: Berriasian, Lower Cretaceous.</w:t>
      </w:r>
    </w:p>
    <w:p w14:paraId="45013612" w14:textId="77777777" w:rsidR="004C76BC" w:rsidRDefault="004C76BC" w:rsidP="004C76BC">
      <w:pPr>
        <w:ind w:left="720" w:hanging="720"/>
        <w:rPr>
          <w:color w:val="000000"/>
        </w:rPr>
      </w:pPr>
      <w:r>
        <w:rPr>
          <w:color w:val="000000"/>
        </w:rPr>
        <w:t xml:space="preserve"> </w:t>
      </w:r>
    </w:p>
    <w:p w14:paraId="5A842A27" w14:textId="77777777" w:rsidR="004C76BC" w:rsidRDefault="004C76BC" w:rsidP="004C76BC">
      <w:pPr>
        <w:ind w:left="720" w:hanging="720"/>
      </w:pPr>
      <w:r>
        <w:rPr>
          <w:color w:val="000000"/>
        </w:rPr>
        <w:t xml:space="preserve">(38) </w:t>
      </w:r>
      <w:r>
        <w:rPr>
          <w:i/>
          <w:color w:val="000000"/>
        </w:rPr>
        <w:t xml:space="preserve">Meridiosaurus vallisparadisi </w:t>
      </w:r>
      <w:r>
        <w:t xml:space="preserve">Fortier </w:t>
      </w:r>
      <w:r>
        <w:rPr>
          <w:i/>
        </w:rPr>
        <w:t>et al</w:t>
      </w:r>
      <w:r>
        <w:t>., 2011</w:t>
      </w:r>
    </w:p>
    <w:p w14:paraId="1B51FD4D"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Fortier </w:t>
      </w:r>
      <w:r>
        <w:rPr>
          <w:i/>
        </w:rPr>
        <w:t>et al</w:t>
      </w:r>
      <w:r>
        <w:t>. (2011).</w:t>
      </w:r>
    </w:p>
    <w:p w14:paraId="336F325D" w14:textId="77777777" w:rsidR="004C76BC" w:rsidRDefault="004C76BC" w:rsidP="004C76BC">
      <w:pPr>
        <w:autoSpaceDE w:val="0"/>
        <w:autoSpaceDN w:val="0"/>
        <w:adjustRightInd w:val="0"/>
        <w:ind w:left="357"/>
        <w:rPr>
          <w:color w:val="000000"/>
        </w:rPr>
      </w:pPr>
      <w:r>
        <w:rPr>
          <w:smallCaps/>
          <w:color w:val="000000"/>
        </w:rPr>
        <w:t xml:space="preserve">Locality: </w:t>
      </w:r>
      <w:r>
        <w:rPr>
          <w:rFonts w:eastAsiaTheme="minorHAnsi"/>
          <w:lang w:eastAsia="en-US"/>
        </w:rPr>
        <w:t>Valle Edén locality, near Tacuarembó city, Uruguay.</w:t>
      </w:r>
    </w:p>
    <w:p w14:paraId="4BEBE6E3"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rPr>
          <w:rFonts w:eastAsiaTheme="minorHAnsi"/>
          <w:lang w:eastAsia="en-US"/>
        </w:rPr>
        <w:t>fluviolacustrine sandstone facies of the Batoví Member, Tacuarembó Formation</w:t>
      </w:r>
    </w:p>
    <w:p w14:paraId="340568C9" w14:textId="77777777" w:rsidR="004C76BC" w:rsidRDefault="004C76BC" w:rsidP="004C76BC">
      <w:pPr>
        <w:autoSpaceDE w:val="0"/>
        <w:autoSpaceDN w:val="0"/>
        <w:adjustRightInd w:val="0"/>
        <w:ind w:left="357"/>
        <w:rPr>
          <w:color w:val="000000"/>
        </w:rPr>
      </w:pPr>
      <w:r>
        <w:rPr>
          <w:smallCaps/>
          <w:color w:val="000000"/>
        </w:rPr>
        <w:t>Age</w:t>
      </w:r>
      <w:r>
        <w:rPr>
          <w:color w:val="000000"/>
        </w:rPr>
        <w:t>: ?Kimmeridgian-Tithonian, Upper Jurassic.</w:t>
      </w:r>
    </w:p>
    <w:p w14:paraId="4E91A416" w14:textId="77777777" w:rsidR="004C76BC" w:rsidRDefault="004C76BC" w:rsidP="004C76BC">
      <w:pPr>
        <w:ind w:left="720" w:hanging="720"/>
        <w:rPr>
          <w:color w:val="000000"/>
        </w:rPr>
      </w:pPr>
      <w:r>
        <w:rPr>
          <w:color w:val="000000"/>
        </w:rPr>
        <w:t xml:space="preserve"> </w:t>
      </w:r>
    </w:p>
    <w:p w14:paraId="4450BB41" w14:textId="77777777" w:rsidR="004C76BC" w:rsidRDefault="004C76BC" w:rsidP="004C76BC">
      <w:pPr>
        <w:ind w:left="720" w:hanging="720"/>
      </w:pPr>
      <w:r>
        <w:rPr>
          <w:color w:val="000000"/>
        </w:rPr>
        <w:t xml:space="preserve">(39) </w:t>
      </w:r>
      <w:r>
        <w:rPr>
          <w:i/>
          <w:color w:val="000000"/>
        </w:rPr>
        <w:t xml:space="preserve">Chalawan thailandicus </w:t>
      </w:r>
      <w:r>
        <w:t>(Buffetaut &amp; Ingavat, 1980)</w:t>
      </w:r>
    </w:p>
    <w:p w14:paraId="682C8F97"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Buffetaut &amp; Ingavat (1980), Martin </w:t>
      </w:r>
      <w:r>
        <w:rPr>
          <w:i/>
          <w:color w:val="000000"/>
        </w:rPr>
        <w:t>et al</w:t>
      </w:r>
      <w:r>
        <w:rPr>
          <w:color w:val="000000"/>
        </w:rPr>
        <w:t>. (2014).</w:t>
      </w:r>
    </w:p>
    <w:p w14:paraId="108D920A"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Nong Bua Lam Phu (type locality) and Kham Phok, NE Thailand.</w:t>
      </w:r>
    </w:p>
    <w:p w14:paraId="2228389D" w14:textId="77777777" w:rsidR="004C76BC" w:rsidRDefault="004C76BC" w:rsidP="004C76BC">
      <w:pPr>
        <w:autoSpaceDE w:val="0"/>
        <w:autoSpaceDN w:val="0"/>
        <w:adjustRightInd w:val="0"/>
        <w:ind w:left="357"/>
        <w:rPr>
          <w:color w:val="000000"/>
        </w:rPr>
      </w:pPr>
      <w:r>
        <w:rPr>
          <w:smallCaps/>
          <w:color w:val="000000"/>
        </w:rPr>
        <w:t>Formation</w:t>
      </w:r>
      <w:r>
        <w:rPr>
          <w:color w:val="000000"/>
        </w:rPr>
        <w:t>: upper part of Phu Kradung Formation, Khorat Group. Khorat Basin.</w:t>
      </w:r>
    </w:p>
    <w:p w14:paraId="7C10B49A" w14:textId="77777777" w:rsidR="004C76BC" w:rsidRDefault="004C76BC" w:rsidP="004C76BC">
      <w:pPr>
        <w:autoSpaceDE w:val="0"/>
        <w:autoSpaceDN w:val="0"/>
        <w:adjustRightInd w:val="0"/>
        <w:ind w:left="357"/>
        <w:rPr>
          <w:color w:val="000000"/>
        </w:rPr>
      </w:pPr>
      <w:r>
        <w:rPr>
          <w:smallCaps/>
          <w:color w:val="000000"/>
        </w:rPr>
        <w:t>Age</w:t>
      </w:r>
      <w:r>
        <w:rPr>
          <w:color w:val="000000"/>
        </w:rPr>
        <w:t>: Early Cretaceous.</w:t>
      </w:r>
    </w:p>
    <w:p w14:paraId="27ED626C" w14:textId="77777777" w:rsidR="004C76BC" w:rsidRDefault="004C76BC" w:rsidP="004C76BC">
      <w:pPr>
        <w:ind w:left="720" w:hanging="720"/>
      </w:pPr>
    </w:p>
    <w:p w14:paraId="58E5810E" w14:textId="77777777" w:rsidR="004C76BC" w:rsidRDefault="004C76BC" w:rsidP="004C76BC">
      <w:pPr>
        <w:ind w:left="720" w:hanging="720"/>
      </w:pPr>
      <w:r>
        <w:rPr>
          <w:color w:val="000000"/>
        </w:rPr>
        <w:t xml:space="preserve">(40) </w:t>
      </w:r>
      <w:r>
        <w:rPr>
          <w:i/>
          <w:color w:val="000000"/>
        </w:rPr>
        <w:t xml:space="preserve">Sarcosuchus hartti </w:t>
      </w:r>
      <w:r>
        <w:rPr>
          <w:color w:val="000000"/>
        </w:rPr>
        <w:t>(Marsh, 1896) [fragmentary taxon]</w:t>
      </w:r>
    </w:p>
    <w:p w14:paraId="7794DC49" w14:textId="77777777" w:rsidR="004C76BC" w:rsidRDefault="004C76BC" w:rsidP="004C76BC">
      <w:pPr>
        <w:autoSpaceDE w:val="0"/>
        <w:autoSpaceDN w:val="0"/>
        <w:adjustRightInd w:val="0"/>
        <w:ind w:left="357"/>
        <w:rPr>
          <w:color w:val="000000"/>
        </w:rPr>
      </w:pPr>
      <w:r>
        <w:rPr>
          <w:smallCaps/>
          <w:color w:val="000000"/>
        </w:rPr>
        <w:lastRenderedPageBreak/>
        <w:t>Data from</w:t>
      </w:r>
      <w:r>
        <w:rPr>
          <w:color w:val="000000"/>
        </w:rPr>
        <w:t>: NHMUK PV R 3423; Buffetaut &amp; Taquet (1977).</w:t>
      </w:r>
    </w:p>
    <w:p w14:paraId="24D3D36F"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outcrop in the vicinity of Setubal, Bahia State, NE Brazil.</w:t>
      </w:r>
    </w:p>
    <w:p w14:paraId="6D6306FD" w14:textId="77777777" w:rsidR="004C76BC" w:rsidRDefault="004C76BC" w:rsidP="004C76BC">
      <w:pPr>
        <w:autoSpaceDE w:val="0"/>
        <w:autoSpaceDN w:val="0"/>
        <w:adjustRightInd w:val="0"/>
        <w:ind w:left="357"/>
        <w:rPr>
          <w:color w:val="000000"/>
        </w:rPr>
      </w:pPr>
      <w:r>
        <w:rPr>
          <w:smallCaps/>
          <w:color w:val="000000"/>
        </w:rPr>
        <w:t>Formation</w:t>
      </w:r>
      <w:r>
        <w:rPr>
          <w:color w:val="000000"/>
        </w:rPr>
        <w:t>: unclear.</w:t>
      </w:r>
    </w:p>
    <w:p w14:paraId="0B10048F" w14:textId="77777777" w:rsidR="004C76BC" w:rsidRDefault="004C76BC" w:rsidP="004C76BC">
      <w:pPr>
        <w:autoSpaceDE w:val="0"/>
        <w:autoSpaceDN w:val="0"/>
        <w:adjustRightInd w:val="0"/>
        <w:ind w:left="357"/>
        <w:rPr>
          <w:color w:val="000000"/>
        </w:rPr>
      </w:pPr>
      <w:r>
        <w:rPr>
          <w:smallCaps/>
          <w:color w:val="000000"/>
        </w:rPr>
        <w:t>Age</w:t>
      </w:r>
      <w:r>
        <w:rPr>
          <w:color w:val="000000"/>
        </w:rPr>
        <w:t>: Lower Cretaceous.</w:t>
      </w:r>
    </w:p>
    <w:p w14:paraId="008BA41D" w14:textId="77777777" w:rsidR="004C76BC" w:rsidRDefault="004C76BC" w:rsidP="004C76BC">
      <w:pPr>
        <w:autoSpaceDE w:val="0"/>
        <w:autoSpaceDN w:val="0"/>
        <w:adjustRightInd w:val="0"/>
        <w:ind w:left="357"/>
        <w:rPr>
          <w:color w:val="000000"/>
        </w:rPr>
      </w:pPr>
      <w:r>
        <w:rPr>
          <w:smallCaps/>
          <w:color w:val="000000"/>
        </w:rPr>
        <w:t>Observation</w:t>
      </w:r>
      <w:r>
        <w:rPr>
          <w:color w:val="000000"/>
        </w:rPr>
        <w:t xml:space="preserve">: This OTU is scored solely for the lower jaw referred to </w:t>
      </w:r>
      <w:r>
        <w:rPr>
          <w:i/>
          <w:color w:val="000000"/>
        </w:rPr>
        <w:t>S. hartti</w:t>
      </w:r>
      <w:r>
        <w:rPr>
          <w:color w:val="000000"/>
        </w:rPr>
        <w:t xml:space="preserve"> by Buffetaut &amp; Taquet (1977).</w:t>
      </w:r>
    </w:p>
    <w:p w14:paraId="0823AEED" w14:textId="77777777" w:rsidR="004C76BC" w:rsidRDefault="004C76BC" w:rsidP="004C76BC">
      <w:pPr>
        <w:ind w:left="720" w:hanging="720"/>
        <w:rPr>
          <w:i/>
          <w:color w:val="000000"/>
        </w:rPr>
      </w:pPr>
    </w:p>
    <w:p w14:paraId="5BFA6B07" w14:textId="77777777" w:rsidR="004C76BC" w:rsidRDefault="004C76BC" w:rsidP="004C76BC">
      <w:pPr>
        <w:autoSpaceDE w:val="0"/>
        <w:autoSpaceDN w:val="0"/>
        <w:adjustRightInd w:val="0"/>
        <w:rPr>
          <w:color w:val="000000"/>
        </w:rPr>
      </w:pPr>
      <w:r>
        <w:rPr>
          <w:color w:val="000000"/>
        </w:rPr>
        <w:t xml:space="preserve">(41) </w:t>
      </w:r>
      <w:r>
        <w:rPr>
          <w:i/>
          <w:color w:val="000000"/>
        </w:rPr>
        <w:t xml:space="preserve">Sarcosuchus imperator </w:t>
      </w:r>
      <w:r>
        <w:rPr>
          <w:color w:val="000000"/>
        </w:rPr>
        <w:t>de Broin &amp; Taquet, 1966</w:t>
      </w:r>
    </w:p>
    <w:p w14:paraId="30E8C1F9" w14:textId="77777777" w:rsidR="004C76BC" w:rsidRDefault="004C76BC" w:rsidP="004C76BC">
      <w:pPr>
        <w:ind w:left="357"/>
        <w:rPr>
          <w:color w:val="000000"/>
        </w:rPr>
      </w:pPr>
      <w:r>
        <w:rPr>
          <w:smallCaps/>
          <w:color w:val="000000"/>
        </w:rPr>
        <w:t>Data from</w:t>
      </w:r>
      <w:r>
        <w:rPr>
          <w:color w:val="000000"/>
        </w:rPr>
        <w:t xml:space="preserve">: MNHN.F </w:t>
      </w:r>
      <w:bookmarkStart w:id="24" w:name="_Hlk479275465"/>
      <w:r>
        <w:rPr>
          <w:color w:val="000000"/>
        </w:rPr>
        <w:t xml:space="preserve">GDF </w:t>
      </w:r>
      <w:bookmarkEnd w:id="24"/>
      <w:r>
        <w:rPr>
          <w:color w:val="000000"/>
        </w:rPr>
        <w:t xml:space="preserve">662; de Broin &amp; Taquet (1966), Buffetaut &amp; Taquet (1977), Sereno </w:t>
      </w:r>
      <w:r>
        <w:rPr>
          <w:i/>
          <w:iCs/>
          <w:color w:val="000000"/>
        </w:rPr>
        <w:t xml:space="preserve">et al. </w:t>
      </w:r>
      <w:r>
        <w:rPr>
          <w:color w:val="000000"/>
        </w:rPr>
        <w:t>(2001).</w:t>
      </w:r>
    </w:p>
    <w:p w14:paraId="6C66481E"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outcrop in the vicinities of the Gadoufaoua, Agadez Province, Niger.</w:t>
      </w:r>
    </w:p>
    <w:p w14:paraId="2AE99EDC" w14:textId="77777777" w:rsidR="004C76BC" w:rsidRDefault="004C76BC" w:rsidP="004C76BC">
      <w:pPr>
        <w:autoSpaceDE w:val="0"/>
        <w:autoSpaceDN w:val="0"/>
        <w:adjustRightInd w:val="0"/>
        <w:ind w:left="357"/>
        <w:rPr>
          <w:color w:val="000000"/>
        </w:rPr>
      </w:pPr>
      <w:r>
        <w:rPr>
          <w:smallCaps/>
          <w:color w:val="000000"/>
        </w:rPr>
        <w:t>Formation</w:t>
      </w:r>
      <w:r>
        <w:rPr>
          <w:color w:val="000000"/>
        </w:rPr>
        <w:t>: Elrhaz Formation. Tegama Basin.</w:t>
      </w:r>
    </w:p>
    <w:p w14:paraId="5F80306B" w14:textId="77777777" w:rsidR="004C76BC" w:rsidRDefault="004C76BC" w:rsidP="004C76BC">
      <w:pPr>
        <w:autoSpaceDE w:val="0"/>
        <w:autoSpaceDN w:val="0"/>
        <w:adjustRightInd w:val="0"/>
        <w:ind w:left="357"/>
        <w:rPr>
          <w:color w:val="000000"/>
        </w:rPr>
      </w:pPr>
      <w:r>
        <w:rPr>
          <w:smallCaps/>
          <w:color w:val="000000"/>
        </w:rPr>
        <w:t>Age</w:t>
      </w:r>
      <w:r>
        <w:rPr>
          <w:color w:val="000000"/>
        </w:rPr>
        <w:t>: Aptian, Lower Cretaceous.</w:t>
      </w:r>
    </w:p>
    <w:p w14:paraId="53CE522F" w14:textId="77777777" w:rsidR="004C76BC" w:rsidRDefault="004C76BC" w:rsidP="004C76BC">
      <w:pPr>
        <w:ind w:left="720" w:hanging="720"/>
        <w:rPr>
          <w:color w:val="000000"/>
        </w:rPr>
      </w:pPr>
    </w:p>
    <w:p w14:paraId="2D33C2B2" w14:textId="77777777" w:rsidR="004C76BC" w:rsidRDefault="004C76BC" w:rsidP="004C76BC">
      <w:r>
        <w:rPr>
          <w:color w:val="000000"/>
        </w:rPr>
        <w:t xml:space="preserve">(42) cf. </w:t>
      </w:r>
      <w:r>
        <w:rPr>
          <w:i/>
          <w:color w:val="000000"/>
        </w:rPr>
        <w:t xml:space="preserve">Terminonaris robusta </w:t>
      </w:r>
      <w:r>
        <w:t>Mook, 1934</w:t>
      </w:r>
    </w:p>
    <w:p w14:paraId="35C0F68A"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Wu </w:t>
      </w:r>
      <w:r>
        <w:rPr>
          <w:i/>
        </w:rPr>
        <w:t>et al</w:t>
      </w:r>
      <w:r>
        <w:t>. (2001b), Larsson &amp; Sues (2007).</w:t>
      </w:r>
    </w:p>
    <w:p w14:paraId="46BED7BC"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SMNH locality 63E04-001, approximately 5km east of Highway 23, the southern bank of the Carrot River, southwest of the Pasquia Hills, Saskatchewan, Canada.</w:t>
      </w:r>
    </w:p>
    <w:p w14:paraId="22672BB4" w14:textId="77777777" w:rsidR="004C76BC" w:rsidRDefault="004C76BC" w:rsidP="004C76BC">
      <w:pPr>
        <w:autoSpaceDE w:val="0"/>
        <w:autoSpaceDN w:val="0"/>
        <w:adjustRightInd w:val="0"/>
        <w:ind w:left="357"/>
        <w:rPr>
          <w:color w:val="000000"/>
        </w:rPr>
      </w:pPr>
      <w:r>
        <w:rPr>
          <w:smallCaps/>
          <w:color w:val="000000"/>
        </w:rPr>
        <w:t>Formation</w:t>
      </w:r>
      <w:r>
        <w:rPr>
          <w:color w:val="000000"/>
        </w:rPr>
        <w:t>: Keld Member, Favel Formation.</w:t>
      </w:r>
    </w:p>
    <w:p w14:paraId="6B045B26" w14:textId="77777777" w:rsidR="004C76BC" w:rsidRDefault="004C76BC" w:rsidP="004C76BC">
      <w:pPr>
        <w:autoSpaceDE w:val="0"/>
        <w:autoSpaceDN w:val="0"/>
        <w:adjustRightInd w:val="0"/>
        <w:ind w:left="357"/>
        <w:rPr>
          <w:color w:val="000000"/>
        </w:rPr>
      </w:pPr>
      <w:r>
        <w:rPr>
          <w:smallCaps/>
          <w:color w:val="000000"/>
        </w:rPr>
        <w:t>Age</w:t>
      </w:r>
      <w:r>
        <w:rPr>
          <w:color w:val="000000"/>
        </w:rPr>
        <w:t>: upper Cenomanian? to lower Turonian, Upper Cretaceous.</w:t>
      </w:r>
    </w:p>
    <w:p w14:paraId="2129BAF1" w14:textId="77777777" w:rsidR="004C76BC" w:rsidRDefault="004C76BC" w:rsidP="004C76BC">
      <w:pPr>
        <w:ind w:left="357"/>
      </w:pPr>
      <w:r>
        <w:rPr>
          <w:smallCaps/>
        </w:rPr>
        <w:t>Observation</w:t>
      </w:r>
      <w:r>
        <w:t xml:space="preserve">: This OTU is based solely on the Canadian material referred to </w:t>
      </w:r>
      <w:r>
        <w:rPr>
          <w:i/>
        </w:rPr>
        <w:t>T. robusta</w:t>
      </w:r>
      <w:r>
        <w:t>.</w:t>
      </w:r>
    </w:p>
    <w:p w14:paraId="58F56606" w14:textId="77777777" w:rsidR="004C76BC" w:rsidRDefault="004C76BC" w:rsidP="004C76BC">
      <w:pPr>
        <w:ind w:left="357"/>
      </w:pPr>
    </w:p>
    <w:p w14:paraId="5957D00A" w14:textId="77777777" w:rsidR="004C76BC" w:rsidRDefault="004C76BC" w:rsidP="004C76BC">
      <w:pPr>
        <w:ind w:left="720" w:hanging="720"/>
        <w:rPr>
          <w:i/>
          <w:color w:val="000000"/>
        </w:rPr>
      </w:pPr>
      <w:r>
        <w:rPr>
          <w:color w:val="000000"/>
        </w:rPr>
        <w:t xml:space="preserve"> (43) </w:t>
      </w:r>
      <w:r>
        <w:rPr>
          <w:i/>
          <w:color w:val="000000"/>
        </w:rPr>
        <w:t xml:space="preserve">Oceanosuchus boecensis </w:t>
      </w:r>
      <w:r>
        <w:t xml:space="preserve">Hua </w:t>
      </w:r>
      <w:r>
        <w:rPr>
          <w:i/>
        </w:rPr>
        <w:t>et al</w:t>
      </w:r>
      <w:r>
        <w:t>., 2007</w:t>
      </w:r>
    </w:p>
    <w:p w14:paraId="18D50400"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Hua </w:t>
      </w:r>
      <w:r>
        <w:rPr>
          <w:i/>
        </w:rPr>
        <w:t>et al</w:t>
      </w:r>
      <w:r>
        <w:t xml:space="preserve">. (2007), Lepage </w:t>
      </w:r>
      <w:r>
        <w:rPr>
          <w:i/>
        </w:rPr>
        <w:t>et al</w:t>
      </w:r>
      <w:r>
        <w:t>. (2008).</w:t>
      </w:r>
    </w:p>
    <w:p w14:paraId="3F072AD9"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La Boëce, near Mortagne-au-Perche, Orne, Vasse-Normandie, France.</w:t>
      </w:r>
    </w:p>
    <w:p w14:paraId="11039F2D" w14:textId="77777777" w:rsidR="004C76BC" w:rsidRDefault="004C76BC" w:rsidP="004C76BC">
      <w:pPr>
        <w:autoSpaceDE w:val="0"/>
        <w:autoSpaceDN w:val="0"/>
        <w:adjustRightInd w:val="0"/>
        <w:ind w:left="357"/>
        <w:rPr>
          <w:color w:val="000000"/>
        </w:rPr>
      </w:pPr>
      <w:r>
        <w:rPr>
          <w:smallCaps/>
          <w:color w:val="000000"/>
        </w:rPr>
        <w:t>Formation</w:t>
      </w:r>
      <w:r>
        <w:rPr>
          <w:color w:val="000000"/>
        </w:rPr>
        <w:t>: base of hard-ground Coulimer 2.</w:t>
      </w:r>
    </w:p>
    <w:p w14:paraId="52FE3ABE" w14:textId="77777777" w:rsidR="004C76BC" w:rsidRDefault="004C76BC" w:rsidP="004C76BC">
      <w:pPr>
        <w:autoSpaceDE w:val="0"/>
        <w:autoSpaceDN w:val="0"/>
        <w:adjustRightInd w:val="0"/>
        <w:ind w:left="357"/>
        <w:rPr>
          <w:color w:val="000000"/>
        </w:rPr>
      </w:pPr>
      <w:r>
        <w:rPr>
          <w:smallCaps/>
          <w:color w:val="000000"/>
        </w:rPr>
        <w:t>Age</w:t>
      </w:r>
      <w:r>
        <w:rPr>
          <w:color w:val="000000"/>
        </w:rPr>
        <w:t>: lower Cenomanian, Upper Cretaceous.</w:t>
      </w:r>
    </w:p>
    <w:p w14:paraId="7E206A1B" w14:textId="77777777" w:rsidR="004C76BC" w:rsidRDefault="004C76BC" w:rsidP="004C76BC">
      <w:pPr>
        <w:ind w:left="720" w:hanging="720"/>
        <w:rPr>
          <w:i/>
          <w:color w:val="000000"/>
        </w:rPr>
      </w:pPr>
    </w:p>
    <w:p w14:paraId="3C937AE8" w14:textId="77777777" w:rsidR="004C76BC" w:rsidRDefault="004C76BC" w:rsidP="004C76BC">
      <w:pPr>
        <w:rPr>
          <w:caps/>
          <w:u w:val="single"/>
        </w:rPr>
      </w:pPr>
      <w:r>
        <w:rPr>
          <w:caps/>
          <w:u w:val="single"/>
        </w:rPr>
        <w:t xml:space="preserve">Tethysuchia: Basal Dyrosauroidea (2 </w:t>
      </w:r>
      <w:r>
        <w:rPr>
          <w:caps/>
          <w:color w:val="000000"/>
          <w:u w:val="single"/>
        </w:rPr>
        <w:t>OTU</w:t>
      </w:r>
      <w:r>
        <w:rPr>
          <w:color w:val="000000"/>
          <w:u w:val="single"/>
        </w:rPr>
        <w:t>s</w:t>
      </w:r>
      <w:r>
        <w:rPr>
          <w:caps/>
          <w:u w:val="single"/>
        </w:rPr>
        <w:t>)</w:t>
      </w:r>
    </w:p>
    <w:p w14:paraId="00DEDBBE" w14:textId="77777777" w:rsidR="004C76BC" w:rsidRDefault="004C76BC" w:rsidP="004C76BC">
      <w:pPr>
        <w:ind w:left="720" w:hanging="720"/>
      </w:pPr>
      <w:r>
        <w:rPr>
          <w:color w:val="000000"/>
        </w:rPr>
        <w:t xml:space="preserve">(44) </w:t>
      </w:r>
      <w:r>
        <w:rPr>
          <w:i/>
          <w:color w:val="000000"/>
        </w:rPr>
        <w:t xml:space="preserve">Pholidosaurus purbeckensis </w:t>
      </w:r>
      <w:r>
        <w:t>(Mansel-Pleydell, 1888)</w:t>
      </w:r>
    </w:p>
    <w:p w14:paraId="00A0CA1D"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DORCM G.27, DORCM G.97 (holotype), NHMUK PV OR 28432, NHMUK PV R 3414, NHMUK PV R 3956, NHMUK PV R 36721.</w:t>
      </w:r>
    </w:p>
    <w:p w14:paraId="337675F5"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type locality unclear, thought to be Isle of Purbeck, UK.</w:t>
      </w:r>
    </w:p>
    <w:p w14:paraId="6297F88D" w14:textId="77777777" w:rsidR="004C76BC" w:rsidRDefault="004C76BC" w:rsidP="004C76BC">
      <w:pPr>
        <w:autoSpaceDE w:val="0"/>
        <w:autoSpaceDN w:val="0"/>
        <w:adjustRightInd w:val="0"/>
        <w:ind w:left="357"/>
        <w:rPr>
          <w:color w:val="000000"/>
        </w:rPr>
      </w:pPr>
      <w:r>
        <w:rPr>
          <w:smallCaps/>
          <w:color w:val="000000"/>
        </w:rPr>
        <w:t>Formation</w:t>
      </w:r>
      <w:r>
        <w:rPr>
          <w:color w:val="000000"/>
        </w:rPr>
        <w:t>: Purbeck Formation, Purbeck Limestone Group.</w:t>
      </w:r>
    </w:p>
    <w:p w14:paraId="7B2721C8" w14:textId="77777777" w:rsidR="004C76BC" w:rsidRDefault="004C76BC" w:rsidP="004C76BC">
      <w:pPr>
        <w:autoSpaceDE w:val="0"/>
        <w:autoSpaceDN w:val="0"/>
        <w:adjustRightInd w:val="0"/>
        <w:ind w:left="357"/>
        <w:rPr>
          <w:color w:val="000000"/>
        </w:rPr>
      </w:pPr>
      <w:r>
        <w:rPr>
          <w:smallCaps/>
          <w:color w:val="000000"/>
        </w:rPr>
        <w:t>Age</w:t>
      </w:r>
      <w:r>
        <w:rPr>
          <w:color w:val="000000"/>
        </w:rPr>
        <w:t>: Berriasian, Lower Cretaceous.</w:t>
      </w:r>
    </w:p>
    <w:p w14:paraId="2747F509" w14:textId="77777777" w:rsidR="004C76BC" w:rsidRDefault="004C76BC" w:rsidP="004C76BC">
      <w:pPr>
        <w:autoSpaceDE w:val="0"/>
        <w:autoSpaceDN w:val="0"/>
        <w:adjustRightInd w:val="0"/>
        <w:ind w:left="357"/>
        <w:rPr>
          <w:color w:val="000000"/>
        </w:rPr>
      </w:pPr>
    </w:p>
    <w:p w14:paraId="0E902C05" w14:textId="77777777" w:rsidR="004C76BC" w:rsidRDefault="004C76BC" w:rsidP="004C76BC">
      <w:pPr>
        <w:rPr>
          <w:color w:val="000000"/>
        </w:rPr>
      </w:pPr>
      <w:r>
        <w:rPr>
          <w:color w:val="000000"/>
        </w:rPr>
        <w:t xml:space="preserve"> (45) </w:t>
      </w:r>
      <w:r>
        <w:rPr>
          <w:i/>
          <w:color w:val="000000"/>
        </w:rPr>
        <w:t>Fortignathus felixi</w:t>
      </w:r>
      <w:r>
        <w:rPr>
          <w:b/>
          <w:color w:val="000000"/>
        </w:rPr>
        <w:t xml:space="preserve"> </w:t>
      </w:r>
      <w:r>
        <w:rPr>
          <w:color w:val="000000"/>
        </w:rPr>
        <w:t xml:space="preserve">Young </w:t>
      </w:r>
      <w:r>
        <w:rPr>
          <w:i/>
          <w:color w:val="000000"/>
        </w:rPr>
        <w:t>et al</w:t>
      </w:r>
      <w:r>
        <w:rPr>
          <w:color w:val="000000"/>
        </w:rPr>
        <w:t>., 2016 [fragmentary taxon]</w:t>
      </w:r>
    </w:p>
    <w:p w14:paraId="4BF575CF"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MNHN.F </w:t>
      </w:r>
      <w:bookmarkStart w:id="25" w:name="_Hlk479275478"/>
      <w:r>
        <w:t xml:space="preserve">INA </w:t>
      </w:r>
      <w:bookmarkEnd w:id="25"/>
      <w:r>
        <w:t>21, MNHN.F INA 22, MNHN.F INA 25</w:t>
      </w:r>
      <w:r>
        <w:rPr>
          <w:color w:val="000000"/>
        </w:rPr>
        <w:t xml:space="preserve"> (holotype).</w:t>
      </w:r>
    </w:p>
    <w:p w14:paraId="22B576AB"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West of In Abangharit, Agadez District, Niger.</w:t>
      </w:r>
    </w:p>
    <w:p w14:paraId="26964A40" w14:textId="77777777" w:rsidR="004C76BC" w:rsidRDefault="004C76BC" w:rsidP="004C76BC">
      <w:pPr>
        <w:autoSpaceDE w:val="0"/>
        <w:autoSpaceDN w:val="0"/>
        <w:adjustRightInd w:val="0"/>
        <w:ind w:left="357"/>
        <w:rPr>
          <w:color w:val="000000"/>
        </w:rPr>
      </w:pPr>
      <w:r>
        <w:rPr>
          <w:smallCaps/>
          <w:color w:val="000000"/>
        </w:rPr>
        <w:t>Formation</w:t>
      </w:r>
      <w:r>
        <w:rPr>
          <w:color w:val="000000"/>
        </w:rPr>
        <w:t>: Echkar Formation, Tegma Series.</w:t>
      </w:r>
    </w:p>
    <w:p w14:paraId="6EAB41B4" w14:textId="77777777" w:rsidR="004C76BC" w:rsidRDefault="004C76BC" w:rsidP="004C76BC">
      <w:pPr>
        <w:autoSpaceDE w:val="0"/>
        <w:autoSpaceDN w:val="0"/>
        <w:adjustRightInd w:val="0"/>
        <w:ind w:left="357"/>
        <w:rPr>
          <w:color w:val="000000"/>
        </w:rPr>
      </w:pPr>
      <w:r>
        <w:rPr>
          <w:smallCaps/>
          <w:color w:val="000000"/>
        </w:rPr>
        <w:t>Age</w:t>
      </w:r>
      <w:r>
        <w:rPr>
          <w:color w:val="000000"/>
        </w:rPr>
        <w:t>: upper Albian to lower Cenomanian, ‘mid’ Cretaceous.</w:t>
      </w:r>
    </w:p>
    <w:p w14:paraId="3B048908" w14:textId="77777777" w:rsidR="004C76BC" w:rsidRDefault="004C76BC" w:rsidP="004C76BC">
      <w:pPr>
        <w:rPr>
          <w:color w:val="000000"/>
        </w:rPr>
      </w:pPr>
    </w:p>
    <w:p w14:paraId="3809CE73" w14:textId="77777777" w:rsidR="004C76BC" w:rsidRDefault="004C76BC" w:rsidP="004C76BC">
      <w:pPr>
        <w:rPr>
          <w:caps/>
          <w:u w:val="single"/>
        </w:rPr>
      </w:pPr>
      <w:r>
        <w:rPr>
          <w:caps/>
          <w:u w:val="single"/>
        </w:rPr>
        <w:t xml:space="preserve">Tethysuchia: Dyrosauridae (15 </w:t>
      </w:r>
      <w:r>
        <w:rPr>
          <w:caps/>
          <w:color w:val="000000"/>
          <w:u w:val="single"/>
        </w:rPr>
        <w:t>OTU</w:t>
      </w:r>
      <w:r>
        <w:rPr>
          <w:color w:val="000000"/>
          <w:u w:val="single"/>
        </w:rPr>
        <w:t>s</w:t>
      </w:r>
      <w:r>
        <w:rPr>
          <w:caps/>
          <w:u w:val="single"/>
        </w:rPr>
        <w:t>)</w:t>
      </w:r>
    </w:p>
    <w:p w14:paraId="6B41E3BF" w14:textId="77777777" w:rsidR="004C76BC" w:rsidRDefault="004C76BC" w:rsidP="004C76BC">
      <w:pPr>
        <w:rPr>
          <w:color w:val="000000"/>
        </w:rPr>
      </w:pPr>
      <w:r>
        <w:rPr>
          <w:color w:val="000000"/>
        </w:rPr>
        <w:t xml:space="preserve">(46) </w:t>
      </w:r>
      <w:r>
        <w:rPr>
          <w:i/>
          <w:color w:val="000000"/>
        </w:rPr>
        <w:t>Acherontisuchus guajiraensis</w:t>
      </w:r>
      <w:r>
        <w:rPr>
          <w:color w:val="000000"/>
        </w:rPr>
        <w:t xml:space="preserve"> Hastings </w:t>
      </w:r>
      <w:r>
        <w:rPr>
          <w:i/>
          <w:color w:val="000000"/>
        </w:rPr>
        <w:t>et al</w:t>
      </w:r>
      <w:r>
        <w:rPr>
          <w:color w:val="000000"/>
        </w:rPr>
        <w:t>., 2011 [fragmentary taxon]</w:t>
      </w:r>
    </w:p>
    <w:p w14:paraId="59CB0BA6"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26" w:name="_Hlk479275721"/>
      <w:r>
        <w:t xml:space="preserve">UF/IGM </w:t>
      </w:r>
      <w:bookmarkEnd w:id="26"/>
      <w:r>
        <w:t xml:space="preserve">34 (holotype), UF/IGM 35, UF/IGM 36, UF/IGM 37, UF/IGM 38 &amp; UF/IGM 39; </w:t>
      </w:r>
      <w:r>
        <w:rPr>
          <w:color w:val="000000"/>
        </w:rPr>
        <w:t xml:space="preserve">Hastings </w:t>
      </w:r>
      <w:r>
        <w:rPr>
          <w:i/>
          <w:color w:val="000000"/>
        </w:rPr>
        <w:t>et al</w:t>
      </w:r>
      <w:r>
        <w:rPr>
          <w:color w:val="000000"/>
        </w:rPr>
        <w:t>. (2011).</w:t>
      </w:r>
    </w:p>
    <w:p w14:paraId="5D8AC37B"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below</w:t>
      </w:r>
      <w:r>
        <w:rPr>
          <w:smallCaps/>
          <w:color w:val="000000"/>
        </w:rPr>
        <w:t xml:space="preserve"> </w:t>
      </w:r>
      <w:r>
        <w:rPr>
          <w:color w:val="000000"/>
        </w:rPr>
        <w:t>Coal Seam 85 in the La Puente Pit,</w:t>
      </w:r>
      <w:r>
        <w:rPr>
          <w:smallCaps/>
          <w:color w:val="000000"/>
        </w:rPr>
        <w:t xml:space="preserve"> </w:t>
      </w:r>
      <w:r>
        <w:rPr>
          <w:color w:val="000000"/>
        </w:rPr>
        <w:t>Cerrejón coal mine, Guajira Department, north-eastern Colombia.</w:t>
      </w:r>
    </w:p>
    <w:p w14:paraId="2F7A4045" w14:textId="77777777" w:rsidR="004C76BC" w:rsidRDefault="004C76BC" w:rsidP="004C76BC">
      <w:pPr>
        <w:autoSpaceDE w:val="0"/>
        <w:autoSpaceDN w:val="0"/>
        <w:adjustRightInd w:val="0"/>
        <w:ind w:left="357"/>
        <w:rPr>
          <w:color w:val="000000"/>
        </w:rPr>
      </w:pPr>
      <w:r>
        <w:rPr>
          <w:smallCaps/>
          <w:color w:val="000000"/>
        </w:rPr>
        <w:t>Formation</w:t>
      </w:r>
      <w:r>
        <w:rPr>
          <w:color w:val="000000"/>
        </w:rPr>
        <w:t>: Cerrejón Formation.</w:t>
      </w:r>
    </w:p>
    <w:p w14:paraId="000050D7" w14:textId="77777777" w:rsidR="004C76BC" w:rsidRDefault="004C76BC" w:rsidP="004C76BC">
      <w:pPr>
        <w:autoSpaceDE w:val="0"/>
        <w:autoSpaceDN w:val="0"/>
        <w:adjustRightInd w:val="0"/>
        <w:ind w:left="357"/>
        <w:rPr>
          <w:color w:val="000000"/>
        </w:rPr>
      </w:pPr>
      <w:r>
        <w:rPr>
          <w:smallCaps/>
          <w:color w:val="000000"/>
        </w:rPr>
        <w:t>Age</w:t>
      </w:r>
      <w:r>
        <w:rPr>
          <w:color w:val="000000"/>
        </w:rPr>
        <w:t>: middle–late Paleocene, Palaeogene.</w:t>
      </w:r>
    </w:p>
    <w:p w14:paraId="2729FD4E" w14:textId="77777777" w:rsidR="004C76BC" w:rsidRDefault="004C76BC" w:rsidP="004C76BC">
      <w:pPr>
        <w:rPr>
          <w:color w:val="000000"/>
        </w:rPr>
      </w:pPr>
      <w:r>
        <w:rPr>
          <w:color w:val="000000"/>
        </w:rPr>
        <w:lastRenderedPageBreak/>
        <w:t xml:space="preserve"> </w:t>
      </w:r>
    </w:p>
    <w:p w14:paraId="10E771D5" w14:textId="77777777" w:rsidR="004C76BC" w:rsidRDefault="004C76BC" w:rsidP="004C76BC">
      <w:pPr>
        <w:rPr>
          <w:color w:val="000000"/>
        </w:rPr>
      </w:pPr>
      <w:r>
        <w:rPr>
          <w:color w:val="000000"/>
        </w:rPr>
        <w:t xml:space="preserve">(47) </w:t>
      </w:r>
      <w:r>
        <w:rPr>
          <w:i/>
          <w:color w:val="000000"/>
        </w:rPr>
        <w:t>Anthracosuchus balrogus</w:t>
      </w:r>
      <w:r>
        <w:rPr>
          <w:color w:val="000000"/>
        </w:rPr>
        <w:t xml:space="preserve"> Hastings </w:t>
      </w:r>
      <w:r>
        <w:rPr>
          <w:i/>
          <w:color w:val="000000"/>
        </w:rPr>
        <w:t>et al</w:t>
      </w:r>
      <w:r>
        <w:rPr>
          <w:color w:val="000000"/>
        </w:rPr>
        <w:t>., 2015</w:t>
      </w:r>
    </w:p>
    <w:p w14:paraId="1A06A723" w14:textId="77777777" w:rsidR="004C76BC" w:rsidRDefault="004C76BC" w:rsidP="004C76BC">
      <w:pPr>
        <w:pStyle w:val="CommentText"/>
        <w:ind w:left="357"/>
        <w:rPr>
          <w:color w:val="000000"/>
          <w:sz w:val="24"/>
          <w:szCs w:val="24"/>
        </w:rPr>
      </w:pPr>
      <w:r>
        <w:rPr>
          <w:smallCaps/>
          <w:color w:val="000000"/>
          <w:sz w:val="24"/>
          <w:szCs w:val="24"/>
        </w:rPr>
        <w:t>Data from</w:t>
      </w:r>
      <w:r>
        <w:rPr>
          <w:color w:val="000000"/>
          <w:sz w:val="24"/>
          <w:szCs w:val="24"/>
        </w:rPr>
        <w:t xml:space="preserve">: </w:t>
      </w:r>
      <w:r>
        <w:rPr>
          <w:sz w:val="24"/>
          <w:szCs w:val="24"/>
        </w:rPr>
        <w:t xml:space="preserve">UF/IGM 67 (holotype), UF/IGM 68 (paratype), UF/IGM 69 &amp; UF/IGM 70; </w:t>
      </w:r>
      <w:r>
        <w:rPr>
          <w:color w:val="000000"/>
          <w:sz w:val="24"/>
          <w:szCs w:val="24"/>
        </w:rPr>
        <w:t xml:space="preserve">Hastings </w:t>
      </w:r>
      <w:r>
        <w:rPr>
          <w:i/>
          <w:color w:val="000000"/>
          <w:sz w:val="24"/>
          <w:szCs w:val="24"/>
        </w:rPr>
        <w:t>et al</w:t>
      </w:r>
      <w:r>
        <w:rPr>
          <w:color w:val="000000"/>
          <w:sz w:val="24"/>
          <w:szCs w:val="24"/>
        </w:rPr>
        <w:t>. (2015).</w:t>
      </w:r>
    </w:p>
    <w:p w14:paraId="0C46AA62"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clay layer below Coal Seam 90 in the La Puente Pit, Cerrejón coal mine, Guajira Department, north-eastern Colombia.</w:t>
      </w:r>
    </w:p>
    <w:p w14:paraId="0E031BB7" w14:textId="77777777" w:rsidR="004C76BC" w:rsidRDefault="004C76BC" w:rsidP="004C76BC">
      <w:pPr>
        <w:autoSpaceDE w:val="0"/>
        <w:autoSpaceDN w:val="0"/>
        <w:adjustRightInd w:val="0"/>
        <w:ind w:left="357"/>
        <w:rPr>
          <w:color w:val="000000"/>
        </w:rPr>
      </w:pPr>
      <w:r>
        <w:rPr>
          <w:smallCaps/>
          <w:color w:val="000000"/>
        </w:rPr>
        <w:t>Formation</w:t>
      </w:r>
      <w:r>
        <w:rPr>
          <w:color w:val="000000"/>
        </w:rPr>
        <w:t>: Cerrejón Formation.</w:t>
      </w:r>
    </w:p>
    <w:p w14:paraId="284AF21B" w14:textId="77777777" w:rsidR="004C76BC" w:rsidRDefault="004C76BC" w:rsidP="004C76BC">
      <w:pPr>
        <w:autoSpaceDE w:val="0"/>
        <w:autoSpaceDN w:val="0"/>
        <w:adjustRightInd w:val="0"/>
        <w:ind w:left="357"/>
        <w:rPr>
          <w:color w:val="000000"/>
        </w:rPr>
      </w:pPr>
      <w:r>
        <w:rPr>
          <w:smallCaps/>
          <w:color w:val="000000"/>
        </w:rPr>
        <w:t>Age</w:t>
      </w:r>
      <w:r>
        <w:rPr>
          <w:color w:val="000000"/>
        </w:rPr>
        <w:t>: middle–late Paleocene, Palaeogene.</w:t>
      </w:r>
    </w:p>
    <w:p w14:paraId="5E36B93E" w14:textId="77777777" w:rsidR="004C76BC" w:rsidRDefault="004C76BC" w:rsidP="004C76BC">
      <w:pPr>
        <w:rPr>
          <w:color w:val="000000"/>
        </w:rPr>
      </w:pPr>
      <w:r>
        <w:rPr>
          <w:color w:val="000000"/>
        </w:rPr>
        <w:t xml:space="preserve"> </w:t>
      </w:r>
    </w:p>
    <w:p w14:paraId="746D6BA4" w14:textId="77777777" w:rsidR="004C76BC" w:rsidRDefault="004C76BC" w:rsidP="004C76BC">
      <w:pPr>
        <w:rPr>
          <w:color w:val="000000"/>
        </w:rPr>
      </w:pPr>
      <w:r>
        <w:rPr>
          <w:color w:val="000000"/>
        </w:rPr>
        <w:t xml:space="preserve">(48) </w:t>
      </w:r>
      <w:r>
        <w:rPr>
          <w:i/>
          <w:color w:val="000000"/>
        </w:rPr>
        <w:t>Arambourgisuchus khouribgaensis</w:t>
      </w:r>
      <w:r>
        <w:rPr>
          <w:color w:val="000000"/>
        </w:rPr>
        <w:t xml:space="preserve"> Jouve </w:t>
      </w:r>
      <w:r>
        <w:rPr>
          <w:i/>
          <w:color w:val="000000"/>
        </w:rPr>
        <w:t>et al</w:t>
      </w:r>
      <w:r>
        <w:rPr>
          <w:color w:val="000000"/>
        </w:rPr>
        <w:t>., 2005a.</w:t>
      </w:r>
    </w:p>
    <w:p w14:paraId="24C776E7"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Jouve </w:t>
      </w:r>
      <w:r>
        <w:rPr>
          <w:i/>
          <w:color w:val="000000"/>
        </w:rPr>
        <w:t>et al</w:t>
      </w:r>
      <w:r>
        <w:rPr>
          <w:color w:val="000000"/>
        </w:rPr>
        <w:t>. (2005a).</w:t>
      </w:r>
    </w:p>
    <w:p w14:paraId="13294D5E"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 xml:space="preserve">Phosphate mine in </w:t>
      </w:r>
      <w:r>
        <w:rPr>
          <w:smallCaps/>
          <w:color w:val="000000"/>
        </w:rPr>
        <w:t>‘</w:t>
      </w:r>
      <w:r>
        <w:rPr>
          <w:color w:val="000000"/>
        </w:rPr>
        <w:t>Sidi Chenane’ area, in NE part of Ouled Aboun Basin, Morocco.</w:t>
      </w:r>
    </w:p>
    <w:p w14:paraId="3289D3A2" w14:textId="77777777" w:rsidR="004C76BC" w:rsidRDefault="004C76BC" w:rsidP="004C76BC">
      <w:pPr>
        <w:autoSpaceDE w:val="0"/>
        <w:autoSpaceDN w:val="0"/>
        <w:adjustRightInd w:val="0"/>
        <w:ind w:left="357"/>
        <w:rPr>
          <w:color w:val="000000"/>
        </w:rPr>
      </w:pPr>
      <w:r>
        <w:rPr>
          <w:smallCaps/>
          <w:color w:val="000000"/>
        </w:rPr>
        <w:t>Formation</w:t>
      </w:r>
      <w:r>
        <w:rPr>
          <w:color w:val="000000"/>
        </w:rPr>
        <w:t>: couche (= bed/layer) 2a.</w:t>
      </w:r>
    </w:p>
    <w:p w14:paraId="6C88C870" w14:textId="77777777" w:rsidR="004C76BC" w:rsidRDefault="004C76BC" w:rsidP="004C76BC">
      <w:pPr>
        <w:autoSpaceDE w:val="0"/>
        <w:autoSpaceDN w:val="0"/>
        <w:adjustRightInd w:val="0"/>
        <w:ind w:left="357"/>
        <w:rPr>
          <w:color w:val="000000"/>
        </w:rPr>
      </w:pPr>
      <w:r>
        <w:rPr>
          <w:smallCaps/>
          <w:color w:val="000000"/>
        </w:rPr>
        <w:t>Age</w:t>
      </w:r>
      <w:r>
        <w:rPr>
          <w:color w:val="000000"/>
        </w:rPr>
        <w:t>: Thanetian, Paleocene, Palaeogene.</w:t>
      </w:r>
    </w:p>
    <w:p w14:paraId="567E61AE" w14:textId="77777777" w:rsidR="004C76BC" w:rsidRDefault="004C76BC" w:rsidP="004C76BC">
      <w:pPr>
        <w:rPr>
          <w:color w:val="000000"/>
        </w:rPr>
      </w:pPr>
      <w:r>
        <w:rPr>
          <w:color w:val="000000"/>
        </w:rPr>
        <w:t xml:space="preserve"> </w:t>
      </w:r>
    </w:p>
    <w:p w14:paraId="497626C1" w14:textId="77777777" w:rsidR="004C76BC" w:rsidRDefault="004C76BC" w:rsidP="004C76BC">
      <w:pPr>
        <w:rPr>
          <w:color w:val="000000"/>
        </w:rPr>
      </w:pPr>
      <w:r>
        <w:rPr>
          <w:color w:val="000000"/>
        </w:rPr>
        <w:t xml:space="preserve">(49) </w:t>
      </w:r>
      <w:r>
        <w:rPr>
          <w:i/>
          <w:color w:val="000000"/>
        </w:rPr>
        <w:t>Atlantosuchus coupatezi</w:t>
      </w:r>
      <w:r>
        <w:rPr>
          <w:color w:val="000000"/>
        </w:rPr>
        <w:t xml:space="preserve"> Buffetaut, 1979 </w:t>
      </w:r>
    </w:p>
    <w:p w14:paraId="54B98C15"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Jouve </w:t>
      </w:r>
      <w:r>
        <w:rPr>
          <w:i/>
        </w:rPr>
        <w:t>et al</w:t>
      </w:r>
      <w:r>
        <w:t>. (2008).</w:t>
      </w:r>
    </w:p>
    <w:p w14:paraId="6D3FF6E4" w14:textId="77777777" w:rsidR="004C76BC" w:rsidRDefault="004C76BC" w:rsidP="004C76BC">
      <w:pPr>
        <w:autoSpaceDE w:val="0"/>
        <w:autoSpaceDN w:val="0"/>
        <w:adjustRightInd w:val="0"/>
        <w:ind w:left="357"/>
        <w:rPr>
          <w:color w:val="000000"/>
        </w:rPr>
      </w:pPr>
      <w:r>
        <w:rPr>
          <w:smallCaps/>
          <w:color w:val="000000"/>
        </w:rPr>
        <w:t>Locality: ‘</w:t>
      </w:r>
      <w:r>
        <w:rPr>
          <w:color w:val="000000"/>
        </w:rPr>
        <w:t>Sidi Chenane’ area, in NE part of Ouled Aboun Basin, Morocco.</w:t>
      </w:r>
    </w:p>
    <w:p w14:paraId="49EF6CEF" w14:textId="77777777" w:rsidR="004C76BC" w:rsidRDefault="004C76BC" w:rsidP="004C76BC">
      <w:pPr>
        <w:autoSpaceDE w:val="0"/>
        <w:autoSpaceDN w:val="0"/>
        <w:adjustRightInd w:val="0"/>
        <w:ind w:left="357"/>
        <w:rPr>
          <w:color w:val="000000"/>
        </w:rPr>
      </w:pPr>
      <w:r>
        <w:rPr>
          <w:smallCaps/>
          <w:color w:val="000000"/>
        </w:rPr>
        <w:t>Formation</w:t>
      </w:r>
      <w:r>
        <w:rPr>
          <w:color w:val="000000"/>
        </w:rPr>
        <w:t>: not given.</w:t>
      </w:r>
    </w:p>
    <w:p w14:paraId="0132DA14" w14:textId="77777777" w:rsidR="004C76BC" w:rsidRDefault="004C76BC" w:rsidP="004C76BC">
      <w:pPr>
        <w:autoSpaceDE w:val="0"/>
        <w:autoSpaceDN w:val="0"/>
        <w:adjustRightInd w:val="0"/>
        <w:ind w:left="357"/>
        <w:rPr>
          <w:color w:val="000000"/>
        </w:rPr>
      </w:pPr>
      <w:r>
        <w:rPr>
          <w:smallCaps/>
          <w:color w:val="000000"/>
        </w:rPr>
        <w:t>Age</w:t>
      </w:r>
      <w:r>
        <w:rPr>
          <w:color w:val="000000"/>
        </w:rPr>
        <w:t>: Danian, Paleocene, Palaeogene.</w:t>
      </w:r>
    </w:p>
    <w:p w14:paraId="16E4EF29" w14:textId="77777777" w:rsidR="004C76BC" w:rsidRDefault="004C76BC" w:rsidP="004C76BC">
      <w:pPr>
        <w:rPr>
          <w:color w:val="000000"/>
        </w:rPr>
      </w:pPr>
      <w:r>
        <w:rPr>
          <w:color w:val="000000"/>
        </w:rPr>
        <w:t xml:space="preserve"> </w:t>
      </w:r>
    </w:p>
    <w:p w14:paraId="67B7ACB8" w14:textId="77777777" w:rsidR="004C76BC" w:rsidRDefault="004C76BC" w:rsidP="004C76BC">
      <w:pPr>
        <w:rPr>
          <w:i/>
          <w:color w:val="000000"/>
        </w:rPr>
      </w:pPr>
      <w:r>
        <w:rPr>
          <w:color w:val="000000"/>
        </w:rPr>
        <w:t xml:space="preserve">(50) </w:t>
      </w:r>
      <w:r>
        <w:rPr>
          <w:i/>
          <w:color w:val="000000"/>
        </w:rPr>
        <w:t>Cerrejinosuchus improcerus</w:t>
      </w:r>
      <w:r>
        <w:t xml:space="preserve"> Hastings </w:t>
      </w:r>
      <w:r>
        <w:rPr>
          <w:i/>
        </w:rPr>
        <w:t>et al</w:t>
      </w:r>
      <w:r>
        <w:t>., 2010</w:t>
      </w:r>
    </w:p>
    <w:p w14:paraId="0C69F65C" w14:textId="77777777" w:rsidR="004C76BC" w:rsidRDefault="004C76BC" w:rsidP="004C76BC">
      <w:pPr>
        <w:pStyle w:val="CommentText"/>
        <w:ind w:left="357"/>
        <w:rPr>
          <w:color w:val="000000"/>
          <w:sz w:val="24"/>
        </w:rPr>
      </w:pPr>
      <w:r>
        <w:rPr>
          <w:smallCaps/>
          <w:color w:val="000000"/>
          <w:sz w:val="24"/>
        </w:rPr>
        <w:t>Data from</w:t>
      </w:r>
      <w:r>
        <w:rPr>
          <w:color w:val="000000"/>
          <w:sz w:val="24"/>
        </w:rPr>
        <w:t xml:space="preserve">: </w:t>
      </w:r>
      <w:r>
        <w:rPr>
          <w:sz w:val="24"/>
        </w:rPr>
        <w:t xml:space="preserve">UF/IGM 29 (holotype), UF/IGM 30, UF/IGM 31 &amp; UF/IGM 32; Hastings </w:t>
      </w:r>
      <w:r>
        <w:rPr>
          <w:i/>
          <w:sz w:val="24"/>
        </w:rPr>
        <w:t>et al</w:t>
      </w:r>
      <w:r>
        <w:rPr>
          <w:sz w:val="24"/>
        </w:rPr>
        <w:t>. (2010).</w:t>
      </w:r>
    </w:p>
    <w:p w14:paraId="581CEB9B"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clay layer below Coal Seam 90 in the La Puente Pit, Cerrejón coal mine, Guajira Department, north-eastern Colombia.</w:t>
      </w:r>
    </w:p>
    <w:p w14:paraId="68877E62" w14:textId="77777777" w:rsidR="004C76BC" w:rsidRDefault="004C76BC" w:rsidP="004C76BC">
      <w:pPr>
        <w:autoSpaceDE w:val="0"/>
        <w:autoSpaceDN w:val="0"/>
        <w:adjustRightInd w:val="0"/>
        <w:ind w:left="357"/>
        <w:rPr>
          <w:color w:val="000000"/>
        </w:rPr>
      </w:pPr>
      <w:r>
        <w:rPr>
          <w:smallCaps/>
          <w:color w:val="000000"/>
        </w:rPr>
        <w:t>Formation</w:t>
      </w:r>
      <w:r>
        <w:rPr>
          <w:color w:val="000000"/>
        </w:rPr>
        <w:t>: Cerrejón Formation.</w:t>
      </w:r>
    </w:p>
    <w:p w14:paraId="31087714" w14:textId="77777777" w:rsidR="004C76BC" w:rsidRDefault="004C76BC" w:rsidP="004C76BC">
      <w:pPr>
        <w:autoSpaceDE w:val="0"/>
        <w:autoSpaceDN w:val="0"/>
        <w:adjustRightInd w:val="0"/>
        <w:ind w:left="357"/>
        <w:rPr>
          <w:color w:val="000000"/>
        </w:rPr>
      </w:pPr>
      <w:r>
        <w:rPr>
          <w:smallCaps/>
          <w:color w:val="000000"/>
        </w:rPr>
        <w:t>Age</w:t>
      </w:r>
      <w:r>
        <w:rPr>
          <w:color w:val="000000"/>
        </w:rPr>
        <w:t>: middle–late Paleocene, Palaeogene.</w:t>
      </w:r>
    </w:p>
    <w:p w14:paraId="2CCD0F50" w14:textId="77777777" w:rsidR="004C76BC" w:rsidRDefault="004C76BC" w:rsidP="004C76BC">
      <w:pPr>
        <w:rPr>
          <w:color w:val="000000"/>
        </w:rPr>
      </w:pPr>
    </w:p>
    <w:p w14:paraId="51D129C2" w14:textId="7A76D492" w:rsidR="004C76BC" w:rsidRDefault="004C76BC" w:rsidP="004C76BC">
      <w:r>
        <w:rPr>
          <w:color w:val="000000"/>
        </w:rPr>
        <w:t xml:space="preserve">(51) </w:t>
      </w:r>
      <w:r>
        <w:rPr>
          <w:i/>
          <w:color w:val="000000"/>
        </w:rPr>
        <w:t>Chenanisuchus</w:t>
      </w:r>
      <w:r>
        <w:rPr>
          <w:color w:val="000000"/>
        </w:rPr>
        <w:t xml:space="preserve"> </w:t>
      </w:r>
      <w:r>
        <w:rPr>
          <w:i/>
          <w:color w:val="000000"/>
        </w:rPr>
        <w:t>lateroculi</w:t>
      </w:r>
      <w:r>
        <w:t xml:space="preserve"> Jouve </w:t>
      </w:r>
      <w:r>
        <w:rPr>
          <w:i/>
        </w:rPr>
        <w:t>et al</w:t>
      </w:r>
      <w:r w:rsidR="00AF438E">
        <w:t>., 2005b</w:t>
      </w:r>
    </w:p>
    <w:p w14:paraId="603BCC12"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Jouve </w:t>
      </w:r>
      <w:r>
        <w:rPr>
          <w:i/>
        </w:rPr>
        <w:t>et al</w:t>
      </w:r>
      <w:r>
        <w:t>. (2005b).</w:t>
      </w:r>
    </w:p>
    <w:p w14:paraId="7110AB26" w14:textId="77777777" w:rsidR="004C76BC" w:rsidRDefault="004C76BC" w:rsidP="004C76BC">
      <w:pPr>
        <w:autoSpaceDE w:val="0"/>
        <w:autoSpaceDN w:val="0"/>
        <w:adjustRightInd w:val="0"/>
        <w:ind w:left="357"/>
        <w:rPr>
          <w:color w:val="000000"/>
        </w:rPr>
      </w:pPr>
      <w:r>
        <w:rPr>
          <w:smallCaps/>
          <w:color w:val="000000"/>
        </w:rPr>
        <w:t>Locality: ‘</w:t>
      </w:r>
      <w:r>
        <w:rPr>
          <w:color w:val="000000"/>
        </w:rPr>
        <w:t>Sidi Chenane’ area, in NE part of Ouled Aboun Basin, Morocco.</w:t>
      </w:r>
    </w:p>
    <w:p w14:paraId="2782BE20" w14:textId="77777777" w:rsidR="004C76BC" w:rsidRDefault="004C76BC" w:rsidP="004C76BC">
      <w:pPr>
        <w:autoSpaceDE w:val="0"/>
        <w:autoSpaceDN w:val="0"/>
        <w:adjustRightInd w:val="0"/>
        <w:ind w:left="357"/>
        <w:rPr>
          <w:color w:val="000000"/>
        </w:rPr>
      </w:pPr>
      <w:r>
        <w:rPr>
          <w:smallCaps/>
          <w:color w:val="000000"/>
        </w:rPr>
        <w:t>Formation</w:t>
      </w:r>
      <w:r>
        <w:rPr>
          <w:color w:val="000000"/>
        </w:rPr>
        <w:t>: couche (= bed/layer) 2a.</w:t>
      </w:r>
    </w:p>
    <w:p w14:paraId="5DC4AC10" w14:textId="77777777" w:rsidR="004C76BC" w:rsidRDefault="004C76BC" w:rsidP="004C76BC">
      <w:pPr>
        <w:autoSpaceDE w:val="0"/>
        <w:autoSpaceDN w:val="0"/>
        <w:adjustRightInd w:val="0"/>
        <w:ind w:left="357"/>
        <w:rPr>
          <w:color w:val="000000"/>
        </w:rPr>
      </w:pPr>
      <w:r>
        <w:rPr>
          <w:smallCaps/>
          <w:color w:val="000000"/>
        </w:rPr>
        <w:t>Age</w:t>
      </w:r>
      <w:r>
        <w:rPr>
          <w:color w:val="000000"/>
        </w:rPr>
        <w:t>: Thanetian, Paleocene, Palaeogene.</w:t>
      </w:r>
    </w:p>
    <w:p w14:paraId="5D09C4DE" w14:textId="77777777" w:rsidR="004C76BC" w:rsidRDefault="004C76BC" w:rsidP="004C76BC">
      <w:pPr>
        <w:rPr>
          <w:color w:val="000000"/>
        </w:rPr>
      </w:pPr>
    </w:p>
    <w:p w14:paraId="5AD2576E" w14:textId="77777777" w:rsidR="004C76BC" w:rsidRDefault="004C76BC" w:rsidP="004C76BC">
      <w:r>
        <w:rPr>
          <w:color w:val="000000"/>
        </w:rPr>
        <w:t xml:space="preserve">(52) </w:t>
      </w:r>
      <w:r>
        <w:rPr>
          <w:i/>
          <w:color w:val="000000"/>
        </w:rPr>
        <w:t>Congosaurus bequaerti</w:t>
      </w:r>
      <w:r>
        <w:rPr>
          <w:b/>
          <w:color w:val="000000"/>
          <w:vertAlign w:val="superscript"/>
        </w:rPr>
        <w:t xml:space="preserve"> </w:t>
      </w:r>
      <w:r>
        <w:t>Dollo, 1914</w:t>
      </w:r>
    </w:p>
    <w:p w14:paraId="52710E8C"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Jouve &amp; Schwarz (2004), Schwarz </w:t>
      </w:r>
      <w:r>
        <w:rPr>
          <w:i/>
          <w:iCs/>
          <w:color w:val="000000"/>
        </w:rPr>
        <w:t xml:space="preserve">et al. </w:t>
      </w:r>
      <w:r>
        <w:rPr>
          <w:color w:val="000000"/>
        </w:rPr>
        <w:t xml:space="preserve">(2006), Schwarz-Wings </w:t>
      </w:r>
      <w:r>
        <w:rPr>
          <w:i/>
          <w:iCs/>
          <w:color w:val="000000"/>
        </w:rPr>
        <w:t xml:space="preserve">et al. </w:t>
      </w:r>
      <w:r>
        <w:rPr>
          <w:color w:val="000000"/>
        </w:rPr>
        <w:t>(2009).</w:t>
      </w:r>
    </w:p>
    <w:p w14:paraId="5647E6CD"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Cacongo, Cabinda Province, Angola.</w:t>
      </w:r>
    </w:p>
    <w:p w14:paraId="1F6E2D6D" w14:textId="77777777" w:rsidR="004C76BC" w:rsidRDefault="004C76BC" w:rsidP="004C76BC">
      <w:pPr>
        <w:autoSpaceDE w:val="0"/>
        <w:autoSpaceDN w:val="0"/>
        <w:adjustRightInd w:val="0"/>
        <w:ind w:left="357"/>
        <w:rPr>
          <w:color w:val="000000"/>
        </w:rPr>
      </w:pPr>
      <w:r>
        <w:rPr>
          <w:smallCaps/>
          <w:color w:val="000000"/>
        </w:rPr>
        <w:t>Formation</w:t>
      </w:r>
      <w:r>
        <w:rPr>
          <w:color w:val="000000"/>
        </w:rPr>
        <w:t>: Bed no. 8.</w:t>
      </w:r>
    </w:p>
    <w:p w14:paraId="60D1781A" w14:textId="77777777" w:rsidR="004C76BC" w:rsidRDefault="004C76BC" w:rsidP="004C76BC">
      <w:pPr>
        <w:autoSpaceDE w:val="0"/>
        <w:autoSpaceDN w:val="0"/>
        <w:adjustRightInd w:val="0"/>
        <w:ind w:left="357"/>
        <w:rPr>
          <w:color w:val="000000"/>
        </w:rPr>
      </w:pPr>
      <w:r>
        <w:rPr>
          <w:smallCaps/>
          <w:color w:val="000000"/>
        </w:rPr>
        <w:t>Age</w:t>
      </w:r>
      <w:r>
        <w:rPr>
          <w:color w:val="000000"/>
        </w:rPr>
        <w:t>: Danian, Paleocene, Palaeogene.</w:t>
      </w:r>
    </w:p>
    <w:p w14:paraId="5EF95E8D" w14:textId="77777777" w:rsidR="004C76BC" w:rsidRDefault="004C76BC" w:rsidP="004C76BC">
      <w:pPr>
        <w:rPr>
          <w:i/>
          <w:color w:val="000000"/>
        </w:rPr>
      </w:pPr>
    </w:p>
    <w:p w14:paraId="1FAD30A6" w14:textId="77777777" w:rsidR="004C76BC" w:rsidRDefault="004C76BC" w:rsidP="004C76BC">
      <w:pPr>
        <w:autoSpaceDE w:val="0"/>
        <w:autoSpaceDN w:val="0"/>
        <w:adjustRightInd w:val="0"/>
      </w:pPr>
      <w:r>
        <w:t xml:space="preserve">(53) </w:t>
      </w:r>
      <w:r>
        <w:rPr>
          <w:i/>
        </w:rPr>
        <w:t>Dyrosaurus maghribensis</w:t>
      </w:r>
      <w:r>
        <w:t xml:space="preserve"> Jouve </w:t>
      </w:r>
      <w:r>
        <w:rPr>
          <w:i/>
        </w:rPr>
        <w:t>et al</w:t>
      </w:r>
      <w:r>
        <w:t>., 2006</w:t>
      </w:r>
    </w:p>
    <w:p w14:paraId="52301995"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Jouve </w:t>
      </w:r>
      <w:r>
        <w:rPr>
          <w:i/>
          <w:iCs/>
          <w:color w:val="000000"/>
        </w:rPr>
        <w:t xml:space="preserve">et al. </w:t>
      </w:r>
      <w:r>
        <w:rPr>
          <w:color w:val="000000"/>
        </w:rPr>
        <w:t>(2006).</w:t>
      </w:r>
    </w:p>
    <w:p w14:paraId="1A525BB2"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phosphate mine of Mera el Arech, in Oulad Abdoun Basin, Morocco.</w:t>
      </w:r>
    </w:p>
    <w:p w14:paraId="64948B16" w14:textId="77777777" w:rsidR="004C76BC" w:rsidRDefault="004C76BC" w:rsidP="004C76BC">
      <w:pPr>
        <w:autoSpaceDE w:val="0"/>
        <w:autoSpaceDN w:val="0"/>
        <w:adjustRightInd w:val="0"/>
        <w:ind w:left="357"/>
        <w:rPr>
          <w:color w:val="000000"/>
        </w:rPr>
      </w:pPr>
      <w:r>
        <w:rPr>
          <w:smallCaps/>
          <w:color w:val="000000"/>
        </w:rPr>
        <w:t>Formation</w:t>
      </w:r>
      <w:r>
        <w:rPr>
          <w:color w:val="000000"/>
        </w:rPr>
        <w:t>: couche (= bed/layer) 1.</w:t>
      </w:r>
    </w:p>
    <w:p w14:paraId="31A8B983" w14:textId="77777777" w:rsidR="004C76BC" w:rsidRDefault="004C76BC" w:rsidP="004C76BC">
      <w:pPr>
        <w:autoSpaceDE w:val="0"/>
        <w:autoSpaceDN w:val="0"/>
        <w:adjustRightInd w:val="0"/>
        <w:ind w:left="357"/>
        <w:rPr>
          <w:color w:val="000000"/>
        </w:rPr>
      </w:pPr>
      <w:r>
        <w:rPr>
          <w:smallCaps/>
          <w:color w:val="000000"/>
        </w:rPr>
        <w:t>Age</w:t>
      </w:r>
      <w:r>
        <w:rPr>
          <w:color w:val="000000"/>
        </w:rPr>
        <w:t>: Ypresian, lower Eocene, Palaeogene.</w:t>
      </w:r>
    </w:p>
    <w:p w14:paraId="30E1AD5C" w14:textId="77777777" w:rsidR="004C76BC" w:rsidRDefault="004C76BC" w:rsidP="004C76BC">
      <w:pPr>
        <w:autoSpaceDE w:val="0"/>
        <w:autoSpaceDN w:val="0"/>
        <w:adjustRightInd w:val="0"/>
        <w:rPr>
          <w:i/>
        </w:rPr>
      </w:pPr>
    </w:p>
    <w:p w14:paraId="5CC462EF" w14:textId="77777777" w:rsidR="004C76BC" w:rsidRDefault="004C76BC" w:rsidP="004C76BC">
      <w:pPr>
        <w:autoSpaceDE w:val="0"/>
        <w:autoSpaceDN w:val="0"/>
        <w:adjustRightInd w:val="0"/>
        <w:rPr>
          <w:color w:val="000000"/>
        </w:rPr>
      </w:pPr>
      <w:r>
        <w:t xml:space="preserve">(54) </w:t>
      </w:r>
      <w:r>
        <w:rPr>
          <w:i/>
        </w:rPr>
        <w:t xml:space="preserve">Dyrosaurus phosphaticus </w:t>
      </w:r>
      <w:r>
        <w:rPr>
          <w:color w:val="000000"/>
        </w:rPr>
        <w:t>(Thomas, 1893)</w:t>
      </w:r>
    </w:p>
    <w:p w14:paraId="751453B9" w14:textId="77777777" w:rsidR="004C76BC" w:rsidRDefault="004C76BC" w:rsidP="004C76BC">
      <w:pPr>
        <w:autoSpaceDE w:val="0"/>
        <w:autoSpaceDN w:val="0"/>
        <w:adjustRightInd w:val="0"/>
        <w:ind w:left="357"/>
        <w:rPr>
          <w:color w:val="000000"/>
        </w:rPr>
      </w:pPr>
      <w:r>
        <w:rPr>
          <w:smallCaps/>
          <w:color w:val="000000"/>
        </w:rPr>
        <w:lastRenderedPageBreak/>
        <w:t>Data from</w:t>
      </w:r>
      <w:r>
        <w:rPr>
          <w:color w:val="000000"/>
        </w:rPr>
        <w:t xml:space="preserve">: </w:t>
      </w:r>
      <w:r>
        <w:t xml:space="preserve">MNHN.F </w:t>
      </w:r>
      <w:bookmarkStart w:id="27" w:name="_Hlk479275794"/>
      <w:r>
        <w:t xml:space="preserve">ALG </w:t>
      </w:r>
      <w:bookmarkEnd w:id="27"/>
      <w:r>
        <w:t>1, MNHN.F ALG 2; Jouve (2005)</w:t>
      </w:r>
      <w:r>
        <w:rPr>
          <w:color w:val="000000"/>
        </w:rPr>
        <w:t>.</w:t>
      </w:r>
    </w:p>
    <w:p w14:paraId="27DCC570"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north of Djebel Teldj, near Metlaoui, Tunisia and Tébessa, north-east Algeria.</w:t>
      </w:r>
    </w:p>
    <w:p w14:paraId="5B8F1C72" w14:textId="77777777" w:rsidR="004C76BC" w:rsidRDefault="004C76BC" w:rsidP="004C76BC">
      <w:pPr>
        <w:autoSpaceDE w:val="0"/>
        <w:autoSpaceDN w:val="0"/>
        <w:adjustRightInd w:val="0"/>
        <w:ind w:left="357"/>
        <w:rPr>
          <w:color w:val="000000"/>
        </w:rPr>
      </w:pPr>
      <w:r>
        <w:rPr>
          <w:smallCaps/>
          <w:color w:val="000000"/>
        </w:rPr>
        <w:t>Formation</w:t>
      </w:r>
      <w:r>
        <w:rPr>
          <w:color w:val="000000"/>
        </w:rPr>
        <w:t>: “phosphate layer” (Tunisia).</w:t>
      </w:r>
    </w:p>
    <w:p w14:paraId="1C433B8D" w14:textId="77777777" w:rsidR="004C76BC" w:rsidRDefault="004C76BC" w:rsidP="004C76BC">
      <w:pPr>
        <w:autoSpaceDE w:val="0"/>
        <w:autoSpaceDN w:val="0"/>
        <w:adjustRightInd w:val="0"/>
        <w:ind w:left="357"/>
        <w:rPr>
          <w:color w:val="000000"/>
        </w:rPr>
      </w:pPr>
      <w:r>
        <w:rPr>
          <w:smallCaps/>
          <w:color w:val="000000"/>
        </w:rPr>
        <w:t>Age</w:t>
      </w:r>
      <w:r>
        <w:rPr>
          <w:color w:val="000000"/>
        </w:rPr>
        <w:t>: Ypresian, lower Eocene, Palaeogene.</w:t>
      </w:r>
    </w:p>
    <w:p w14:paraId="5A50468B" w14:textId="77777777" w:rsidR="004C76BC" w:rsidRDefault="004C76BC" w:rsidP="004C76BC">
      <w:pPr>
        <w:autoSpaceDE w:val="0"/>
        <w:autoSpaceDN w:val="0"/>
        <w:adjustRightInd w:val="0"/>
      </w:pPr>
    </w:p>
    <w:p w14:paraId="54AF36C9" w14:textId="77777777" w:rsidR="004C76BC" w:rsidRDefault="004C76BC" w:rsidP="004C76BC">
      <w:pPr>
        <w:rPr>
          <w:color w:val="000000"/>
        </w:rPr>
      </w:pPr>
      <w:r>
        <w:rPr>
          <w:color w:val="000000"/>
        </w:rPr>
        <w:t xml:space="preserve">(55) </w:t>
      </w:r>
      <w:r>
        <w:rPr>
          <w:i/>
          <w:color w:val="000000"/>
        </w:rPr>
        <w:t>Guarinisuchus munizi</w:t>
      </w:r>
      <w:r>
        <w:rPr>
          <w:color w:val="000000"/>
        </w:rPr>
        <w:t xml:space="preserve"> Barbosa </w:t>
      </w:r>
      <w:r>
        <w:rPr>
          <w:i/>
          <w:color w:val="000000"/>
        </w:rPr>
        <w:t>et al</w:t>
      </w:r>
      <w:r>
        <w:rPr>
          <w:color w:val="000000"/>
        </w:rPr>
        <w:t>., 2008</w:t>
      </w:r>
    </w:p>
    <w:p w14:paraId="60D59343"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Barbosa </w:t>
      </w:r>
      <w:r>
        <w:rPr>
          <w:i/>
          <w:iCs/>
          <w:color w:val="000000"/>
        </w:rPr>
        <w:t xml:space="preserve">et al. </w:t>
      </w:r>
      <w:r>
        <w:rPr>
          <w:color w:val="000000"/>
        </w:rPr>
        <w:t>(2008).</w:t>
      </w:r>
    </w:p>
    <w:p w14:paraId="7C7F4DCC"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Poty Quarry, Paulista, NE of Pernambuco State, Brazil.</w:t>
      </w:r>
    </w:p>
    <w:p w14:paraId="3AD890DB" w14:textId="77777777" w:rsidR="004C76BC" w:rsidRDefault="004C76BC" w:rsidP="004C76BC">
      <w:pPr>
        <w:autoSpaceDE w:val="0"/>
        <w:autoSpaceDN w:val="0"/>
        <w:adjustRightInd w:val="0"/>
        <w:ind w:left="357"/>
        <w:rPr>
          <w:color w:val="000000"/>
        </w:rPr>
      </w:pPr>
      <w:r>
        <w:rPr>
          <w:smallCaps/>
          <w:color w:val="000000"/>
        </w:rPr>
        <w:t>Formation</w:t>
      </w:r>
      <w:r>
        <w:rPr>
          <w:color w:val="000000"/>
        </w:rPr>
        <w:t>: Maria Farinha Formation. Paraiba Basin.</w:t>
      </w:r>
    </w:p>
    <w:p w14:paraId="213A043E" w14:textId="77777777" w:rsidR="004C76BC" w:rsidRDefault="004C76BC" w:rsidP="004C76BC">
      <w:pPr>
        <w:autoSpaceDE w:val="0"/>
        <w:autoSpaceDN w:val="0"/>
        <w:adjustRightInd w:val="0"/>
        <w:ind w:left="357"/>
        <w:rPr>
          <w:color w:val="000000"/>
        </w:rPr>
      </w:pPr>
      <w:r>
        <w:rPr>
          <w:smallCaps/>
          <w:color w:val="000000"/>
        </w:rPr>
        <w:t>Age</w:t>
      </w:r>
      <w:r>
        <w:rPr>
          <w:color w:val="000000"/>
        </w:rPr>
        <w:t>: upper Danian, Lower Paleocene, Palaeogene.</w:t>
      </w:r>
    </w:p>
    <w:p w14:paraId="49C17A77" w14:textId="77777777" w:rsidR="004C76BC" w:rsidRDefault="004C76BC" w:rsidP="004C76BC">
      <w:pPr>
        <w:rPr>
          <w:color w:val="000000"/>
        </w:rPr>
      </w:pPr>
    </w:p>
    <w:p w14:paraId="1E840D0F" w14:textId="77777777" w:rsidR="004C76BC" w:rsidRDefault="004C76BC" w:rsidP="004C76BC">
      <w:pPr>
        <w:rPr>
          <w:color w:val="000000"/>
        </w:rPr>
      </w:pPr>
      <w:r>
        <w:rPr>
          <w:color w:val="000000"/>
        </w:rPr>
        <w:t xml:space="preserve">(56) </w:t>
      </w:r>
      <w:r>
        <w:rPr>
          <w:i/>
          <w:color w:val="000000"/>
        </w:rPr>
        <w:t>Hyposaurus rogersii</w:t>
      </w:r>
      <w:r>
        <w:rPr>
          <w:color w:val="000000"/>
        </w:rPr>
        <w:t xml:space="preserve"> Owen, 1849</w:t>
      </w:r>
    </w:p>
    <w:p w14:paraId="4AF5CC85"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Troxell (1925), Denton </w:t>
      </w:r>
      <w:r>
        <w:rPr>
          <w:i/>
        </w:rPr>
        <w:t>et al</w:t>
      </w:r>
      <w:r>
        <w:t>. (1997).</w:t>
      </w:r>
    </w:p>
    <w:p w14:paraId="52B3DC83" w14:textId="4419DA98" w:rsidR="004C76BC" w:rsidRDefault="004C76BC" w:rsidP="004C76BC">
      <w:pPr>
        <w:autoSpaceDE w:val="0"/>
        <w:autoSpaceDN w:val="0"/>
        <w:adjustRightInd w:val="0"/>
        <w:ind w:left="357"/>
        <w:rPr>
          <w:color w:val="000000"/>
        </w:rPr>
      </w:pPr>
      <w:r>
        <w:rPr>
          <w:smallCaps/>
          <w:color w:val="000000"/>
        </w:rPr>
        <w:t>Localit</w:t>
      </w:r>
      <w:r w:rsidR="00AF438E">
        <w:rPr>
          <w:smallCaps/>
          <w:color w:val="000000"/>
        </w:rPr>
        <w:t>ies</w:t>
      </w:r>
      <w:r>
        <w:rPr>
          <w:smallCaps/>
          <w:color w:val="000000"/>
        </w:rPr>
        <w:t xml:space="preserve">: </w:t>
      </w:r>
      <w:r>
        <w:rPr>
          <w:color w:val="000000"/>
        </w:rPr>
        <w:t>Numerous, including: Inversand Company Marl Pit, Gloucester County, New Jersey, USA; Santee rediversion canal, St. Stephen, Berkeley County, South Carolina, USA.</w:t>
      </w:r>
    </w:p>
    <w:p w14:paraId="591F7165" w14:textId="77777777" w:rsidR="004C76BC" w:rsidRDefault="004C76BC" w:rsidP="004C76BC">
      <w:pPr>
        <w:autoSpaceDE w:val="0"/>
        <w:autoSpaceDN w:val="0"/>
        <w:adjustRightInd w:val="0"/>
        <w:ind w:left="357"/>
        <w:rPr>
          <w:color w:val="000000"/>
        </w:rPr>
      </w:pPr>
      <w:r>
        <w:rPr>
          <w:smallCaps/>
          <w:color w:val="000000"/>
        </w:rPr>
        <w:t>Formation</w:t>
      </w:r>
      <w:r>
        <w:rPr>
          <w:color w:val="000000"/>
        </w:rPr>
        <w:t>: Hornerstown Formation (NJ), Williamsburg Formation (SC).</w:t>
      </w:r>
    </w:p>
    <w:p w14:paraId="264E076F" w14:textId="77777777" w:rsidR="004C76BC" w:rsidRDefault="004C76BC" w:rsidP="004C76BC">
      <w:pPr>
        <w:autoSpaceDE w:val="0"/>
        <w:autoSpaceDN w:val="0"/>
        <w:adjustRightInd w:val="0"/>
        <w:ind w:left="357"/>
        <w:rPr>
          <w:color w:val="000000"/>
        </w:rPr>
      </w:pPr>
      <w:r>
        <w:rPr>
          <w:smallCaps/>
          <w:color w:val="000000"/>
        </w:rPr>
        <w:t>Age</w:t>
      </w:r>
      <w:r>
        <w:rPr>
          <w:color w:val="000000"/>
        </w:rPr>
        <w:t>: Maastrichtian, Upper Cretaceous (NJ), upper Paleocene, Palaeogene (SC).</w:t>
      </w:r>
    </w:p>
    <w:p w14:paraId="1A7FFBB4" w14:textId="77777777" w:rsidR="004C76BC" w:rsidRDefault="004C76BC" w:rsidP="004C76BC">
      <w:pPr>
        <w:rPr>
          <w:color w:val="000000"/>
        </w:rPr>
      </w:pPr>
    </w:p>
    <w:p w14:paraId="3AE7DBB8" w14:textId="77777777" w:rsidR="004C76BC" w:rsidRDefault="004C76BC" w:rsidP="004C76BC">
      <w:pPr>
        <w:rPr>
          <w:i/>
          <w:color w:val="000000"/>
        </w:rPr>
      </w:pPr>
      <w:r>
        <w:rPr>
          <w:color w:val="000000"/>
        </w:rPr>
        <w:t xml:space="preserve">(57) </w:t>
      </w:r>
      <w:r>
        <w:rPr>
          <w:i/>
          <w:color w:val="000000"/>
        </w:rPr>
        <w:t>Phosphatosaurus gavialoides</w:t>
      </w:r>
      <w:r>
        <w:rPr>
          <w:b/>
          <w:color w:val="000000"/>
          <w:vertAlign w:val="superscript"/>
        </w:rPr>
        <w:t xml:space="preserve"> </w:t>
      </w:r>
      <w:r>
        <w:t>Bergounioux, 1955</w:t>
      </w:r>
    </w:p>
    <w:p w14:paraId="6BE4E594"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Buffetaut (1978), Hill </w:t>
      </w:r>
      <w:r>
        <w:rPr>
          <w:i/>
        </w:rPr>
        <w:t>et al</w:t>
      </w:r>
      <w:r>
        <w:t>. (2008).</w:t>
      </w:r>
    </w:p>
    <w:p w14:paraId="47484066"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 xml:space="preserve">near Metlaoui, Tunisia and </w:t>
      </w:r>
      <w:r>
        <w:rPr>
          <w:smallCaps/>
          <w:color w:val="000000"/>
        </w:rPr>
        <w:t>‘</w:t>
      </w:r>
      <w:r>
        <w:rPr>
          <w:color w:val="000000"/>
        </w:rPr>
        <w:t>Mali-20’, south of Tamaguélet, Tilemsi valley region, Mali.</w:t>
      </w:r>
    </w:p>
    <w:p w14:paraId="39DB569B" w14:textId="77777777" w:rsidR="004C76BC" w:rsidRDefault="004C76BC" w:rsidP="004C76BC">
      <w:pPr>
        <w:autoSpaceDE w:val="0"/>
        <w:autoSpaceDN w:val="0"/>
        <w:adjustRightInd w:val="0"/>
        <w:ind w:left="357"/>
        <w:rPr>
          <w:color w:val="000000"/>
        </w:rPr>
      </w:pPr>
      <w:r>
        <w:rPr>
          <w:smallCaps/>
          <w:color w:val="000000"/>
        </w:rPr>
        <w:t>Formation</w:t>
      </w:r>
      <w:r>
        <w:rPr>
          <w:color w:val="000000"/>
        </w:rPr>
        <w:t>: “phosphate layer” (Tunisia) and unnamed formation in Taoudeni Basin (Mali).</w:t>
      </w:r>
    </w:p>
    <w:p w14:paraId="2E965213" w14:textId="77777777" w:rsidR="004C76BC" w:rsidRDefault="004C76BC" w:rsidP="004C76BC">
      <w:pPr>
        <w:autoSpaceDE w:val="0"/>
        <w:autoSpaceDN w:val="0"/>
        <w:adjustRightInd w:val="0"/>
        <w:ind w:left="357"/>
        <w:rPr>
          <w:color w:val="000000"/>
        </w:rPr>
      </w:pPr>
      <w:r>
        <w:rPr>
          <w:smallCaps/>
          <w:color w:val="000000"/>
        </w:rPr>
        <w:t>Age</w:t>
      </w:r>
      <w:r>
        <w:rPr>
          <w:color w:val="000000"/>
        </w:rPr>
        <w:t>: Ypresian, lower Eocene, Palaeogene.</w:t>
      </w:r>
    </w:p>
    <w:p w14:paraId="57D76D9B" w14:textId="77777777" w:rsidR="004C76BC" w:rsidRDefault="004C76BC" w:rsidP="004C76BC">
      <w:pPr>
        <w:autoSpaceDE w:val="0"/>
        <w:autoSpaceDN w:val="0"/>
        <w:adjustRightInd w:val="0"/>
      </w:pPr>
    </w:p>
    <w:p w14:paraId="7E94B0D1" w14:textId="77777777" w:rsidR="004C76BC" w:rsidRDefault="004C76BC" w:rsidP="004C76BC">
      <w:pPr>
        <w:autoSpaceDE w:val="0"/>
        <w:autoSpaceDN w:val="0"/>
        <w:adjustRightInd w:val="0"/>
        <w:rPr>
          <w:i/>
        </w:rPr>
      </w:pPr>
      <w:r>
        <w:t xml:space="preserve">(58) </w:t>
      </w:r>
      <w:r>
        <w:rPr>
          <w:i/>
        </w:rPr>
        <w:t>Rhabdognathus keiniensis</w:t>
      </w:r>
      <w:r>
        <w:rPr>
          <w:b/>
          <w:color w:val="000000"/>
        </w:rPr>
        <w:t xml:space="preserve"> </w:t>
      </w:r>
      <w:r>
        <w:t>Jouve, 2007.</w:t>
      </w:r>
    </w:p>
    <w:p w14:paraId="29503624"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Jouve (2007).</w:t>
      </w:r>
    </w:p>
    <w:p w14:paraId="0539D26E"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Cheit Keini and In Farghas,</w:t>
      </w:r>
      <w:r>
        <w:rPr>
          <w:smallCaps/>
          <w:color w:val="000000"/>
        </w:rPr>
        <w:t xml:space="preserve"> </w:t>
      </w:r>
      <w:r>
        <w:rPr>
          <w:color w:val="000000"/>
        </w:rPr>
        <w:t>Tilemsi valley region, Mali.</w:t>
      </w:r>
    </w:p>
    <w:p w14:paraId="164A8727" w14:textId="77777777" w:rsidR="004C76BC" w:rsidRDefault="004C76BC" w:rsidP="004C76BC">
      <w:pPr>
        <w:autoSpaceDE w:val="0"/>
        <w:autoSpaceDN w:val="0"/>
        <w:adjustRightInd w:val="0"/>
        <w:ind w:left="357"/>
        <w:rPr>
          <w:color w:val="000000"/>
        </w:rPr>
      </w:pPr>
      <w:r>
        <w:rPr>
          <w:smallCaps/>
          <w:color w:val="000000"/>
        </w:rPr>
        <w:t>Formation</w:t>
      </w:r>
      <w:r>
        <w:rPr>
          <w:color w:val="000000"/>
        </w:rPr>
        <w:t>: unnamed formation in Taoudeni Basin.</w:t>
      </w:r>
    </w:p>
    <w:p w14:paraId="442F97B1" w14:textId="77777777" w:rsidR="004C76BC" w:rsidRDefault="004C76BC" w:rsidP="004C76BC">
      <w:pPr>
        <w:autoSpaceDE w:val="0"/>
        <w:autoSpaceDN w:val="0"/>
        <w:adjustRightInd w:val="0"/>
        <w:ind w:left="357"/>
        <w:rPr>
          <w:color w:val="000000"/>
        </w:rPr>
      </w:pPr>
      <w:r>
        <w:rPr>
          <w:smallCaps/>
          <w:color w:val="000000"/>
        </w:rPr>
        <w:t>Age</w:t>
      </w:r>
      <w:r>
        <w:rPr>
          <w:color w:val="000000"/>
        </w:rPr>
        <w:t>: Paleocene, Palaeogene.</w:t>
      </w:r>
    </w:p>
    <w:p w14:paraId="70DB47CD" w14:textId="77777777" w:rsidR="004C76BC" w:rsidRDefault="004C76BC" w:rsidP="004C76BC">
      <w:pPr>
        <w:autoSpaceDE w:val="0"/>
        <w:autoSpaceDN w:val="0"/>
        <w:adjustRightInd w:val="0"/>
      </w:pPr>
    </w:p>
    <w:p w14:paraId="275E6FE5" w14:textId="77777777" w:rsidR="004C76BC" w:rsidRDefault="004C76BC" w:rsidP="004C76BC">
      <w:pPr>
        <w:autoSpaceDE w:val="0"/>
        <w:autoSpaceDN w:val="0"/>
        <w:adjustRightInd w:val="0"/>
        <w:rPr>
          <w:i/>
        </w:rPr>
      </w:pPr>
      <w:r>
        <w:t xml:space="preserve">(59) </w:t>
      </w:r>
      <w:r>
        <w:rPr>
          <w:i/>
        </w:rPr>
        <w:t>Rhabdognathus aslerensis</w:t>
      </w:r>
      <w:r>
        <w:rPr>
          <w:b/>
          <w:color w:val="000000"/>
        </w:rPr>
        <w:t xml:space="preserve"> </w:t>
      </w:r>
      <w:r>
        <w:t>Jouve, 2007</w:t>
      </w:r>
    </w:p>
    <w:p w14:paraId="6CF777BC"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Brochu </w:t>
      </w:r>
      <w:r>
        <w:rPr>
          <w:i/>
        </w:rPr>
        <w:t>et al</w:t>
      </w:r>
      <w:r>
        <w:t>. (2002), Jouve (2007).</w:t>
      </w:r>
    </w:p>
    <w:p w14:paraId="6CB95570" w14:textId="77777777" w:rsidR="004C76BC" w:rsidRDefault="004C76BC" w:rsidP="004C76BC">
      <w:pPr>
        <w:autoSpaceDE w:val="0"/>
        <w:autoSpaceDN w:val="0"/>
        <w:adjustRightInd w:val="0"/>
        <w:ind w:left="357"/>
        <w:rPr>
          <w:color w:val="000000"/>
        </w:rPr>
      </w:pPr>
      <w:r>
        <w:rPr>
          <w:smallCaps/>
          <w:color w:val="000000"/>
        </w:rPr>
        <w:t>Locality: ‘</w:t>
      </w:r>
      <w:r>
        <w:rPr>
          <w:color w:val="000000"/>
        </w:rPr>
        <w:t>Mali-5’, near Asler, north-west of Tamaguélet, Tilemsi valley region, Mali.</w:t>
      </w:r>
    </w:p>
    <w:p w14:paraId="1D0FAA7E" w14:textId="77777777" w:rsidR="004C76BC" w:rsidRDefault="004C76BC" w:rsidP="004C76BC">
      <w:pPr>
        <w:autoSpaceDE w:val="0"/>
        <w:autoSpaceDN w:val="0"/>
        <w:adjustRightInd w:val="0"/>
        <w:ind w:left="357"/>
        <w:rPr>
          <w:color w:val="000000"/>
        </w:rPr>
      </w:pPr>
      <w:r>
        <w:rPr>
          <w:smallCaps/>
          <w:color w:val="000000"/>
        </w:rPr>
        <w:t>Formation</w:t>
      </w:r>
      <w:r>
        <w:rPr>
          <w:color w:val="000000"/>
        </w:rPr>
        <w:t>: unnamed formation in Taoudeni Basin.</w:t>
      </w:r>
    </w:p>
    <w:p w14:paraId="7D0C6089" w14:textId="77777777" w:rsidR="004C76BC" w:rsidRDefault="004C76BC" w:rsidP="004C76BC">
      <w:pPr>
        <w:autoSpaceDE w:val="0"/>
        <w:autoSpaceDN w:val="0"/>
        <w:adjustRightInd w:val="0"/>
        <w:ind w:left="357"/>
        <w:rPr>
          <w:color w:val="000000"/>
        </w:rPr>
      </w:pPr>
      <w:r>
        <w:rPr>
          <w:smallCaps/>
          <w:color w:val="000000"/>
        </w:rPr>
        <w:t>Age</w:t>
      </w:r>
      <w:r>
        <w:rPr>
          <w:color w:val="000000"/>
        </w:rPr>
        <w:t>: Maastrichtian or Paleocene.</w:t>
      </w:r>
    </w:p>
    <w:p w14:paraId="5EE073E2" w14:textId="77777777" w:rsidR="004C76BC" w:rsidRDefault="004C76BC" w:rsidP="004C76BC">
      <w:pPr>
        <w:rPr>
          <w:color w:val="000000"/>
        </w:rPr>
      </w:pPr>
    </w:p>
    <w:p w14:paraId="63CA98B7" w14:textId="77777777" w:rsidR="004C76BC" w:rsidRDefault="004C76BC" w:rsidP="004C76BC">
      <w:pPr>
        <w:rPr>
          <w:i/>
          <w:color w:val="000000"/>
          <w:highlight w:val="yellow"/>
        </w:rPr>
      </w:pPr>
      <w:r>
        <w:rPr>
          <w:color w:val="000000"/>
        </w:rPr>
        <w:t xml:space="preserve">(60) </w:t>
      </w:r>
      <w:r>
        <w:rPr>
          <w:i/>
          <w:color w:val="000000"/>
        </w:rPr>
        <w:t>Sabinosuchus coahuiliensis</w:t>
      </w:r>
      <w:r>
        <w:rPr>
          <w:b/>
          <w:color w:val="000000"/>
          <w:vertAlign w:val="superscript"/>
        </w:rPr>
        <w:t xml:space="preserve"> </w:t>
      </w:r>
      <w:r>
        <w:rPr>
          <w:color w:val="000000"/>
        </w:rPr>
        <w:t xml:space="preserve">Shiller </w:t>
      </w:r>
      <w:r>
        <w:rPr>
          <w:i/>
          <w:color w:val="000000"/>
        </w:rPr>
        <w:t>et al</w:t>
      </w:r>
      <w:r>
        <w:rPr>
          <w:color w:val="000000"/>
        </w:rPr>
        <w:t>., 2016</w:t>
      </w:r>
      <w:r>
        <w:t xml:space="preserve"> </w:t>
      </w:r>
      <w:r>
        <w:rPr>
          <w:color w:val="000000"/>
        </w:rPr>
        <w:t>[fragmentary taxon]</w:t>
      </w:r>
    </w:p>
    <w:p w14:paraId="6E5188BB"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Shiller </w:t>
      </w:r>
      <w:r>
        <w:rPr>
          <w:i/>
          <w:color w:val="000000"/>
        </w:rPr>
        <w:t>et al</w:t>
      </w:r>
      <w:r>
        <w:rPr>
          <w:color w:val="000000"/>
        </w:rPr>
        <w:t>. (2016</w:t>
      </w:r>
      <w:r>
        <w:t>).</w:t>
      </w:r>
    </w:p>
    <w:p w14:paraId="48F76F7C"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El Rancho Soledad, Coahuila, Mexico.</w:t>
      </w:r>
    </w:p>
    <w:p w14:paraId="577CC422" w14:textId="77777777" w:rsidR="004C76BC" w:rsidRDefault="004C76BC" w:rsidP="004C76BC">
      <w:pPr>
        <w:autoSpaceDE w:val="0"/>
        <w:autoSpaceDN w:val="0"/>
        <w:adjustRightInd w:val="0"/>
        <w:ind w:left="357"/>
        <w:rPr>
          <w:color w:val="000000"/>
        </w:rPr>
      </w:pPr>
      <w:r>
        <w:rPr>
          <w:smallCaps/>
          <w:color w:val="000000"/>
        </w:rPr>
        <w:t>Formation</w:t>
      </w:r>
      <w:r>
        <w:rPr>
          <w:color w:val="000000"/>
        </w:rPr>
        <w:t>: Escondido Formation.</w:t>
      </w:r>
    </w:p>
    <w:p w14:paraId="687D2F41" w14:textId="77777777" w:rsidR="004C76BC" w:rsidRDefault="004C76BC" w:rsidP="004C76BC">
      <w:pPr>
        <w:autoSpaceDE w:val="0"/>
        <w:autoSpaceDN w:val="0"/>
        <w:adjustRightInd w:val="0"/>
        <w:ind w:left="357"/>
        <w:rPr>
          <w:color w:val="000000"/>
        </w:rPr>
      </w:pPr>
      <w:r>
        <w:rPr>
          <w:smallCaps/>
          <w:color w:val="000000"/>
        </w:rPr>
        <w:t>Age</w:t>
      </w:r>
      <w:r>
        <w:rPr>
          <w:color w:val="000000"/>
        </w:rPr>
        <w:t>: Maastrichtian, Upper Cretaceous.</w:t>
      </w:r>
    </w:p>
    <w:p w14:paraId="258AC7D3" w14:textId="77777777" w:rsidR="004C76BC" w:rsidRDefault="004C76BC" w:rsidP="004C76BC">
      <w:pPr>
        <w:rPr>
          <w:color w:val="000000"/>
        </w:rPr>
      </w:pPr>
    </w:p>
    <w:p w14:paraId="5820C31E" w14:textId="77777777" w:rsidR="004C76BC" w:rsidRDefault="004C76BC" w:rsidP="004C76BC">
      <w:pPr>
        <w:rPr>
          <w:i/>
          <w:color w:val="000000"/>
          <w:highlight w:val="yellow"/>
        </w:rPr>
      </w:pPr>
      <w:r>
        <w:rPr>
          <w:color w:val="000000"/>
        </w:rPr>
        <w:t xml:space="preserve">(61) </w:t>
      </w:r>
      <w:r>
        <w:rPr>
          <w:i/>
          <w:color w:val="000000"/>
        </w:rPr>
        <w:t>Sokotosuchus ianwilsoni</w:t>
      </w:r>
      <w:r>
        <w:rPr>
          <w:b/>
          <w:color w:val="000000"/>
          <w:vertAlign w:val="superscript"/>
        </w:rPr>
        <w:t xml:space="preserve"> </w:t>
      </w:r>
      <w:r>
        <w:rPr>
          <w:color w:val="000000"/>
        </w:rPr>
        <w:t>Halstead, 1975</w:t>
      </w:r>
      <w:r>
        <w:t xml:space="preserve"> </w:t>
      </w:r>
    </w:p>
    <w:p w14:paraId="7BEA2B17"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Buffetaut (1979).</w:t>
      </w:r>
    </w:p>
    <w:p w14:paraId="6183FF59"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Sokoto area, NW Nigeria.</w:t>
      </w:r>
    </w:p>
    <w:p w14:paraId="1FE7EC0D" w14:textId="77777777" w:rsidR="004C76BC" w:rsidRDefault="004C76BC" w:rsidP="004C76BC">
      <w:pPr>
        <w:autoSpaceDE w:val="0"/>
        <w:autoSpaceDN w:val="0"/>
        <w:adjustRightInd w:val="0"/>
        <w:ind w:left="357"/>
        <w:rPr>
          <w:color w:val="000000"/>
        </w:rPr>
      </w:pPr>
      <w:r>
        <w:rPr>
          <w:smallCaps/>
          <w:color w:val="000000"/>
        </w:rPr>
        <w:t>Formation</w:t>
      </w:r>
      <w:r>
        <w:rPr>
          <w:color w:val="000000"/>
        </w:rPr>
        <w:t>: Dukamaje Formation.</w:t>
      </w:r>
    </w:p>
    <w:p w14:paraId="1F5765B9" w14:textId="77777777" w:rsidR="004C76BC" w:rsidRDefault="004C76BC" w:rsidP="004C76BC">
      <w:pPr>
        <w:autoSpaceDE w:val="0"/>
        <w:autoSpaceDN w:val="0"/>
        <w:adjustRightInd w:val="0"/>
        <w:ind w:left="357"/>
        <w:rPr>
          <w:color w:val="000000"/>
        </w:rPr>
      </w:pPr>
      <w:r>
        <w:rPr>
          <w:smallCaps/>
          <w:color w:val="000000"/>
        </w:rPr>
        <w:lastRenderedPageBreak/>
        <w:t>Age</w:t>
      </w:r>
      <w:r>
        <w:rPr>
          <w:color w:val="000000"/>
        </w:rPr>
        <w:t>: Maastrichtian, Upper Cretaceous.</w:t>
      </w:r>
    </w:p>
    <w:p w14:paraId="76E62A1E" w14:textId="77777777" w:rsidR="004C76BC" w:rsidRDefault="004C76BC" w:rsidP="004C76BC"/>
    <w:p w14:paraId="76EABEC6" w14:textId="77777777" w:rsidR="004C76BC" w:rsidRDefault="004C76BC" w:rsidP="004C76BC">
      <w:pPr>
        <w:rPr>
          <w:caps/>
          <w:u w:val="single"/>
        </w:rPr>
      </w:pPr>
      <w:r>
        <w:rPr>
          <w:caps/>
          <w:u w:val="single"/>
        </w:rPr>
        <w:t xml:space="preserve">Neosuchia: Bernissartiidae (2 </w:t>
      </w:r>
      <w:r>
        <w:rPr>
          <w:u w:val="single"/>
        </w:rPr>
        <w:t>OTUs</w:t>
      </w:r>
      <w:r>
        <w:rPr>
          <w:caps/>
          <w:u w:val="single"/>
        </w:rPr>
        <w:t>)</w:t>
      </w:r>
    </w:p>
    <w:p w14:paraId="26A5B821" w14:textId="77777777" w:rsidR="004C76BC" w:rsidRDefault="004C76BC" w:rsidP="004C76BC">
      <w:pPr>
        <w:rPr>
          <w:color w:val="000000"/>
        </w:rPr>
      </w:pPr>
      <w:r>
        <w:rPr>
          <w:color w:val="000000"/>
        </w:rPr>
        <w:t xml:space="preserve">(62) </w:t>
      </w:r>
      <w:r>
        <w:rPr>
          <w:i/>
          <w:color w:val="000000"/>
        </w:rPr>
        <w:t>Bernissartia fagesii</w:t>
      </w:r>
      <w:r>
        <w:rPr>
          <w:color w:val="000000"/>
        </w:rPr>
        <w:t xml:space="preserve"> Dollo, 1883</w:t>
      </w:r>
    </w:p>
    <w:p w14:paraId="3E9589C1" w14:textId="77777777" w:rsidR="004C76BC" w:rsidRDefault="004C76BC" w:rsidP="004C76BC">
      <w:pPr>
        <w:autoSpaceDE w:val="0"/>
        <w:autoSpaceDN w:val="0"/>
        <w:adjustRightInd w:val="0"/>
        <w:ind w:left="357"/>
        <w:rPr>
          <w:color w:val="000000"/>
        </w:rPr>
      </w:pPr>
      <w:r>
        <w:rPr>
          <w:smallCaps/>
          <w:color w:val="000000"/>
        </w:rPr>
        <w:t>Data from</w:t>
      </w:r>
      <w:r>
        <w:rPr>
          <w:color w:val="000000"/>
        </w:rPr>
        <w:t>: Norell &amp; Clark (1990).</w:t>
      </w:r>
    </w:p>
    <w:p w14:paraId="09D27AB2"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Sainte-Barbe coal mine,</w:t>
      </w:r>
      <w:r>
        <w:rPr>
          <w:smallCaps/>
          <w:color w:val="000000"/>
        </w:rPr>
        <w:t xml:space="preserve"> </w:t>
      </w:r>
      <w:r>
        <w:rPr>
          <w:color w:val="000000"/>
        </w:rPr>
        <w:t>Bernissart, Belgium.</w:t>
      </w:r>
    </w:p>
    <w:p w14:paraId="6AB9C060" w14:textId="77777777" w:rsidR="004C76BC" w:rsidRDefault="004C76BC" w:rsidP="004C76BC">
      <w:pPr>
        <w:autoSpaceDE w:val="0"/>
        <w:autoSpaceDN w:val="0"/>
        <w:adjustRightInd w:val="0"/>
        <w:ind w:left="357"/>
        <w:rPr>
          <w:color w:val="000000"/>
        </w:rPr>
      </w:pPr>
      <w:r>
        <w:rPr>
          <w:smallCaps/>
          <w:color w:val="000000"/>
        </w:rPr>
        <w:t>Formation</w:t>
      </w:r>
      <w:r>
        <w:rPr>
          <w:color w:val="000000"/>
        </w:rPr>
        <w:t>: Sainte-Barbe Clays Formation.</w:t>
      </w:r>
    </w:p>
    <w:p w14:paraId="7316082D" w14:textId="77777777" w:rsidR="004C76BC" w:rsidRDefault="004C76BC" w:rsidP="004C76BC">
      <w:pPr>
        <w:autoSpaceDE w:val="0"/>
        <w:autoSpaceDN w:val="0"/>
        <w:adjustRightInd w:val="0"/>
        <w:ind w:left="357"/>
        <w:rPr>
          <w:color w:val="000000"/>
        </w:rPr>
      </w:pPr>
      <w:r>
        <w:rPr>
          <w:smallCaps/>
          <w:color w:val="000000"/>
        </w:rPr>
        <w:t>Age</w:t>
      </w:r>
      <w:r>
        <w:rPr>
          <w:color w:val="000000"/>
        </w:rPr>
        <w:t>: Berriasian–Barremian, Lower Cretaceous.</w:t>
      </w:r>
    </w:p>
    <w:p w14:paraId="2F44965E" w14:textId="77777777" w:rsidR="004C76BC" w:rsidRDefault="004C76BC" w:rsidP="004C76BC">
      <w:pPr>
        <w:rPr>
          <w:color w:val="000000"/>
        </w:rPr>
      </w:pPr>
    </w:p>
    <w:p w14:paraId="75495CE7" w14:textId="77777777" w:rsidR="004C76BC" w:rsidRDefault="004C76BC" w:rsidP="004C76BC">
      <w:pPr>
        <w:ind w:left="720" w:hanging="720"/>
        <w:rPr>
          <w:color w:val="000000"/>
        </w:rPr>
      </w:pPr>
      <w:r>
        <w:rPr>
          <w:iCs/>
        </w:rPr>
        <w:t xml:space="preserve">(63) </w:t>
      </w:r>
      <w:r>
        <w:rPr>
          <w:i/>
          <w:iCs/>
        </w:rPr>
        <w:t xml:space="preserve">Koumpiodontosuchus aprosdokiti </w:t>
      </w:r>
      <w:r>
        <w:t xml:space="preserve">Sweetman </w:t>
      </w:r>
      <w:r>
        <w:rPr>
          <w:i/>
          <w:iCs/>
        </w:rPr>
        <w:t>et al</w:t>
      </w:r>
      <w:r>
        <w:t>., 2015</w:t>
      </w:r>
    </w:p>
    <w:p w14:paraId="1A7DF212"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rPr>
          <w:bCs/>
        </w:rPr>
        <w:t>IWCMS 2012.203 and IWCMS 2012.204</w:t>
      </w:r>
      <w:r>
        <w:t xml:space="preserve"> (holotype), Sweetman </w:t>
      </w:r>
      <w:r>
        <w:rPr>
          <w:i/>
          <w:iCs/>
        </w:rPr>
        <w:t>et al</w:t>
      </w:r>
      <w:r>
        <w:t>. (2015).</w:t>
      </w:r>
    </w:p>
    <w:p w14:paraId="6CBC6298"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The foreshore near Yaverland, SE coast of Isle of Wight, UK.</w:t>
      </w:r>
    </w:p>
    <w:p w14:paraId="121F5B0E" w14:textId="77777777" w:rsidR="004C76BC" w:rsidRDefault="004C76BC" w:rsidP="004C76BC">
      <w:pPr>
        <w:autoSpaceDE w:val="0"/>
        <w:autoSpaceDN w:val="0"/>
        <w:adjustRightInd w:val="0"/>
        <w:ind w:left="357"/>
        <w:rPr>
          <w:color w:val="000000"/>
        </w:rPr>
      </w:pPr>
      <w:r>
        <w:rPr>
          <w:smallCaps/>
          <w:color w:val="000000"/>
        </w:rPr>
        <w:t>Formation</w:t>
      </w:r>
      <w:r>
        <w:rPr>
          <w:color w:val="000000"/>
        </w:rPr>
        <w:t>: from one of the plant debris beds occurring between beds 26 and 38, Wessex Formation.</w:t>
      </w:r>
    </w:p>
    <w:p w14:paraId="57F4E90C" w14:textId="77777777" w:rsidR="004C76BC" w:rsidRDefault="004C76BC" w:rsidP="004C76BC">
      <w:pPr>
        <w:autoSpaceDE w:val="0"/>
        <w:autoSpaceDN w:val="0"/>
        <w:adjustRightInd w:val="0"/>
        <w:ind w:left="357"/>
        <w:rPr>
          <w:color w:val="000000"/>
        </w:rPr>
      </w:pPr>
      <w:r>
        <w:rPr>
          <w:smallCaps/>
          <w:color w:val="000000"/>
        </w:rPr>
        <w:t>Age</w:t>
      </w:r>
      <w:r>
        <w:rPr>
          <w:color w:val="000000"/>
        </w:rPr>
        <w:t>: Barremian, Lower Cretaceous.</w:t>
      </w:r>
    </w:p>
    <w:p w14:paraId="699D5DB4" w14:textId="77777777" w:rsidR="004C76BC" w:rsidRDefault="004C76BC" w:rsidP="004C76BC"/>
    <w:p w14:paraId="5520B541" w14:textId="77777777" w:rsidR="004C76BC" w:rsidRDefault="004C76BC" w:rsidP="004C76BC">
      <w:pPr>
        <w:rPr>
          <w:caps/>
          <w:u w:val="single"/>
        </w:rPr>
      </w:pPr>
      <w:r>
        <w:rPr>
          <w:caps/>
          <w:u w:val="single"/>
        </w:rPr>
        <w:t xml:space="preserve">Neosuchia: Susisuchidae (2 </w:t>
      </w:r>
      <w:r>
        <w:rPr>
          <w:caps/>
          <w:color w:val="000000"/>
          <w:u w:val="single"/>
        </w:rPr>
        <w:t>OTU</w:t>
      </w:r>
      <w:r>
        <w:rPr>
          <w:color w:val="000000"/>
          <w:u w:val="single"/>
        </w:rPr>
        <w:t>s</w:t>
      </w:r>
      <w:r>
        <w:rPr>
          <w:caps/>
          <w:u w:val="single"/>
        </w:rPr>
        <w:t>)</w:t>
      </w:r>
    </w:p>
    <w:p w14:paraId="62D669E9" w14:textId="77777777" w:rsidR="004C76BC" w:rsidRDefault="004C76BC" w:rsidP="004C76BC">
      <w:pPr>
        <w:rPr>
          <w:color w:val="000000"/>
        </w:rPr>
      </w:pPr>
      <w:r>
        <w:rPr>
          <w:iCs/>
        </w:rPr>
        <w:t xml:space="preserve">(64) </w:t>
      </w:r>
      <w:r>
        <w:rPr>
          <w:i/>
          <w:iCs/>
        </w:rPr>
        <w:t xml:space="preserve">Susisuchus anatoceps </w:t>
      </w:r>
      <w:r>
        <w:t xml:space="preserve">Salisbury </w:t>
      </w:r>
      <w:r>
        <w:rPr>
          <w:i/>
          <w:iCs/>
        </w:rPr>
        <w:t>et al</w:t>
      </w:r>
      <w:r>
        <w:t>., 2003</w:t>
      </w:r>
    </w:p>
    <w:p w14:paraId="56A9EDAE"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28" w:name="_Hlk479275408"/>
      <w:r>
        <w:rPr>
          <w:color w:val="000000"/>
        </w:rPr>
        <w:t xml:space="preserve">SMNK </w:t>
      </w:r>
      <w:bookmarkEnd w:id="28"/>
      <w:r>
        <w:rPr>
          <w:color w:val="000000"/>
        </w:rPr>
        <w:t xml:space="preserve">PAL3804 (holotype); Salisbury </w:t>
      </w:r>
      <w:r>
        <w:rPr>
          <w:i/>
          <w:iCs/>
          <w:color w:val="000000"/>
        </w:rPr>
        <w:t xml:space="preserve">et al. </w:t>
      </w:r>
      <w:r>
        <w:rPr>
          <w:color w:val="000000"/>
        </w:rPr>
        <w:t>(2003, 2006).</w:t>
      </w:r>
    </w:p>
    <w:p w14:paraId="5010047A"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Araripe Plateau, NE Brazil.</w:t>
      </w:r>
    </w:p>
    <w:p w14:paraId="1188951D" w14:textId="77777777" w:rsidR="004C76BC" w:rsidRDefault="004C76BC" w:rsidP="004C76BC">
      <w:pPr>
        <w:autoSpaceDE w:val="0"/>
        <w:autoSpaceDN w:val="0"/>
        <w:adjustRightInd w:val="0"/>
        <w:ind w:left="357"/>
        <w:rPr>
          <w:color w:val="000000"/>
        </w:rPr>
      </w:pPr>
      <w:r>
        <w:rPr>
          <w:smallCaps/>
          <w:color w:val="000000"/>
        </w:rPr>
        <w:t>Formation</w:t>
      </w:r>
      <w:r>
        <w:rPr>
          <w:color w:val="000000"/>
        </w:rPr>
        <w:t>: Crato Member, Santana Formation. Araripe Basin.</w:t>
      </w:r>
    </w:p>
    <w:p w14:paraId="3FCD3661" w14:textId="77777777" w:rsidR="004C76BC" w:rsidRDefault="004C76BC" w:rsidP="004C76BC">
      <w:pPr>
        <w:autoSpaceDE w:val="0"/>
        <w:autoSpaceDN w:val="0"/>
        <w:adjustRightInd w:val="0"/>
        <w:ind w:left="357"/>
        <w:rPr>
          <w:color w:val="000000"/>
        </w:rPr>
      </w:pPr>
      <w:r>
        <w:rPr>
          <w:smallCaps/>
          <w:color w:val="000000"/>
        </w:rPr>
        <w:t>Age</w:t>
      </w:r>
      <w:r>
        <w:rPr>
          <w:color w:val="000000"/>
        </w:rPr>
        <w:t>: Aptian–Albian, Lower Cretaceous.</w:t>
      </w:r>
    </w:p>
    <w:p w14:paraId="3EABED99" w14:textId="77777777" w:rsidR="004C76BC" w:rsidRDefault="004C76BC" w:rsidP="004C76BC">
      <w:pPr>
        <w:autoSpaceDE w:val="0"/>
        <w:autoSpaceDN w:val="0"/>
        <w:adjustRightInd w:val="0"/>
        <w:rPr>
          <w:color w:val="000000"/>
        </w:rPr>
      </w:pPr>
    </w:p>
    <w:p w14:paraId="64C6CF8F" w14:textId="77777777" w:rsidR="004C76BC" w:rsidRDefault="004C76BC" w:rsidP="004C76BC">
      <w:pPr>
        <w:rPr>
          <w:color w:val="000000"/>
        </w:rPr>
      </w:pPr>
      <w:r>
        <w:rPr>
          <w:color w:val="000000"/>
        </w:rPr>
        <w:t xml:space="preserve"> (65) </w:t>
      </w:r>
      <w:r>
        <w:rPr>
          <w:i/>
          <w:color w:val="000000"/>
        </w:rPr>
        <w:t>Isisfordia duncani</w:t>
      </w:r>
      <w:r>
        <w:rPr>
          <w:color w:val="000000"/>
        </w:rPr>
        <w:t xml:space="preserve"> Salisbury </w:t>
      </w:r>
      <w:r>
        <w:rPr>
          <w:i/>
          <w:color w:val="000000"/>
        </w:rPr>
        <w:t>et al</w:t>
      </w:r>
      <w:r>
        <w:rPr>
          <w:color w:val="000000"/>
        </w:rPr>
        <w:t>., 2006</w:t>
      </w:r>
    </w:p>
    <w:p w14:paraId="3A159E01"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Salisbury </w:t>
      </w:r>
      <w:r>
        <w:rPr>
          <w:i/>
          <w:iCs/>
          <w:color w:val="000000"/>
        </w:rPr>
        <w:t xml:space="preserve">et al. </w:t>
      </w:r>
      <w:r>
        <w:rPr>
          <w:color w:val="000000"/>
        </w:rPr>
        <w:t>(2006; QM-F-36211, QM-F-44320).</w:t>
      </w:r>
    </w:p>
    <w:p w14:paraId="6A5B6C45"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outcrop near Isisford, Queensland, Australia.</w:t>
      </w:r>
    </w:p>
    <w:p w14:paraId="50558016" w14:textId="77777777" w:rsidR="004C76BC" w:rsidRDefault="004C76BC" w:rsidP="004C76BC">
      <w:pPr>
        <w:autoSpaceDE w:val="0"/>
        <w:autoSpaceDN w:val="0"/>
        <w:adjustRightInd w:val="0"/>
        <w:ind w:left="357"/>
        <w:rPr>
          <w:color w:val="000000"/>
        </w:rPr>
      </w:pPr>
      <w:r>
        <w:rPr>
          <w:smallCaps/>
          <w:color w:val="000000"/>
        </w:rPr>
        <w:t>Formation</w:t>
      </w:r>
      <w:r>
        <w:rPr>
          <w:color w:val="000000"/>
        </w:rPr>
        <w:t>: Winton Formation.</w:t>
      </w:r>
    </w:p>
    <w:p w14:paraId="7B1FB0D8" w14:textId="77777777" w:rsidR="004C76BC" w:rsidRDefault="004C76BC" w:rsidP="004C76BC">
      <w:pPr>
        <w:autoSpaceDE w:val="0"/>
        <w:autoSpaceDN w:val="0"/>
        <w:adjustRightInd w:val="0"/>
        <w:ind w:left="357"/>
        <w:rPr>
          <w:color w:val="000000"/>
        </w:rPr>
      </w:pPr>
      <w:r>
        <w:rPr>
          <w:smallCaps/>
          <w:color w:val="000000"/>
        </w:rPr>
        <w:t>Age</w:t>
      </w:r>
      <w:r>
        <w:rPr>
          <w:color w:val="000000"/>
        </w:rPr>
        <w:t>: Albian–Cenomanian, ‘mid’ Cretaceous.</w:t>
      </w:r>
    </w:p>
    <w:p w14:paraId="09D03B0B" w14:textId="77777777" w:rsidR="004C76BC" w:rsidRDefault="004C76BC" w:rsidP="004C76BC">
      <w:pPr>
        <w:rPr>
          <w:caps/>
          <w:u w:val="single"/>
        </w:rPr>
      </w:pPr>
    </w:p>
    <w:p w14:paraId="1475D01E" w14:textId="77777777" w:rsidR="004C76BC" w:rsidRDefault="004C76BC" w:rsidP="004C76BC">
      <w:pPr>
        <w:rPr>
          <w:caps/>
          <w:color w:val="000000"/>
          <w:u w:val="single"/>
        </w:rPr>
      </w:pPr>
      <w:r>
        <w:rPr>
          <w:caps/>
          <w:color w:val="000000"/>
          <w:u w:val="single"/>
        </w:rPr>
        <w:t xml:space="preserve">Eusuchia: Hylaeochampsidae </w:t>
      </w:r>
      <w:r>
        <w:rPr>
          <w:i/>
          <w:caps/>
          <w:color w:val="000000"/>
          <w:u w:val="single"/>
        </w:rPr>
        <w:t>sensu lato</w:t>
      </w:r>
      <w:r>
        <w:rPr>
          <w:caps/>
          <w:color w:val="000000"/>
          <w:u w:val="single"/>
        </w:rPr>
        <w:t xml:space="preserve"> (3 OTU</w:t>
      </w:r>
      <w:r>
        <w:rPr>
          <w:color w:val="000000"/>
          <w:u w:val="single"/>
        </w:rPr>
        <w:t>s</w:t>
      </w:r>
      <w:r>
        <w:rPr>
          <w:caps/>
          <w:color w:val="000000"/>
          <w:u w:val="single"/>
        </w:rPr>
        <w:t>)</w:t>
      </w:r>
    </w:p>
    <w:p w14:paraId="06BDCE71" w14:textId="77777777" w:rsidR="004C76BC" w:rsidRDefault="004C76BC" w:rsidP="004C76BC">
      <w:pPr>
        <w:autoSpaceDE w:val="0"/>
        <w:autoSpaceDN w:val="0"/>
        <w:adjustRightInd w:val="0"/>
        <w:rPr>
          <w:rFonts w:eastAsiaTheme="minorHAnsi"/>
          <w:lang w:eastAsia="en-US"/>
        </w:rPr>
      </w:pPr>
      <w:r>
        <w:rPr>
          <w:iCs/>
        </w:rPr>
        <w:t xml:space="preserve">(66) </w:t>
      </w:r>
      <w:r>
        <w:rPr>
          <w:rFonts w:eastAsiaTheme="minorHAnsi"/>
          <w:i/>
          <w:lang w:eastAsia="en-US"/>
        </w:rPr>
        <w:t>Iharkutosuchus makadii</w:t>
      </w:r>
      <w:r>
        <w:rPr>
          <w:rFonts w:eastAsiaTheme="minorHAnsi"/>
          <w:lang w:eastAsia="en-US"/>
        </w:rPr>
        <w:t xml:space="preserve"> Ősi </w:t>
      </w:r>
      <w:r>
        <w:rPr>
          <w:rFonts w:eastAsiaTheme="minorHAnsi"/>
          <w:i/>
          <w:lang w:eastAsia="en-US"/>
        </w:rPr>
        <w:t>et al</w:t>
      </w:r>
      <w:r>
        <w:rPr>
          <w:rFonts w:eastAsiaTheme="minorHAnsi"/>
          <w:lang w:eastAsia="en-US"/>
        </w:rPr>
        <w:t>., 2007</w:t>
      </w:r>
    </w:p>
    <w:p w14:paraId="3AA579BA" w14:textId="18846615" w:rsidR="004C76BC" w:rsidRDefault="004C76BC" w:rsidP="004C76BC">
      <w:pPr>
        <w:autoSpaceDE w:val="0"/>
        <w:autoSpaceDN w:val="0"/>
        <w:adjustRightInd w:val="0"/>
        <w:ind w:left="357"/>
        <w:rPr>
          <w:color w:val="000000"/>
        </w:rPr>
      </w:pPr>
      <w:r>
        <w:rPr>
          <w:smallCaps/>
          <w:color w:val="000000"/>
        </w:rPr>
        <w:t>Data from</w:t>
      </w:r>
      <w:r>
        <w:rPr>
          <w:color w:val="000000"/>
        </w:rPr>
        <w:t xml:space="preserve">: MTM 2006.52.1 (holotype), MTM 2006.53.1, MTM PAL 2013.51.1, </w:t>
      </w:r>
      <w:r>
        <w:t xml:space="preserve">MTM PAL 2013.58.1; </w:t>
      </w:r>
      <w:r>
        <w:rPr>
          <w:rFonts w:eastAsiaTheme="minorHAnsi"/>
          <w:lang w:eastAsia="en-US"/>
        </w:rPr>
        <w:t xml:space="preserve">Ősi </w:t>
      </w:r>
      <w:r>
        <w:rPr>
          <w:rFonts w:eastAsiaTheme="minorHAnsi"/>
          <w:i/>
          <w:lang w:eastAsia="en-US"/>
        </w:rPr>
        <w:t>et al</w:t>
      </w:r>
      <w:r>
        <w:rPr>
          <w:rFonts w:eastAsiaTheme="minorHAnsi"/>
          <w:lang w:eastAsia="en-US"/>
        </w:rPr>
        <w:t>. (2007), Ősi (2008), Ősi (2014).</w:t>
      </w:r>
    </w:p>
    <w:p w14:paraId="793BA2A4" w14:textId="77777777" w:rsidR="004C76BC" w:rsidRDefault="004C76BC" w:rsidP="004C76BC">
      <w:pPr>
        <w:autoSpaceDE w:val="0"/>
        <w:autoSpaceDN w:val="0"/>
        <w:adjustRightInd w:val="0"/>
        <w:ind w:left="357"/>
        <w:rPr>
          <w:smallCaps/>
          <w:color w:val="000000"/>
        </w:rPr>
      </w:pPr>
      <w:r>
        <w:rPr>
          <w:smallCaps/>
          <w:color w:val="000000"/>
        </w:rPr>
        <w:t xml:space="preserve">Locality: </w:t>
      </w:r>
      <w:r>
        <w:rPr>
          <w:rFonts w:eastAsiaTheme="minorHAnsi"/>
          <w:lang w:eastAsia="en-US"/>
        </w:rPr>
        <w:t>Iharkút, Bakony Mountains, western Hungary.</w:t>
      </w:r>
    </w:p>
    <w:p w14:paraId="7FDB781E"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rPr>
          <w:rFonts w:eastAsiaTheme="minorHAnsi"/>
          <w:lang w:eastAsia="en-US"/>
        </w:rPr>
        <w:t xml:space="preserve">Csehbánya </w:t>
      </w:r>
      <w:r>
        <w:rPr>
          <w:color w:val="000000"/>
        </w:rPr>
        <w:t>Formation.</w:t>
      </w:r>
    </w:p>
    <w:p w14:paraId="219C118F" w14:textId="77777777" w:rsidR="004C76BC" w:rsidRDefault="004C76BC" w:rsidP="004C76BC">
      <w:pPr>
        <w:ind w:left="720" w:hanging="363"/>
        <w:jc w:val="both"/>
        <w:rPr>
          <w:iCs/>
        </w:rPr>
      </w:pPr>
      <w:r>
        <w:rPr>
          <w:smallCaps/>
          <w:color w:val="000000"/>
        </w:rPr>
        <w:t>Age</w:t>
      </w:r>
      <w:r>
        <w:rPr>
          <w:color w:val="000000"/>
        </w:rPr>
        <w:t xml:space="preserve">: </w:t>
      </w:r>
      <w:r>
        <w:rPr>
          <w:rFonts w:eastAsiaTheme="minorHAnsi"/>
          <w:lang w:eastAsia="en-US"/>
        </w:rPr>
        <w:t>Santonian, Upper Cretaceous.</w:t>
      </w:r>
    </w:p>
    <w:p w14:paraId="7B5A5BC2" w14:textId="77777777" w:rsidR="004C76BC" w:rsidRDefault="004C76BC" w:rsidP="004C76BC">
      <w:pPr>
        <w:ind w:left="720" w:hanging="720"/>
        <w:jc w:val="both"/>
        <w:rPr>
          <w:iCs/>
        </w:rPr>
      </w:pPr>
    </w:p>
    <w:p w14:paraId="547F2640" w14:textId="77777777" w:rsidR="004C76BC" w:rsidRDefault="004C76BC" w:rsidP="004C76BC">
      <w:pPr>
        <w:ind w:left="720" w:hanging="720"/>
        <w:jc w:val="both"/>
      </w:pPr>
      <w:r>
        <w:rPr>
          <w:iCs/>
        </w:rPr>
        <w:t xml:space="preserve">(67) </w:t>
      </w:r>
      <w:r>
        <w:rPr>
          <w:i/>
          <w:iCs/>
        </w:rPr>
        <w:t xml:space="preserve">Pachycheilosuchus trinquei </w:t>
      </w:r>
      <w:r>
        <w:t>Rogers, 2003</w:t>
      </w:r>
    </w:p>
    <w:p w14:paraId="2CEB39FF"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Rogers (2003); osteoderms re-scored based on Buscalioni </w:t>
      </w:r>
      <w:r>
        <w:rPr>
          <w:i/>
        </w:rPr>
        <w:t>et al</w:t>
      </w:r>
      <w:r>
        <w:t>. (2011).</w:t>
      </w:r>
    </w:p>
    <w:p w14:paraId="571CAFD2"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SMU locality 331, Erath County, Texas, USA.</w:t>
      </w:r>
    </w:p>
    <w:p w14:paraId="0291F05F" w14:textId="77777777" w:rsidR="004C76BC" w:rsidRDefault="004C76BC" w:rsidP="004C76BC">
      <w:pPr>
        <w:autoSpaceDE w:val="0"/>
        <w:autoSpaceDN w:val="0"/>
        <w:adjustRightInd w:val="0"/>
        <w:ind w:left="357"/>
        <w:rPr>
          <w:color w:val="000000"/>
        </w:rPr>
      </w:pPr>
      <w:r>
        <w:rPr>
          <w:smallCaps/>
          <w:color w:val="000000"/>
        </w:rPr>
        <w:t>Formation</w:t>
      </w:r>
      <w:r>
        <w:rPr>
          <w:color w:val="000000"/>
        </w:rPr>
        <w:t>: Glen Rose Formation.</w:t>
      </w:r>
    </w:p>
    <w:p w14:paraId="33BF2143" w14:textId="77777777" w:rsidR="004C76BC" w:rsidRDefault="004C76BC" w:rsidP="004C76BC">
      <w:pPr>
        <w:autoSpaceDE w:val="0"/>
        <w:autoSpaceDN w:val="0"/>
        <w:adjustRightInd w:val="0"/>
        <w:ind w:left="357"/>
        <w:rPr>
          <w:color w:val="000000"/>
        </w:rPr>
      </w:pPr>
      <w:r>
        <w:rPr>
          <w:smallCaps/>
          <w:color w:val="000000"/>
        </w:rPr>
        <w:t>Age</w:t>
      </w:r>
      <w:r>
        <w:rPr>
          <w:color w:val="000000"/>
        </w:rPr>
        <w:t>: Albian, Lower Cretaceous.</w:t>
      </w:r>
    </w:p>
    <w:p w14:paraId="466BDC63" w14:textId="77777777" w:rsidR="004C76BC" w:rsidRDefault="004C76BC" w:rsidP="004C76BC">
      <w:pPr>
        <w:ind w:left="720" w:hanging="720"/>
        <w:jc w:val="both"/>
        <w:rPr>
          <w:i/>
          <w:iCs/>
        </w:rPr>
      </w:pPr>
    </w:p>
    <w:p w14:paraId="32F292AA" w14:textId="77777777" w:rsidR="004C76BC" w:rsidRDefault="004C76BC" w:rsidP="004C76BC">
      <w:pPr>
        <w:ind w:left="720" w:hanging="720"/>
        <w:jc w:val="both"/>
      </w:pPr>
      <w:r>
        <w:rPr>
          <w:iCs/>
        </w:rPr>
        <w:t xml:space="preserve">(68) </w:t>
      </w:r>
      <w:r>
        <w:rPr>
          <w:i/>
          <w:iCs/>
        </w:rPr>
        <w:t xml:space="preserve">Pietraroiasuchus ormezzanoi </w:t>
      </w:r>
      <w:r>
        <w:t xml:space="preserve">Buscalioni </w:t>
      </w:r>
      <w:r>
        <w:rPr>
          <w:i/>
        </w:rPr>
        <w:t>et al</w:t>
      </w:r>
      <w:r>
        <w:t>., 2011</w:t>
      </w:r>
    </w:p>
    <w:p w14:paraId="1EF14F4A"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 xml:space="preserve">Buscalioni </w:t>
      </w:r>
      <w:r>
        <w:rPr>
          <w:i/>
        </w:rPr>
        <w:t>et al</w:t>
      </w:r>
      <w:r>
        <w:t>. (2011).</w:t>
      </w:r>
    </w:p>
    <w:p w14:paraId="2A7B80F5" w14:textId="77777777" w:rsidR="004C76BC" w:rsidRDefault="004C76BC" w:rsidP="004C76BC">
      <w:pPr>
        <w:autoSpaceDE w:val="0"/>
        <w:autoSpaceDN w:val="0"/>
        <w:adjustRightInd w:val="0"/>
        <w:ind w:left="357"/>
        <w:rPr>
          <w:color w:val="000000"/>
        </w:rPr>
      </w:pPr>
      <w:r>
        <w:rPr>
          <w:smallCaps/>
          <w:color w:val="000000"/>
        </w:rPr>
        <w:t xml:space="preserve">Locality: </w:t>
      </w:r>
      <w:r>
        <w:rPr>
          <w:rFonts w:eastAsiaTheme="minorHAnsi"/>
          <w:lang w:eastAsia="en-US"/>
        </w:rPr>
        <w:t>locality of ‘Civita di Pietraroia’, Mt Matese, southern Italy.</w:t>
      </w:r>
    </w:p>
    <w:p w14:paraId="5F0EFDE2" w14:textId="77777777" w:rsidR="004C76BC" w:rsidRDefault="004C76BC" w:rsidP="004C76BC">
      <w:pPr>
        <w:autoSpaceDE w:val="0"/>
        <w:autoSpaceDN w:val="0"/>
        <w:adjustRightInd w:val="0"/>
        <w:ind w:left="357"/>
        <w:rPr>
          <w:color w:val="000000"/>
        </w:rPr>
      </w:pPr>
      <w:r>
        <w:rPr>
          <w:smallCaps/>
          <w:color w:val="000000"/>
        </w:rPr>
        <w:t>Formation</w:t>
      </w:r>
      <w:r>
        <w:rPr>
          <w:color w:val="000000"/>
        </w:rPr>
        <w:t>: ‘</w:t>
      </w:r>
      <w:r>
        <w:rPr>
          <w:rFonts w:eastAsiaTheme="minorHAnsi"/>
          <w:lang w:eastAsia="en-US"/>
        </w:rPr>
        <w:t>Civita di Pietraroia Cave’.</w:t>
      </w:r>
    </w:p>
    <w:p w14:paraId="5D2EC0DC" w14:textId="77777777" w:rsidR="004C76BC" w:rsidRDefault="004C76BC" w:rsidP="004C76BC">
      <w:pPr>
        <w:autoSpaceDE w:val="0"/>
        <w:autoSpaceDN w:val="0"/>
        <w:adjustRightInd w:val="0"/>
        <w:ind w:left="357"/>
        <w:rPr>
          <w:color w:val="000000"/>
        </w:rPr>
      </w:pPr>
      <w:r>
        <w:rPr>
          <w:smallCaps/>
          <w:color w:val="000000"/>
        </w:rPr>
        <w:t>Age</w:t>
      </w:r>
      <w:r>
        <w:rPr>
          <w:color w:val="000000"/>
        </w:rPr>
        <w:t>: lower Albian, Lower Cretaceous.</w:t>
      </w:r>
    </w:p>
    <w:p w14:paraId="65A99821" w14:textId="77777777" w:rsidR="004C76BC" w:rsidRDefault="004C76BC" w:rsidP="004C76BC">
      <w:pPr>
        <w:rPr>
          <w:caps/>
          <w:u w:val="single"/>
        </w:rPr>
      </w:pPr>
    </w:p>
    <w:p w14:paraId="363E0C85" w14:textId="77777777" w:rsidR="004C76BC" w:rsidRDefault="004C76BC" w:rsidP="004C76BC">
      <w:pPr>
        <w:rPr>
          <w:caps/>
          <w:color w:val="000000"/>
          <w:u w:val="single"/>
        </w:rPr>
      </w:pPr>
      <w:r>
        <w:rPr>
          <w:caps/>
          <w:color w:val="000000"/>
          <w:u w:val="single"/>
        </w:rPr>
        <w:lastRenderedPageBreak/>
        <w:t>Eusuchia: Crocodylia (4 OTU</w:t>
      </w:r>
      <w:r>
        <w:rPr>
          <w:color w:val="000000"/>
          <w:u w:val="single"/>
        </w:rPr>
        <w:t>s</w:t>
      </w:r>
      <w:r>
        <w:rPr>
          <w:caps/>
          <w:color w:val="000000"/>
          <w:u w:val="single"/>
        </w:rPr>
        <w:t>)</w:t>
      </w:r>
    </w:p>
    <w:p w14:paraId="05731EB1" w14:textId="77777777" w:rsidR="004C76BC" w:rsidRDefault="004C76BC" w:rsidP="004C76BC">
      <w:pPr>
        <w:ind w:left="720" w:hanging="720"/>
        <w:rPr>
          <w:i/>
          <w:color w:val="000000"/>
        </w:rPr>
      </w:pPr>
      <w:r>
        <w:rPr>
          <w:iCs/>
        </w:rPr>
        <w:t xml:space="preserve">(69) </w:t>
      </w:r>
      <w:r>
        <w:rPr>
          <w:i/>
          <w:iCs/>
        </w:rPr>
        <w:t xml:space="preserve">Gavialis gangeticus </w:t>
      </w:r>
      <w:r>
        <w:t>(</w:t>
      </w:r>
      <w:r>
        <w:rPr>
          <w:color w:val="000000"/>
        </w:rPr>
        <w:t>Gmelin, 1879)</w:t>
      </w:r>
    </w:p>
    <w:p w14:paraId="2C6D0DA5"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comparative collection held in the Palaeontology and Zoology departments of NHMUK.</w:t>
      </w:r>
    </w:p>
    <w:p w14:paraId="6EB14642" w14:textId="77777777" w:rsidR="004C76BC" w:rsidRDefault="004C76BC" w:rsidP="004C76BC">
      <w:pPr>
        <w:autoSpaceDE w:val="0"/>
        <w:autoSpaceDN w:val="0"/>
        <w:adjustRightInd w:val="0"/>
        <w:ind w:left="357"/>
        <w:rPr>
          <w:color w:val="000000"/>
        </w:rPr>
      </w:pPr>
      <w:r>
        <w:rPr>
          <w:smallCaps/>
          <w:color w:val="000000"/>
        </w:rPr>
        <w:t xml:space="preserve">Distribution: </w:t>
      </w:r>
      <w:r>
        <w:rPr>
          <w:color w:val="000000"/>
        </w:rPr>
        <w:t>river systems of Brahmaputra, Indus, Ganges, Mahanadi; Burma, Buthan, India, Nepal and Pakistan.</w:t>
      </w:r>
    </w:p>
    <w:p w14:paraId="21E15195"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extant – Holocene, Quaternary. </w:t>
      </w:r>
    </w:p>
    <w:p w14:paraId="5C03817E" w14:textId="77777777" w:rsidR="004C76BC" w:rsidRDefault="004C76BC" w:rsidP="004C76BC">
      <w:pPr>
        <w:ind w:left="720" w:hanging="720"/>
        <w:jc w:val="both"/>
        <w:rPr>
          <w:color w:val="000000"/>
        </w:rPr>
      </w:pPr>
      <w:r>
        <w:rPr>
          <w:iCs/>
        </w:rPr>
        <w:t xml:space="preserve"> </w:t>
      </w:r>
    </w:p>
    <w:p w14:paraId="0D8B99BD" w14:textId="77777777" w:rsidR="004C76BC" w:rsidRDefault="004C76BC" w:rsidP="004C76BC">
      <w:pPr>
        <w:ind w:left="720" w:hanging="720"/>
      </w:pPr>
      <w:r>
        <w:rPr>
          <w:color w:val="000000"/>
        </w:rPr>
        <w:t xml:space="preserve">(70) </w:t>
      </w:r>
      <w:r>
        <w:rPr>
          <w:i/>
          <w:color w:val="000000"/>
        </w:rPr>
        <w:t>Crocodylus niloticus</w:t>
      </w:r>
      <w:r>
        <w:rPr>
          <w:color w:val="000000"/>
        </w:rPr>
        <w:t xml:space="preserve"> (Laurenti, 1768)</w:t>
      </w:r>
    </w:p>
    <w:p w14:paraId="3F95AEC4" w14:textId="77777777" w:rsidR="004C76BC" w:rsidRDefault="004C76BC" w:rsidP="004C76BC">
      <w:pPr>
        <w:autoSpaceDE w:val="0"/>
        <w:autoSpaceDN w:val="0"/>
        <w:adjustRightInd w:val="0"/>
        <w:ind w:left="357"/>
        <w:rPr>
          <w:color w:val="000000"/>
        </w:rPr>
      </w:pPr>
      <w:r>
        <w:rPr>
          <w:smallCaps/>
          <w:color w:val="000000"/>
        </w:rPr>
        <w:t>Data from</w:t>
      </w:r>
      <w:r>
        <w:rPr>
          <w:color w:val="000000"/>
        </w:rPr>
        <w:t>: comparative collection</w:t>
      </w:r>
      <w:r>
        <w:t xml:space="preserve"> held in the Palaeontology and Zoology departments of NHMUK; and in the Life Sciences Faculty, Ohio University.</w:t>
      </w:r>
    </w:p>
    <w:p w14:paraId="6C5E7D80" w14:textId="77777777" w:rsidR="004C76BC" w:rsidRDefault="004C76BC" w:rsidP="004C76BC">
      <w:pPr>
        <w:autoSpaceDE w:val="0"/>
        <w:autoSpaceDN w:val="0"/>
        <w:adjustRightInd w:val="0"/>
        <w:ind w:left="357"/>
        <w:rPr>
          <w:bCs/>
          <w:color w:val="000000"/>
        </w:rPr>
      </w:pPr>
      <w:r>
        <w:rPr>
          <w:smallCaps/>
          <w:color w:val="000000"/>
        </w:rPr>
        <w:t>Distribution</w:t>
      </w:r>
      <w:r>
        <w:rPr>
          <w:color w:val="000000"/>
        </w:rPr>
        <w:t>: river systems of several African countries, especially the Nile River, Egypt.</w:t>
      </w:r>
    </w:p>
    <w:p w14:paraId="000191B6"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extant – Holocene, Quaternary. </w:t>
      </w:r>
    </w:p>
    <w:p w14:paraId="573FB07B" w14:textId="77777777" w:rsidR="004C76BC" w:rsidRDefault="004C76BC" w:rsidP="004C76BC">
      <w:pPr>
        <w:ind w:left="720" w:hanging="720"/>
      </w:pPr>
    </w:p>
    <w:p w14:paraId="416255D2" w14:textId="77777777" w:rsidR="004C76BC" w:rsidRDefault="004C76BC" w:rsidP="004C76BC">
      <w:pPr>
        <w:ind w:left="720" w:hanging="720"/>
      </w:pPr>
      <w:r>
        <w:rPr>
          <w:iCs/>
        </w:rPr>
        <w:t xml:space="preserve">(71) </w:t>
      </w:r>
      <w:r>
        <w:rPr>
          <w:i/>
          <w:iCs/>
        </w:rPr>
        <w:t xml:space="preserve">Crocodylus porosus </w:t>
      </w:r>
      <w:r>
        <w:rPr>
          <w:color w:val="000000"/>
        </w:rPr>
        <w:t>(Schneider, 1801)</w:t>
      </w:r>
    </w:p>
    <w:p w14:paraId="748339A5"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comparative collection held in the Palaeontology and Zoology departments of NHMUK; and in the Life Sciences Faculty, Ohio University.</w:t>
      </w:r>
    </w:p>
    <w:p w14:paraId="69475F68" w14:textId="77777777" w:rsidR="004C76BC" w:rsidRDefault="004C76BC" w:rsidP="004C76BC">
      <w:pPr>
        <w:autoSpaceDE w:val="0"/>
        <w:autoSpaceDN w:val="0"/>
        <w:adjustRightInd w:val="0"/>
        <w:ind w:left="357"/>
        <w:rPr>
          <w:bCs/>
          <w:color w:val="000000"/>
        </w:rPr>
      </w:pPr>
      <w:r>
        <w:rPr>
          <w:smallCaps/>
          <w:color w:val="000000"/>
        </w:rPr>
        <w:t>Distribution</w:t>
      </w:r>
      <w:r>
        <w:rPr>
          <w:color w:val="000000"/>
        </w:rPr>
        <w:t>: freshwater to brackish areas of several countries, from SE Asia to Australia.</w:t>
      </w:r>
    </w:p>
    <w:p w14:paraId="72240B58"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extant – Holocene, Quaternary. </w:t>
      </w:r>
    </w:p>
    <w:p w14:paraId="6BD424C1" w14:textId="77777777" w:rsidR="004C76BC" w:rsidRDefault="004C76BC" w:rsidP="004C76BC">
      <w:pPr>
        <w:ind w:left="720" w:hanging="720"/>
      </w:pPr>
    </w:p>
    <w:p w14:paraId="4492EEA2" w14:textId="77777777" w:rsidR="004C76BC" w:rsidRDefault="004C76BC" w:rsidP="004C76BC">
      <w:pPr>
        <w:ind w:left="720" w:hanging="720"/>
        <w:jc w:val="both"/>
      </w:pPr>
      <w:r>
        <w:rPr>
          <w:iCs/>
        </w:rPr>
        <w:t xml:space="preserve">(72) </w:t>
      </w:r>
      <w:r>
        <w:rPr>
          <w:i/>
          <w:iCs/>
        </w:rPr>
        <w:t xml:space="preserve">Alligator </w:t>
      </w:r>
      <w:r>
        <w:rPr>
          <w:i/>
        </w:rPr>
        <w:t>mississippiensis</w:t>
      </w:r>
      <w:r>
        <w:rPr>
          <w:i/>
          <w:iCs/>
        </w:rPr>
        <w:t xml:space="preserve"> </w:t>
      </w:r>
      <w:r>
        <w:rPr>
          <w:color w:val="000000"/>
        </w:rPr>
        <w:t>(Daudin, 1802)</w:t>
      </w:r>
    </w:p>
    <w:p w14:paraId="53D993B1"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NHMUK ZD 290, NHMUK ZD 1973-2-21-2, NHMUK ZD 1974-3010, NHMUK ZD 1975-1424, NHMUK ZD II-1-I.</w:t>
      </w:r>
    </w:p>
    <w:p w14:paraId="5D03DB25" w14:textId="77777777" w:rsidR="004C76BC" w:rsidRDefault="004C76BC" w:rsidP="004C76BC">
      <w:pPr>
        <w:autoSpaceDE w:val="0"/>
        <w:autoSpaceDN w:val="0"/>
        <w:adjustRightInd w:val="0"/>
        <w:ind w:left="357"/>
        <w:rPr>
          <w:color w:val="000000"/>
        </w:rPr>
      </w:pPr>
      <w:r>
        <w:rPr>
          <w:smallCaps/>
          <w:color w:val="000000"/>
        </w:rPr>
        <w:t>Distribution</w:t>
      </w:r>
      <w:r>
        <w:rPr>
          <w:color w:val="000000"/>
        </w:rPr>
        <w:t>: swamp to low-energy river systems of SE USA, most noticeably in Florida.</w:t>
      </w:r>
    </w:p>
    <w:p w14:paraId="77FAFF38"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extant – Holocene, Quaternary. </w:t>
      </w:r>
    </w:p>
    <w:p w14:paraId="731DECF2" w14:textId="77777777" w:rsidR="004C76BC" w:rsidRDefault="004C76BC" w:rsidP="004C76BC">
      <w:pPr>
        <w:rPr>
          <w:color w:val="000000"/>
        </w:rPr>
      </w:pPr>
    </w:p>
    <w:p w14:paraId="5E17E571" w14:textId="77777777" w:rsidR="004C76BC" w:rsidRDefault="004C76BC" w:rsidP="004C76BC">
      <w:pPr>
        <w:ind w:left="360" w:hanging="360"/>
        <w:jc w:val="both"/>
        <w:rPr>
          <w:caps/>
          <w:u w:val="single"/>
        </w:rPr>
      </w:pPr>
      <w:r>
        <w:rPr>
          <w:caps/>
          <w:u w:val="single"/>
        </w:rPr>
        <w:t xml:space="preserve">Thalattosuchia: Teleosauroidea (18 </w:t>
      </w:r>
      <w:r>
        <w:rPr>
          <w:caps/>
          <w:color w:val="000000"/>
          <w:u w:val="single"/>
        </w:rPr>
        <w:t>OTU</w:t>
      </w:r>
      <w:r>
        <w:rPr>
          <w:color w:val="000000"/>
          <w:u w:val="single"/>
        </w:rPr>
        <w:t>s</w:t>
      </w:r>
      <w:r>
        <w:rPr>
          <w:caps/>
          <w:u w:val="single"/>
        </w:rPr>
        <w:t>)</w:t>
      </w:r>
    </w:p>
    <w:p w14:paraId="55C9FEAF" w14:textId="77777777" w:rsidR="004C76BC" w:rsidRDefault="004C76BC" w:rsidP="004C76BC">
      <w:pPr>
        <w:ind w:left="720" w:hanging="720"/>
      </w:pPr>
      <w:r>
        <w:rPr>
          <w:iCs/>
        </w:rPr>
        <w:t xml:space="preserve">(73) </w:t>
      </w:r>
      <w:r>
        <w:rPr>
          <w:i/>
          <w:iCs/>
        </w:rPr>
        <w:t xml:space="preserve">Aeolodon priscus </w:t>
      </w:r>
      <w:r>
        <w:t>(von Sömmerring, 1814)</w:t>
      </w:r>
    </w:p>
    <w:p w14:paraId="413C6939"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NMHUK PV R 1086 (holotype), MNHN.F </w:t>
      </w:r>
      <w:bookmarkStart w:id="29" w:name="_Hlk479275811"/>
      <w:r>
        <w:t xml:space="preserve">CNJ </w:t>
      </w:r>
      <w:bookmarkEnd w:id="29"/>
      <w:r>
        <w:t>78a.</w:t>
      </w:r>
    </w:p>
    <w:p w14:paraId="459D8DE4" w14:textId="77777777" w:rsidR="004C76BC" w:rsidRDefault="004C76BC" w:rsidP="004C76BC">
      <w:pPr>
        <w:autoSpaceDE w:val="0"/>
        <w:autoSpaceDN w:val="0"/>
        <w:adjustRightInd w:val="0"/>
        <w:ind w:left="357"/>
        <w:rPr>
          <w:color w:val="000000"/>
        </w:rPr>
      </w:pPr>
      <w:r>
        <w:rPr>
          <w:smallCaps/>
          <w:color w:val="000000"/>
        </w:rPr>
        <w:t>Localities</w:t>
      </w:r>
      <w:r>
        <w:rPr>
          <w:color w:val="000000"/>
        </w:rPr>
        <w:t>: Daiting, S Germany, and Canjuers, Var, France.</w:t>
      </w:r>
    </w:p>
    <w:p w14:paraId="48594A08" w14:textId="77777777" w:rsidR="004C76BC" w:rsidRDefault="004C76BC" w:rsidP="004C76BC">
      <w:pPr>
        <w:autoSpaceDE w:val="0"/>
        <w:autoSpaceDN w:val="0"/>
        <w:adjustRightInd w:val="0"/>
        <w:ind w:left="357"/>
        <w:rPr>
          <w:color w:val="000000"/>
        </w:rPr>
      </w:pPr>
      <w:r>
        <w:rPr>
          <w:smallCaps/>
          <w:color w:val="000000"/>
        </w:rPr>
        <w:t>Formation</w:t>
      </w:r>
      <w:r>
        <w:rPr>
          <w:color w:val="000000"/>
        </w:rPr>
        <w:t>: M</w:t>
      </w:r>
      <w:r>
        <w:rPr>
          <w:rFonts w:eastAsiaTheme="minorHAnsi"/>
          <w:lang w:eastAsia="en-US"/>
        </w:rPr>
        <w:t xml:space="preserve">örnsheim Formation (type locality) and Canjuers consveration </w:t>
      </w:r>
      <w:r>
        <w:rPr>
          <w:rStyle w:val="st"/>
        </w:rPr>
        <w:t>Lagerstätte.</w:t>
      </w:r>
    </w:p>
    <w:p w14:paraId="2479E575"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Tithonian, Upper Jurassic.</w:t>
      </w:r>
    </w:p>
    <w:p w14:paraId="73647718" w14:textId="77777777" w:rsidR="004C76BC" w:rsidRDefault="004C76BC" w:rsidP="004C76BC">
      <w:pPr>
        <w:ind w:left="720" w:hanging="720"/>
      </w:pPr>
    </w:p>
    <w:p w14:paraId="7039B965" w14:textId="77777777" w:rsidR="004C76BC" w:rsidRDefault="004C76BC" w:rsidP="004C76BC">
      <w:pPr>
        <w:ind w:left="720" w:hanging="720"/>
      </w:pPr>
      <w:r>
        <w:rPr>
          <w:iCs/>
        </w:rPr>
        <w:t xml:space="preserve">(74) </w:t>
      </w:r>
      <w:r>
        <w:rPr>
          <w:i/>
          <w:iCs/>
        </w:rPr>
        <w:t xml:space="preserve">Machimosaurus buffetauti </w:t>
      </w:r>
      <w:r>
        <w:t xml:space="preserve">Young </w:t>
      </w:r>
      <w:r>
        <w:rPr>
          <w:i/>
        </w:rPr>
        <w:t>et al</w:t>
      </w:r>
      <w:r>
        <w:t>., 2015</w:t>
      </w:r>
    </w:p>
    <w:p w14:paraId="718A4443"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r>
        <w:rPr>
          <w:rFonts w:eastAsia="MyriadPro-Cond"/>
          <w:color w:val="231F20"/>
        </w:rPr>
        <w:t>SMNS 91415</w:t>
      </w:r>
      <w:r>
        <w:t xml:space="preserve"> (holotype); Young </w:t>
      </w:r>
      <w:r>
        <w:rPr>
          <w:i/>
        </w:rPr>
        <w:t>et al</w:t>
      </w:r>
      <w:r>
        <w:t>. (2014).</w:t>
      </w:r>
    </w:p>
    <w:p w14:paraId="60699FD2"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rPr>
          <w:rFonts w:eastAsiaTheme="minorHAnsi"/>
          <w:color w:val="231F20"/>
          <w:lang w:eastAsia="en-US"/>
        </w:rPr>
        <w:t>Am Hörnle Quarry, Neuffen, Baden-Württemberg, Germany.</w:t>
      </w:r>
    </w:p>
    <w:p w14:paraId="4F252144" w14:textId="77777777" w:rsidR="004C76BC" w:rsidRDefault="004C76BC" w:rsidP="004C76BC">
      <w:pPr>
        <w:autoSpaceDE w:val="0"/>
        <w:autoSpaceDN w:val="0"/>
        <w:adjustRightInd w:val="0"/>
        <w:ind w:left="357"/>
        <w:rPr>
          <w:rFonts w:eastAsiaTheme="minorHAnsi"/>
          <w:color w:val="231F20"/>
          <w:lang w:eastAsia="en-US"/>
        </w:rPr>
      </w:pPr>
      <w:r>
        <w:rPr>
          <w:smallCaps/>
          <w:color w:val="000000"/>
        </w:rPr>
        <w:t>Formation</w:t>
      </w:r>
      <w:r>
        <w:rPr>
          <w:color w:val="000000"/>
        </w:rPr>
        <w:t xml:space="preserve">: </w:t>
      </w:r>
      <w:r>
        <w:rPr>
          <w:rFonts w:eastAsiaTheme="minorHAnsi"/>
          <w:color w:val="231F20"/>
          <w:lang w:eastAsia="en-US"/>
        </w:rPr>
        <w:t xml:space="preserve">Lacunosamergel Formation. </w:t>
      </w:r>
    </w:p>
    <w:p w14:paraId="5E7A0FB5"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w:t>
      </w:r>
      <w:r>
        <w:rPr>
          <w:rFonts w:eastAsiaTheme="minorHAnsi"/>
          <w:i/>
          <w:iCs/>
          <w:color w:val="231F20"/>
          <w:lang w:eastAsia="en-US"/>
        </w:rPr>
        <w:t xml:space="preserve">Ataxioceras hypselocyclum </w:t>
      </w:r>
      <w:r>
        <w:rPr>
          <w:rFonts w:eastAsiaTheme="minorHAnsi"/>
          <w:color w:val="231F20"/>
          <w:lang w:eastAsia="en-US"/>
        </w:rPr>
        <w:t>Sub-Mediterranean ammonite Zone (=Weißer Jura gamma 2), lower Kimmeridgian, Upper Jurassic.</w:t>
      </w:r>
    </w:p>
    <w:p w14:paraId="0BB98313" w14:textId="77777777" w:rsidR="004C76BC" w:rsidRDefault="004C76BC" w:rsidP="004C76BC">
      <w:pPr>
        <w:autoSpaceDE w:val="0"/>
        <w:autoSpaceDN w:val="0"/>
        <w:adjustRightInd w:val="0"/>
        <w:ind w:left="357"/>
        <w:rPr>
          <w:color w:val="000000"/>
        </w:rPr>
      </w:pPr>
      <w:r>
        <w:rPr>
          <w:smallCaps/>
          <w:color w:val="000000"/>
        </w:rPr>
        <w:t>Observation</w:t>
      </w:r>
      <w:r>
        <w:rPr>
          <w:color w:val="000000"/>
        </w:rPr>
        <w:t xml:space="preserve">: The correct nominal authority is the short taxonomic note Young </w:t>
      </w:r>
      <w:r>
        <w:rPr>
          <w:i/>
          <w:color w:val="000000"/>
        </w:rPr>
        <w:t>et al</w:t>
      </w:r>
      <w:r>
        <w:rPr>
          <w:color w:val="000000"/>
        </w:rPr>
        <w:t xml:space="preserve">., 2015 not Young </w:t>
      </w:r>
      <w:r>
        <w:rPr>
          <w:i/>
          <w:color w:val="000000"/>
        </w:rPr>
        <w:t>et al</w:t>
      </w:r>
      <w:r>
        <w:rPr>
          <w:color w:val="000000"/>
        </w:rPr>
        <w:t xml:space="preserve">. 2014 (where the new taxon was described). </w:t>
      </w:r>
    </w:p>
    <w:p w14:paraId="66E62E17" w14:textId="77777777" w:rsidR="004C76BC" w:rsidRDefault="004C76BC" w:rsidP="004C76BC">
      <w:pPr>
        <w:ind w:left="720" w:hanging="720"/>
        <w:rPr>
          <w:iCs/>
        </w:rPr>
      </w:pPr>
    </w:p>
    <w:p w14:paraId="27831F6B" w14:textId="77777777" w:rsidR="004C76BC" w:rsidRDefault="004C76BC" w:rsidP="004C76BC">
      <w:pPr>
        <w:ind w:left="720" w:hanging="720"/>
      </w:pPr>
      <w:r>
        <w:rPr>
          <w:iCs/>
        </w:rPr>
        <w:t xml:space="preserve">(75) </w:t>
      </w:r>
      <w:r>
        <w:rPr>
          <w:i/>
          <w:iCs/>
        </w:rPr>
        <w:t xml:space="preserve">Machimosaurus hugii </w:t>
      </w:r>
      <w:r>
        <w:t>von Meyer, 1837</w:t>
      </w:r>
    </w:p>
    <w:p w14:paraId="6C591765"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Young </w:t>
      </w:r>
      <w:r>
        <w:rPr>
          <w:i/>
        </w:rPr>
        <w:t>et al</w:t>
      </w:r>
      <w:r>
        <w:t>. (2014).</w:t>
      </w:r>
    </w:p>
    <w:p w14:paraId="30E3817E"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rPr>
          <w:rFonts w:eastAsiaTheme="minorHAnsi"/>
          <w:color w:val="231F20"/>
          <w:lang w:eastAsia="en-US"/>
        </w:rPr>
        <w:t xml:space="preserve">Kreuzen Quarry at St. Verena, near Solothurn, Canton Solothurn, Switzerland (lectotype locality) and </w:t>
      </w:r>
      <w:r>
        <w:rPr>
          <w:color w:val="000000"/>
        </w:rPr>
        <w:t>Guimarota coal mine, Leiria, NW Portugal.</w:t>
      </w:r>
    </w:p>
    <w:p w14:paraId="22EB85BC" w14:textId="77777777" w:rsidR="004C76BC" w:rsidRDefault="004C76BC" w:rsidP="004C76BC">
      <w:pPr>
        <w:autoSpaceDE w:val="0"/>
        <w:autoSpaceDN w:val="0"/>
        <w:adjustRightInd w:val="0"/>
        <w:ind w:left="357"/>
        <w:rPr>
          <w:color w:val="000000"/>
        </w:rPr>
      </w:pPr>
      <w:r>
        <w:rPr>
          <w:smallCaps/>
          <w:color w:val="000000"/>
        </w:rPr>
        <w:lastRenderedPageBreak/>
        <w:t>Formation</w:t>
      </w:r>
      <w:r>
        <w:rPr>
          <w:color w:val="000000"/>
        </w:rPr>
        <w:t xml:space="preserve">: </w:t>
      </w:r>
      <w:r>
        <w:rPr>
          <w:rFonts w:eastAsiaTheme="minorHAnsi"/>
          <w:color w:val="231F20"/>
          <w:lang w:eastAsia="en-US"/>
        </w:rPr>
        <w:t>Solothurn Turtle Limestone, Reuchenette Formation (lectotype locality) and</w:t>
      </w:r>
      <w:r>
        <w:rPr>
          <w:color w:val="000000"/>
        </w:rPr>
        <w:t xml:space="preserve"> Guimarota Strata, Alcobaça Formation.</w:t>
      </w:r>
    </w:p>
    <w:p w14:paraId="4076314C" w14:textId="77777777" w:rsidR="004C76BC" w:rsidRDefault="004C76BC" w:rsidP="004C76BC">
      <w:pPr>
        <w:autoSpaceDE w:val="0"/>
        <w:autoSpaceDN w:val="0"/>
        <w:adjustRightInd w:val="0"/>
        <w:ind w:left="357"/>
        <w:rPr>
          <w:i/>
          <w:iCs/>
          <w:color w:val="000000"/>
        </w:rPr>
      </w:pPr>
      <w:r>
        <w:rPr>
          <w:smallCaps/>
          <w:color w:val="000000"/>
        </w:rPr>
        <w:t>Age</w:t>
      </w:r>
      <w:r>
        <w:rPr>
          <w:color w:val="000000"/>
        </w:rPr>
        <w:t>: Kimmeridgian, Upper Jurassic.</w:t>
      </w:r>
    </w:p>
    <w:p w14:paraId="114E0CB3" w14:textId="77777777" w:rsidR="004C76BC" w:rsidRDefault="004C76BC" w:rsidP="004C76BC">
      <w:pPr>
        <w:ind w:left="720" w:hanging="720"/>
        <w:rPr>
          <w:iCs/>
        </w:rPr>
      </w:pPr>
      <w:r>
        <w:rPr>
          <w:iCs/>
        </w:rPr>
        <w:t xml:space="preserve"> </w:t>
      </w:r>
    </w:p>
    <w:p w14:paraId="7A49EB91" w14:textId="77777777" w:rsidR="004C76BC" w:rsidRDefault="004C76BC" w:rsidP="004C76BC">
      <w:r>
        <w:rPr>
          <w:iCs/>
        </w:rPr>
        <w:t xml:space="preserve">(76) </w:t>
      </w:r>
      <w:r>
        <w:rPr>
          <w:i/>
          <w:iCs/>
        </w:rPr>
        <w:t xml:space="preserve">Machimosaurus </w:t>
      </w:r>
      <w:r>
        <w:rPr>
          <w:i/>
        </w:rPr>
        <w:t>mosae</w:t>
      </w:r>
      <w:r>
        <w:t xml:space="preserve"> </w:t>
      </w:r>
      <w:r>
        <w:rPr>
          <w:rFonts w:eastAsia="MyriadPro-Cond"/>
          <w:color w:val="323031"/>
          <w:lang w:eastAsia="en-US"/>
        </w:rPr>
        <w:t>Sauvage &amp; Liénard, 1879</w:t>
      </w:r>
    </w:p>
    <w:p w14:paraId="00DF10E4"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Hua (1999), Young </w:t>
      </w:r>
      <w:r>
        <w:rPr>
          <w:i/>
        </w:rPr>
        <w:t>et al</w:t>
      </w:r>
      <w:r>
        <w:t>. (2014).</w:t>
      </w:r>
    </w:p>
    <w:p w14:paraId="0897AE02"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rPr>
          <w:rFonts w:eastAsiaTheme="minorHAnsi"/>
          <w:color w:val="231F20"/>
          <w:lang w:eastAsia="en-US"/>
        </w:rPr>
        <w:t>beach near Ambleteuse, Boulonnais, Département du Pas-de-Calais, Nord Pas-de-Calais, France (neotype locality).</w:t>
      </w:r>
    </w:p>
    <w:p w14:paraId="3DFB3887"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rPr>
          <w:rFonts w:eastAsiaTheme="minorHAnsi"/>
          <w:color w:val="231F20"/>
          <w:lang w:eastAsia="en-US"/>
        </w:rPr>
        <w:t>Argiles de Châtillon Formation (neotype locality).</w:t>
      </w:r>
    </w:p>
    <w:p w14:paraId="69B4620D" w14:textId="77777777" w:rsidR="004C76BC" w:rsidRDefault="004C76BC" w:rsidP="004C76BC">
      <w:pPr>
        <w:autoSpaceDE w:val="0"/>
        <w:autoSpaceDN w:val="0"/>
        <w:adjustRightInd w:val="0"/>
        <w:ind w:left="357"/>
        <w:rPr>
          <w:rFonts w:eastAsiaTheme="minorHAnsi"/>
          <w:color w:val="231F20"/>
          <w:lang w:eastAsia="en-US"/>
        </w:rPr>
      </w:pPr>
      <w:r>
        <w:rPr>
          <w:smallCaps/>
          <w:color w:val="000000"/>
        </w:rPr>
        <w:t>Age</w:t>
      </w:r>
      <w:r>
        <w:rPr>
          <w:color w:val="000000"/>
        </w:rPr>
        <w:t xml:space="preserve">: </w:t>
      </w:r>
      <w:r>
        <w:rPr>
          <w:rFonts w:eastAsiaTheme="minorHAnsi"/>
          <w:color w:val="231F20"/>
          <w:lang w:eastAsia="en-US"/>
        </w:rPr>
        <w:t xml:space="preserve">From either the </w:t>
      </w:r>
      <w:r>
        <w:rPr>
          <w:rFonts w:eastAsiaTheme="minorHAnsi"/>
          <w:i/>
          <w:iCs/>
          <w:color w:val="231F20"/>
          <w:lang w:eastAsia="en-US"/>
        </w:rPr>
        <w:t xml:space="preserve">Aulacostephanus. autissiodorensis </w:t>
      </w:r>
      <w:r>
        <w:rPr>
          <w:rFonts w:eastAsiaTheme="minorHAnsi"/>
          <w:color w:val="231F20"/>
          <w:lang w:eastAsia="en-US"/>
        </w:rPr>
        <w:t xml:space="preserve">Sub-Boreal ammonite Zone, uppermost Kimmeridgian, or the </w:t>
      </w:r>
      <w:r>
        <w:rPr>
          <w:rFonts w:eastAsiaTheme="minorHAnsi"/>
          <w:i/>
          <w:iCs/>
          <w:color w:val="231F20"/>
          <w:lang w:eastAsia="en-US"/>
        </w:rPr>
        <w:t>Gravesia. gigas</w:t>
      </w:r>
      <w:r>
        <w:rPr>
          <w:rFonts w:eastAsiaTheme="minorHAnsi"/>
          <w:color w:val="231F20"/>
          <w:lang w:eastAsia="en-US"/>
        </w:rPr>
        <w:t>/</w:t>
      </w:r>
      <w:r>
        <w:rPr>
          <w:rFonts w:eastAsiaTheme="minorHAnsi"/>
          <w:i/>
          <w:iCs/>
          <w:color w:val="231F20"/>
          <w:lang w:eastAsia="en-US"/>
        </w:rPr>
        <w:t xml:space="preserve">Pectinaties elegans </w:t>
      </w:r>
      <w:r>
        <w:rPr>
          <w:rFonts w:eastAsiaTheme="minorHAnsi"/>
          <w:color w:val="231F20"/>
          <w:lang w:eastAsia="en-US"/>
        </w:rPr>
        <w:t>Sub-Boreal ammonite Zone, lowermost Tithonian; Upper Jurassic (neotype locality).</w:t>
      </w:r>
    </w:p>
    <w:p w14:paraId="48228E80" w14:textId="77777777" w:rsidR="004C76BC" w:rsidRDefault="004C76BC" w:rsidP="004C76BC">
      <w:pPr>
        <w:ind w:left="720" w:hanging="720"/>
        <w:rPr>
          <w:iCs/>
        </w:rPr>
      </w:pPr>
      <w:r>
        <w:rPr>
          <w:iCs/>
        </w:rPr>
        <w:t xml:space="preserve"> </w:t>
      </w:r>
    </w:p>
    <w:p w14:paraId="70C18F0D" w14:textId="77777777" w:rsidR="004C76BC" w:rsidRDefault="004C76BC" w:rsidP="004C76BC">
      <w:pPr>
        <w:ind w:left="720" w:hanging="720"/>
        <w:rPr>
          <w:i/>
          <w:iCs/>
        </w:rPr>
      </w:pPr>
      <w:r>
        <w:rPr>
          <w:iCs/>
        </w:rPr>
        <w:t xml:space="preserve">(77) </w:t>
      </w:r>
      <w:r>
        <w:rPr>
          <w:i/>
          <w:iCs/>
        </w:rPr>
        <w:t xml:space="preserve">Machimosaurus rex </w:t>
      </w:r>
      <w:r>
        <w:t xml:space="preserve">Fanti </w:t>
      </w:r>
      <w:r>
        <w:rPr>
          <w:i/>
        </w:rPr>
        <w:t>et al</w:t>
      </w:r>
      <w:r>
        <w:t>., 2016</w:t>
      </w:r>
    </w:p>
    <w:p w14:paraId="4C99DBA9"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Fanti </w:t>
      </w:r>
      <w:r>
        <w:rPr>
          <w:i/>
        </w:rPr>
        <w:t>et al</w:t>
      </w:r>
      <w:r>
        <w:t>. (2016); high-resolution images of the holotype provided by Andrea Cau</w:t>
      </w:r>
      <w:r>
        <w:rPr>
          <w:iCs/>
        </w:rPr>
        <w:t>.</w:t>
      </w:r>
    </w:p>
    <w:p w14:paraId="458CB8A3" w14:textId="77777777" w:rsidR="004C76BC" w:rsidRDefault="004C76BC" w:rsidP="004C76BC">
      <w:pPr>
        <w:autoSpaceDE w:val="0"/>
        <w:autoSpaceDN w:val="0"/>
        <w:adjustRightInd w:val="0"/>
        <w:ind w:left="357"/>
        <w:rPr>
          <w:color w:val="000000"/>
        </w:rPr>
      </w:pPr>
      <w:r>
        <w:rPr>
          <w:smallCaps/>
          <w:color w:val="000000"/>
        </w:rPr>
        <w:t>Locality</w:t>
      </w:r>
      <w:r>
        <w:rPr>
          <w:color w:val="000000"/>
        </w:rPr>
        <w:t>: Touil el Mhahir, Tataouine Governorate, Tunisia.</w:t>
      </w:r>
    </w:p>
    <w:p w14:paraId="429421AD" w14:textId="77777777" w:rsidR="004C76BC" w:rsidRDefault="004C76BC" w:rsidP="004C76BC">
      <w:pPr>
        <w:autoSpaceDE w:val="0"/>
        <w:autoSpaceDN w:val="0"/>
        <w:adjustRightInd w:val="0"/>
        <w:ind w:left="357"/>
        <w:rPr>
          <w:color w:val="000000"/>
        </w:rPr>
      </w:pPr>
      <w:r>
        <w:rPr>
          <w:smallCaps/>
          <w:color w:val="000000"/>
        </w:rPr>
        <w:t>Formation</w:t>
      </w:r>
      <w:r>
        <w:rPr>
          <w:color w:val="000000"/>
        </w:rPr>
        <w:t>: Douiret Sand Member, Douiret Formation.</w:t>
      </w:r>
    </w:p>
    <w:p w14:paraId="47DCC93B" w14:textId="77777777" w:rsidR="004C76BC" w:rsidRDefault="004C76BC" w:rsidP="004C76BC">
      <w:pPr>
        <w:autoSpaceDE w:val="0"/>
        <w:autoSpaceDN w:val="0"/>
        <w:adjustRightInd w:val="0"/>
        <w:ind w:left="357"/>
        <w:rPr>
          <w:i/>
          <w:iCs/>
          <w:color w:val="000000"/>
        </w:rPr>
      </w:pPr>
      <w:r>
        <w:rPr>
          <w:smallCaps/>
          <w:color w:val="000000"/>
        </w:rPr>
        <w:t>Age</w:t>
      </w:r>
      <w:r>
        <w:rPr>
          <w:color w:val="000000"/>
        </w:rPr>
        <w:t>: Hauterivian, Lower Cretaceous.</w:t>
      </w:r>
    </w:p>
    <w:p w14:paraId="7C20BF09" w14:textId="77777777" w:rsidR="004C76BC" w:rsidRDefault="004C76BC" w:rsidP="004C76BC">
      <w:pPr>
        <w:ind w:left="720" w:hanging="720"/>
        <w:rPr>
          <w:iCs/>
        </w:rPr>
      </w:pPr>
      <w:r>
        <w:rPr>
          <w:iCs/>
        </w:rPr>
        <w:t xml:space="preserve"> </w:t>
      </w:r>
    </w:p>
    <w:p w14:paraId="0F4DBDF9" w14:textId="77777777" w:rsidR="004C76BC" w:rsidRDefault="004C76BC" w:rsidP="004C76BC">
      <w:pPr>
        <w:ind w:left="720" w:hanging="720"/>
        <w:rPr>
          <w:i/>
          <w:iCs/>
        </w:rPr>
      </w:pPr>
      <w:r>
        <w:rPr>
          <w:iCs/>
        </w:rPr>
        <w:t xml:space="preserve">(78) </w:t>
      </w:r>
      <w:r>
        <w:rPr>
          <w:i/>
          <w:iCs/>
        </w:rPr>
        <w:t xml:space="preserve">Mycterosuchus nasutus </w:t>
      </w:r>
      <w:r>
        <w:t>Andrews, 1913</w:t>
      </w:r>
    </w:p>
    <w:p w14:paraId="347DBD1E"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R 2617 (holotype), Andrews (1913).</w:t>
      </w:r>
    </w:p>
    <w:p w14:paraId="56CD0290"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11E81FEA"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111D0012" w14:textId="77777777" w:rsidR="004C76BC" w:rsidRDefault="004C76BC" w:rsidP="004C76BC">
      <w:pPr>
        <w:autoSpaceDE w:val="0"/>
        <w:autoSpaceDN w:val="0"/>
        <w:adjustRightInd w:val="0"/>
        <w:ind w:left="357"/>
        <w:rPr>
          <w:i/>
          <w:iCs/>
          <w:color w:val="000000"/>
        </w:rPr>
      </w:pPr>
      <w:r>
        <w:rPr>
          <w:smallCaps/>
          <w:color w:val="000000"/>
        </w:rPr>
        <w:t>Age</w:t>
      </w:r>
      <w:r>
        <w:rPr>
          <w:color w:val="000000"/>
        </w:rPr>
        <w:t>: middle Callovian, Middle Jurassic.</w:t>
      </w:r>
    </w:p>
    <w:p w14:paraId="20985E86" w14:textId="77777777" w:rsidR="004C76BC" w:rsidRDefault="004C76BC" w:rsidP="004C76BC">
      <w:pPr>
        <w:ind w:left="720" w:hanging="720"/>
        <w:rPr>
          <w:iCs/>
        </w:rPr>
      </w:pPr>
      <w:r>
        <w:rPr>
          <w:iCs/>
        </w:rPr>
        <w:t xml:space="preserve"> </w:t>
      </w:r>
    </w:p>
    <w:p w14:paraId="106F0610" w14:textId="3912F96D" w:rsidR="004C76BC" w:rsidRDefault="004C76BC" w:rsidP="004C76BC">
      <w:pPr>
        <w:ind w:left="720" w:hanging="720"/>
        <w:rPr>
          <w:iCs/>
        </w:rPr>
      </w:pPr>
      <w:r>
        <w:rPr>
          <w:iCs/>
        </w:rPr>
        <w:t>(79) Chinese teleosaur</w:t>
      </w:r>
      <w:r w:rsidR="00007246">
        <w:rPr>
          <w:iCs/>
        </w:rPr>
        <w:t>o</w:t>
      </w:r>
      <w:r>
        <w:rPr>
          <w:iCs/>
        </w:rPr>
        <w:t xml:space="preserve">id skull referred to </w:t>
      </w:r>
      <w:r>
        <w:rPr>
          <w:i/>
          <w:iCs/>
        </w:rPr>
        <w:t xml:space="preserve">Peipehsuchus teleorhinus </w:t>
      </w:r>
      <w:r>
        <w:rPr>
          <w:iCs/>
        </w:rPr>
        <w:t>by Li (1993)</w:t>
      </w:r>
    </w:p>
    <w:p w14:paraId="0E483CF4"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specimen photographs of </w:t>
      </w:r>
      <w:bookmarkStart w:id="30" w:name="_Hlk479275836"/>
      <w:r>
        <w:t xml:space="preserve">IVPP </w:t>
      </w:r>
      <w:bookmarkEnd w:id="30"/>
      <w:r>
        <w:t>V 10098 provided by Eric Wilberg</w:t>
      </w:r>
      <w:r>
        <w:rPr>
          <w:iCs/>
        </w:rPr>
        <w:t>.</w:t>
      </w:r>
    </w:p>
    <w:p w14:paraId="04570568" w14:textId="77777777" w:rsidR="004C76BC" w:rsidRDefault="004C76BC" w:rsidP="004C76BC">
      <w:pPr>
        <w:autoSpaceDE w:val="0"/>
        <w:autoSpaceDN w:val="0"/>
        <w:adjustRightInd w:val="0"/>
        <w:ind w:left="357"/>
        <w:rPr>
          <w:color w:val="000000"/>
        </w:rPr>
      </w:pPr>
      <w:r>
        <w:rPr>
          <w:smallCaps/>
          <w:color w:val="000000"/>
        </w:rPr>
        <w:t>Locality</w:t>
      </w:r>
      <w:r>
        <w:rPr>
          <w:color w:val="000000"/>
        </w:rPr>
        <w:t>: Daxian, Szechuan, China.</w:t>
      </w:r>
    </w:p>
    <w:p w14:paraId="19771311" w14:textId="77777777" w:rsidR="004C76BC" w:rsidRDefault="004C76BC" w:rsidP="004C76BC">
      <w:pPr>
        <w:autoSpaceDE w:val="0"/>
        <w:autoSpaceDN w:val="0"/>
        <w:adjustRightInd w:val="0"/>
        <w:ind w:left="357"/>
        <w:rPr>
          <w:color w:val="000000"/>
        </w:rPr>
      </w:pPr>
      <w:r>
        <w:rPr>
          <w:smallCaps/>
          <w:color w:val="000000"/>
        </w:rPr>
        <w:t>Formation</w:t>
      </w:r>
      <w:r>
        <w:rPr>
          <w:color w:val="000000"/>
        </w:rPr>
        <w:t>: Ziliujing Formation.</w:t>
      </w:r>
    </w:p>
    <w:p w14:paraId="08233411"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Jurassic.</w:t>
      </w:r>
    </w:p>
    <w:p w14:paraId="49912F31" w14:textId="77777777" w:rsidR="004C76BC" w:rsidRDefault="004C76BC" w:rsidP="004C76BC">
      <w:pPr>
        <w:ind w:left="720" w:hanging="720"/>
        <w:rPr>
          <w:iCs/>
        </w:rPr>
      </w:pPr>
    </w:p>
    <w:p w14:paraId="61CC3B6C" w14:textId="77777777" w:rsidR="004C76BC" w:rsidRDefault="004C76BC" w:rsidP="004C76BC">
      <w:pPr>
        <w:ind w:left="720" w:hanging="720"/>
      </w:pPr>
      <w:r>
        <w:rPr>
          <w:iCs/>
        </w:rPr>
        <w:t xml:space="preserve">(80) </w:t>
      </w:r>
      <w:r>
        <w:rPr>
          <w:i/>
          <w:iCs/>
        </w:rPr>
        <w:t>Platysuchus multiscrobiculatus</w:t>
      </w:r>
      <w:r>
        <w:rPr>
          <w:color w:val="000000"/>
        </w:rPr>
        <w:t xml:space="preserve"> (Berckhemer, 1929)</w:t>
      </w:r>
    </w:p>
    <w:p w14:paraId="73108927"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r>
        <w:rPr>
          <w:bCs/>
        </w:rPr>
        <w:t>SMNS 9930</w:t>
      </w:r>
      <w:r>
        <w:rPr>
          <w:color w:val="000000"/>
        </w:rPr>
        <w:t xml:space="preserve"> (holotype).</w:t>
      </w:r>
    </w:p>
    <w:p w14:paraId="5C6AA516" w14:textId="77777777" w:rsidR="004C76BC" w:rsidRDefault="004C76BC" w:rsidP="004C76BC">
      <w:pPr>
        <w:autoSpaceDE w:val="0"/>
        <w:autoSpaceDN w:val="0"/>
        <w:adjustRightInd w:val="0"/>
        <w:ind w:left="357"/>
        <w:rPr>
          <w:color w:val="000000"/>
        </w:rPr>
      </w:pPr>
      <w:r>
        <w:rPr>
          <w:smallCaps/>
          <w:color w:val="000000"/>
        </w:rPr>
        <w:t>Locality</w:t>
      </w:r>
      <w:r>
        <w:rPr>
          <w:color w:val="000000"/>
        </w:rPr>
        <w:t>: Holzmaden, Baden-Württemberg, Germany.</w:t>
      </w:r>
    </w:p>
    <w:p w14:paraId="024C2A04" w14:textId="77777777" w:rsidR="004C76BC" w:rsidRDefault="004C76BC" w:rsidP="004C76BC">
      <w:pPr>
        <w:autoSpaceDE w:val="0"/>
        <w:autoSpaceDN w:val="0"/>
        <w:adjustRightInd w:val="0"/>
        <w:ind w:left="357"/>
        <w:rPr>
          <w:color w:val="000000"/>
        </w:rPr>
      </w:pPr>
      <w:r>
        <w:rPr>
          <w:smallCaps/>
          <w:color w:val="000000"/>
        </w:rPr>
        <w:t>Formation</w:t>
      </w:r>
      <w:r>
        <w:rPr>
          <w:color w:val="000000"/>
        </w:rPr>
        <w:t>: Posidonia Shale Formation.</w:t>
      </w:r>
    </w:p>
    <w:p w14:paraId="3EF499F2"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Toarcian, Lower Jurassic.</w:t>
      </w:r>
    </w:p>
    <w:p w14:paraId="48C29F20" w14:textId="77777777" w:rsidR="004C76BC" w:rsidRDefault="004C76BC" w:rsidP="004C76BC">
      <w:pPr>
        <w:ind w:left="720" w:hanging="720"/>
        <w:rPr>
          <w:color w:val="000000"/>
        </w:rPr>
      </w:pPr>
    </w:p>
    <w:p w14:paraId="6D5F60AB" w14:textId="77777777" w:rsidR="004C76BC" w:rsidRDefault="004C76BC" w:rsidP="004C76BC">
      <w:pPr>
        <w:ind w:left="720" w:hanging="720"/>
      </w:pPr>
      <w:r>
        <w:rPr>
          <w:color w:val="000000"/>
        </w:rPr>
        <w:t xml:space="preserve">(81) </w:t>
      </w:r>
      <w:r>
        <w:rPr>
          <w:i/>
          <w:color w:val="000000"/>
        </w:rPr>
        <w:t>Steneosaurus bollensis</w:t>
      </w:r>
      <w:r>
        <w:rPr>
          <w:i/>
          <w:iCs/>
          <w:color w:val="000000"/>
        </w:rPr>
        <w:t xml:space="preserve"> </w:t>
      </w:r>
      <w:r>
        <w:rPr>
          <w:color w:val="000000"/>
        </w:rPr>
        <w:t>(von Jäger, 1828)</w:t>
      </w:r>
    </w:p>
    <w:p w14:paraId="7F0C7C59"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R 324, NHMUK PV R 756, NHMUK PV R 1088, NHMUK PV R 5703, NHMUK PV OR 14436, NHMUK PV OR 14438, SMNS 849, SMNS 9427, SMNS 9428, SMNS 17484, SMNS 20280, SMNS 53422</w:t>
      </w:r>
      <w:r>
        <w:rPr>
          <w:color w:val="000000"/>
        </w:rPr>
        <w:t>.</w:t>
      </w:r>
    </w:p>
    <w:p w14:paraId="1D0B68D5" w14:textId="77777777" w:rsidR="004C76BC" w:rsidRDefault="004C76BC" w:rsidP="004C76BC">
      <w:pPr>
        <w:autoSpaceDE w:val="0"/>
        <w:autoSpaceDN w:val="0"/>
        <w:adjustRightInd w:val="0"/>
        <w:ind w:left="357"/>
        <w:rPr>
          <w:color w:val="000000"/>
        </w:rPr>
      </w:pPr>
      <w:r>
        <w:rPr>
          <w:smallCaps/>
          <w:color w:val="000000"/>
        </w:rPr>
        <w:t>Localities</w:t>
      </w:r>
      <w:r>
        <w:rPr>
          <w:color w:val="000000"/>
        </w:rPr>
        <w:t>: Baden-Württemberg, Germany; Yorkshire, UK.</w:t>
      </w:r>
    </w:p>
    <w:p w14:paraId="59C168A7" w14:textId="77777777" w:rsidR="004C76BC" w:rsidRDefault="004C76BC" w:rsidP="004C76BC">
      <w:pPr>
        <w:autoSpaceDE w:val="0"/>
        <w:autoSpaceDN w:val="0"/>
        <w:adjustRightInd w:val="0"/>
        <w:ind w:left="357"/>
        <w:rPr>
          <w:color w:val="000000"/>
        </w:rPr>
      </w:pPr>
      <w:r>
        <w:rPr>
          <w:smallCaps/>
          <w:color w:val="000000"/>
        </w:rPr>
        <w:t>Formation</w:t>
      </w:r>
      <w:r>
        <w:rPr>
          <w:color w:val="000000"/>
        </w:rPr>
        <w:t>: Posidonia Shale Formation (Germany) and Whitby Mudstone Formation (UK).</w:t>
      </w:r>
    </w:p>
    <w:p w14:paraId="6BD8AE20"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Toarcian, Lower Jurassic.</w:t>
      </w:r>
    </w:p>
    <w:p w14:paraId="729CEB32" w14:textId="77777777" w:rsidR="004C76BC" w:rsidRDefault="004C76BC" w:rsidP="004C76BC">
      <w:pPr>
        <w:ind w:left="720" w:hanging="720"/>
      </w:pPr>
    </w:p>
    <w:p w14:paraId="08F7DAD3" w14:textId="77777777" w:rsidR="004C76BC" w:rsidRDefault="004C76BC" w:rsidP="004C76BC">
      <w:pPr>
        <w:ind w:left="720" w:hanging="720"/>
      </w:pPr>
      <w:r>
        <w:t xml:space="preserve">(82) </w:t>
      </w:r>
      <w:r>
        <w:rPr>
          <w:i/>
        </w:rPr>
        <w:t>Steneosaurus brevior</w:t>
      </w:r>
      <w:r>
        <w:rPr>
          <w:i/>
          <w:color w:val="000000"/>
        </w:rPr>
        <w:t xml:space="preserve"> </w:t>
      </w:r>
      <w:r>
        <w:t>Blake, 1876</w:t>
      </w:r>
    </w:p>
    <w:p w14:paraId="2792754B"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OR 14781 (holotype).</w:t>
      </w:r>
    </w:p>
    <w:p w14:paraId="38AA9144" w14:textId="77777777" w:rsidR="004C76BC" w:rsidRDefault="004C76BC" w:rsidP="004C76BC">
      <w:pPr>
        <w:autoSpaceDE w:val="0"/>
        <w:autoSpaceDN w:val="0"/>
        <w:adjustRightInd w:val="0"/>
        <w:ind w:left="357"/>
        <w:rPr>
          <w:color w:val="000000"/>
        </w:rPr>
      </w:pPr>
      <w:r>
        <w:rPr>
          <w:smallCaps/>
          <w:color w:val="000000"/>
        </w:rPr>
        <w:t>Locality</w:t>
      </w:r>
      <w:r>
        <w:rPr>
          <w:color w:val="000000"/>
        </w:rPr>
        <w:t>: Whitby, Yorkshire, UK.</w:t>
      </w:r>
    </w:p>
    <w:p w14:paraId="0293C170" w14:textId="77777777" w:rsidR="004C76BC" w:rsidRDefault="004C76BC" w:rsidP="004C76BC">
      <w:pPr>
        <w:autoSpaceDE w:val="0"/>
        <w:autoSpaceDN w:val="0"/>
        <w:adjustRightInd w:val="0"/>
        <w:ind w:left="357"/>
        <w:rPr>
          <w:color w:val="000000"/>
        </w:rPr>
      </w:pPr>
      <w:r>
        <w:rPr>
          <w:smallCaps/>
          <w:color w:val="000000"/>
        </w:rPr>
        <w:lastRenderedPageBreak/>
        <w:t>Formation</w:t>
      </w:r>
      <w:r>
        <w:rPr>
          <w:color w:val="000000"/>
        </w:rPr>
        <w:t>: Mulgrave Shale Member, Whitby Mudstone Formation, Lias Group.</w:t>
      </w:r>
    </w:p>
    <w:p w14:paraId="79709018"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iCs/>
        </w:rPr>
        <w:t xml:space="preserve">Harpoceras </w:t>
      </w:r>
      <w:r>
        <w:rPr>
          <w:i/>
        </w:rPr>
        <w:t xml:space="preserve">serpentinum </w:t>
      </w:r>
      <w:r>
        <w:rPr>
          <w:iCs/>
        </w:rPr>
        <w:t xml:space="preserve">Sub-Boreal ammonite </w:t>
      </w:r>
      <w:r>
        <w:t xml:space="preserve">Zone, </w:t>
      </w:r>
      <w:r>
        <w:rPr>
          <w:color w:val="000000"/>
        </w:rPr>
        <w:t>lower Toarcian, Lower Jurassic.</w:t>
      </w:r>
    </w:p>
    <w:p w14:paraId="6E54E194" w14:textId="77777777" w:rsidR="004C76BC" w:rsidRDefault="004C76BC" w:rsidP="004C76BC">
      <w:pPr>
        <w:ind w:left="720" w:hanging="720"/>
        <w:rPr>
          <w:color w:val="000000"/>
        </w:rPr>
      </w:pPr>
      <w:r>
        <w:rPr>
          <w:color w:val="000000"/>
        </w:rPr>
        <w:t xml:space="preserve"> </w:t>
      </w:r>
    </w:p>
    <w:p w14:paraId="495EDB15" w14:textId="77777777" w:rsidR="004C76BC" w:rsidRDefault="004C76BC" w:rsidP="004C76BC">
      <w:pPr>
        <w:ind w:left="720" w:hanging="720"/>
      </w:pPr>
      <w:r>
        <w:rPr>
          <w:color w:val="000000"/>
        </w:rPr>
        <w:t xml:space="preserve">(83) </w:t>
      </w:r>
      <w:r>
        <w:rPr>
          <w:i/>
          <w:color w:val="000000"/>
        </w:rPr>
        <w:t xml:space="preserve">Steneosaurus edwardsi </w:t>
      </w:r>
      <w:r>
        <w:t>Eudes-Deslongchamps, 1868a</w:t>
      </w:r>
    </w:p>
    <w:p w14:paraId="57079942"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R 2074, NHMUK PV R 2865, NHMUK PV R 3701.</w:t>
      </w:r>
    </w:p>
    <w:p w14:paraId="598F50A4"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6A159159"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5875E124" w14:textId="77777777" w:rsidR="004C76BC" w:rsidRDefault="004C76BC" w:rsidP="004C76BC">
      <w:pPr>
        <w:autoSpaceDE w:val="0"/>
        <w:autoSpaceDN w:val="0"/>
        <w:adjustRightInd w:val="0"/>
        <w:ind w:left="357"/>
        <w:rPr>
          <w:i/>
          <w:iCs/>
          <w:color w:val="000000"/>
        </w:rPr>
      </w:pPr>
      <w:r>
        <w:rPr>
          <w:smallCaps/>
          <w:color w:val="000000"/>
        </w:rPr>
        <w:t>Age</w:t>
      </w:r>
      <w:r>
        <w:rPr>
          <w:color w:val="000000"/>
        </w:rPr>
        <w:t>: middle Callovian, Middle Jurassic.</w:t>
      </w:r>
    </w:p>
    <w:p w14:paraId="3D4B0BCD" w14:textId="77777777" w:rsidR="004C76BC" w:rsidRDefault="004C76BC" w:rsidP="004C76BC">
      <w:pPr>
        <w:ind w:left="720" w:hanging="720"/>
      </w:pPr>
      <w:r>
        <w:t xml:space="preserve"> </w:t>
      </w:r>
    </w:p>
    <w:p w14:paraId="03109CA1" w14:textId="77777777" w:rsidR="004C76BC" w:rsidRDefault="004C76BC" w:rsidP="004C76BC">
      <w:pPr>
        <w:ind w:left="720" w:hanging="720"/>
      </w:pPr>
      <w:r>
        <w:t xml:space="preserve">(84) </w:t>
      </w:r>
      <w:r>
        <w:rPr>
          <w:i/>
        </w:rPr>
        <w:t>Steneosaurus gracilirostris</w:t>
      </w:r>
      <w:r>
        <w:rPr>
          <w:i/>
          <w:color w:val="000000"/>
        </w:rPr>
        <w:t xml:space="preserve"> </w:t>
      </w:r>
      <w:r>
        <w:t>Westphal, 1961</w:t>
      </w:r>
    </w:p>
    <w:p w14:paraId="2F558835"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OR 14792 (holotype), NHMUK PV OR 15500 (paratype).</w:t>
      </w:r>
    </w:p>
    <w:p w14:paraId="7F572A2D" w14:textId="77777777" w:rsidR="004C76BC" w:rsidRDefault="004C76BC" w:rsidP="004C76BC">
      <w:pPr>
        <w:autoSpaceDE w:val="0"/>
        <w:autoSpaceDN w:val="0"/>
        <w:adjustRightInd w:val="0"/>
        <w:ind w:left="357"/>
        <w:rPr>
          <w:color w:val="000000"/>
        </w:rPr>
      </w:pPr>
      <w:r>
        <w:rPr>
          <w:smallCaps/>
          <w:color w:val="000000"/>
        </w:rPr>
        <w:t>Locality</w:t>
      </w:r>
      <w:r>
        <w:rPr>
          <w:color w:val="000000"/>
        </w:rPr>
        <w:t>: Whitby, Yorkshire, UK.</w:t>
      </w:r>
    </w:p>
    <w:p w14:paraId="4DF9F7C8" w14:textId="77777777" w:rsidR="004C76BC" w:rsidRDefault="004C76BC" w:rsidP="004C76BC">
      <w:pPr>
        <w:autoSpaceDE w:val="0"/>
        <w:autoSpaceDN w:val="0"/>
        <w:adjustRightInd w:val="0"/>
        <w:ind w:left="357"/>
        <w:rPr>
          <w:color w:val="000000"/>
        </w:rPr>
      </w:pPr>
      <w:r>
        <w:rPr>
          <w:smallCaps/>
          <w:color w:val="000000"/>
        </w:rPr>
        <w:t>Formation</w:t>
      </w:r>
      <w:r>
        <w:rPr>
          <w:color w:val="000000"/>
        </w:rPr>
        <w:t>: Alum Shale Member, Whitby Mudstone Formation, Lias Group.</w:t>
      </w:r>
    </w:p>
    <w:p w14:paraId="09A3A22E"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rPr>
        <w:t>Hildoceras bifrons</w:t>
      </w:r>
      <w:r>
        <w:t xml:space="preserve"> </w:t>
      </w:r>
      <w:r>
        <w:rPr>
          <w:iCs/>
        </w:rPr>
        <w:t xml:space="preserve">Sub-Boreal ammonite </w:t>
      </w:r>
      <w:r>
        <w:t xml:space="preserve">Zone, </w:t>
      </w:r>
      <w:r>
        <w:rPr>
          <w:color w:val="000000"/>
        </w:rPr>
        <w:t>lower Toarcian, Lower Jurassic.</w:t>
      </w:r>
    </w:p>
    <w:p w14:paraId="65916F1D" w14:textId="77777777" w:rsidR="004C76BC" w:rsidRDefault="004C76BC" w:rsidP="004C76BC">
      <w:pPr>
        <w:ind w:left="720" w:hanging="720"/>
      </w:pPr>
      <w:r>
        <w:t xml:space="preserve"> </w:t>
      </w:r>
    </w:p>
    <w:p w14:paraId="1760926A" w14:textId="089F609A" w:rsidR="004C76BC" w:rsidRDefault="004C76BC" w:rsidP="004C76BC">
      <w:pPr>
        <w:ind w:left="720" w:hanging="720"/>
      </w:pPr>
      <w:r>
        <w:t xml:space="preserve">(85) </w:t>
      </w:r>
      <w:r>
        <w:rPr>
          <w:i/>
        </w:rPr>
        <w:t>Steneosaurus larteti</w:t>
      </w:r>
      <w:r>
        <w:rPr>
          <w:i/>
          <w:iCs/>
        </w:rPr>
        <w:t xml:space="preserve"> </w:t>
      </w:r>
      <w:r>
        <w:t>(Eudes-Deslongchamps, 1868b)</w:t>
      </w:r>
    </w:p>
    <w:p w14:paraId="6EDDAF0B" w14:textId="6549B116"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bookmarkStart w:id="31" w:name="_Hlk479275861"/>
      <w:r>
        <w:t xml:space="preserve">OUMNH </w:t>
      </w:r>
      <w:bookmarkEnd w:id="31"/>
      <w:r>
        <w:t>J29850.</w:t>
      </w:r>
    </w:p>
    <w:p w14:paraId="49911E39" w14:textId="77777777" w:rsidR="004C76BC" w:rsidRDefault="004C76BC" w:rsidP="004C76BC">
      <w:pPr>
        <w:autoSpaceDE w:val="0"/>
        <w:autoSpaceDN w:val="0"/>
        <w:adjustRightInd w:val="0"/>
        <w:ind w:left="357"/>
        <w:rPr>
          <w:color w:val="000000"/>
        </w:rPr>
      </w:pPr>
      <w:r>
        <w:rPr>
          <w:smallCaps/>
          <w:color w:val="000000"/>
        </w:rPr>
        <w:t>Locality</w:t>
      </w:r>
      <w:r>
        <w:rPr>
          <w:color w:val="000000"/>
        </w:rPr>
        <w:t>: Enslow Bridge, Oxfordshire, UK.</w:t>
      </w:r>
    </w:p>
    <w:p w14:paraId="5F4159D4" w14:textId="77777777" w:rsidR="004C76BC" w:rsidRDefault="004C76BC" w:rsidP="004C76BC">
      <w:pPr>
        <w:autoSpaceDE w:val="0"/>
        <w:autoSpaceDN w:val="0"/>
        <w:adjustRightInd w:val="0"/>
        <w:ind w:left="357"/>
        <w:rPr>
          <w:color w:val="000000"/>
        </w:rPr>
      </w:pPr>
      <w:r>
        <w:rPr>
          <w:smallCaps/>
          <w:color w:val="000000"/>
        </w:rPr>
        <w:t>Formation</w:t>
      </w:r>
      <w:r>
        <w:rPr>
          <w:color w:val="000000"/>
        </w:rPr>
        <w:t>: Great Oolite Group.</w:t>
      </w:r>
    </w:p>
    <w:p w14:paraId="69201426" w14:textId="77777777" w:rsidR="004C76BC" w:rsidRDefault="004C76BC" w:rsidP="004C76BC">
      <w:pPr>
        <w:autoSpaceDE w:val="0"/>
        <w:autoSpaceDN w:val="0"/>
        <w:adjustRightInd w:val="0"/>
        <w:ind w:left="357"/>
        <w:rPr>
          <w:i/>
          <w:iCs/>
          <w:color w:val="000000"/>
        </w:rPr>
      </w:pPr>
      <w:r>
        <w:rPr>
          <w:smallCaps/>
          <w:color w:val="000000"/>
        </w:rPr>
        <w:t>Age</w:t>
      </w:r>
      <w:r>
        <w:rPr>
          <w:color w:val="000000"/>
        </w:rPr>
        <w:t>: Bathonian, Middle Jurassic.</w:t>
      </w:r>
    </w:p>
    <w:p w14:paraId="0EB1D27F" w14:textId="77777777" w:rsidR="004C76BC" w:rsidRDefault="004C76BC" w:rsidP="004C76BC">
      <w:pPr>
        <w:pStyle w:val="Default"/>
        <w:ind w:left="720" w:hanging="720"/>
        <w:rPr>
          <w:iCs/>
        </w:rPr>
      </w:pPr>
      <w:r>
        <w:rPr>
          <w:iCs/>
        </w:rPr>
        <w:t xml:space="preserve"> </w:t>
      </w:r>
    </w:p>
    <w:p w14:paraId="56E4F9B3" w14:textId="77777777" w:rsidR="004C76BC" w:rsidRDefault="004C76BC" w:rsidP="004C76BC">
      <w:pPr>
        <w:pStyle w:val="Default"/>
        <w:ind w:left="720" w:hanging="720"/>
      </w:pPr>
      <w:r>
        <w:rPr>
          <w:iCs/>
        </w:rPr>
        <w:t xml:space="preserve">(86) </w:t>
      </w:r>
      <w:r>
        <w:rPr>
          <w:i/>
          <w:iCs/>
        </w:rPr>
        <w:t xml:space="preserve">Steneosaurus leedsi </w:t>
      </w:r>
      <w:r>
        <w:t>Andrews, 1909</w:t>
      </w:r>
    </w:p>
    <w:p w14:paraId="294C1E46"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R 2619, NHMUK PV R 3320 (holotype), NHMUK PV R 3806.</w:t>
      </w:r>
    </w:p>
    <w:p w14:paraId="68321987"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650A2F6D"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52CA4B34" w14:textId="77777777" w:rsidR="004C76BC" w:rsidRDefault="004C76BC" w:rsidP="004C76BC">
      <w:pPr>
        <w:autoSpaceDE w:val="0"/>
        <w:autoSpaceDN w:val="0"/>
        <w:adjustRightInd w:val="0"/>
        <w:ind w:left="357"/>
        <w:rPr>
          <w:i/>
          <w:iCs/>
          <w:color w:val="000000"/>
        </w:rPr>
      </w:pPr>
      <w:r>
        <w:rPr>
          <w:smallCaps/>
          <w:color w:val="000000"/>
        </w:rPr>
        <w:t>Age</w:t>
      </w:r>
      <w:r>
        <w:rPr>
          <w:color w:val="000000"/>
        </w:rPr>
        <w:t>: middle Callovian, Middle Jurassic.</w:t>
      </w:r>
    </w:p>
    <w:p w14:paraId="35B3E53B" w14:textId="77777777" w:rsidR="004C76BC" w:rsidRDefault="004C76BC" w:rsidP="004C76BC">
      <w:pPr>
        <w:pStyle w:val="Default"/>
        <w:ind w:left="720" w:hanging="720"/>
      </w:pPr>
    </w:p>
    <w:p w14:paraId="516DCC05" w14:textId="77777777" w:rsidR="004C76BC" w:rsidRDefault="004C76BC" w:rsidP="004C76BC">
      <w:pPr>
        <w:pStyle w:val="Default"/>
        <w:ind w:left="720" w:hanging="720"/>
      </w:pPr>
      <w:r>
        <w:rPr>
          <w:iCs/>
        </w:rPr>
        <w:t xml:space="preserve">(87) </w:t>
      </w:r>
      <w:r>
        <w:rPr>
          <w:i/>
          <w:iCs/>
        </w:rPr>
        <w:t>Steneosaurus heberti</w:t>
      </w:r>
      <w:r>
        <w:t xml:space="preserve"> Morel de Glasville, 1876</w:t>
      </w:r>
    </w:p>
    <w:p w14:paraId="7C38AF82"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MNHN.F 13.1890</w:t>
      </w:r>
      <w:r>
        <w:rPr>
          <w:color w:val="000000"/>
        </w:rPr>
        <w:t xml:space="preserve"> (holotype).</w:t>
      </w:r>
    </w:p>
    <w:p w14:paraId="25B20A4F" w14:textId="77777777" w:rsidR="004C76BC" w:rsidRDefault="004C76BC" w:rsidP="004C76BC">
      <w:pPr>
        <w:autoSpaceDE w:val="0"/>
        <w:autoSpaceDN w:val="0"/>
        <w:adjustRightInd w:val="0"/>
        <w:ind w:left="357"/>
        <w:rPr>
          <w:color w:val="000000"/>
        </w:rPr>
      </w:pPr>
      <w:r>
        <w:rPr>
          <w:smallCaps/>
          <w:color w:val="000000"/>
        </w:rPr>
        <w:t>Locality</w:t>
      </w:r>
      <w:r>
        <w:rPr>
          <w:color w:val="000000"/>
        </w:rPr>
        <w:t>: Villers-sur-mer, Calvados, France.</w:t>
      </w:r>
    </w:p>
    <w:p w14:paraId="3A424ABF" w14:textId="77777777" w:rsidR="004C76BC" w:rsidRDefault="004C76BC" w:rsidP="004C76BC">
      <w:pPr>
        <w:autoSpaceDE w:val="0"/>
        <w:autoSpaceDN w:val="0"/>
        <w:adjustRightInd w:val="0"/>
        <w:ind w:left="357"/>
        <w:rPr>
          <w:color w:val="000000"/>
        </w:rPr>
      </w:pPr>
      <w:r>
        <w:rPr>
          <w:smallCaps/>
          <w:color w:val="000000"/>
        </w:rPr>
        <w:t>Formation</w:t>
      </w:r>
      <w:r>
        <w:rPr>
          <w:color w:val="000000"/>
        </w:rPr>
        <w:t>: Marnes de Dives Formation.</w:t>
      </w:r>
    </w:p>
    <w:p w14:paraId="1C3A5742"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Callovian, Middle Jurassic.</w:t>
      </w:r>
    </w:p>
    <w:p w14:paraId="0532389A" w14:textId="77777777" w:rsidR="004C76BC" w:rsidRDefault="004C76BC" w:rsidP="004C76BC">
      <w:pPr>
        <w:pStyle w:val="Default"/>
        <w:ind w:left="720" w:hanging="720"/>
      </w:pPr>
    </w:p>
    <w:p w14:paraId="72B21334" w14:textId="77777777" w:rsidR="004C76BC" w:rsidRDefault="004C76BC" w:rsidP="004C76BC">
      <w:pPr>
        <w:pStyle w:val="Default"/>
        <w:ind w:left="720" w:hanging="720"/>
      </w:pPr>
      <w:r>
        <w:rPr>
          <w:iCs/>
        </w:rPr>
        <w:t xml:space="preserve">(88) </w:t>
      </w:r>
      <w:r>
        <w:rPr>
          <w:i/>
          <w:iCs/>
        </w:rPr>
        <w:t xml:space="preserve">Lemmysuchus obtusidens </w:t>
      </w:r>
      <w:r>
        <w:t>Andrews, 1909</w:t>
      </w:r>
    </w:p>
    <w:p w14:paraId="3497B8FD"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R 3168 (holotype).</w:t>
      </w:r>
    </w:p>
    <w:p w14:paraId="3BA08891"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18A40788"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67C1B29D" w14:textId="77777777" w:rsidR="004C76BC" w:rsidRDefault="004C76BC" w:rsidP="004C76BC">
      <w:pPr>
        <w:autoSpaceDE w:val="0"/>
        <w:autoSpaceDN w:val="0"/>
        <w:adjustRightInd w:val="0"/>
        <w:ind w:left="357"/>
        <w:rPr>
          <w:i/>
          <w:iCs/>
          <w:color w:val="000000"/>
        </w:rPr>
      </w:pPr>
      <w:r>
        <w:rPr>
          <w:smallCaps/>
          <w:color w:val="000000"/>
        </w:rPr>
        <w:t>Age</w:t>
      </w:r>
      <w:r>
        <w:rPr>
          <w:color w:val="000000"/>
        </w:rPr>
        <w:t>: middle Callovian, Middle Jurassic.</w:t>
      </w:r>
    </w:p>
    <w:p w14:paraId="0CEE1272" w14:textId="77777777" w:rsidR="004C76BC" w:rsidRDefault="004C76BC" w:rsidP="004C76BC">
      <w:pPr>
        <w:ind w:left="720" w:hanging="720"/>
        <w:rPr>
          <w:iCs/>
        </w:rPr>
      </w:pPr>
      <w:r>
        <w:rPr>
          <w:iCs/>
        </w:rPr>
        <w:t xml:space="preserve"> </w:t>
      </w:r>
    </w:p>
    <w:p w14:paraId="244657FD" w14:textId="77777777" w:rsidR="004C76BC" w:rsidRDefault="004C76BC" w:rsidP="004C76BC">
      <w:pPr>
        <w:ind w:left="720" w:hanging="720"/>
      </w:pPr>
      <w:r>
        <w:rPr>
          <w:iCs/>
        </w:rPr>
        <w:t xml:space="preserve">(89) </w:t>
      </w:r>
      <w:r>
        <w:rPr>
          <w:i/>
          <w:iCs/>
        </w:rPr>
        <w:t xml:space="preserve">Teleosaurus cadomensis </w:t>
      </w:r>
      <w:r>
        <w:t>(Lamouroux, 1820)</w:t>
      </w:r>
    </w:p>
    <w:p w14:paraId="39AA3DB5"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MNHN.F </w:t>
      </w:r>
      <w:bookmarkStart w:id="32" w:name="_Hlk479275876"/>
      <w:r>
        <w:t xml:space="preserve">AC </w:t>
      </w:r>
      <w:bookmarkEnd w:id="32"/>
      <w:r>
        <w:t>8746, MNHN.F RJN 464, NHMUK PV OR 119, NHMUK PV OR 32588, NHMUK PV OR 32657, NHMUK PV OR 32680, casts: NHMUK PV R 880 and NHMUK PV R 880a; Eudes-Deslongchamps (1867-69); Jouve (2009).</w:t>
      </w:r>
    </w:p>
    <w:p w14:paraId="530E1674" w14:textId="77777777" w:rsidR="004C76BC" w:rsidRDefault="004C76BC" w:rsidP="004C76BC">
      <w:pPr>
        <w:autoSpaceDE w:val="0"/>
        <w:autoSpaceDN w:val="0"/>
        <w:adjustRightInd w:val="0"/>
        <w:ind w:left="357"/>
        <w:rPr>
          <w:color w:val="000000"/>
        </w:rPr>
      </w:pPr>
      <w:r>
        <w:rPr>
          <w:smallCaps/>
          <w:color w:val="000000"/>
        </w:rPr>
        <w:t>Locality</w:t>
      </w:r>
      <w:r>
        <w:rPr>
          <w:color w:val="000000"/>
        </w:rPr>
        <w:t>: Allemagne, 3km south of Caen, Calvados, Normandy, France.</w:t>
      </w:r>
    </w:p>
    <w:p w14:paraId="5E8047D7" w14:textId="77777777" w:rsidR="004C76BC" w:rsidRDefault="004C76BC" w:rsidP="004C76BC">
      <w:pPr>
        <w:autoSpaceDE w:val="0"/>
        <w:autoSpaceDN w:val="0"/>
        <w:adjustRightInd w:val="0"/>
        <w:ind w:left="357"/>
        <w:rPr>
          <w:color w:val="000000"/>
        </w:rPr>
      </w:pPr>
      <w:r>
        <w:rPr>
          <w:smallCaps/>
          <w:color w:val="000000"/>
        </w:rPr>
        <w:t>Formation</w:t>
      </w:r>
      <w:r>
        <w:rPr>
          <w:color w:val="000000"/>
        </w:rPr>
        <w:t>: “Calcaire de Caen”.</w:t>
      </w:r>
    </w:p>
    <w:p w14:paraId="7A50EBED" w14:textId="77777777" w:rsidR="004C76BC" w:rsidRDefault="004C76BC" w:rsidP="004C76BC">
      <w:pPr>
        <w:autoSpaceDE w:val="0"/>
        <w:autoSpaceDN w:val="0"/>
        <w:adjustRightInd w:val="0"/>
        <w:ind w:left="357"/>
        <w:rPr>
          <w:i/>
          <w:iCs/>
          <w:color w:val="000000"/>
        </w:rPr>
      </w:pPr>
      <w:r>
        <w:rPr>
          <w:smallCaps/>
          <w:color w:val="000000"/>
        </w:rPr>
        <w:t>Age</w:t>
      </w:r>
      <w:r>
        <w:rPr>
          <w:color w:val="000000"/>
        </w:rPr>
        <w:t>: Bathonian, Middle Jurassic.</w:t>
      </w:r>
    </w:p>
    <w:p w14:paraId="0D77E7B9" w14:textId="77777777" w:rsidR="004C76BC" w:rsidRDefault="004C76BC" w:rsidP="004C76BC">
      <w:pPr>
        <w:ind w:left="720" w:hanging="720"/>
        <w:rPr>
          <w:iCs/>
        </w:rPr>
      </w:pPr>
      <w:r>
        <w:rPr>
          <w:iCs/>
        </w:rPr>
        <w:t xml:space="preserve"> </w:t>
      </w:r>
    </w:p>
    <w:p w14:paraId="4C016B2A" w14:textId="77777777" w:rsidR="004C76BC" w:rsidRDefault="004C76BC" w:rsidP="004C76BC">
      <w:pPr>
        <w:ind w:left="720" w:hanging="720"/>
      </w:pPr>
      <w:r>
        <w:rPr>
          <w:iCs/>
        </w:rPr>
        <w:t xml:space="preserve">(90) </w:t>
      </w:r>
      <w:r>
        <w:rPr>
          <w:i/>
          <w:iCs/>
        </w:rPr>
        <w:t>Teleosaurus megarhinus</w:t>
      </w:r>
      <w:r>
        <w:t xml:space="preserve"> Hulke, 1871</w:t>
      </w:r>
    </w:p>
    <w:p w14:paraId="6D79049E" w14:textId="77777777" w:rsidR="004C76BC" w:rsidRDefault="004C76BC" w:rsidP="004C76BC">
      <w:pPr>
        <w:autoSpaceDE w:val="0"/>
        <w:autoSpaceDN w:val="0"/>
        <w:adjustRightInd w:val="0"/>
        <w:ind w:left="357"/>
        <w:rPr>
          <w:color w:val="000000"/>
        </w:rPr>
      </w:pPr>
      <w:r>
        <w:rPr>
          <w:smallCaps/>
          <w:color w:val="000000"/>
        </w:rPr>
        <w:lastRenderedPageBreak/>
        <w:t>Data from</w:t>
      </w:r>
      <w:r>
        <w:rPr>
          <w:color w:val="000000"/>
        </w:rPr>
        <w:t>:</w:t>
      </w:r>
      <w:r>
        <w:t xml:space="preserve"> NHMUK PV OR 43086 (holotype), DORCM G.05067i-v, Vignaud (1995).</w:t>
      </w:r>
    </w:p>
    <w:p w14:paraId="56B323D9" w14:textId="77777777" w:rsidR="004C76BC" w:rsidRDefault="004C76BC" w:rsidP="004C76BC">
      <w:pPr>
        <w:autoSpaceDE w:val="0"/>
        <w:autoSpaceDN w:val="0"/>
        <w:adjustRightInd w:val="0"/>
        <w:ind w:left="357"/>
        <w:rPr>
          <w:color w:val="000000"/>
        </w:rPr>
      </w:pPr>
      <w:r>
        <w:rPr>
          <w:smallCaps/>
          <w:color w:val="000000"/>
        </w:rPr>
        <w:t>Locality</w:t>
      </w:r>
      <w:r>
        <w:rPr>
          <w:color w:val="000000"/>
        </w:rPr>
        <w:t>: Kimmeridge, Dorset, UK.</w:t>
      </w:r>
    </w:p>
    <w:p w14:paraId="31731ED0" w14:textId="77777777" w:rsidR="004C76BC" w:rsidRDefault="004C76BC" w:rsidP="004C76BC">
      <w:pPr>
        <w:autoSpaceDE w:val="0"/>
        <w:autoSpaceDN w:val="0"/>
        <w:adjustRightInd w:val="0"/>
        <w:ind w:left="357"/>
        <w:rPr>
          <w:color w:val="000000"/>
        </w:rPr>
      </w:pPr>
      <w:r>
        <w:rPr>
          <w:smallCaps/>
          <w:color w:val="000000"/>
        </w:rPr>
        <w:t>Formation</w:t>
      </w:r>
      <w:r>
        <w:rPr>
          <w:color w:val="000000"/>
        </w:rPr>
        <w:t>: Dorset succession, lower Kimmeridge Clay Formation, Ancholme Group.</w:t>
      </w:r>
    </w:p>
    <w:p w14:paraId="2871E961"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 xml:space="preserve">autossiodorensis </w:t>
      </w:r>
      <w:r>
        <w:rPr>
          <w:iCs/>
        </w:rPr>
        <w:t xml:space="preserve">Sub-Boreal </w:t>
      </w:r>
      <w:r>
        <w:rPr>
          <w:color w:val="000000"/>
        </w:rPr>
        <w:t>ammonite Zone, upper Kimmeridgian, Upper Jurassic.</w:t>
      </w:r>
    </w:p>
    <w:p w14:paraId="0E5EF879" w14:textId="77777777" w:rsidR="002254BF" w:rsidRDefault="002254BF" w:rsidP="004C76BC">
      <w:pPr>
        <w:ind w:left="360" w:hanging="360"/>
        <w:jc w:val="both"/>
      </w:pPr>
    </w:p>
    <w:p w14:paraId="357D40B3" w14:textId="77777777" w:rsidR="004C76BC" w:rsidRDefault="004C76BC" w:rsidP="004C76BC">
      <w:pPr>
        <w:ind w:left="360" w:hanging="360"/>
        <w:jc w:val="both"/>
        <w:rPr>
          <w:caps/>
          <w:u w:val="single"/>
        </w:rPr>
      </w:pPr>
      <w:r>
        <w:rPr>
          <w:caps/>
          <w:u w:val="single"/>
        </w:rPr>
        <w:t xml:space="preserve">Thalattosuchia: Basal MetriorhynchoidAE (8 </w:t>
      </w:r>
      <w:r>
        <w:rPr>
          <w:u w:val="single"/>
        </w:rPr>
        <w:t>OTUs</w:t>
      </w:r>
      <w:r>
        <w:rPr>
          <w:caps/>
          <w:u w:val="single"/>
        </w:rPr>
        <w:t>)</w:t>
      </w:r>
    </w:p>
    <w:p w14:paraId="2127D724" w14:textId="31E40D46" w:rsidR="004C76BC" w:rsidRDefault="00E8075A" w:rsidP="004C76BC">
      <w:pPr>
        <w:ind w:left="720" w:hanging="720"/>
        <w:rPr>
          <w:color w:val="000000"/>
        </w:rPr>
      </w:pPr>
      <w:r>
        <w:rPr>
          <w:color w:val="000000"/>
        </w:rPr>
        <w:t>(91</w:t>
      </w:r>
      <w:r w:rsidR="004C76BC">
        <w:rPr>
          <w:color w:val="000000"/>
        </w:rPr>
        <w:t xml:space="preserve">) </w:t>
      </w:r>
      <w:r w:rsidR="004C76BC">
        <w:rPr>
          <w:i/>
          <w:color w:val="000000"/>
        </w:rPr>
        <w:t>Eoneustes bathonicus</w:t>
      </w:r>
      <w:r w:rsidR="004C76BC">
        <w:rPr>
          <w:color w:val="000000"/>
        </w:rPr>
        <w:t xml:space="preserve"> (Mercier, 1933)</w:t>
      </w:r>
      <w:r w:rsidR="007A486C">
        <w:rPr>
          <w:color w:val="000000"/>
        </w:rPr>
        <w:t xml:space="preserve"> Young </w:t>
      </w:r>
      <w:r w:rsidR="007A486C" w:rsidRPr="009D11CD">
        <w:rPr>
          <w:i/>
          <w:color w:val="000000"/>
        </w:rPr>
        <w:t>et al</w:t>
      </w:r>
      <w:r w:rsidR="007A486C">
        <w:rPr>
          <w:color w:val="000000"/>
        </w:rPr>
        <w:t>., 2010</w:t>
      </w:r>
    </w:p>
    <w:p w14:paraId="107537D4"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Mercier (1933).</w:t>
      </w:r>
    </w:p>
    <w:p w14:paraId="7BEB78E2" w14:textId="77777777" w:rsidR="004C76BC" w:rsidRDefault="004C76BC" w:rsidP="004C76BC">
      <w:pPr>
        <w:autoSpaceDE w:val="0"/>
        <w:autoSpaceDN w:val="0"/>
        <w:adjustRightInd w:val="0"/>
        <w:ind w:left="357"/>
        <w:rPr>
          <w:color w:val="000000"/>
        </w:rPr>
      </w:pPr>
      <w:r>
        <w:rPr>
          <w:smallCaps/>
          <w:color w:val="000000"/>
        </w:rPr>
        <w:t>Locality</w:t>
      </w:r>
      <w:r>
        <w:rPr>
          <w:color w:val="000000"/>
        </w:rPr>
        <w:t>: Port-en-Bessin, Calvados, Normandy, France.</w:t>
      </w:r>
    </w:p>
    <w:p w14:paraId="13897123" w14:textId="77777777" w:rsidR="004C76BC" w:rsidRDefault="004C76BC" w:rsidP="004C76BC">
      <w:pPr>
        <w:autoSpaceDE w:val="0"/>
        <w:autoSpaceDN w:val="0"/>
        <w:adjustRightInd w:val="0"/>
        <w:ind w:left="357"/>
        <w:rPr>
          <w:color w:val="000000"/>
        </w:rPr>
      </w:pPr>
      <w:r>
        <w:rPr>
          <w:smallCaps/>
          <w:color w:val="000000"/>
        </w:rPr>
        <w:t>Formation</w:t>
      </w:r>
      <w:r>
        <w:rPr>
          <w:color w:val="000000"/>
        </w:rPr>
        <w:t>: “Calcaire de Caen”.</w:t>
      </w:r>
    </w:p>
    <w:p w14:paraId="1AC60915" w14:textId="77777777" w:rsidR="004C76BC" w:rsidRDefault="004C76BC" w:rsidP="004C76BC">
      <w:pPr>
        <w:autoSpaceDE w:val="0"/>
        <w:autoSpaceDN w:val="0"/>
        <w:adjustRightInd w:val="0"/>
        <w:ind w:left="357"/>
        <w:rPr>
          <w:i/>
          <w:iCs/>
          <w:color w:val="000000"/>
        </w:rPr>
      </w:pPr>
      <w:r>
        <w:rPr>
          <w:smallCaps/>
          <w:color w:val="000000"/>
        </w:rPr>
        <w:t>Age</w:t>
      </w:r>
      <w:r>
        <w:rPr>
          <w:color w:val="000000"/>
        </w:rPr>
        <w:t>: Bathonian, Middle Jurassic.</w:t>
      </w:r>
    </w:p>
    <w:p w14:paraId="3A573B67" w14:textId="77777777" w:rsidR="004C76BC" w:rsidRDefault="004C76BC" w:rsidP="004C76BC">
      <w:pPr>
        <w:ind w:left="720" w:hanging="720"/>
        <w:rPr>
          <w:color w:val="000000"/>
        </w:rPr>
      </w:pPr>
      <w:r>
        <w:rPr>
          <w:color w:val="000000"/>
        </w:rPr>
        <w:t xml:space="preserve"> </w:t>
      </w:r>
    </w:p>
    <w:p w14:paraId="3F8EB0EA" w14:textId="4246A5CD" w:rsidR="004C76BC" w:rsidRDefault="00E8075A" w:rsidP="004C76BC">
      <w:pPr>
        <w:ind w:left="720" w:hanging="720"/>
        <w:rPr>
          <w:color w:val="000000"/>
        </w:rPr>
      </w:pPr>
      <w:r>
        <w:rPr>
          <w:color w:val="000000"/>
        </w:rPr>
        <w:t>(92</w:t>
      </w:r>
      <w:r w:rsidR="004C76BC">
        <w:rPr>
          <w:color w:val="000000"/>
        </w:rPr>
        <w:t xml:space="preserve">) </w:t>
      </w:r>
      <w:r w:rsidR="004C76BC">
        <w:rPr>
          <w:i/>
          <w:color w:val="000000"/>
        </w:rPr>
        <w:t>Eoneustes gaudryi</w:t>
      </w:r>
      <w:r w:rsidR="004C76BC">
        <w:rPr>
          <w:color w:val="000000"/>
        </w:rPr>
        <w:t xml:space="preserve"> (Collot, 1905)</w:t>
      </w:r>
      <w:r w:rsidR="007A486C" w:rsidRPr="007A486C">
        <w:rPr>
          <w:color w:val="000000"/>
        </w:rPr>
        <w:t xml:space="preserve"> </w:t>
      </w:r>
      <w:r w:rsidR="007A486C">
        <w:rPr>
          <w:color w:val="000000"/>
        </w:rPr>
        <w:t xml:space="preserve">Young </w:t>
      </w:r>
      <w:r w:rsidR="007A486C" w:rsidRPr="009D11CD">
        <w:rPr>
          <w:i/>
          <w:color w:val="000000"/>
        </w:rPr>
        <w:t>et al</w:t>
      </w:r>
      <w:r w:rsidR="007A486C">
        <w:rPr>
          <w:color w:val="000000"/>
        </w:rPr>
        <w:t>., 2010</w:t>
      </w:r>
    </w:p>
    <w:p w14:paraId="6025DA52"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NHMUK PV R 3353 (holotype).</w:t>
      </w:r>
    </w:p>
    <w:p w14:paraId="27356969"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 xml:space="preserve">Saint-Seine-l'Abbaye, Département du Cote d'Or, </w:t>
      </w:r>
      <w:r>
        <w:rPr>
          <w:iCs/>
          <w:lang w:val="fr-FR"/>
        </w:rPr>
        <w:t>Bourgogne</w:t>
      </w:r>
      <w:r>
        <w:t>, France.</w:t>
      </w:r>
    </w:p>
    <w:p w14:paraId="4719B105" w14:textId="77777777" w:rsidR="004C76BC" w:rsidRDefault="004C76BC" w:rsidP="004C76BC">
      <w:pPr>
        <w:autoSpaceDE w:val="0"/>
        <w:autoSpaceDN w:val="0"/>
        <w:adjustRightInd w:val="0"/>
        <w:ind w:left="357"/>
        <w:rPr>
          <w:color w:val="000000"/>
        </w:rPr>
      </w:pPr>
      <w:r>
        <w:rPr>
          <w:smallCaps/>
          <w:color w:val="000000"/>
        </w:rPr>
        <w:t>Formation</w:t>
      </w:r>
      <w:r>
        <w:rPr>
          <w:color w:val="000000"/>
        </w:rPr>
        <w:t>: “Calcaires blancs jaunâtres des de Bourgogne”.</w:t>
      </w:r>
    </w:p>
    <w:p w14:paraId="3FA8D86B"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Bathonian, Middle Jurassic.</w:t>
      </w:r>
    </w:p>
    <w:p w14:paraId="4B836546" w14:textId="77777777" w:rsidR="004C76BC" w:rsidRDefault="004C76BC" w:rsidP="004C76BC">
      <w:pPr>
        <w:ind w:left="720" w:hanging="720"/>
        <w:rPr>
          <w:color w:val="000000"/>
        </w:rPr>
      </w:pPr>
    </w:p>
    <w:p w14:paraId="0AD1178F" w14:textId="50658261" w:rsidR="004C76BC" w:rsidRDefault="00E8075A" w:rsidP="004C76BC">
      <w:pPr>
        <w:ind w:left="720" w:hanging="720"/>
        <w:rPr>
          <w:color w:val="000000"/>
        </w:rPr>
      </w:pPr>
      <w:r>
        <w:rPr>
          <w:color w:val="000000"/>
        </w:rPr>
        <w:t>(93</w:t>
      </w:r>
      <w:r w:rsidR="004C76BC">
        <w:rPr>
          <w:color w:val="000000"/>
        </w:rPr>
        <w:t xml:space="preserve">) </w:t>
      </w:r>
      <w:r w:rsidR="002254BF">
        <w:rPr>
          <w:color w:val="000000"/>
        </w:rPr>
        <w:t>Hungarian thalattosuchian</w:t>
      </w:r>
    </w:p>
    <w:p w14:paraId="1281765C" w14:textId="32C1032B"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bookmarkStart w:id="33" w:name="_Hlk479275938"/>
      <w:r>
        <w:t xml:space="preserve">MTM </w:t>
      </w:r>
      <w:bookmarkEnd w:id="33"/>
      <w:r w:rsidR="002254BF">
        <w:t>V.97</w:t>
      </w:r>
      <w:r>
        <w:rPr>
          <w:color w:val="000000"/>
        </w:rPr>
        <w:t>.</w:t>
      </w:r>
    </w:p>
    <w:p w14:paraId="0BA65DC0"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eastern Gerecse Mountains, Hungary.</w:t>
      </w:r>
    </w:p>
    <w:p w14:paraId="08673651"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Bed 13, uppermost </w:t>
      </w:r>
      <w:r>
        <w:t>Kisgerecse Marl Formation.</w:t>
      </w:r>
    </w:p>
    <w:p w14:paraId="7A9B714D"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w:t>
      </w:r>
      <w:r w:rsidRPr="005A3EDE">
        <w:rPr>
          <w:i/>
          <w:iCs/>
        </w:rPr>
        <w:t>Grammoceras striatulum</w:t>
      </w:r>
      <w:r w:rsidRPr="005A3EDE">
        <w:t xml:space="preserve"> ammonite Subzone</w:t>
      </w:r>
      <w:r>
        <w:t>,</w:t>
      </w:r>
      <w:r>
        <w:rPr>
          <w:i/>
          <w:color w:val="000000"/>
        </w:rPr>
        <w:t xml:space="preserve"> Grammoceras thouarense</w:t>
      </w:r>
      <w:r>
        <w:rPr>
          <w:color w:val="000000"/>
        </w:rPr>
        <w:t xml:space="preserve"> ammonite Zone, upper Toarcian, Early Jurassic. </w:t>
      </w:r>
    </w:p>
    <w:p w14:paraId="385699CC" w14:textId="77777777" w:rsidR="004C76BC" w:rsidRDefault="004C76BC" w:rsidP="004C76BC">
      <w:pPr>
        <w:ind w:left="720" w:hanging="720"/>
        <w:rPr>
          <w:color w:val="000000"/>
        </w:rPr>
      </w:pPr>
      <w:r>
        <w:rPr>
          <w:color w:val="000000"/>
        </w:rPr>
        <w:t xml:space="preserve"> </w:t>
      </w:r>
    </w:p>
    <w:p w14:paraId="6D5706A4" w14:textId="689BDB0D" w:rsidR="004C76BC" w:rsidRDefault="00E8075A" w:rsidP="004C76BC">
      <w:pPr>
        <w:ind w:left="720" w:hanging="720"/>
        <w:rPr>
          <w:color w:val="000000"/>
        </w:rPr>
      </w:pPr>
      <w:r>
        <w:rPr>
          <w:color w:val="000000"/>
        </w:rPr>
        <w:t>(94</w:t>
      </w:r>
      <w:r w:rsidR="004C76BC">
        <w:rPr>
          <w:color w:val="000000"/>
        </w:rPr>
        <w:t>) Metriorhynchoidea indeterminate (Chile) [fragmentary taxon]</w:t>
      </w:r>
    </w:p>
    <w:p w14:paraId="3EA6B21F"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 xml:space="preserve">Gasparini </w:t>
      </w:r>
      <w:r>
        <w:rPr>
          <w:i/>
          <w:color w:val="000000"/>
        </w:rPr>
        <w:t>et al</w:t>
      </w:r>
      <w:r>
        <w:rPr>
          <w:color w:val="000000"/>
        </w:rPr>
        <w:t>. (2000).</w:t>
      </w:r>
    </w:p>
    <w:p w14:paraId="1C0C2282"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Quebrada La Iglesia, Copiapo, Central-east Chile.</w:t>
      </w:r>
    </w:p>
    <w:p w14:paraId="1894A780"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upper part of the Lautaro Formation.</w:t>
      </w:r>
    </w:p>
    <w:p w14:paraId="19EA9DEA"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Bajocian, Middle Jurassic.</w:t>
      </w:r>
    </w:p>
    <w:p w14:paraId="58B8C743" w14:textId="77777777" w:rsidR="004C76BC" w:rsidRDefault="004C76BC" w:rsidP="004C76BC">
      <w:pPr>
        <w:ind w:left="720" w:hanging="720"/>
        <w:rPr>
          <w:color w:val="000000"/>
        </w:rPr>
      </w:pPr>
      <w:r>
        <w:rPr>
          <w:color w:val="000000"/>
        </w:rPr>
        <w:t xml:space="preserve"> </w:t>
      </w:r>
    </w:p>
    <w:p w14:paraId="43C14A74" w14:textId="1DE4E740" w:rsidR="004C76BC" w:rsidRDefault="00E8075A" w:rsidP="004C76BC">
      <w:pPr>
        <w:ind w:left="720" w:hanging="720"/>
        <w:rPr>
          <w:color w:val="000000"/>
        </w:rPr>
      </w:pPr>
      <w:r>
        <w:rPr>
          <w:color w:val="000000"/>
        </w:rPr>
        <w:t>(95</w:t>
      </w:r>
      <w:r w:rsidR="004C76BC">
        <w:rPr>
          <w:color w:val="000000"/>
        </w:rPr>
        <w:t xml:space="preserve">) </w:t>
      </w:r>
      <w:r w:rsidR="004C76BC">
        <w:rPr>
          <w:i/>
          <w:color w:val="000000"/>
        </w:rPr>
        <w:t>Zoneait nargorum</w:t>
      </w:r>
      <w:r w:rsidR="004C76BC">
        <w:rPr>
          <w:color w:val="000000"/>
        </w:rPr>
        <w:t xml:space="preserve"> Wilberg, 2015a</w:t>
      </w:r>
    </w:p>
    <w:p w14:paraId="69521A4E"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Wilberg (2015a).</w:t>
      </w:r>
    </w:p>
    <w:p w14:paraId="0DC81E32" w14:textId="77777777" w:rsidR="004C76BC" w:rsidRDefault="004C76BC" w:rsidP="004C76BC">
      <w:pPr>
        <w:autoSpaceDE w:val="0"/>
        <w:autoSpaceDN w:val="0"/>
        <w:adjustRightInd w:val="0"/>
        <w:ind w:left="357"/>
        <w:rPr>
          <w:color w:val="000000"/>
        </w:rPr>
      </w:pPr>
      <w:r>
        <w:rPr>
          <w:smallCaps/>
          <w:color w:val="000000"/>
        </w:rPr>
        <w:t>Locality</w:t>
      </w:r>
      <w:r>
        <w:rPr>
          <w:color w:val="000000"/>
        </w:rPr>
        <w:t>: near Suplee, Oregon, USA.</w:t>
      </w:r>
    </w:p>
    <w:p w14:paraId="513B214E" w14:textId="77777777" w:rsidR="004C76BC" w:rsidRDefault="004C76BC" w:rsidP="004C76BC">
      <w:pPr>
        <w:autoSpaceDE w:val="0"/>
        <w:autoSpaceDN w:val="0"/>
        <w:adjustRightInd w:val="0"/>
        <w:ind w:left="357"/>
        <w:rPr>
          <w:color w:val="000000"/>
        </w:rPr>
      </w:pPr>
      <w:r>
        <w:rPr>
          <w:smallCaps/>
          <w:color w:val="000000"/>
        </w:rPr>
        <w:t>Formation</w:t>
      </w:r>
      <w:r>
        <w:rPr>
          <w:color w:val="000000"/>
        </w:rPr>
        <w:t>: Weberg Member, Snow-shoe Formation.</w:t>
      </w:r>
    </w:p>
    <w:p w14:paraId="64798F91"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uppermost Aalenian or lowermost Bajocian, Middle Jurassic.</w:t>
      </w:r>
    </w:p>
    <w:p w14:paraId="26858C89" w14:textId="77777777" w:rsidR="004C76BC" w:rsidRDefault="004C76BC" w:rsidP="004C76BC">
      <w:pPr>
        <w:ind w:left="720" w:hanging="720"/>
        <w:rPr>
          <w:color w:val="000000"/>
        </w:rPr>
      </w:pPr>
    </w:p>
    <w:p w14:paraId="6C6D3BF5" w14:textId="2B525882" w:rsidR="004C76BC" w:rsidRDefault="00E8075A" w:rsidP="004C76BC">
      <w:pPr>
        <w:ind w:left="720" w:hanging="720"/>
        <w:rPr>
          <w:iCs/>
        </w:rPr>
      </w:pPr>
      <w:r>
        <w:rPr>
          <w:iCs/>
        </w:rPr>
        <w:t>(96</w:t>
      </w:r>
      <w:r w:rsidR="004C76BC">
        <w:rPr>
          <w:iCs/>
        </w:rPr>
        <w:t xml:space="preserve">) </w:t>
      </w:r>
      <w:r w:rsidR="004C76BC">
        <w:rPr>
          <w:i/>
          <w:iCs/>
        </w:rPr>
        <w:t xml:space="preserve">Peipehsuchus teleorhinus </w:t>
      </w:r>
      <w:r w:rsidR="004C76BC">
        <w:t xml:space="preserve">Young, 1948 </w:t>
      </w:r>
      <w:r w:rsidR="004C76BC">
        <w:rPr>
          <w:color w:val="000000"/>
        </w:rPr>
        <w:t>[fragmentary taxon]</w:t>
      </w:r>
    </w:p>
    <w:p w14:paraId="35A21E31"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photographs of the holotype provided by Eric Wilberg</w:t>
      </w:r>
      <w:r>
        <w:rPr>
          <w:iCs/>
        </w:rPr>
        <w:t>.</w:t>
      </w:r>
    </w:p>
    <w:p w14:paraId="276CFEC4" w14:textId="77777777" w:rsidR="004C76BC" w:rsidRDefault="004C76BC" w:rsidP="004C76BC">
      <w:pPr>
        <w:autoSpaceDE w:val="0"/>
        <w:autoSpaceDN w:val="0"/>
        <w:adjustRightInd w:val="0"/>
        <w:ind w:left="357"/>
        <w:rPr>
          <w:color w:val="000000"/>
        </w:rPr>
      </w:pPr>
      <w:r>
        <w:rPr>
          <w:smallCaps/>
          <w:color w:val="000000"/>
        </w:rPr>
        <w:t>Locality</w:t>
      </w:r>
      <w:r>
        <w:rPr>
          <w:color w:val="000000"/>
        </w:rPr>
        <w:t>: Beipei, Szechuan, China.</w:t>
      </w:r>
    </w:p>
    <w:p w14:paraId="1B766B30" w14:textId="77777777" w:rsidR="004C76BC" w:rsidRDefault="004C76BC" w:rsidP="004C76BC">
      <w:pPr>
        <w:autoSpaceDE w:val="0"/>
        <w:autoSpaceDN w:val="0"/>
        <w:adjustRightInd w:val="0"/>
        <w:ind w:left="357"/>
        <w:rPr>
          <w:color w:val="000000"/>
        </w:rPr>
      </w:pPr>
      <w:r>
        <w:rPr>
          <w:smallCaps/>
          <w:color w:val="000000"/>
        </w:rPr>
        <w:t>Formation</w:t>
      </w:r>
      <w:r>
        <w:rPr>
          <w:color w:val="000000"/>
        </w:rPr>
        <w:t>: Ziliujing Formation.</w:t>
      </w:r>
    </w:p>
    <w:p w14:paraId="28FADCF1"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Jurassic.</w:t>
      </w:r>
    </w:p>
    <w:p w14:paraId="3AFACE7C" w14:textId="77777777" w:rsidR="004C76BC" w:rsidRDefault="004C76BC" w:rsidP="004C76BC">
      <w:pPr>
        <w:autoSpaceDE w:val="0"/>
        <w:autoSpaceDN w:val="0"/>
        <w:adjustRightInd w:val="0"/>
        <w:ind w:left="357"/>
        <w:rPr>
          <w:color w:val="000000"/>
        </w:rPr>
      </w:pPr>
      <w:r>
        <w:rPr>
          <w:smallCaps/>
          <w:color w:val="000000"/>
        </w:rPr>
        <w:t>Observation</w:t>
      </w:r>
      <w:r>
        <w:rPr>
          <w:color w:val="000000"/>
        </w:rPr>
        <w:t xml:space="preserve">: This OTU is solely based on the holotype, with the skull referred to </w:t>
      </w:r>
      <w:r>
        <w:rPr>
          <w:i/>
          <w:color w:val="000000"/>
        </w:rPr>
        <w:t>Peipehsuchus teleorhinus</w:t>
      </w:r>
      <w:r>
        <w:rPr>
          <w:color w:val="000000"/>
        </w:rPr>
        <w:t xml:space="preserve"> treated as a separate OTU.</w:t>
      </w:r>
    </w:p>
    <w:p w14:paraId="42D04915" w14:textId="77777777" w:rsidR="004C76BC" w:rsidRDefault="004C76BC" w:rsidP="004C76BC">
      <w:pPr>
        <w:ind w:left="720" w:hanging="720"/>
        <w:rPr>
          <w:color w:val="000000"/>
        </w:rPr>
      </w:pPr>
    </w:p>
    <w:p w14:paraId="4B9082E5" w14:textId="56775301" w:rsidR="004C76BC" w:rsidRDefault="00E8075A" w:rsidP="004C76BC">
      <w:pPr>
        <w:ind w:left="720" w:hanging="720"/>
      </w:pPr>
      <w:r>
        <w:rPr>
          <w:color w:val="000000"/>
        </w:rPr>
        <w:t>(97</w:t>
      </w:r>
      <w:r w:rsidR="004C76BC">
        <w:rPr>
          <w:color w:val="000000"/>
        </w:rPr>
        <w:t xml:space="preserve">) </w:t>
      </w:r>
      <w:r w:rsidR="004C76BC">
        <w:rPr>
          <w:i/>
          <w:color w:val="000000"/>
        </w:rPr>
        <w:t xml:space="preserve">Pelagosaurus typus </w:t>
      </w:r>
      <w:r w:rsidR="004C76BC">
        <w:rPr>
          <w:color w:val="000000"/>
        </w:rPr>
        <w:t>Bronn, 1841</w:t>
      </w:r>
    </w:p>
    <w:p w14:paraId="01FA63FC"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w:t>
      </w:r>
      <w:bookmarkStart w:id="34" w:name="_Hlk479275951"/>
      <w:bookmarkStart w:id="35" w:name="_Hlk479755033"/>
      <w:r>
        <w:t xml:space="preserve">BRLSI </w:t>
      </w:r>
      <w:bookmarkEnd w:id="34"/>
      <w:r>
        <w:t xml:space="preserve">M.1415, BRLSI M.1416, BRLSI M.1420, </w:t>
      </w:r>
      <w:bookmarkEnd w:id="35"/>
      <w:r>
        <w:t xml:space="preserve">MNHN.F RJN 463, MTM V.52.2516, NHMUK PV OR 19735, NHMUK PV OR 32599, </w:t>
      </w:r>
      <w:bookmarkStart w:id="36" w:name="_Hlk479275960"/>
      <w:r>
        <w:t xml:space="preserve">SMNS </w:t>
      </w:r>
      <w:bookmarkEnd w:id="36"/>
      <w:r>
        <w:t>8666, SMNS 17758, SMNS 50374, SMNS 80066</w:t>
      </w:r>
      <w:r>
        <w:rPr>
          <w:color w:val="000000"/>
        </w:rPr>
        <w:t>; Pierce &amp; Benton (2006).</w:t>
      </w:r>
    </w:p>
    <w:p w14:paraId="7DDA7763" w14:textId="77777777" w:rsidR="004C76BC" w:rsidRDefault="004C76BC" w:rsidP="004C76BC">
      <w:pPr>
        <w:autoSpaceDE w:val="0"/>
        <w:autoSpaceDN w:val="0"/>
        <w:adjustRightInd w:val="0"/>
        <w:ind w:left="357"/>
        <w:rPr>
          <w:color w:val="000000"/>
        </w:rPr>
      </w:pPr>
      <w:r>
        <w:rPr>
          <w:smallCaps/>
          <w:color w:val="000000"/>
        </w:rPr>
        <w:lastRenderedPageBreak/>
        <w:t>Localities</w:t>
      </w:r>
      <w:r>
        <w:rPr>
          <w:color w:val="000000"/>
        </w:rPr>
        <w:t>: Numerous, including: Amaye-sur-Orne, Caen, and Curcy, France; Nabern near Kirchheim, S Germany; Holzmaden, Bad Boll, Ohmden and Ohmdenhausen, Swabian Jura, S Germany; Ilminster, Somerset, UK; Whitby, Yorkshire, England.</w:t>
      </w:r>
    </w:p>
    <w:p w14:paraId="4122FDB0" w14:textId="77777777" w:rsidR="004C76BC" w:rsidRDefault="004C76BC" w:rsidP="004C76BC">
      <w:pPr>
        <w:autoSpaceDE w:val="0"/>
        <w:autoSpaceDN w:val="0"/>
        <w:adjustRightInd w:val="0"/>
        <w:ind w:left="357"/>
        <w:rPr>
          <w:color w:val="000000"/>
        </w:rPr>
      </w:pPr>
      <w:r>
        <w:rPr>
          <w:smallCaps/>
          <w:color w:val="000000"/>
        </w:rPr>
        <w:t>Formations</w:t>
      </w:r>
      <w:r>
        <w:rPr>
          <w:color w:val="000000"/>
        </w:rPr>
        <w:t>: Numerous, including: Posidonia Shale Formation (Germany) and Whitby Mudstone Formation (UK).</w:t>
      </w:r>
    </w:p>
    <w:p w14:paraId="766B28EB"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Toarcian, Lower Jurassic.</w:t>
      </w:r>
    </w:p>
    <w:p w14:paraId="080DB35D" w14:textId="77777777" w:rsidR="004C76BC" w:rsidRDefault="004C76BC" w:rsidP="004C76BC">
      <w:pPr>
        <w:autoSpaceDE w:val="0"/>
        <w:autoSpaceDN w:val="0"/>
        <w:adjustRightInd w:val="0"/>
        <w:ind w:left="357"/>
        <w:rPr>
          <w:b/>
          <w:bCs/>
          <w:color w:val="000000"/>
        </w:rPr>
      </w:pPr>
      <w:r>
        <w:rPr>
          <w:smallCaps/>
          <w:color w:val="000000"/>
        </w:rPr>
        <w:t>Observation</w:t>
      </w:r>
      <w:r>
        <w:rPr>
          <w:color w:val="000000"/>
        </w:rPr>
        <w:t xml:space="preserve">: this OTU includes </w:t>
      </w:r>
      <w:r>
        <w:rPr>
          <w:i/>
          <w:iCs/>
          <w:color w:val="000000"/>
        </w:rPr>
        <w:t xml:space="preserve">P. moorei </w:t>
      </w:r>
      <w:r>
        <w:rPr>
          <w:color w:val="000000"/>
        </w:rPr>
        <w:t>as</w:t>
      </w:r>
      <w:bookmarkStart w:id="37" w:name="_Hlk479755042"/>
      <w:r>
        <w:rPr>
          <w:color w:val="000000"/>
        </w:rPr>
        <w:t xml:space="preserve"> a subjective </w:t>
      </w:r>
      <w:bookmarkEnd w:id="37"/>
      <w:r>
        <w:rPr>
          <w:color w:val="000000"/>
        </w:rPr>
        <w:t xml:space="preserve">junior synonym of </w:t>
      </w:r>
      <w:r>
        <w:rPr>
          <w:i/>
          <w:iCs/>
          <w:color w:val="000000"/>
        </w:rPr>
        <w:t>P. typus</w:t>
      </w:r>
      <w:r>
        <w:rPr>
          <w:color w:val="000000"/>
        </w:rPr>
        <w:t>, following Pierce &amp; Benton (2006).</w:t>
      </w:r>
    </w:p>
    <w:p w14:paraId="10A6B128" w14:textId="77777777" w:rsidR="004C76BC" w:rsidRDefault="004C76BC" w:rsidP="004C76BC">
      <w:pPr>
        <w:ind w:left="720" w:hanging="720"/>
      </w:pPr>
    </w:p>
    <w:p w14:paraId="65E7121D" w14:textId="3B29C19A" w:rsidR="004C76BC" w:rsidRDefault="00E8075A" w:rsidP="004C76BC">
      <w:pPr>
        <w:ind w:left="720" w:hanging="720"/>
        <w:rPr>
          <w:color w:val="000000"/>
        </w:rPr>
      </w:pPr>
      <w:r>
        <w:rPr>
          <w:color w:val="000000"/>
        </w:rPr>
        <w:t>(98</w:t>
      </w:r>
      <w:r w:rsidR="004C76BC">
        <w:rPr>
          <w:color w:val="000000"/>
        </w:rPr>
        <w:t xml:space="preserve">) </w:t>
      </w:r>
      <w:r w:rsidR="004C76BC">
        <w:rPr>
          <w:i/>
          <w:color w:val="000000"/>
        </w:rPr>
        <w:t>Teleidosaurus calvadosii</w:t>
      </w:r>
      <w:r w:rsidR="004C76BC">
        <w:rPr>
          <w:color w:val="000000"/>
        </w:rPr>
        <w:t xml:space="preserve"> (Eudes-Deslongchamps, 1866)</w:t>
      </w:r>
    </w:p>
    <w:p w14:paraId="6CAEC06B"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NHMUK PV R 2619 (plastoholotype); Eudes-Deslongchamps (1867-69).</w:t>
      </w:r>
    </w:p>
    <w:p w14:paraId="0718B991" w14:textId="77777777" w:rsidR="004C76BC" w:rsidRDefault="004C76BC" w:rsidP="004C76BC">
      <w:pPr>
        <w:autoSpaceDE w:val="0"/>
        <w:autoSpaceDN w:val="0"/>
        <w:adjustRightInd w:val="0"/>
        <w:ind w:left="357"/>
        <w:rPr>
          <w:color w:val="000000"/>
        </w:rPr>
      </w:pPr>
      <w:r>
        <w:rPr>
          <w:smallCaps/>
          <w:color w:val="000000"/>
        </w:rPr>
        <w:t>Locality</w:t>
      </w:r>
      <w:r>
        <w:rPr>
          <w:color w:val="000000"/>
        </w:rPr>
        <w:t>: Allemagne, 3km south of Caen, Calvados, Normandy, France.</w:t>
      </w:r>
    </w:p>
    <w:p w14:paraId="5A93AA58" w14:textId="77777777" w:rsidR="004C76BC" w:rsidRDefault="004C76BC" w:rsidP="004C76BC">
      <w:pPr>
        <w:autoSpaceDE w:val="0"/>
        <w:autoSpaceDN w:val="0"/>
        <w:adjustRightInd w:val="0"/>
        <w:ind w:left="357"/>
        <w:rPr>
          <w:color w:val="000000"/>
        </w:rPr>
      </w:pPr>
      <w:r>
        <w:rPr>
          <w:smallCaps/>
          <w:color w:val="000000"/>
        </w:rPr>
        <w:t>Formation</w:t>
      </w:r>
      <w:r>
        <w:rPr>
          <w:color w:val="000000"/>
        </w:rPr>
        <w:t>: “Calcaire de Caen”.</w:t>
      </w:r>
    </w:p>
    <w:p w14:paraId="6DFAD46C" w14:textId="77777777" w:rsidR="004C76BC" w:rsidRDefault="004C76BC" w:rsidP="004C76BC">
      <w:pPr>
        <w:autoSpaceDE w:val="0"/>
        <w:autoSpaceDN w:val="0"/>
        <w:adjustRightInd w:val="0"/>
        <w:ind w:left="357"/>
        <w:rPr>
          <w:i/>
          <w:iCs/>
          <w:color w:val="000000"/>
        </w:rPr>
      </w:pPr>
      <w:r>
        <w:rPr>
          <w:smallCaps/>
          <w:color w:val="000000"/>
        </w:rPr>
        <w:t>Age</w:t>
      </w:r>
      <w:r>
        <w:rPr>
          <w:color w:val="000000"/>
        </w:rPr>
        <w:t>: Bathonian, Middle Jurassic.</w:t>
      </w:r>
    </w:p>
    <w:p w14:paraId="4AB42700" w14:textId="77777777" w:rsidR="004C76BC" w:rsidRDefault="004C76BC" w:rsidP="004C76BC">
      <w:pPr>
        <w:ind w:left="720" w:hanging="720"/>
        <w:jc w:val="both"/>
      </w:pPr>
    </w:p>
    <w:p w14:paraId="7C48F6E6" w14:textId="77777777" w:rsidR="004C76BC" w:rsidRDefault="004C76BC" w:rsidP="004C76BC">
      <w:pPr>
        <w:ind w:left="360" w:hanging="360"/>
        <w:jc w:val="both"/>
        <w:rPr>
          <w:caps/>
          <w:u w:val="single"/>
        </w:rPr>
      </w:pPr>
      <w:r>
        <w:rPr>
          <w:caps/>
          <w:u w:val="single"/>
        </w:rPr>
        <w:t xml:space="preserve">Thalattosuchia: Metriorhynchidae: Metriorhynchinae (18 </w:t>
      </w:r>
      <w:r>
        <w:rPr>
          <w:u w:val="single"/>
        </w:rPr>
        <w:t>OTUs</w:t>
      </w:r>
      <w:r>
        <w:rPr>
          <w:caps/>
          <w:u w:val="single"/>
        </w:rPr>
        <w:t>)</w:t>
      </w:r>
    </w:p>
    <w:p w14:paraId="1634D5D6" w14:textId="4206BEE8" w:rsidR="004C76BC" w:rsidRDefault="00E8075A" w:rsidP="004C76BC">
      <w:pPr>
        <w:ind w:left="720" w:hanging="720"/>
        <w:jc w:val="both"/>
        <w:rPr>
          <w:i/>
          <w:color w:val="000000"/>
        </w:rPr>
      </w:pPr>
      <w:r>
        <w:rPr>
          <w:color w:val="000000"/>
        </w:rPr>
        <w:t>(99</w:t>
      </w:r>
      <w:r w:rsidR="004C76BC">
        <w:rPr>
          <w:color w:val="000000"/>
        </w:rPr>
        <w:t>) '</w:t>
      </w:r>
      <w:r w:rsidR="004C76BC">
        <w:rPr>
          <w:i/>
          <w:color w:val="000000"/>
        </w:rPr>
        <w:t>Dakosaurus</w:t>
      </w:r>
      <w:r w:rsidR="004C76BC">
        <w:rPr>
          <w:color w:val="000000"/>
        </w:rPr>
        <w:t xml:space="preserve">' </w:t>
      </w:r>
      <w:r w:rsidR="004C76BC">
        <w:rPr>
          <w:i/>
          <w:color w:val="000000"/>
        </w:rPr>
        <w:t>lissocephalus</w:t>
      </w:r>
      <w:r w:rsidR="004C76BC">
        <w:t xml:space="preserve"> Seeley, 1869</w:t>
      </w:r>
    </w:p>
    <w:p w14:paraId="03FC2506"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bookmarkStart w:id="38" w:name="_Hlk479275970"/>
      <w:r>
        <w:t xml:space="preserve">CAMSM </w:t>
      </w:r>
      <w:bookmarkEnd w:id="38"/>
      <w:r>
        <w:t>J29419 (holotype).</w:t>
      </w:r>
    </w:p>
    <w:p w14:paraId="7B250615" w14:textId="77777777" w:rsidR="004C76BC" w:rsidRDefault="004C76BC" w:rsidP="004C76BC">
      <w:pPr>
        <w:autoSpaceDE w:val="0"/>
        <w:autoSpaceDN w:val="0"/>
        <w:adjustRightInd w:val="0"/>
        <w:ind w:left="357"/>
        <w:rPr>
          <w:color w:val="000000"/>
        </w:rPr>
      </w:pPr>
      <w:r>
        <w:rPr>
          <w:smallCaps/>
          <w:color w:val="000000"/>
        </w:rPr>
        <w:t>Locality</w:t>
      </w:r>
      <w:r>
        <w:rPr>
          <w:color w:val="000000"/>
        </w:rPr>
        <w:t>: Ely, Cambridgeshire, UK</w:t>
      </w:r>
    </w:p>
    <w:p w14:paraId="56674897" w14:textId="77777777" w:rsidR="004C76BC" w:rsidRDefault="004C76BC" w:rsidP="004C76BC">
      <w:pPr>
        <w:autoSpaceDE w:val="0"/>
        <w:autoSpaceDN w:val="0"/>
        <w:adjustRightInd w:val="0"/>
        <w:ind w:left="357"/>
        <w:rPr>
          <w:color w:val="000000"/>
        </w:rPr>
      </w:pPr>
      <w:r>
        <w:rPr>
          <w:smallCaps/>
          <w:color w:val="000000"/>
        </w:rPr>
        <w:t>Formation</w:t>
      </w:r>
      <w:r>
        <w:rPr>
          <w:color w:val="000000"/>
        </w:rPr>
        <w:t>: lower Kimmeridge Clay Formation, Ancholme Group.</w:t>
      </w:r>
    </w:p>
    <w:p w14:paraId="5358B786"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Kimmeridgian, Upper Jurassic.</w:t>
      </w:r>
    </w:p>
    <w:p w14:paraId="0D857463" w14:textId="77777777" w:rsidR="004C76BC" w:rsidRDefault="004C76BC" w:rsidP="004C76BC">
      <w:pPr>
        <w:ind w:left="720" w:hanging="720"/>
        <w:jc w:val="both"/>
        <w:rPr>
          <w:i/>
          <w:color w:val="000000"/>
        </w:rPr>
      </w:pPr>
    </w:p>
    <w:p w14:paraId="53CEB23C" w14:textId="016A2A89" w:rsidR="004C76BC" w:rsidRDefault="00E8075A" w:rsidP="004C76BC">
      <w:pPr>
        <w:ind w:left="720" w:hanging="720"/>
        <w:jc w:val="both"/>
      </w:pPr>
      <w:r>
        <w:rPr>
          <w:color w:val="000000"/>
        </w:rPr>
        <w:t>(100</w:t>
      </w:r>
      <w:r w:rsidR="004C76BC">
        <w:rPr>
          <w:color w:val="000000"/>
        </w:rPr>
        <w:t xml:space="preserve">) </w:t>
      </w:r>
      <w:r w:rsidR="004C76BC">
        <w:rPr>
          <w:i/>
          <w:color w:val="000000"/>
        </w:rPr>
        <w:t xml:space="preserve">Cricosaurus araucanensis </w:t>
      </w:r>
      <w:r w:rsidR="004C76BC">
        <w:rPr>
          <w:color w:val="000000"/>
        </w:rPr>
        <w:t>(Gasparini &amp; Dellapé, 1976)</w:t>
      </w:r>
      <w:r w:rsidR="00E3642E">
        <w:rPr>
          <w:color w:val="000000"/>
        </w:rPr>
        <w:t xml:space="preserve"> Young &amp; Andrade, 2009</w:t>
      </w:r>
    </w:p>
    <w:p w14:paraId="3B989172"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MLP-72-IV-7-1 (holotype), MLP-72-IV-7-2; Gasparini &amp; Dellapé (1976), Fernández &amp; Gasparini (2000, 2008), Fernández &amp; Herrera (2009), Herrera </w:t>
      </w:r>
      <w:r>
        <w:rPr>
          <w:i/>
          <w:iCs/>
          <w:color w:val="000000"/>
        </w:rPr>
        <w:t xml:space="preserve">et al. </w:t>
      </w:r>
      <w:r>
        <w:rPr>
          <w:color w:val="000000"/>
        </w:rPr>
        <w:t>(2009).</w:t>
      </w:r>
    </w:p>
    <w:p w14:paraId="6710A099"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Argentina.</w:t>
      </w:r>
    </w:p>
    <w:p w14:paraId="03EDF3CA" w14:textId="77777777" w:rsidR="004C76BC" w:rsidRDefault="004C76BC" w:rsidP="004C76BC">
      <w:pPr>
        <w:autoSpaceDE w:val="0"/>
        <w:autoSpaceDN w:val="0"/>
        <w:adjustRightInd w:val="0"/>
        <w:ind w:left="357"/>
        <w:rPr>
          <w:color w:val="000000"/>
        </w:rPr>
      </w:pPr>
      <w:r>
        <w:rPr>
          <w:smallCaps/>
          <w:color w:val="000000"/>
        </w:rPr>
        <w:t>Formation</w:t>
      </w:r>
      <w:r>
        <w:rPr>
          <w:color w:val="000000"/>
        </w:rPr>
        <w:t>: Vaca Muerta Formation, Mendoza Group. Neuquén Basin.</w:t>
      </w:r>
    </w:p>
    <w:p w14:paraId="5AAE3691"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Tithonian, Upper Jurassic.</w:t>
      </w:r>
    </w:p>
    <w:p w14:paraId="68703CA1" w14:textId="77777777" w:rsidR="004C76BC" w:rsidRDefault="004C76BC" w:rsidP="004C76BC">
      <w:pPr>
        <w:ind w:left="720" w:hanging="720"/>
        <w:jc w:val="both"/>
        <w:rPr>
          <w:i/>
        </w:rPr>
      </w:pPr>
    </w:p>
    <w:p w14:paraId="34D2D22B" w14:textId="3C350466" w:rsidR="004C76BC" w:rsidRDefault="00E8075A" w:rsidP="004C76BC">
      <w:pPr>
        <w:ind w:left="720" w:hanging="720"/>
      </w:pPr>
      <w:r>
        <w:rPr>
          <w:color w:val="000000"/>
        </w:rPr>
        <w:t>(101</w:t>
      </w:r>
      <w:r w:rsidR="004C76BC">
        <w:rPr>
          <w:color w:val="000000"/>
        </w:rPr>
        <w:t xml:space="preserve">) </w:t>
      </w:r>
      <w:r w:rsidR="004C76BC">
        <w:rPr>
          <w:i/>
          <w:color w:val="000000"/>
        </w:rPr>
        <w:t xml:space="preserve">Cricosaurus elegans </w:t>
      </w:r>
      <w:r w:rsidR="004C76BC">
        <w:t>(Wagner, 1852)</w:t>
      </w:r>
      <w:r w:rsidR="00E3642E">
        <w:t xml:space="preserve"> Wagner, 1858</w:t>
      </w:r>
    </w:p>
    <w:p w14:paraId="16D581C2"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bookmarkStart w:id="39" w:name="_Hlk479275976"/>
      <w:r>
        <w:t xml:space="preserve">BSPG </w:t>
      </w:r>
      <w:bookmarkEnd w:id="39"/>
      <w:r>
        <w:t>AS I 504.</w:t>
      </w:r>
    </w:p>
    <w:p w14:paraId="17DFA38E"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Daiting, near Monheim, Bayern, Germany.</w:t>
      </w:r>
    </w:p>
    <w:p w14:paraId="79923B46" w14:textId="77777777" w:rsidR="004C76BC" w:rsidRDefault="004C76BC" w:rsidP="004C76B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örnsheim Formation</w:t>
      </w:r>
      <w:r>
        <w:rPr>
          <w:color w:val="000000"/>
        </w:rPr>
        <w:t>.</w:t>
      </w:r>
    </w:p>
    <w:p w14:paraId="79F8F193"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5E588C10" w14:textId="77777777" w:rsidR="004C76BC" w:rsidRDefault="004C76BC" w:rsidP="004C76BC">
      <w:pPr>
        <w:ind w:left="720" w:hanging="720"/>
      </w:pPr>
    </w:p>
    <w:p w14:paraId="06021ECD" w14:textId="28E8954F" w:rsidR="004C76BC" w:rsidRDefault="00E8075A" w:rsidP="004C76BC">
      <w:pPr>
        <w:ind w:left="720" w:hanging="720"/>
      </w:pPr>
      <w:r>
        <w:rPr>
          <w:color w:val="000000"/>
        </w:rPr>
        <w:t>(102</w:t>
      </w:r>
      <w:r w:rsidR="004C76BC">
        <w:rPr>
          <w:color w:val="000000"/>
        </w:rPr>
        <w:t xml:space="preserve">) </w:t>
      </w:r>
      <w:r w:rsidR="004C76BC">
        <w:rPr>
          <w:i/>
          <w:color w:val="000000"/>
        </w:rPr>
        <w:t>Cricosaurus lithographicus</w:t>
      </w:r>
      <w:r w:rsidR="004C76BC">
        <w:t xml:space="preserve"> Herrera </w:t>
      </w:r>
      <w:r w:rsidR="004C76BC">
        <w:rPr>
          <w:i/>
        </w:rPr>
        <w:t>et al</w:t>
      </w:r>
      <w:r w:rsidR="004C76BC">
        <w:t>., 2013</w:t>
      </w:r>
    </w:p>
    <w:p w14:paraId="1A6461E9"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Herrera </w:t>
      </w:r>
      <w:r>
        <w:rPr>
          <w:i/>
        </w:rPr>
        <w:t>et al</w:t>
      </w:r>
      <w:r>
        <w:t>. (2013).</w:t>
      </w:r>
    </w:p>
    <w:p w14:paraId="180CED68" w14:textId="77777777" w:rsidR="004C76BC" w:rsidRDefault="004C76BC" w:rsidP="004C76BC">
      <w:pPr>
        <w:autoSpaceDE w:val="0"/>
        <w:autoSpaceDN w:val="0"/>
        <w:adjustRightInd w:val="0"/>
        <w:ind w:left="357"/>
        <w:rPr>
          <w:color w:val="000000"/>
        </w:rPr>
      </w:pPr>
      <w:r>
        <w:rPr>
          <w:smallCaps/>
          <w:color w:val="000000"/>
        </w:rPr>
        <w:t>Locality</w:t>
      </w:r>
      <w:r>
        <w:rPr>
          <w:color w:val="000000"/>
        </w:rPr>
        <w:t>: El Ministerio Quarry, Los Catutos Area, Zapala Department, Neuquén Province, Argentina.</w:t>
      </w:r>
    </w:p>
    <w:p w14:paraId="42FC6661" w14:textId="77777777" w:rsidR="004C76BC" w:rsidRDefault="004C76BC" w:rsidP="004C76BC">
      <w:pPr>
        <w:autoSpaceDE w:val="0"/>
        <w:autoSpaceDN w:val="0"/>
        <w:adjustRightInd w:val="0"/>
        <w:ind w:left="357"/>
        <w:rPr>
          <w:color w:val="000000"/>
        </w:rPr>
      </w:pPr>
      <w:r>
        <w:rPr>
          <w:smallCaps/>
          <w:color w:val="000000"/>
        </w:rPr>
        <w:t>Formation</w:t>
      </w:r>
      <w:r>
        <w:rPr>
          <w:color w:val="000000"/>
        </w:rPr>
        <w:t>: Los Catutos Member, Vaca Muerta Formation, Mendoza Group. Neuquén Basin.</w:t>
      </w:r>
    </w:p>
    <w:p w14:paraId="67F06889"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lower or middle upper Tithonian, Upper Jurassic.</w:t>
      </w:r>
    </w:p>
    <w:p w14:paraId="0CE72CAF" w14:textId="77777777" w:rsidR="004C76BC" w:rsidRDefault="004C76BC" w:rsidP="004C76BC">
      <w:pPr>
        <w:ind w:left="720" w:hanging="720"/>
      </w:pPr>
    </w:p>
    <w:p w14:paraId="1BA9F20B" w14:textId="0837BB5F" w:rsidR="004C76BC" w:rsidRDefault="00E8075A" w:rsidP="004C76BC">
      <w:pPr>
        <w:ind w:left="720" w:hanging="720"/>
      </w:pPr>
      <w:r>
        <w:rPr>
          <w:color w:val="000000"/>
        </w:rPr>
        <w:t>(103</w:t>
      </w:r>
      <w:r w:rsidR="004C76BC">
        <w:rPr>
          <w:color w:val="000000"/>
        </w:rPr>
        <w:t>) '</w:t>
      </w:r>
      <w:r w:rsidR="004C76BC">
        <w:rPr>
          <w:i/>
          <w:color w:val="000000"/>
        </w:rPr>
        <w:t>Cricosaurus</w:t>
      </w:r>
      <w:r w:rsidR="004C76BC">
        <w:rPr>
          <w:color w:val="000000"/>
        </w:rPr>
        <w:t>'</w:t>
      </w:r>
      <w:r w:rsidR="004C76BC">
        <w:rPr>
          <w:i/>
          <w:color w:val="000000"/>
        </w:rPr>
        <w:t xml:space="preserve"> macrospondylus </w:t>
      </w:r>
      <w:r w:rsidR="004C76BC">
        <w:t>(Koken, 1883)</w:t>
      </w:r>
      <w:r w:rsidR="00E3642E">
        <w:t xml:space="preserve"> Young &amp; Andrade, 2009</w:t>
      </w:r>
    </w:p>
    <w:p w14:paraId="61B759E0"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Hua </w:t>
      </w:r>
      <w:r>
        <w:rPr>
          <w:i/>
        </w:rPr>
        <w:t>et al</w:t>
      </w:r>
      <w:r>
        <w:t>. (2000).</w:t>
      </w:r>
    </w:p>
    <w:p w14:paraId="51FFC3F6"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Barret-le-Bas, Département du Hautes-Alpes, Provence-Alpes-Côte d'Azur, France.</w:t>
      </w:r>
    </w:p>
    <w:p w14:paraId="5C0D892F" w14:textId="77777777" w:rsidR="004C76BC" w:rsidRDefault="004C76BC" w:rsidP="004C76BC">
      <w:pPr>
        <w:autoSpaceDE w:val="0"/>
        <w:autoSpaceDN w:val="0"/>
        <w:adjustRightInd w:val="0"/>
        <w:ind w:left="357"/>
        <w:rPr>
          <w:color w:val="000000"/>
        </w:rPr>
      </w:pPr>
      <w:r>
        <w:rPr>
          <w:smallCaps/>
          <w:color w:val="000000"/>
        </w:rPr>
        <w:t>Formation</w:t>
      </w:r>
      <w:r>
        <w:rPr>
          <w:color w:val="000000"/>
        </w:rPr>
        <w:t>: not given.</w:t>
      </w:r>
    </w:p>
    <w:p w14:paraId="0E54C198" w14:textId="77777777" w:rsidR="004C76BC" w:rsidRDefault="004C76BC" w:rsidP="004C76BC">
      <w:pPr>
        <w:autoSpaceDE w:val="0"/>
        <w:autoSpaceDN w:val="0"/>
        <w:adjustRightInd w:val="0"/>
        <w:ind w:left="357"/>
        <w:rPr>
          <w:color w:val="000000"/>
        </w:rPr>
      </w:pPr>
      <w:r>
        <w:rPr>
          <w:smallCaps/>
          <w:color w:val="000000"/>
        </w:rPr>
        <w:t>Age</w:t>
      </w:r>
      <w:r>
        <w:rPr>
          <w:color w:val="000000"/>
        </w:rPr>
        <w:t xml:space="preserve">: </w:t>
      </w:r>
      <w:r>
        <w:rPr>
          <w:i/>
          <w:color w:val="000000"/>
        </w:rPr>
        <w:t>Busnardoites</w:t>
      </w:r>
      <w:r>
        <w:rPr>
          <w:color w:val="000000"/>
        </w:rPr>
        <w:t xml:space="preserve"> </w:t>
      </w:r>
      <w:r>
        <w:rPr>
          <w:i/>
        </w:rPr>
        <w:t xml:space="preserve">campylotoxus </w:t>
      </w:r>
      <w:r>
        <w:t>ammonite Zone,</w:t>
      </w:r>
      <w:r>
        <w:rPr>
          <w:color w:val="000000"/>
        </w:rPr>
        <w:t xml:space="preserve"> lower Valanginian, Lower Cretaceous.</w:t>
      </w:r>
    </w:p>
    <w:p w14:paraId="64939ED0" w14:textId="77777777" w:rsidR="004C76BC" w:rsidRDefault="004C76BC" w:rsidP="004C76BC">
      <w:pPr>
        <w:autoSpaceDE w:val="0"/>
        <w:autoSpaceDN w:val="0"/>
        <w:adjustRightInd w:val="0"/>
        <w:ind w:left="357"/>
        <w:rPr>
          <w:i/>
          <w:iCs/>
          <w:color w:val="000000"/>
        </w:rPr>
      </w:pPr>
      <w:r>
        <w:rPr>
          <w:smallCaps/>
          <w:color w:val="000000"/>
        </w:rPr>
        <w:t>Observation</w:t>
      </w:r>
      <w:r>
        <w:rPr>
          <w:color w:val="000000"/>
        </w:rPr>
        <w:t>: This OTU is solely based on the French referred specimen.</w:t>
      </w:r>
    </w:p>
    <w:p w14:paraId="0E406D0E" w14:textId="77777777" w:rsidR="004C76BC" w:rsidRDefault="004C76BC" w:rsidP="004C76BC">
      <w:pPr>
        <w:ind w:left="720" w:hanging="720"/>
      </w:pPr>
    </w:p>
    <w:p w14:paraId="58A45D3E" w14:textId="215100AF" w:rsidR="004C76BC" w:rsidRDefault="00C51D64" w:rsidP="004C76BC">
      <w:pPr>
        <w:ind w:left="720" w:hanging="720"/>
      </w:pPr>
      <w:r>
        <w:rPr>
          <w:color w:val="000000"/>
        </w:rPr>
        <w:t>(10</w:t>
      </w:r>
      <w:r w:rsidR="00E8075A">
        <w:rPr>
          <w:color w:val="000000"/>
        </w:rPr>
        <w:t>4</w:t>
      </w:r>
      <w:r w:rsidR="004C76BC">
        <w:rPr>
          <w:color w:val="000000"/>
        </w:rPr>
        <w:t>) '</w:t>
      </w:r>
      <w:r w:rsidR="004C76BC">
        <w:rPr>
          <w:i/>
          <w:color w:val="000000"/>
        </w:rPr>
        <w:t>Cricosaurus</w:t>
      </w:r>
      <w:r w:rsidR="004C76BC">
        <w:rPr>
          <w:color w:val="000000"/>
        </w:rPr>
        <w:t>'</w:t>
      </w:r>
      <w:r w:rsidR="004C76BC">
        <w:rPr>
          <w:i/>
          <w:color w:val="000000"/>
        </w:rPr>
        <w:t xml:space="preserve"> saltillensis</w:t>
      </w:r>
      <w:r w:rsidR="004C76BC">
        <w:rPr>
          <w:color w:val="000000"/>
        </w:rPr>
        <w:t xml:space="preserve"> </w:t>
      </w:r>
      <w:r w:rsidR="004C76BC">
        <w:t xml:space="preserve">(Buchy </w:t>
      </w:r>
      <w:r w:rsidR="004C76BC">
        <w:rPr>
          <w:i/>
        </w:rPr>
        <w:t>et al</w:t>
      </w:r>
      <w:r w:rsidR="004C76BC">
        <w:t xml:space="preserve">., 2006) </w:t>
      </w:r>
      <w:r w:rsidR="00E3642E">
        <w:rPr>
          <w:color w:val="000000"/>
        </w:rPr>
        <w:t>Young &amp; Andrade, 2009</w:t>
      </w:r>
    </w:p>
    <w:p w14:paraId="349A0557"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Buchy </w:t>
      </w:r>
      <w:r>
        <w:rPr>
          <w:i/>
        </w:rPr>
        <w:t>et al</w:t>
      </w:r>
      <w:r>
        <w:t xml:space="preserve">. (2006); Buchy </w:t>
      </w:r>
      <w:r>
        <w:rPr>
          <w:i/>
        </w:rPr>
        <w:t>et al</w:t>
      </w:r>
      <w:r>
        <w:t>. (2013).</w:t>
      </w:r>
    </w:p>
    <w:p w14:paraId="13CBB113"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Sierra de Buñuelas, near Gomez Farías, State of Coahuila, Mexico.</w:t>
      </w:r>
    </w:p>
    <w:p w14:paraId="0854F0E9"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La Caja Formation.</w:t>
      </w:r>
    </w:p>
    <w:p w14:paraId="3DAAC74D"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Tithonian, Upper Jurassic.</w:t>
      </w:r>
    </w:p>
    <w:p w14:paraId="5BACB8B3" w14:textId="77777777" w:rsidR="004C76BC" w:rsidRDefault="004C76BC" w:rsidP="004C76BC">
      <w:pPr>
        <w:ind w:left="720" w:hanging="720"/>
      </w:pPr>
    </w:p>
    <w:p w14:paraId="0C36A22B" w14:textId="54996EE7" w:rsidR="004C76BC" w:rsidRDefault="00E8075A" w:rsidP="004C76BC">
      <w:pPr>
        <w:ind w:left="720" w:hanging="720"/>
      </w:pPr>
      <w:r>
        <w:rPr>
          <w:color w:val="000000"/>
        </w:rPr>
        <w:t>(105</w:t>
      </w:r>
      <w:r w:rsidR="004C76BC">
        <w:rPr>
          <w:color w:val="000000"/>
        </w:rPr>
        <w:t xml:space="preserve">) </w:t>
      </w:r>
      <w:r w:rsidR="004C76BC">
        <w:rPr>
          <w:i/>
          <w:color w:val="000000"/>
        </w:rPr>
        <w:t xml:space="preserve">Cricosaurus schroederi </w:t>
      </w:r>
      <w:r w:rsidR="004C76BC">
        <w:rPr>
          <w:color w:val="000000"/>
        </w:rPr>
        <w:t>(Kuhn, 1936)</w:t>
      </w:r>
      <w:r w:rsidR="00E3642E">
        <w:rPr>
          <w:color w:val="000000"/>
        </w:rPr>
        <w:t xml:space="preserve"> Young &amp; Andrade, 2009</w:t>
      </w:r>
    </w:p>
    <w:p w14:paraId="26F7F7C1"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Karl </w:t>
      </w:r>
      <w:r>
        <w:rPr>
          <w:i/>
        </w:rPr>
        <w:t>et al</w:t>
      </w:r>
      <w:r>
        <w:t>. (2006b); photographs of the holotype provided by Nils Knötschke.</w:t>
      </w:r>
    </w:p>
    <w:p w14:paraId="11E8806E"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Sachsenhagen, Lower Saxony, Germany.</w:t>
      </w:r>
    </w:p>
    <w:p w14:paraId="1F93C338"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w:t>
      </w:r>
      <w:r>
        <w:rPr>
          <w:i/>
        </w:rPr>
        <w:t>Platylenticeras</w:t>
      </w:r>
      <w:r>
        <w:t xml:space="preserve"> beds’.</w:t>
      </w:r>
    </w:p>
    <w:p w14:paraId="02B50B39" w14:textId="77777777" w:rsidR="004C76BC" w:rsidRDefault="004C76BC" w:rsidP="004C76BC">
      <w:pPr>
        <w:autoSpaceDE w:val="0"/>
        <w:autoSpaceDN w:val="0"/>
        <w:adjustRightInd w:val="0"/>
        <w:ind w:left="357"/>
        <w:rPr>
          <w:i/>
          <w:iCs/>
          <w:color w:val="000000"/>
        </w:rPr>
      </w:pPr>
      <w:r>
        <w:rPr>
          <w:smallCaps/>
          <w:color w:val="000000"/>
        </w:rPr>
        <w:t>Age</w:t>
      </w:r>
      <w:r>
        <w:rPr>
          <w:color w:val="000000"/>
        </w:rPr>
        <w:t>: l</w:t>
      </w:r>
      <w:r>
        <w:t>ower Valanginian, Lower Cretaceous.</w:t>
      </w:r>
    </w:p>
    <w:p w14:paraId="767C2EF2" w14:textId="77777777" w:rsidR="004C76BC" w:rsidRDefault="004C76BC" w:rsidP="004C76BC">
      <w:pPr>
        <w:ind w:left="720" w:hanging="720"/>
        <w:rPr>
          <w:color w:val="000000"/>
        </w:rPr>
      </w:pPr>
    </w:p>
    <w:p w14:paraId="1521DE53" w14:textId="217A1838" w:rsidR="004C76BC" w:rsidRDefault="00E8075A" w:rsidP="004C76BC">
      <w:pPr>
        <w:ind w:left="720" w:hanging="720"/>
      </w:pPr>
      <w:r>
        <w:rPr>
          <w:color w:val="000000"/>
        </w:rPr>
        <w:t>(106</w:t>
      </w:r>
      <w:r w:rsidR="004C76BC">
        <w:rPr>
          <w:color w:val="000000"/>
        </w:rPr>
        <w:t xml:space="preserve">) </w:t>
      </w:r>
      <w:r w:rsidR="004C76BC">
        <w:rPr>
          <w:i/>
          <w:color w:val="000000"/>
        </w:rPr>
        <w:t xml:space="preserve">Cricosaurus suevicus </w:t>
      </w:r>
      <w:r w:rsidR="004C76BC">
        <w:rPr>
          <w:color w:val="000000"/>
        </w:rPr>
        <w:t>(</w:t>
      </w:r>
      <w:r w:rsidR="004C76BC">
        <w:t>Fraas, 1901)</w:t>
      </w:r>
      <w:r w:rsidR="00E3642E">
        <w:t xml:space="preserve"> </w:t>
      </w:r>
      <w:r w:rsidR="00E3642E">
        <w:rPr>
          <w:color w:val="000000"/>
        </w:rPr>
        <w:t>Young &amp; Andrade, 2009</w:t>
      </w:r>
    </w:p>
    <w:p w14:paraId="4F5AC9A1"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SMNS 9808 (lectotype), </w:t>
      </w:r>
      <w:r>
        <w:t>SMNS 90513</w:t>
      </w:r>
      <w:r>
        <w:rPr>
          <w:color w:val="000000"/>
        </w:rPr>
        <w:t>; Fraas (1901, 1902).</w:t>
      </w:r>
    </w:p>
    <w:p w14:paraId="68F5F728"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Nusplingen, Zollernalbkreis, Baden-Württemberg, Germany.</w:t>
      </w:r>
    </w:p>
    <w:p w14:paraId="3F17B949" w14:textId="77777777" w:rsidR="004C76BC" w:rsidRDefault="004C76BC" w:rsidP="004C76BC">
      <w:pPr>
        <w:autoSpaceDE w:val="0"/>
        <w:autoSpaceDN w:val="0"/>
        <w:adjustRightInd w:val="0"/>
        <w:ind w:left="357"/>
        <w:rPr>
          <w:color w:val="000000"/>
        </w:rPr>
      </w:pPr>
      <w:r>
        <w:rPr>
          <w:smallCaps/>
          <w:color w:val="000000"/>
        </w:rPr>
        <w:t>Formation</w:t>
      </w:r>
      <w:r>
        <w:rPr>
          <w:color w:val="000000"/>
        </w:rPr>
        <w:t>: Nusplingen Plattenkalk.</w:t>
      </w:r>
    </w:p>
    <w:p w14:paraId="0C2BF3C0"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color w:val="000000"/>
        </w:rPr>
        <w:t>beckeri</w:t>
      </w:r>
      <w:r>
        <w:rPr>
          <w:color w:val="000000"/>
        </w:rPr>
        <w:t xml:space="preserve"> Tethys ammonite Zone (= Malm Zeta 1), upper Kimmeridgian, Upper Jurassic.</w:t>
      </w:r>
    </w:p>
    <w:p w14:paraId="0D32B225" w14:textId="77777777" w:rsidR="004C76BC" w:rsidRDefault="004C76BC" w:rsidP="004C76BC">
      <w:pPr>
        <w:ind w:left="720" w:hanging="720"/>
        <w:rPr>
          <w:i/>
          <w:color w:val="000000"/>
        </w:rPr>
      </w:pPr>
    </w:p>
    <w:p w14:paraId="6CE8DB0E" w14:textId="76C291CC" w:rsidR="004C76BC" w:rsidRDefault="00E8075A" w:rsidP="004C76BC">
      <w:pPr>
        <w:ind w:left="720" w:hanging="720"/>
      </w:pPr>
      <w:r>
        <w:rPr>
          <w:color w:val="000000"/>
        </w:rPr>
        <w:t>(107</w:t>
      </w:r>
      <w:r w:rsidR="004C76BC">
        <w:rPr>
          <w:color w:val="000000"/>
        </w:rPr>
        <w:t xml:space="preserve">) </w:t>
      </w:r>
      <w:r w:rsidR="004C76BC">
        <w:rPr>
          <w:i/>
          <w:color w:val="000000"/>
        </w:rPr>
        <w:t xml:space="preserve">Cricosaurus </w:t>
      </w:r>
      <w:r w:rsidR="004C76BC">
        <w:rPr>
          <w:color w:val="000000"/>
        </w:rPr>
        <w:t>sp. (Cuba)</w:t>
      </w:r>
    </w:p>
    <w:p w14:paraId="3C2888F8"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Gasparini &amp; Iturralde-Vinent (2001).</w:t>
      </w:r>
    </w:p>
    <w:p w14:paraId="7A1B66AF"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Viñales Valley, western Cuba.</w:t>
      </w:r>
    </w:p>
    <w:p w14:paraId="083F4A8D"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Jagua Vieja Member, Jagua Vieja Formation.</w:t>
      </w:r>
    </w:p>
    <w:p w14:paraId="7F1BCA2D"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t>middle or upper Oxfordian, Upper Jurassic.</w:t>
      </w:r>
    </w:p>
    <w:p w14:paraId="68282113" w14:textId="77777777" w:rsidR="004C76BC" w:rsidRDefault="004C76BC" w:rsidP="004C76BC">
      <w:pPr>
        <w:ind w:left="720" w:hanging="720"/>
        <w:rPr>
          <w:color w:val="000000"/>
        </w:rPr>
      </w:pPr>
    </w:p>
    <w:p w14:paraId="6689B223" w14:textId="2EAD7F37" w:rsidR="004C76BC" w:rsidRDefault="00E8075A" w:rsidP="004C76BC">
      <w:pPr>
        <w:ind w:left="720" w:hanging="720"/>
      </w:pPr>
      <w:r>
        <w:rPr>
          <w:color w:val="000000"/>
        </w:rPr>
        <w:t>(108</w:t>
      </w:r>
      <w:r w:rsidR="004C76BC">
        <w:rPr>
          <w:color w:val="000000"/>
        </w:rPr>
        <w:t xml:space="preserve">) </w:t>
      </w:r>
      <w:r w:rsidR="004C76BC">
        <w:rPr>
          <w:i/>
          <w:color w:val="000000"/>
        </w:rPr>
        <w:t xml:space="preserve">Cricosaurus vignaudi </w:t>
      </w:r>
      <w:r w:rsidR="004C76BC">
        <w:rPr>
          <w:color w:val="000000"/>
        </w:rPr>
        <w:t>(</w:t>
      </w:r>
      <w:r w:rsidR="004C76BC">
        <w:t xml:space="preserve">Frey </w:t>
      </w:r>
      <w:r w:rsidR="004C76BC">
        <w:rPr>
          <w:i/>
        </w:rPr>
        <w:t>et al</w:t>
      </w:r>
      <w:r w:rsidR="004C76BC">
        <w:t>., 2002)</w:t>
      </w:r>
      <w:r w:rsidR="00E3642E">
        <w:t xml:space="preserve"> </w:t>
      </w:r>
      <w:r w:rsidR="00E3642E">
        <w:rPr>
          <w:color w:val="000000"/>
        </w:rPr>
        <w:t>Young &amp; Andrade, 2009</w:t>
      </w:r>
    </w:p>
    <w:p w14:paraId="4B83D98E" w14:textId="77777777" w:rsidR="004C76BC" w:rsidRDefault="004C76BC" w:rsidP="004C76BC">
      <w:pPr>
        <w:ind w:left="357"/>
      </w:pPr>
      <w:r>
        <w:rPr>
          <w:smallCaps/>
          <w:color w:val="000000"/>
        </w:rPr>
        <w:t>Data from</w:t>
      </w:r>
      <w:r>
        <w:rPr>
          <w:color w:val="000000"/>
        </w:rPr>
        <w:t>:</w:t>
      </w:r>
      <w:r>
        <w:t xml:space="preserve"> Frey </w:t>
      </w:r>
      <w:r>
        <w:rPr>
          <w:i/>
        </w:rPr>
        <w:t>et al</w:t>
      </w:r>
      <w:r>
        <w:t>. (2002).</w:t>
      </w:r>
    </w:p>
    <w:p w14:paraId="1C3E0B8F"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Mazatepec, State of Puebla, Mexico.</w:t>
      </w:r>
    </w:p>
    <w:p w14:paraId="134E20CD"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La Pimienta Formation.</w:t>
      </w:r>
    </w:p>
    <w:p w14:paraId="374D26A0" w14:textId="77777777" w:rsidR="004C76BC" w:rsidRDefault="004C76BC" w:rsidP="004C76BC">
      <w:pPr>
        <w:autoSpaceDE w:val="0"/>
        <w:autoSpaceDN w:val="0"/>
        <w:adjustRightInd w:val="0"/>
        <w:ind w:left="357"/>
        <w:rPr>
          <w:i/>
          <w:iCs/>
          <w:color w:val="000000"/>
        </w:rPr>
      </w:pPr>
      <w:r>
        <w:rPr>
          <w:smallCaps/>
          <w:color w:val="000000"/>
        </w:rPr>
        <w:t>Age</w:t>
      </w:r>
      <w:r>
        <w:rPr>
          <w:color w:val="000000"/>
        </w:rPr>
        <w:t>: ‘m</w:t>
      </w:r>
      <w:r>
        <w:t>iddle’ Tithonian, Upper Jurassic.</w:t>
      </w:r>
    </w:p>
    <w:p w14:paraId="25CF8CE9" w14:textId="77777777" w:rsidR="004C76BC" w:rsidRDefault="004C76BC" w:rsidP="004C76BC">
      <w:pPr>
        <w:ind w:left="720" w:hanging="720"/>
        <w:rPr>
          <w:i/>
          <w:color w:val="000000"/>
        </w:rPr>
      </w:pPr>
    </w:p>
    <w:p w14:paraId="265D96BF" w14:textId="3C81A489" w:rsidR="004C76BC" w:rsidRDefault="00E8075A" w:rsidP="004C76BC">
      <w:pPr>
        <w:ind w:left="720" w:hanging="720"/>
      </w:pPr>
      <w:r>
        <w:rPr>
          <w:color w:val="000000"/>
        </w:rPr>
        <w:t>(109</w:t>
      </w:r>
      <w:r w:rsidR="004C76BC">
        <w:rPr>
          <w:color w:val="000000"/>
        </w:rPr>
        <w:t xml:space="preserve">) </w:t>
      </w:r>
      <w:r w:rsidR="004C76BC">
        <w:rPr>
          <w:i/>
          <w:color w:val="000000"/>
        </w:rPr>
        <w:t xml:space="preserve">Gracilineustes acutus </w:t>
      </w:r>
      <w:r w:rsidR="004C76BC">
        <w:rPr>
          <w:color w:val="000000"/>
        </w:rPr>
        <w:t>(</w:t>
      </w:r>
      <w:r w:rsidR="004C76BC">
        <w:t>Lennier, 1887)</w:t>
      </w:r>
      <w:r w:rsidR="00E3642E">
        <w:t xml:space="preserve"> Young </w:t>
      </w:r>
      <w:r w:rsidR="00E3642E" w:rsidRPr="00E3642E">
        <w:rPr>
          <w:i/>
        </w:rPr>
        <w:t>et al</w:t>
      </w:r>
      <w:r w:rsidR="00E3642E">
        <w:t>., 2010</w:t>
      </w:r>
    </w:p>
    <w:p w14:paraId="6F6CD787"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Lennier (1887).</w:t>
      </w:r>
    </w:p>
    <w:p w14:paraId="3D955473"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 xml:space="preserve">Cap de la Hève, </w:t>
      </w:r>
      <w:r>
        <w:rPr>
          <w:rStyle w:val="Emphasis"/>
        </w:rPr>
        <w:t xml:space="preserve">Département du </w:t>
      </w:r>
      <w:r>
        <w:rPr>
          <w:bCs/>
        </w:rPr>
        <w:t>Seine-Maritime</w:t>
      </w:r>
      <w:r>
        <w:t>, Haute-Normandie, France.</w:t>
      </w:r>
    </w:p>
    <w:p w14:paraId="24D583BD"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Marnes de Bléville Formation.</w:t>
      </w:r>
    </w:p>
    <w:p w14:paraId="2E2BB9D6" w14:textId="77777777" w:rsidR="004C76BC" w:rsidRDefault="004C76BC" w:rsidP="004C76BC">
      <w:pPr>
        <w:autoSpaceDE w:val="0"/>
        <w:autoSpaceDN w:val="0"/>
        <w:adjustRightInd w:val="0"/>
        <w:ind w:left="357"/>
        <w:rPr>
          <w:i/>
          <w:iCs/>
          <w:color w:val="000000"/>
        </w:rPr>
      </w:pPr>
      <w:r>
        <w:rPr>
          <w:smallCaps/>
          <w:color w:val="000000"/>
        </w:rPr>
        <w:t>Age</w:t>
      </w:r>
      <w:r>
        <w:rPr>
          <w:color w:val="000000"/>
        </w:rPr>
        <w:t>:</w:t>
      </w:r>
      <w:r>
        <w:rPr>
          <w:b/>
          <w:i/>
          <w:iCs/>
        </w:rPr>
        <w:t xml:space="preserve"> </w:t>
      </w:r>
      <w:r>
        <w:rPr>
          <w:rStyle w:val="st"/>
          <w:i/>
        </w:rPr>
        <w:t>Rasenia</w:t>
      </w:r>
      <w:r>
        <w:rPr>
          <w:rStyle w:val="st"/>
          <w:i/>
          <w:sz w:val="20"/>
          <w:szCs w:val="20"/>
        </w:rPr>
        <w:t xml:space="preserve"> </w:t>
      </w:r>
      <w:r>
        <w:rPr>
          <w:i/>
          <w:iCs/>
        </w:rPr>
        <w:t xml:space="preserve">cymodoce </w:t>
      </w:r>
      <w:r>
        <w:rPr>
          <w:iCs/>
        </w:rPr>
        <w:t xml:space="preserve">Sub-Boreal </w:t>
      </w:r>
      <w:r>
        <w:t>ammonite Zone,</w:t>
      </w:r>
      <w:r>
        <w:rPr>
          <w:color w:val="000000"/>
        </w:rPr>
        <w:t xml:space="preserve"> lower Kimmeridgian, Upper Jurassic.</w:t>
      </w:r>
    </w:p>
    <w:p w14:paraId="5E8507DA" w14:textId="77777777" w:rsidR="004C76BC" w:rsidRDefault="004C76BC" w:rsidP="004C76BC">
      <w:pPr>
        <w:ind w:left="720" w:hanging="720"/>
        <w:rPr>
          <w:i/>
          <w:color w:val="000000"/>
        </w:rPr>
      </w:pPr>
    </w:p>
    <w:p w14:paraId="308B307B" w14:textId="7F151878" w:rsidR="004C76BC" w:rsidRDefault="00E8075A" w:rsidP="004C76BC">
      <w:pPr>
        <w:ind w:left="720" w:hanging="720"/>
      </w:pPr>
      <w:r>
        <w:rPr>
          <w:color w:val="000000"/>
        </w:rPr>
        <w:t>(110</w:t>
      </w:r>
      <w:r w:rsidR="004C76BC">
        <w:rPr>
          <w:color w:val="000000"/>
        </w:rPr>
        <w:t xml:space="preserve">) </w:t>
      </w:r>
      <w:r w:rsidR="004C76BC">
        <w:rPr>
          <w:i/>
          <w:color w:val="000000"/>
        </w:rPr>
        <w:t xml:space="preserve">Gracilineustes leedsi </w:t>
      </w:r>
      <w:r w:rsidR="004C76BC">
        <w:t>(Andrews, 1913)</w:t>
      </w:r>
      <w:r w:rsidR="00E3642E">
        <w:t xml:space="preserve"> Young </w:t>
      </w:r>
      <w:r w:rsidR="00E3642E" w:rsidRPr="00E3642E">
        <w:rPr>
          <w:i/>
        </w:rPr>
        <w:t>et al</w:t>
      </w:r>
      <w:r w:rsidR="00E3642E">
        <w:t>., 2010</w:t>
      </w:r>
    </w:p>
    <w:p w14:paraId="66CFA2F1" w14:textId="77777777" w:rsidR="004C76BC" w:rsidRDefault="004C76BC" w:rsidP="004C76BC">
      <w:pPr>
        <w:ind w:left="357"/>
      </w:pPr>
      <w:r>
        <w:rPr>
          <w:smallCaps/>
          <w:color w:val="000000"/>
        </w:rPr>
        <w:t>Data from</w:t>
      </w:r>
      <w:r>
        <w:rPr>
          <w:color w:val="000000"/>
        </w:rPr>
        <w:t>:</w:t>
      </w:r>
      <w:r>
        <w:t xml:space="preserve"> CAMSM J64297, GLAHM V973, </w:t>
      </w:r>
      <w:bookmarkStart w:id="40" w:name="_Hlk479275994"/>
      <w:r>
        <w:t xml:space="preserve">GLAHM </w:t>
      </w:r>
      <w:bookmarkEnd w:id="40"/>
      <w:r>
        <w:t>V974, GLAHM V975, PETMG R24, PETMG R72, NHMUK PV R 2031, NHMUK PV R 2042, NHMUK PV R 3014, NHMUK PV R 3015,</w:t>
      </w:r>
      <w:r>
        <w:rPr>
          <w:b/>
        </w:rPr>
        <w:t xml:space="preserve"> </w:t>
      </w:r>
      <w:r>
        <w:t>NHMUK PV R 3540 (holotype), NHMUK PV R 3899, NHMUK PV R 5793.</w:t>
      </w:r>
    </w:p>
    <w:p w14:paraId="46AAE399"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24EA3B93"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48FC4BD2" w14:textId="77777777" w:rsidR="004C76BC" w:rsidRDefault="004C76BC" w:rsidP="004C76BC">
      <w:pPr>
        <w:autoSpaceDE w:val="0"/>
        <w:autoSpaceDN w:val="0"/>
        <w:adjustRightInd w:val="0"/>
        <w:ind w:left="357"/>
        <w:rPr>
          <w:color w:val="000000"/>
        </w:rPr>
      </w:pPr>
      <w:r>
        <w:rPr>
          <w:smallCaps/>
          <w:color w:val="000000"/>
        </w:rPr>
        <w:t>Age</w:t>
      </w:r>
      <w:r>
        <w:rPr>
          <w:color w:val="000000"/>
        </w:rPr>
        <w:t>: middle Callovian, Middle Jurassic.</w:t>
      </w:r>
    </w:p>
    <w:p w14:paraId="11F593D4" w14:textId="77777777" w:rsidR="004C76BC" w:rsidRDefault="004C76BC" w:rsidP="004C76BC">
      <w:pPr>
        <w:autoSpaceDE w:val="0"/>
        <w:autoSpaceDN w:val="0"/>
        <w:adjustRightInd w:val="0"/>
        <w:ind w:left="357"/>
        <w:rPr>
          <w:i/>
          <w:iCs/>
          <w:color w:val="000000"/>
        </w:rPr>
      </w:pPr>
    </w:p>
    <w:p w14:paraId="1534EC02" w14:textId="4FA0F76A" w:rsidR="004C76BC" w:rsidRDefault="00E8075A" w:rsidP="004C76BC">
      <w:pPr>
        <w:ind w:left="720" w:hanging="720"/>
      </w:pPr>
      <w:r>
        <w:rPr>
          <w:color w:val="000000"/>
        </w:rPr>
        <w:t>(111</w:t>
      </w:r>
      <w:r w:rsidR="004C76BC">
        <w:rPr>
          <w:color w:val="000000"/>
        </w:rPr>
        <w:t xml:space="preserve">) </w:t>
      </w:r>
      <w:r w:rsidR="004C76BC">
        <w:rPr>
          <w:i/>
          <w:color w:val="000000"/>
        </w:rPr>
        <w:t>Maledictosuchus riclaensis</w:t>
      </w:r>
      <w:r w:rsidR="004C76BC">
        <w:t xml:space="preserve"> Parrilla-Bel </w:t>
      </w:r>
      <w:r w:rsidR="004C76BC">
        <w:rPr>
          <w:i/>
        </w:rPr>
        <w:t>et al</w:t>
      </w:r>
      <w:r w:rsidR="004C76BC">
        <w:t>., 2013</w:t>
      </w:r>
    </w:p>
    <w:p w14:paraId="2A4EC0D9" w14:textId="77777777" w:rsidR="004C76BC" w:rsidRDefault="004C76BC" w:rsidP="004C76BC">
      <w:pPr>
        <w:autoSpaceDE w:val="0"/>
        <w:autoSpaceDN w:val="0"/>
        <w:adjustRightInd w:val="0"/>
        <w:ind w:left="357"/>
        <w:rPr>
          <w:smallCaps/>
          <w:color w:val="000000"/>
        </w:rPr>
      </w:pPr>
      <w:r>
        <w:rPr>
          <w:smallCaps/>
          <w:color w:val="000000"/>
        </w:rPr>
        <w:lastRenderedPageBreak/>
        <w:t>Data from</w:t>
      </w:r>
      <w:r>
        <w:rPr>
          <w:color w:val="000000"/>
        </w:rPr>
        <w:t>:</w:t>
      </w:r>
      <w:r>
        <w:t xml:space="preserve"> Parrilla-Bel </w:t>
      </w:r>
      <w:r>
        <w:rPr>
          <w:i/>
        </w:rPr>
        <w:t>et al</w:t>
      </w:r>
      <w:r>
        <w:t>. (2013).</w:t>
      </w:r>
    </w:p>
    <w:p w14:paraId="2A49208C" w14:textId="77777777" w:rsidR="004C76BC" w:rsidRDefault="004C76BC" w:rsidP="004C76BC">
      <w:pPr>
        <w:autoSpaceDE w:val="0"/>
        <w:autoSpaceDN w:val="0"/>
        <w:adjustRightInd w:val="0"/>
        <w:ind w:left="357"/>
        <w:rPr>
          <w:rFonts w:eastAsiaTheme="minorHAnsi"/>
          <w:lang w:eastAsia="en-US"/>
        </w:rPr>
      </w:pPr>
      <w:r>
        <w:rPr>
          <w:smallCaps/>
          <w:color w:val="000000"/>
        </w:rPr>
        <w:t>Locality</w:t>
      </w:r>
      <w:r>
        <w:rPr>
          <w:color w:val="000000"/>
        </w:rPr>
        <w:t xml:space="preserve">: </w:t>
      </w:r>
      <w:r>
        <w:rPr>
          <w:rFonts w:eastAsiaTheme="minorHAnsi"/>
          <w:lang w:eastAsia="en-US"/>
        </w:rPr>
        <w:t xml:space="preserve">‘‘Barranco de la Paridera’’, Ricla, Zaragoza, Spain. </w:t>
      </w:r>
    </w:p>
    <w:p w14:paraId="52725AEC" w14:textId="77777777" w:rsidR="004C76BC" w:rsidRDefault="004C76BC" w:rsidP="004C76BC">
      <w:pPr>
        <w:autoSpaceDE w:val="0"/>
        <w:autoSpaceDN w:val="0"/>
        <w:adjustRightInd w:val="0"/>
        <w:ind w:left="357"/>
        <w:rPr>
          <w:rFonts w:eastAsiaTheme="minorHAnsi"/>
          <w:lang w:eastAsia="en-US"/>
        </w:rPr>
      </w:pPr>
      <w:r>
        <w:rPr>
          <w:smallCaps/>
          <w:color w:val="000000"/>
        </w:rPr>
        <w:t>Formation</w:t>
      </w:r>
      <w:r>
        <w:rPr>
          <w:color w:val="000000"/>
        </w:rPr>
        <w:t>: Á</w:t>
      </w:r>
      <w:r>
        <w:rPr>
          <w:rFonts w:eastAsiaTheme="minorHAnsi"/>
          <w:lang w:eastAsia="en-US"/>
        </w:rPr>
        <w:t xml:space="preserve">greda Formation. </w:t>
      </w:r>
    </w:p>
    <w:p w14:paraId="0816F531" w14:textId="77777777" w:rsidR="004C76BC" w:rsidRDefault="004C76BC" w:rsidP="004C76BC">
      <w:pPr>
        <w:autoSpaceDE w:val="0"/>
        <w:autoSpaceDN w:val="0"/>
        <w:adjustRightInd w:val="0"/>
        <w:ind w:left="357"/>
        <w:rPr>
          <w:rFonts w:eastAsiaTheme="minorHAnsi"/>
          <w:lang w:eastAsia="en-US"/>
        </w:rPr>
      </w:pPr>
      <w:r>
        <w:rPr>
          <w:smallCaps/>
          <w:color w:val="000000"/>
        </w:rPr>
        <w:t>Age</w:t>
      </w:r>
      <w:r>
        <w:rPr>
          <w:color w:val="000000"/>
        </w:rPr>
        <w:t xml:space="preserve">: </w:t>
      </w:r>
      <w:r>
        <w:rPr>
          <w:rFonts w:eastAsiaTheme="minorHAnsi"/>
          <w:i/>
          <w:lang w:eastAsia="en-US"/>
        </w:rPr>
        <w:t>Erymnoceras coronatum</w:t>
      </w:r>
      <w:r>
        <w:rPr>
          <w:rFonts w:eastAsiaTheme="minorHAnsi"/>
          <w:lang w:eastAsia="en-US"/>
        </w:rPr>
        <w:t xml:space="preserve"> Sub-Mediterranean ammonite Zone, Middle Callovian, Middle Jurassic.</w:t>
      </w:r>
    </w:p>
    <w:p w14:paraId="73C90A07" w14:textId="77777777" w:rsidR="004C76BC" w:rsidRDefault="004C76BC" w:rsidP="004C76BC">
      <w:pPr>
        <w:ind w:left="720" w:hanging="720"/>
      </w:pPr>
    </w:p>
    <w:p w14:paraId="02929559" w14:textId="2904B33B" w:rsidR="004C76BC" w:rsidRDefault="00E8075A" w:rsidP="004C76BC">
      <w:pPr>
        <w:ind w:left="720" w:hanging="720"/>
        <w:rPr>
          <w:color w:val="000000"/>
        </w:rPr>
      </w:pPr>
      <w:r>
        <w:rPr>
          <w:color w:val="000000"/>
        </w:rPr>
        <w:t>(112</w:t>
      </w:r>
      <w:r w:rsidR="004C76BC">
        <w:rPr>
          <w:color w:val="000000"/>
        </w:rPr>
        <w:t>) Metriorhynchinae indeterminate (Cuba) [fragmentary taxon]</w:t>
      </w:r>
    </w:p>
    <w:p w14:paraId="4C7832E6"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bookmarkStart w:id="41" w:name="_Hlk479276006"/>
      <w:r>
        <w:rPr>
          <w:color w:val="000000"/>
        </w:rPr>
        <w:t xml:space="preserve">USNM </w:t>
      </w:r>
      <w:bookmarkEnd w:id="41"/>
      <w:r>
        <w:rPr>
          <w:color w:val="000000"/>
        </w:rPr>
        <w:t>419640.</w:t>
      </w:r>
    </w:p>
    <w:p w14:paraId="3A458AE8"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Viñales Valley, western Cuba.</w:t>
      </w:r>
    </w:p>
    <w:p w14:paraId="18EEBF99"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Jagua Vieja Member, Jagua Vieja Formation.</w:t>
      </w:r>
    </w:p>
    <w:p w14:paraId="1A3917D7"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t>middle or upper Oxfordian, Upper Jurassic.</w:t>
      </w:r>
    </w:p>
    <w:p w14:paraId="1B5462FB" w14:textId="77777777" w:rsidR="004C76BC" w:rsidRDefault="004C76BC" w:rsidP="004C76BC">
      <w:pPr>
        <w:ind w:left="720" w:hanging="720"/>
        <w:rPr>
          <w:color w:val="000000"/>
        </w:rPr>
      </w:pPr>
    </w:p>
    <w:p w14:paraId="0F6602CA" w14:textId="39E6EB1D" w:rsidR="004C76BC" w:rsidRDefault="00E8075A" w:rsidP="004C76BC">
      <w:pPr>
        <w:ind w:left="720" w:hanging="720"/>
      </w:pPr>
      <w:r>
        <w:rPr>
          <w:color w:val="000000"/>
        </w:rPr>
        <w:t>(113</w:t>
      </w:r>
      <w:r w:rsidR="004C76BC">
        <w:rPr>
          <w:color w:val="000000"/>
        </w:rPr>
        <w:t xml:space="preserve">) </w:t>
      </w:r>
      <w:r w:rsidR="004C76BC">
        <w:rPr>
          <w:i/>
          <w:color w:val="000000"/>
        </w:rPr>
        <w:t>Metriorhynchus geoffroyii</w:t>
      </w:r>
      <w:r w:rsidR="004C76BC">
        <w:rPr>
          <w:color w:val="000000"/>
        </w:rPr>
        <w:t xml:space="preserve"> </w:t>
      </w:r>
      <w:r w:rsidR="004C76BC">
        <w:t xml:space="preserve">von Meyer, 1832 </w:t>
      </w:r>
      <w:r w:rsidR="004C76BC">
        <w:rPr>
          <w:color w:val="000000"/>
        </w:rPr>
        <w:t>[fragmentary taxon]</w:t>
      </w:r>
    </w:p>
    <w:p w14:paraId="5785BD6C"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bCs/>
        </w:rPr>
        <w:t xml:space="preserve">MHNG </w:t>
      </w:r>
      <w:r>
        <w:t>V-2232 (holotype).</w:t>
      </w:r>
    </w:p>
    <w:p w14:paraId="40C0C15C"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 xml:space="preserve">Le Havre, Département de Seine-Maritime, </w:t>
      </w:r>
      <w:r>
        <w:rPr>
          <w:iCs/>
          <w:lang w:val="fr-FR"/>
        </w:rPr>
        <w:t>Haute-Normandie</w:t>
      </w:r>
      <w:r>
        <w:t>, France.</w:t>
      </w:r>
    </w:p>
    <w:p w14:paraId="3DC6BA31"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not given. </w:t>
      </w:r>
    </w:p>
    <w:p w14:paraId="0BE1C67E" w14:textId="77777777" w:rsidR="004C76BC" w:rsidRDefault="004C76BC" w:rsidP="004C76BC">
      <w:pPr>
        <w:autoSpaceDE w:val="0"/>
        <w:autoSpaceDN w:val="0"/>
        <w:adjustRightInd w:val="0"/>
        <w:ind w:left="357"/>
        <w:rPr>
          <w:i/>
          <w:iCs/>
          <w:color w:val="000000"/>
        </w:rPr>
      </w:pPr>
      <w:r>
        <w:rPr>
          <w:smallCaps/>
          <w:color w:val="000000"/>
        </w:rPr>
        <w:t>Age</w:t>
      </w:r>
      <w:r>
        <w:rPr>
          <w:color w:val="000000"/>
        </w:rPr>
        <w:t>: Kimmeridgian, Upper Jurassic.</w:t>
      </w:r>
    </w:p>
    <w:p w14:paraId="6F887755" w14:textId="77777777" w:rsidR="004C76BC" w:rsidRDefault="004C76BC" w:rsidP="004C76BC">
      <w:pPr>
        <w:ind w:left="720" w:hanging="720"/>
        <w:rPr>
          <w:color w:val="000000"/>
        </w:rPr>
      </w:pPr>
    </w:p>
    <w:p w14:paraId="6156F47C" w14:textId="50C162D6" w:rsidR="004C76BC" w:rsidRDefault="00E8075A" w:rsidP="004C76BC">
      <w:pPr>
        <w:ind w:left="720" w:hanging="720"/>
      </w:pPr>
      <w:r>
        <w:rPr>
          <w:color w:val="000000"/>
        </w:rPr>
        <w:t>(114</w:t>
      </w:r>
      <w:r w:rsidR="004C76BC">
        <w:rPr>
          <w:color w:val="000000"/>
        </w:rPr>
        <w:t>) '</w:t>
      </w:r>
      <w:r w:rsidR="004C76BC">
        <w:rPr>
          <w:i/>
          <w:color w:val="000000"/>
        </w:rPr>
        <w:t>Metriorhynchus</w:t>
      </w:r>
      <w:r w:rsidR="004C76BC">
        <w:rPr>
          <w:color w:val="000000"/>
        </w:rPr>
        <w:t>'</w:t>
      </w:r>
      <w:r w:rsidR="004C76BC">
        <w:rPr>
          <w:i/>
          <w:color w:val="000000"/>
        </w:rPr>
        <w:t xml:space="preserve"> palpebrosus</w:t>
      </w:r>
      <w:r w:rsidR="004C76BC">
        <w:t xml:space="preserve"> (Phillips, 1871)</w:t>
      </w:r>
    </w:p>
    <w:p w14:paraId="5FEE1595"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OUMNH J.29823 (holotype).</w:t>
      </w:r>
    </w:p>
    <w:p w14:paraId="4BBEDB7B" w14:textId="77777777" w:rsidR="004C76BC" w:rsidRDefault="004C76BC" w:rsidP="004C76BC">
      <w:pPr>
        <w:autoSpaceDE w:val="0"/>
        <w:autoSpaceDN w:val="0"/>
        <w:adjustRightInd w:val="0"/>
        <w:ind w:left="357"/>
        <w:rPr>
          <w:color w:val="000000"/>
        </w:rPr>
      </w:pPr>
      <w:r>
        <w:rPr>
          <w:smallCaps/>
          <w:color w:val="000000"/>
        </w:rPr>
        <w:t>Locality</w:t>
      </w:r>
      <w:r>
        <w:rPr>
          <w:color w:val="000000"/>
        </w:rPr>
        <w:t>: Shotover Hill, Oxfordshire, UK.</w:t>
      </w:r>
    </w:p>
    <w:p w14:paraId="73F6DC2A" w14:textId="77777777" w:rsidR="004C76BC" w:rsidRDefault="004C76BC" w:rsidP="004C76BC">
      <w:pPr>
        <w:autoSpaceDE w:val="0"/>
        <w:autoSpaceDN w:val="0"/>
        <w:adjustRightInd w:val="0"/>
        <w:ind w:left="357"/>
        <w:rPr>
          <w:color w:val="000000"/>
        </w:rPr>
      </w:pPr>
      <w:r>
        <w:rPr>
          <w:smallCaps/>
          <w:color w:val="000000"/>
        </w:rPr>
        <w:t>Formation</w:t>
      </w:r>
      <w:r>
        <w:rPr>
          <w:color w:val="000000"/>
        </w:rPr>
        <w:t>: Kimmeridge Clay Formation.</w:t>
      </w:r>
    </w:p>
    <w:p w14:paraId="60693955" w14:textId="77777777" w:rsidR="004C76BC" w:rsidRDefault="004C76BC" w:rsidP="004C76BC">
      <w:pPr>
        <w:autoSpaceDE w:val="0"/>
        <w:autoSpaceDN w:val="0"/>
        <w:adjustRightInd w:val="0"/>
        <w:ind w:left="357"/>
        <w:rPr>
          <w:i/>
          <w:iCs/>
          <w:color w:val="000000"/>
        </w:rPr>
      </w:pPr>
      <w:r>
        <w:rPr>
          <w:smallCaps/>
          <w:color w:val="000000"/>
        </w:rPr>
        <w:t>Age</w:t>
      </w:r>
      <w:r>
        <w:rPr>
          <w:color w:val="000000"/>
        </w:rPr>
        <w:t>: most likely lower Tithonian, Upper Jurassic.</w:t>
      </w:r>
    </w:p>
    <w:p w14:paraId="3FC9584E" w14:textId="77777777" w:rsidR="004C76BC" w:rsidRDefault="004C76BC" w:rsidP="004C76BC">
      <w:pPr>
        <w:ind w:left="720" w:hanging="720"/>
        <w:rPr>
          <w:i/>
          <w:color w:val="000000"/>
        </w:rPr>
      </w:pPr>
    </w:p>
    <w:p w14:paraId="2A4D8DCA" w14:textId="069359AD" w:rsidR="004C76BC" w:rsidRDefault="00E8075A" w:rsidP="004C76BC">
      <w:pPr>
        <w:ind w:left="720" w:hanging="720"/>
      </w:pPr>
      <w:r>
        <w:rPr>
          <w:color w:val="000000"/>
        </w:rPr>
        <w:t>(115</w:t>
      </w:r>
      <w:r w:rsidR="004C76BC">
        <w:rPr>
          <w:color w:val="000000"/>
        </w:rPr>
        <w:t xml:space="preserve">) </w:t>
      </w:r>
      <w:r w:rsidR="004C76BC">
        <w:rPr>
          <w:i/>
          <w:color w:val="000000"/>
        </w:rPr>
        <w:t xml:space="preserve">Metriorhynchus </w:t>
      </w:r>
      <w:r w:rsidR="004C76BC">
        <w:rPr>
          <w:i/>
          <w:iCs/>
          <w:color w:val="000000"/>
        </w:rPr>
        <w:t xml:space="preserve">superciliosus </w:t>
      </w:r>
      <w:r w:rsidR="004C76BC">
        <w:rPr>
          <w:color w:val="000000"/>
        </w:rPr>
        <w:t>(de Blainville, 1853)</w:t>
      </w:r>
    </w:p>
    <w:p w14:paraId="7C4555F8"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AMNH 997, GLAHM V942, GLAHM V963, GLAH V964, GLAHM V965, GLAHM V966, GLAHM V971, GLAHM V982, GLAHM V983, GLAHM V984, GLAHM V985, GLAHM V987, GLAHM V988, GLAHM V989, GLAHM V996, GLAHM V1004, GLAHM V1015, GLAHM V1027, GLAHM V1140, GLAHM V1142, GLAHM V1143, NHMUK PV R 1666, NHMUK PV R 2030, NHMUK PV R 2032, NHMUK PV R 2036, NHMUK PV R 2044, NHMUK PV R 2051, NHMUK PV R 2053, NHMUK PV R 2054, NHMUK PV R 2055, NHMUK PV R 2058, NHMUK PV R 2067, NHMUK PV R 3900, NHMUK PV R 6859, NHMUK PV R 6860, PETMG R10, PETMG R17, PETMG R18, PETMG R20, PETMG R42, </w:t>
      </w:r>
      <w:bookmarkStart w:id="42" w:name="_Hlk479276018"/>
      <w:r>
        <w:t xml:space="preserve">PETMG </w:t>
      </w:r>
      <w:bookmarkEnd w:id="42"/>
      <w:r>
        <w:t xml:space="preserve">R180, RMS M150, SMNS 10115, SMNS 10116, SMNS 81689; </w:t>
      </w:r>
      <w:r>
        <w:rPr>
          <w:color w:val="000000"/>
        </w:rPr>
        <w:t>Andrews (1913).</w:t>
      </w:r>
    </w:p>
    <w:p w14:paraId="0B001843"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outcrops from England and France.</w:t>
      </w:r>
    </w:p>
    <w:p w14:paraId="1DAF7DE9" w14:textId="77777777" w:rsidR="004C76BC" w:rsidRDefault="004C76BC" w:rsidP="004C76BC">
      <w:pPr>
        <w:autoSpaceDE w:val="0"/>
        <w:autoSpaceDN w:val="0"/>
        <w:adjustRightInd w:val="0"/>
        <w:ind w:left="357"/>
        <w:rPr>
          <w:color w:val="000000"/>
        </w:rPr>
      </w:pPr>
      <w:r>
        <w:rPr>
          <w:smallCaps/>
          <w:color w:val="000000"/>
        </w:rPr>
        <w:t>Formations</w:t>
      </w:r>
      <w:r>
        <w:rPr>
          <w:color w:val="000000"/>
        </w:rPr>
        <w:t>: Primarily: Oxford Clay Formation and Marnes de Dives Formation.</w:t>
      </w:r>
    </w:p>
    <w:p w14:paraId="707E16A1"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Callovian to lower Oxfordian, Middle-Upper Jurassic.</w:t>
      </w:r>
    </w:p>
    <w:p w14:paraId="3037072A" w14:textId="77777777" w:rsidR="004C76BC" w:rsidRDefault="004C76BC" w:rsidP="004C76BC">
      <w:pPr>
        <w:ind w:left="720" w:hanging="720"/>
      </w:pPr>
    </w:p>
    <w:p w14:paraId="4A1AA6A8" w14:textId="7FF48DF9" w:rsidR="004C76BC" w:rsidRDefault="00E8075A" w:rsidP="004C76BC">
      <w:pPr>
        <w:ind w:left="720" w:hanging="720"/>
      </w:pPr>
      <w:r>
        <w:rPr>
          <w:color w:val="000000"/>
        </w:rPr>
        <w:t>(116</w:t>
      </w:r>
      <w:r w:rsidR="004C76BC">
        <w:rPr>
          <w:color w:val="000000"/>
        </w:rPr>
        <w:t xml:space="preserve">) </w:t>
      </w:r>
      <w:r w:rsidR="004C76BC">
        <w:rPr>
          <w:i/>
          <w:color w:val="000000"/>
        </w:rPr>
        <w:t xml:space="preserve">Rhacheosaurus gracilis </w:t>
      </w:r>
      <w:r w:rsidR="004C76BC">
        <w:rPr>
          <w:color w:val="000000"/>
        </w:rPr>
        <w:t>von Meyer, 1831</w:t>
      </w:r>
    </w:p>
    <w:p w14:paraId="7B78510C"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AMNH 4804 and NHMUK PV R3961 (plastoholotypes), NHMUK PV R 3948.</w:t>
      </w:r>
    </w:p>
    <w:p w14:paraId="51CA2747"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Daiting (type locality) and</w:t>
      </w:r>
      <w:r>
        <w:rPr>
          <w:smallCaps/>
          <w:color w:val="000000"/>
        </w:rPr>
        <w:t xml:space="preserve"> </w:t>
      </w:r>
      <w:r>
        <w:rPr>
          <w:color w:val="000000"/>
        </w:rPr>
        <w:t>Eichstätt, S Germany.</w:t>
      </w:r>
    </w:p>
    <w:p w14:paraId="5351BA9D" w14:textId="77777777" w:rsidR="004C76BC" w:rsidRDefault="004C76BC" w:rsidP="004C76B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 xml:space="preserve">örnsheim Formation (type locality) and </w:t>
      </w:r>
      <w:r>
        <w:rPr>
          <w:color w:val="000000"/>
        </w:rPr>
        <w:t>Solnhofen Formation.</w:t>
      </w:r>
    </w:p>
    <w:p w14:paraId="0171017D"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6752D3D4" w14:textId="77777777" w:rsidR="004C76BC" w:rsidRDefault="004C76BC" w:rsidP="004C76BC">
      <w:pPr>
        <w:autoSpaceDE w:val="0"/>
        <w:autoSpaceDN w:val="0"/>
        <w:adjustRightInd w:val="0"/>
        <w:ind w:left="720" w:hanging="720"/>
        <w:rPr>
          <w:bCs/>
          <w:color w:val="000000"/>
        </w:rPr>
      </w:pPr>
    </w:p>
    <w:p w14:paraId="6F95476D" w14:textId="77777777" w:rsidR="004C76BC" w:rsidRDefault="004C76BC" w:rsidP="004C76BC">
      <w:pPr>
        <w:ind w:left="360" w:hanging="360"/>
        <w:jc w:val="both"/>
        <w:rPr>
          <w:caps/>
          <w:u w:val="single"/>
        </w:rPr>
      </w:pPr>
      <w:r>
        <w:rPr>
          <w:caps/>
          <w:u w:val="single"/>
        </w:rPr>
        <w:t xml:space="preserve">Thalattosuchia: Metriorhynchidae: Geosaurinae (24 </w:t>
      </w:r>
      <w:r>
        <w:rPr>
          <w:u w:val="single"/>
        </w:rPr>
        <w:t>OTUs</w:t>
      </w:r>
      <w:r>
        <w:rPr>
          <w:caps/>
          <w:u w:val="single"/>
        </w:rPr>
        <w:t>)</w:t>
      </w:r>
    </w:p>
    <w:p w14:paraId="4CE21CFA" w14:textId="54979E36" w:rsidR="004C76BC" w:rsidRDefault="00E8075A" w:rsidP="004C76BC">
      <w:pPr>
        <w:ind w:left="720" w:hanging="720"/>
        <w:jc w:val="both"/>
        <w:rPr>
          <w:color w:val="000000"/>
        </w:rPr>
      </w:pPr>
      <w:r>
        <w:rPr>
          <w:color w:val="000000"/>
        </w:rPr>
        <w:t>(117</w:t>
      </w:r>
      <w:r w:rsidR="004C76BC">
        <w:rPr>
          <w:color w:val="000000"/>
        </w:rPr>
        <w:t xml:space="preserve">) cf. </w:t>
      </w:r>
      <w:r w:rsidR="004C76BC">
        <w:rPr>
          <w:i/>
          <w:color w:val="000000"/>
        </w:rPr>
        <w:t xml:space="preserve">Torvoneustes </w:t>
      </w:r>
      <w:r w:rsidR="004C76BC">
        <w:rPr>
          <w:color w:val="000000"/>
        </w:rPr>
        <w:t>[fragmentary taxon]</w:t>
      </w:r>
    </w:p>
    <w:p w14:paraId="197E90BE"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bookmarkStart w:id="43" w:name="_Hlk479276091"/>
      <w:r>
        <w:t xml:space="preserve">MANCH </w:t>
      </w:r>
      <w:bookmarkEnd w:id="43"/>
      <w:r>
        <w:t>J6459.</w:t>
      </w:r>
    </w:p>
    <w:p w14:paraId="27838E69" w14:textId="77777777" w:rsidR="004C76BC" w:rsidRDefault="004C76BC" w:rsidP="004C76BC">
      <w:pPr>
        <w:autoSpaceDE w:val="0"/>
        <w:autoSpaceDN w:val="0"/>
        <w:adjustRightInd w:val="0"/>
        <w:ind w:left="357"/>
        <w:rPr>
          <w:color w:val="000000"/>
        </w:rPr>
      </w:pPr>
      <w:r>
        <w:rPr>
          <w:smallCaps/>
          <w:color w:val="000000"/>
        </w:rPr>
        <w:t>Locality</w:t>
      </w:r>
      <w:r>
        <w:rPr>
          <w:color w:val="000000"/>
        </w:rPr>
        <w:t>: Headington, Oxfordshire, UK.</w:t>
      </w:r>
    </w:p>
    <w:p w14:paraId="7CFB0D42" w14:textId="77777777" w:rsidR="004C76BC" w:rsidRDefault="004C76BC" w:rsidP="004C76BC">
      <w:pPr>
        <w:autoSpaceDE w:val="0"/>
        <w:autoSpaceDN w:val="0"/>
        <w:adjustRightInd w:val="0"/>
        <w:ind w:left="357"/>
        <w:rPr>
          <w:color w:val="000000"/>
        </w:rPr>
      </w:pPr>
      <w:r>
        <w:rPr>
          <w:smallCaps/>
          <w:color w:val="000000"/>
        </w:rPr>
        <w:lastRenderedPageBreak/>
        <w:t>Formation</w:t>
      </w:r>
      <w:r>
        <w:rPr>
          <w:color w:val="000000"/>
        </w:rPr>
        <w:t>: most likely Beckley Sand Member, Kingston Formation.</w:t>
      </w:r>
    </w:p>
    <w:p w14:paraId="4638A93E" w14:textId="77777777" w:rsidR="004C76BC" w:rsidRDefault="004C76BC" w:rsidP="004C76BC">
      <w:pPr>
        <w:autoSpaceDE w:val="0"/>
        <w:autoSpaceDN w:val="0"/>
        <w:adjustRightInd w:val="0"/>
        <w:ind w:left="357"/>
        <w:rPr>
          <w:i/>
          <w:iCs/>
          <w:color w:val="000000"/>
        </w:rPr>
      </w:pPr>
      <w:r>
        <w:rPr>
          <w:smallCaps/>
          <w:color w:val="000000"/>
        </w:rPr>
        <w:t>Age</w:t>
      </w:r>
      <w:r>
        <w:rPr>
          <w:color w:val="000000"/>
        </w:rPr>
        <w:t>: middle Oxfordian, Upper Jurassic.</w:t>
      </w:r>
    </w:p>
    <w:p w14:paraId="06C18A91" w14:textId="77777777" w:rsidR="004C76BC" w:rsidRDefault="004C76BC" w:rsidP="004C76BC">
      <w:pPr>
        <w:ind w:left="720" w:hanging="720"/>
        <w:jc w:val="both"/>
      </w:pPr>
    </w:p>
    <w:p w14:paraId="49ED8463" w14:textId="3C102EA9" w:rsidR="004C76BC" w:rsidRDefault="00E8075A" w:rsidP="004C76BC">
      <w:pPr>
        <w:ind w:left="720" w:hanging="720"/>
        <w:jc w:val="both"/>
      </w:pPr>
      <w:r>
        <w:t>(118</w:t>
      </w:r>
      <w:r w:rsidR="004C76BC">
        <w:t xml:space="preserve">) </w:t>
      </w:r>
      <w:r w:rsidR="004C76BC">
        <w:rPr>
          <w:i/>
        </w:rPr>
        <w:t>Torvoneustes</w:t>
      </w:r>
      <w:r w:rsidR="004C76BC">
        <w:t xml:space="preserve"> </w:t>
      </w:r>
      <w:r w:rsidR="004C76BC">
        <w:rPr>
          <w:i/>
        </w:rPr>
        <w:t>mexicanus</w:t>
      </w:r>
      <w:r w:rsidR="004C76BC">
        <w:t xml:space="preserve"> (Wieland, 1910) </w:t>
      </w:r>
      <w:r w:rsidR="004C76BC">
        <w:rPr>
          <w:color w:val="000000"/>
        </w:rPr>
        <w:t>[fragmentary taxon]</w:t>
      </w:r>
    </w:p>
    <w:p w14:paraId="37FCAE25"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Barrientos-Lara </w:t>
      </w:r>
      <w:r>
        <w:rPr>
          <w:i/>
        </w:rPr>
        <w:t>et al</w:t>
      </w:r>
      <w:r>
        <w:t>. (2016).</w:t>
      </w:r>
    </w:p>
    <w:p w14:paraId="73B195A8" w14:textId="77777777" w:rsidR="004C76BC" w:rsidRDefault="004C76BC" w:rsidP="004C76BC">
      <w:pPr>
        <w:autoSpaceDE w:val="0"/>
        <w:autoSpaceDN w:val="0"/>
        <w:adjustRightInd w:val="0"/>
        <w:ind w:left="357"/>
        <w:rPr>
          <w:color w:val="000000"/>
        </w:rPr>
      </w:pPr>
      <w:r>
        <w:rPr>
          <w:smallCaps/>
          <w:color w:val="000000"/>
        </w:rPr>
        <w:t>Locality</w:t>
      </w:r>
      <w:r>
        <w:rPr>
          <w:color w:val="000000"/>
        </w:rPr>
        <w:t>: inprecise, but likley near Tlaxiaco, Oaxaca, Mexico.</w:t>
      </w:r>
    </w:p>
    <w:p w14:paraId="7EC75486" w14:textId="77777777" w:rsidR="004C76BC" w:rsidRDefault="004C76BC" w:rsidP="004C76BC">
      <w:pPr>
        <w:autoSpaceDE w:val="0"/>
        <w:autoSpaceDN w:val="0"/>
        <w:adjustRightInd w:val="0"/>
        <w:ind w:left="357"/>
        <w:rPr>
          <w:color w:val="000000"/>
        </w:rPr>
      </w:pPr>
      <w:r>
        <w:rPr>
          <w:smallCaps/>
          <w:color w:val="000000"/>
        </w:rPr>
        <w:t>Formation</w:t>
      </w:r>
      <w:r>
        <w:rPr>
          <w:color w:val="000000"/>
        </w:rPr>
        <w:t>: suggested to be Sabinal Formation.</w:t>
      </w:r>
    </w:p>
    <w:p w14:paraId="40029AAE" w14:textId="77777777" w:rsidR="004C76BC" w:rsidRDefault="004C76BC" w:rsidP="004C76BC">
      <w:pPr>
        <w:autoSpaceDE w:val="0"/>
        <w:autoSpaceDN w:val="0"/>
        <w:adjustRightInd w:val="0"/>
        <w:ind w:left="357"/>
        <w:rPr>
          <w:i/>
          <w:iCs/>
          <w:color w:val="000000"/>
        </w:rPr>
      </w:pPr>
      <w:r>
        <w:rPr>
          <w:smallCaps/>
          <w:color w:val="000000"/>
        </w:rPr>
        <w:t>Age</w:t>
      </w:r>
      <w:r>
        <w:rPr>
          <w:color w:val="000000"/>
        </w:rPr>
        <w:t>: suggested to be Kimmeridgian, Upper Jurassic.</w:t>
      </w:r>
    </w:p>
    <w:p w14:paraId="3EF4E4BF" w14:textId="77777777" w:rsidR="004C76BC" w:rsidRDefault="004C76BC" w:rsidP="004C76BC">
      <w:pPr>
        <w:ind w:left="720" w:hanging="720"/>
        <w:rPr>
          <w:i/>
          <w:color w:val="000000"/>
        </w:rPr>
      </w:pPr>
    </w:p>
    <w:p w14:paraId="53F83D91" w14:textId="51D2A085" w:rsidR="004C76BC" w:rsidRDefault="00E8075A" w:rsidP="004C76BC">
      <w:pPr>
        <w:ind w:left="720" w:hanging="720"/>
      </w:pPr>
      <w:r>
        <w:rPr>
          <w:color w:val="000000"/>
        </w:rPr>
        <w:t>(119</w:t>
      </w:r>
      <w:r w:rsidR="004C76BC">
        <w:rPr>
          <w:color w:val="000000"/>
        </w:rPr>
        <w:t xml:space="preserve">) </w:t>
      </w:r>
      <w:r w:rsidR="004C76BC">
        <w:rPr>
          <w:i/>
          <w:color w:val="000000"/>
        </w:rPr>
        <w:t xml:space="preserve">Dakosaurus andiniensis </w:t>
      </w:r>
      <w:r w:rsidR="004C76BC">
        <w:rPr>
          <w:color w:val="000000"/>
        </w:rPr>
        <w:t>Vignaud &amp; Gasparini, 1996</w:t>
      </w:r>
    </w:p>
    <w:p w14:paraId="755EB6C5"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Gasparini </w:t>
      </w:r>
      <w:r>
        <w:rPr>
          <w:i/>
          <w:iCs/>
          <w:color w:val="000000"/>
        </w:rPr>
        <w:t xml:space="preserve">et al. </w:t>
      </w:r>
      <w:r>
        <w:rPr>
          <w:color w:val="000000"/>
        </w:rPr>
        <w:t>(2006), Pol &amp; Gasparini (2009).</w:t>
      </w:r>
    </w:p>
    <w:p w14:paraId="4D968E44"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in the provinces of Neuquén and Mendoza, Argentina.</w:t>
      </w:r>
    </w:p>
    <w:p w14:paraId="23DC935B" w14:textId="77777777" w:rsidR="004C76BC" w:rsidRDefault="004C76BC" w:rsidP="004C76BC">
      <w:pPr>
        <w:autoSpaceDE w:val="0"/>
        <w:autoSpaceDN w:val="0"/>
        <w:adjustRightInd w:val="0"/>
        <w:ind w:left="357"/>
        <w:rPr>
          <w:color w:val="000000"/>
        </w:rPr>
      </w:pPr>
      <w:r>
        <w:rPr>
          <w:smallCaps/>
          <w:color w:val="000000"/>
        </w:rPr>
        <w:t>Formations</w:t>
      </w:r>
      <w:r>
        <w:rPr>
          <w:color w:val="000000"/>
        </w:rPr>
        <w:t>: Vaca Muerta Formation, Mendoza Group and Neuquén Group. Neuquén Basin.</w:t>
      </w:r>
    </w:p>
    <w:p w14:paraId="600DDCED"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Tithonian, Upper Jurassic. Possibly also Berriasian, Lower Cretaceous.</w:t>
      </w:r>
    </w:p>
    <w:p w14:paraId="0EE16C42" w14:textId="77777777" w:rsidR="004C76BC" w:rsidRDefault="004C76BC" w:rsidP="004C76BC">
      <w:pPr>
        <w:autoSpaceDE w:val="0"/>
        <w:autoSpaceDN w:val="0"/>
        <w:adjustRightInd w:val="0"/>
        <w:ind w:left="720" w:hanging="720"/>
        <w:rPr>
          <w:bCs/>
          <w:color w:val="000000"/>
        </w:rPr>
      </w:pPr>
    </w:p>
    <w:p w14:paraId="7902D2A0" w14:textId="492B9C4B" w:rsidR="004C76BC" w:rsidRDefault="00E8075A" w:rsidP="004C76BC">
      <w:pPr>
        <w:ind w:left="720" w:hanging="720"/>
      </w:pPr>
      <w:r>
        <w:rPr>
          <w:color w:val="000000"/>
        </w:rPr>
        <w:t>(120</w:t>
      </w:r>
      <w:r w:rsidR="004C76BC">
        <w:rPr>
          <w:color w:val="000000"/>
        </w:rPr>
        <w:t xml:space="preserve">) </w:t>
      </w:r>
      <w:r w:rsidR="004C76BC">
        <w:rPr>
          <w:i/>
          <w:color w:val="000000"/>
        </w:rPr>
        <w:t xml:space="preserve">Dakosaurus maximus </w:t>
      </w:r>
      <w:r w:rsidR="004C76BC">
        <w:rPr>
          <w:color w:val="000000"/>
        </w:rPr>
        <w:t>(Plieninger, 1846)</w:t>
      </w:r>
    </w:p>
    <w:p w14:paraId="7C573C3B" w14:textId="77777777" w:rsidR="004C76BC" w:rsidRDefault="004C76BC" w:rsidP="004C76BC">
      <w:pPr>
        <w:autoSpaceDE w:val="0"/>
        <w:autoSpaceDN w:val="0"/>
        <w:adjustRightInd w:val="0"/>
        <w:ind w:left="357"/>
        <w:rPr>
          <w:color w:val="000000"/>
        </w:rPr>
      </w:pPr>
      <w:r>
        <w:rPr>
          <w:smallCaps/>
          <w:color w:val="000000"/>
        </w:rPr>
        <w:t>Data from</w:t>
      </w:r>
      <w:r>
        <w:rPr>
          <w:color w:val="000000"/>
        </w:rPr>
        <w:t>:</w:t>
      </w:r>
      <w:r>
        <w:t xml:space="preserve"> NHMUK PV OR 33186, NHMUK PV OR 35766, NHMUK PV OR 35835-7, SMNS 8203 (neotype), SMNS 80148, SMNS 82043; Plieninger, 1846, </w:t>
      </w:r>
      <w:r>
        <w:rPr>
          <w:color w:val="000000"/>
        </w:rPr>
        <w:t xml:space="preserve">Young &amp; Andrade (2009), Andrade (2010), Andrade </w:t>
      </w:r>
      <w:r>
        <w:rPr>
          <w:i/>
          <w:iCs/>
          <w:color w:val="000000"/>
        </w:rPr>
        <w:t xml:space="preserve">et al. </w:t>
      </w:r>
      <w:r>
        <w:rPr>
          <w:color w:val="000000"/>
        </w:rPr>
        <w:t>(2010).</w:t>
      </w:r>
    </w:p>
    <w:p w14:paraId="39AEAA3B"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Numerous outcrops in England, Germany and France.</w:t>
      </w:r>
    </w:p>
    <w:p w14:paraId="7CC56A94" w14:textId="77777777" w:rsidR="004C76BC" w:rsidRDefault="004C76BC" w:rsidP="004C76BC">
      <w:pPr>
        <w:autoSpaceDE w:val="0"/>
        <w:autoSpaceDN w:val="0"/>
        <w:adjustRightInd w:val="0"/>
        <w:ind w:left="357"/>
        <w:rPr>
          <w:color w:val="000000"/>
        </w:rPr>
      </w:pPr>
      <w:r>
        <w:rPr>
          <w:smallCaps/>
          <w:color w:val="000000"/>
        </w:rPr>
        <w:t>Formations</w:t>
      </w:r>
      <w:r>
        <w:rPr>
          <w:color w:val="000000"/>
        </w:rPr>
        <w:t>: Numerous, including: Kimmeridge Clay Formation, Solnhofen Formation, Mergelstätten Formation and Nusplingen Plattenkalk.</w:t>
      </w:r>
    </w:p>
    <w:p w14:paraId="3C96A51B" w14:textId="77777777" w:rsidR="004C76BC" w:rsidRDefault="004C76BC" w:rsidP="004C76BC">
      <w:pPr>
        <w:autoSpaceDE w:val="0"/>
        <w:autoSpaceDN w:val="0"/>
        <w:adjustRightInd w:val="0"/>
        <w:ind w:left="357"/>
        <w:rPr>
          <w:i/>
          <w:iCs/>
          <w:color w:val="000000"/>
        </w:rPr>
      </w:pPr>
      <w:r>
        <w:rPr>
          <w:smallCaps/>
          <w:color w:val="000000"/>
        </w:rPr>
        <w:t>Age</w:t>
      </w:r>
      <w:r>
        <w:rPr>
          <w:color w:val="000000"/>
        </w:rPr>
        <w:t>: upper Kimmeridgian-lower Tithonian, Upper Jurassic.</w:t>
      </w:r>
    </w:p>
    <w:p w14:paraId="7A48C1AA" w14:textId="77777777" w:rsidR="004C76BC" w:rsidRDefault="004C76BC" w:rsidP="004C76BC">
      <w:pPr>
        <w:ind w:left="720" w:hanging="720"/>
        <w:rPr>
          <w:i/>
          <w:color w:val="000000"/>
        </w:rPr>
      </w:pPr>
    </w:p>
    <w:p w14:paraId="543A9430" w14:textId="4F08B5F6" w:rsidR="004C76BC" w:rsidRDefault="00E8075A" w:rsidP="004C76BC">
      <w:pPr>
        <w:tabs>
          <w:tab w:val="left" w:pos="4545"/>
        </w:tabs>
        <w:ind w:left="720" w:hanging="720"/>
        <w:rPr>
          <w:color w:val="000000"/>
        </w:rPr>
      </w:pPr>
      <w:r>
        <w:rPr>
          <w:color w:val="000000"/>
        </w:rPr>
        <w:t>(121</w:t>
      </w:r>
      <w:r w:rsidR="004C76BC">
        <w:rPr>
          <w:color w:val="000000"/>
        </w:rPr>
        <w:t>) Geosaurinae indeterminate (Argentina) [fragmentary taxon]</w:t>
      </w:r>
    </w:p>
    <w:p w14:paraId="6653D1F9"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color w:val="000000"/>
        </w:rPr>
        <w:t xml:space="preserve">Gasparini </w:t>
      </w:r>
      <w:r>
        <w:rPr>
          <w:i/>
          <w:color w:val="000000"/>
        </w:rPr>
        <w:t>et al</w:t>
      </w:r>
      <w:r>
        <w:rPr>
          <w:color w:val="000000"/>
        </w:rPr>
        <w:t>. (2005).</w:t>
      </w:r>
    </w:p>
    <w:p w14:paraId="38AB23CF"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Chacay Melehue, Neuquén Province, Argentina.</w:t>
      </w:r>
    </w:p>
    <w:p w14:paraId="18899AB0"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Los Molles Formation.</w:t>
      </w:r>
    </w:p>
    <w:p w14:paraId="72000749" w14:textId="77777777" w:rsidR="004C76BC" w:rsidRDefault="004C76BC" w:rsidP="004C76BC">
      <w:pPr>
        <w:autoSpaceDE w:val="0"/>
        <w:autoSpaceDN w:val="0"/>
        <w:adjustRightInd w:val="0"/>
        <w:ind w:left="357"/>
        <w:rPr>
          <w:i/>
          <w:iCs/>
          <w:color w:val="000000"/>
        </w:rPr>
      </w:pPr>
      <w:r>
        <w:rPr>
          <w:smallCaps/>
          <w:color w:val="000000"/>
        </w:rPr>
        <w:t>Age</w:t>
      </w:r>
      <w:r>
        <w:rPr>
          <w:color w:val="000000"/>
        </w:rPr>
        <w:t>: u</w:t>
      </w:r>
      <w:r>
        <w:t>pper Bathonian, Middle Jurassic.</w:t>
      </w:r>
    </w:p>
    <w:p w14:paraId="062461F3" w14:textId="77777777" w:rsidR="004C76BC" w:rsidRDefault="004C76BC" w:rsidP="004C76BC">
      <w:pPr>
        <w:tabs>
          <w:tab w:val="left" w:pos="4545"/>
        </w:tabs>
        <w:ind w:left="720" w:hanging="720"/>
        <w:rPr>
          <w:color w:val="000000"/>
        </w:rPr>
      </w:pPr>
    </w:p>
    <w:p w14:paraId="3CCE6671" w14:textId="4C21AC83" w:rsidR="004C76BC" w:rsidRDefault="00E8075A" w:rsidP="004C76BC">
      <w:pPr>
        <w:ind w:left="720" w:hanging="720"/>
      </w:pPr>
      <w:r>
        <w:rPr>
          <w:color w:val="000000"/>
        </w:rPr>
        <w:t>(122</w:t>
      </w:r>
      <w:r w:rsidR="004C76BC">
        <w:rPr>
          <w:color w:val="000000"/>
        </w:rPr>
        <w:t xml:space="preserve">) </w:t>
      </w:r>
      <w:r w:rsidR="004C76BC">
        <w:rPr>
          <w:i/>
          <w:color w:val="000000"/>
        </w:rPr>
        <w:t xml:space="preserve">Geosaurus giganteus </w:t>
      </w:r>
      <w:r w:rsidR="004C76BC">
        <w:rPr>
          <w:color w:val="000000"/>
        </w:rPr>
        <w:t>(von Sömmerring, 1816)</w:t>
      </w:r>
    </w:p>
    <w:p w14:paraId="553CDB9C"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NHMUK PV R 1229 (holotype), NHMUK PV R 1230, </w:t>
      </w:r>
      <w:r>
        <w:t>NHMUK PV OR 37016, NHMUK PV OR 37020</w:t>
      </w:r>
      <w:r>
        <w:rPr>
          <w:color w:val="000000"/>
        </w:rPr>
        <w:t xml:space="preserve">; Young &amp; Andrade (2009), Andrade (2010), Andrade </w:t>
      </w:r>
      <w:r>
        <w:rPr>
          <w:i/>
          <w:iCs/>
          <w:color w:val="000000"/>
        </w:rPr>
        <w:t xml:space="preserve">et al. </w:t>
      </w:r>
      <w:r>
        <w:rPr>
          <w:color w:val="000000"/>
        </w:rPr>
        <w:t>(2010).</w:t>
      </w:r>
    </w:p>
    <w:p w14:paraId="1AC1D25B" w14:textId="77777777" w:rsidR="004C76BC" w:rsidRDefault="004C76BC" w:rsidP="004C76BC">
      <w:pPr>
        <w:autoSpaceDE w:val="0"/>
        <w:autoSpaceDN w:val="0"/>
        <w:adjustRightInd w:val="0"/>
        <w:ind w:left="357"/>
        <w:rPr>
          <w:color w:val="000000"/>
        </w:rPr>
      </w:pPr>
      <w:r>
        <w:rPr>
          <w:smallCaps/>
          <w:color w:val="000000"/>
        </w:rPr>
        <w:t xml:space="preserve">Localities: </w:t>
      </w:r>
      <w:r>
        <w:rPr>
          <w:color w:val="000000"/>
        </w:rPr>
        <w:t>Daiting (type locality) and</w:t>
      </w:r>
      <w:r>
        <w:rPr>
          <w:smallCaps/>
          <w:color w:val="000000"/>
        </w:rPr>
        <w:t xml:space="preserve"> </w:t>
      </w:r>
      <w:r>
        <w:rPr>
          <w:color w:val="000000"/>
        </w:rPr>
        <w:t>Eichstätt, Southern Germany.</w:t>
      </w:r>
    </w:p>
    <w:p w14:paraId="18AFA901" w14:textId="77777777" w:rsidR="004C76BC" w:rsidRDefault="004C76BC" w:rsidP="004C76B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 xml:space="preserve">örnsheim Formation (type locality) and </w:t>
      </w:r>
      <w:r>
        <w:rPr>
          <w:color w:val="000000"/>
        </w:rPr>
        <w:t>Solnhofen Formation.</w:t>
      </w:r>
    </w:p>
    <w:p w14:paraId="25F34AD4"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018A7B17" w14:textId="77777777" w:rsidR="004C76BC" w:rsidRDefault="004C76BC" w:rsidP="004C76BC">
      <w:pPr>
        <w:ind w:left="720" w:hanging="720"/>
        <w:rPr>
          <w:i/>
          <w:color w:val="000000"/>
        </w:rPr>
      </w:pPr>
    </w:p>
    <w:p w14:paraId="38A0CD30" w14:textId="4DB86C47" w:rsidR="004C76BC" w:rsidRDefault="00E8075A" w:rsidP="004C76BC">
      <w:pPr>
        <w:autoSpaceDE w:val="0"/>
        <w:autoSpaceDN w:val="0"/>
        <w:adjustRightInd w:val="0"/>
        <w:rPr>
          <w:color w:val="000000"/>
        </w:rPr>
      </w:pPr>
      <w:r>
        <w:rPr>
          <w:color w:val="000000"/>
        </w:rPr>
        <w:t>(123</w:t>
      </w:r>
      <w:r w:rsidR="004C76BC">
        <w:rPr>
          <w:color w:val="000000"/>
        </w:rPr>
        <w:t xml:space="preserve">) </w:t>
      </w:r>
      <w:r w:rsidR="004C76BC">
        <w:rPr>
          <w:i/>
          <w:color w:val="000000"/>
        </w:rPr>
        <w:t xml:space="preserve">Geosaurus grandis </w:t>
      </w:r>
      <w:r w:rsidR="004C76BC">
        <w:rPr>
          <w:color w:val="000000"/>
        </w:rPr>
        <w:t>(Wagner, 1858)</w:t>
      </w:r>
    </w:p>
    <w:p w14:paraId="0BEC8E3F"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44" w:name="_Hlk479276106"/>
      <w:r>
        <w:rPr>
          <w:color w:val="000000"/>
        </w:rPr>
        <w:t xml:space="preserve">BSPG </w:t>
      </w:r>
      <w:bookmarkEnd w:id="44"/>
      <w:r>
        <w:rPr>
          <w:color w:val="000000"/>
        </w:rPr>
        <w:t xml:space="preserve">AS-VI-1 (holotype); Young &amp; Andrade (2009), Andrade (2010), Andrade </w:t>
      </w:r>
      <w:r>
        <w:rPr>
          <w:i/>
          <w:iCs/>
          <w:color w:val="000000"/>
        </w:rPr>
        <w:t xml:space="preserve">et al. </w:t>
      </w:r>
      <w:r>
        <w:rPr>
          <w:color w:val="000000"/>
        </w:rPr>
        <w:t>(2010).</w:t>
      </w:r>
    </w:p>
    <w:p w14:paraId="0D19C3BB"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Daiting, near Monheim, Bayern, Germany.</w:t>
      </w:r>
    </w:p>
    <w:p w14:paraId="3076A34B" w14:textId="77777777" w:rsidR="004C76BC" w:rsidRDefault="004C76BC" w:rsidP="004C76BC">
      <w:pPr>
        <w:autoSpaceDE w:val="0"/>
        <w:autoSpaceDN w:val="0"/>
        <w:adjustRightInd w:val="0"/>
        <w:ind w:left="357"/>
        <w:rPr>
          <w:color w:val="000000"/>
        </w:rPr>
      </w:pPr>
      <w:r>
        <w:rPr>
          <w:smallCaps/>
          <w:color w:val="000000"/>
        </w:rPr>
        <w:t>Formations</w:t>
      </w:r>
      <w:r>
        <w:rPr>
          <w:color w:val="000000"/>
        </w:rPr>
        <w:t>: M</w:t>
      </w:r>
      <w:r>
        <w:rPr>
          <w:rFonts w:eastAsiaTheme="minorHAnsi"/>
          <w:lang w:eastAsia="en-US"/>
        </w:rPr>
        <w:t>örnsheim Formation</w:t>
      </w:r>
      <w:r>
        <w:rPr>
          <w:color w:val="000000"/>
        </w:rPr>
        <w:t>.</w:t>
      </w:r>
    </w:p>
    <w:p w14:paraId="52633D3A"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rStyle w:val="st"/>
          <w:i/>
        </w:rPr>
        <w:t>Hybonoticeras</w:t>
      </w:r>
      <w:r>
        <w:rPr>
          <w:rStyle w:val="st"/>
        </w:rPr>
        <w:t xml:space="preserve"> </w:t>
      </w:r>
      <w:r>
        <w:rPr>
          <w:i/>
          <w:iCs/>
        </w:rPr>
        <w:t xml:space="preserve">hybonotum </w:t>
      </w:r>
      <w:r>
        <w:rPr>
          <w:color w:val="000000"/>
        </w:rPr>
        <w:t>Tethys ammonite Zone, lower Tithonian, Upper Jurassic.</w:t>
      </w:r>
    </w:p>
    <w:p w14:paraId="4430B0C3" w14:textId="77777777" w:rsidR="004C76BC" w:rsidRDefault="004C76BC" w:rsidP="004C76BC">
      <w:pPr>
        <w:ind w:left="720" w:hanging="720"/>
      </w:pPr>
    </w:p>
    <w:p w14:paraId="1AFA08C0" w14:textId="1932F62F" w:rsidR="004C76BC" w:rsidRDefault="00E8075A" w:rsidP="004C76BC">
      <w:pPr>
        <w:ind w:left="720" w:hanging="720"/>
      </w:pPr>
      <w:r>
        <w:rPr>
          <w:color w:val="000000"/>
        </w:rPr>
        <w:t>(124</w:t>
      </w:r>
      <w:r w:rsidR="004C76BC">
        <w:rPr>
          <w:color w:val="000000"/>
        </w:rPr>
        <w:t xml:space="preserve">) </w:t>
      </w:r>
      <w:r w:rsidR="004C76BC">
        <w:rPr>
          <w:i/>
          <w:color w:val="000000"/>
        </w:rPr>
        <w:t xml:space="preserve">Geosaurus lapparenti </w:t>
      </w:r>
      <w:r w:rsidR="004C76BC">
        <w:t>(</w:t>
      </w:r>
      <w:r w:rsidR="004C76BC">
        <w:rPr>
          <w:szCs w:val="20"/>
        </w:rPr>
        <w:t>Debelmas &amp; Strannoloubsky, 1957</w:t>
      </w:r>
      <w:r w:rsidR="004C76BC">
        <w:t>)</w:t>
      </w:r>
    </w:p>
    <w:p w14:paraId="052E7469"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Debelmas (1952), </w:t>
      </w:r>
      <w:r>
        <w:rPr>
          <w:szCs w:val="20"/>
        </w:rPr>
        <w:t>Debelmas &amp; Strannoloubsky (1957)</w:t>
      </w:r>
      <w:r>
        <w:t>.</w:t>
      </w:r>
    </w:p>
    <w:p w14:paraId="62349EA2"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La Martre, Département du Var, Provence-Alpes-Côte d'Azur, France.</w:t>
      </w:r>
    </w:p>
    <w:p w14:paraId="17B6996D" w14:textId="77777777" w:rsidR="004C76BC" w:rsidRDefault="004C76BC" w:rsidP="004C76BC">
      <w:pPr>
        <w:autoSpaceDE w:val="0"/>
        <w:autoSpaceDN w:val="0"/>
        <w:adjustRightInd w:val="0"/>
        <w:ind w:left="357"/>
        <w:rPr>
          <w:color w:val="000000"/>
        </w:rPr>
      </w:pPr>
      <w:r>
        <w:rPr>
          <w:smallCaps/>
          <w:color w:val="000000"/>
        </w:rPr>
        <w:t>Formation</w:t>
      </w:r>
      <w:r>
        <w:rPr>
          <w:color w:val="000000"/>
        </w:rPr>
        <w:t>: not given.</w:t>
      </w:r>
    </w:p>
    <w:p w14:paraId="5328A5A4" w14:textId="77777777" w:rsidR="004C76BC" w:rsidRDefault="004C76BC" w:rsidP="004C76BC">
      <w:pPr>
        <w:autoSpaceDE w:val="0"/>
        <w:autoSpaceDN w:val="0"/>
        <w:adjustRightInd w:val="0"/>
        <w:ind w:left="357"/>
        <w:rPr>
          <w:i/>
          <w:iCs/>
          <w:color w:val="000000"/>
        </w:rPr>
      </w:pPr>
      <w:r>
        <w:rPr>
          <w:smallCaps/>
          <w:color w:val="000000"/>
        </w:rPr>
        <w:lastRenderedPageBreak/>
        <w:t>Age</w:t>
      </w:r>
      <w:r>
        <w:rPr>
          <w:color w:val="000000"/>
        </w:rPr>
        <w:t xml:space="preserve">: </w:t>
      </w:r>
      <w:r>
        <w:rPr>
          <w:i/>
        </w:rPr>
        <w:t>Neocomites peregrinus</w:t>
      </w:r>
      <w:r>
        <w:rPr>
          <w:rFonts w:ascii="Calibri" w:hAnsi="Calibri"/>
        </w:rPr>
        <w:t xml:space="preserve"> </w:t>
      </w:r>
      <w:r>
        <w:t xml:space="preserve">ammonite Zone, </w:t>
      </w:r>
      <w:r>
        <w:rPr>
          <w:color w:val="000000"/>
        </w:rPr>
        <w:t>upper Valanginian, Lower Cretaceous.</w:t>
      </w:r>
    </w:p>
    <w:p w14:paraId="59676383" w14:textId="77777777" w:rsidR="004C76BC" w:rsidRDefault="004C76BC" w:rsidP="004C76BC">
      <w:pPr>
        <w:ind w:left="720" w:hanging="720"/>
      </w:pPr>
    </w:p>
    <w:p w14:paraId="6E6177BF" w14:textId="14673F17" w:rsidR="004C76BC" w:rsidRDefault="00E8075A" w:rsidP="004C76BC">
      <w:pPr>
        <w:ind w:left="720" w:hanging="720"/>
      </w:pPr>
      <w:r>
        <w:t>(125</w:t>
      </w:r>
      <w:r w:rsidR="004C76BC">
        <w:t xml:space="preserve">) </w:t>
      </w:r>
      <w:r w:rsidR="004C76BC">
        <w:rPr>
          <w:i/>
        </w:rPr>
        <w:t>Ieldraan melkshamensis</w:t>
      </w:r>
      <w:r w:rsidR="004C76BC">
        <w:t xml:space="preserve"> Foffa </w:t>
      </w:r>
      <w:r w:rsidR="004C76BC">
        <w:rPr>
          <w:i/>
        </w:rPr>
        <w:t>et al</w:t>
      </w:r>
      <w:r w:rsidR="004C76BC">
        <w:t>., 2017</w:t>
      </w:r>
    </w:p>
    <w:p w14:paraId="2C3BCE74"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NHMUK PV OR 46797.</w:t>
      </w:r>
    </w:p>
    <w:p w14:paraId="0D6BF98E" w14:textId="77777777" w:rsidR="004C76BC" w:rsidRDefault="004C76BC" w:rsidP="004C76BC">
      <w:pPr>
        <w:autoSpaceDE w:val="0"/>
        <w:autoSpaceDN w:val="0"/>
        <w:adjustRightInd w:val="0"/>
        <w:ind w:left="357"/>
        <w:rPr>
          <w:color w:val="000000"/>
        </w:rPr>
      </w:pPr>
      <w:r>
        <w:rPr>
          <w:smallCaps/>
          <w:color w:val="000000"/>
        </w:rPr>
        <w:t>Locality</w:t>
      </w:r>
      <w:r>
        <w:rPr>
          <w:color w:val="000000"/>
        </w:rPr>
        <w:t>: Melksham, Wiltshire, UK.</w:t>
      </w:r>
    </w:p>
    <w:p w14:paraId="02518605" w14:textId="77777777" w:rsidR="004C76BC" w:rsidRDefault="004C76BC" w:rsidP="004C76BC">
      <w:pPr>
        <w:autoSpaceDE w:val="0"/>
        <w:autoSpaceDN w:val="0"/>
        <w:adjustRightInd w:val="0"/>
        <w:ind w:left="357"/>
        <w:rPr>
          <w:color w:val="000000"/>
        </w:rPr>
      </w:pPr>
      <w:r>
        <w:rPr>
          <w:smallCaps/>
          <w:color w:val="000000"/>
        </w:rPr>
        <w:t>Formation</w:t>
      </w:r>
      <w:r>
        <w:rPr>
          <w:color w:val="000000"/>
        </w:rPr>
        <w:t>: Oxford Clay Formation, Ancholme Group.</w:t>
      </w:r>
    </w:p>
    <w:p w14:paraId="0C8F2198" w14:textId="77777777" w:rsidR="004C76BC" w:rsidRDefault="004C76BC" w:rsidP="004C76BC">
      <w:pPr>
        <w:autoSpaceDE w:val="0"/>
        <w:autoSpaceDN w:val="0"/>
        <w:adjustRightInd w:val="0"/>
        <w:ind w:left="357"/>
        <w:rPr>
          <w:color w:val="000000"/>
        </w:rPr>
      </w:pPr>
      <w:r>
        <w:rPr>
          <w:smallCaps/>
          <w:color w:val="000000"/>
        </w:rPr>
        <w:t>Age</w:t>
      </w:r>
      <w:r>
        <w:rPr>
          <w:color w:val="000000"/>
        </w:rPr>
        <w:t>: Callovian, Middle Jurassic.</w:t>
      </w:r>
    </w:p>
    <w:p w14:paraId="6A088B67" w14:textId="77777777" w:rsidR="004C76BC" w:rsidRDefault="004C76BC" w:rsidP="004C76BC">
      <w:pPr>
        <w:ind w:left="720" w:hanging="720"/>
      </w:pPr>
    </w:p>
    <w:p w14:paraId="64D8CE51" w14:textId="2B2CC092" w:rsidR="004C76BC" w:rsidRDefault="00E8075A" w:rsidP="004C76BC">
      <w:pPr>
        <w:ind w:left="720" w:hanging="720"/>
      </w:pPr>
      <w:r>
        <w:t>(126</w:t>
      </w:r>
      <w:r w:rsidR="004C76BC">
        <w:t>) '</w:t>
      </w:r>
      <w:r w:rsidR="004C76BC">
        <w:rPr>
          <w:i/>
        </w:rPr>
        <w:t>Metriorhynchus</w:t>
      </w:r>
      <w:r w:rsidR="004C76BC">
        <w:t xml:space="preserve">' </w:t>
      </w:r>
      <w:r w:rsidR="004C76BC">
        <w:rPr>
          <w:i/>
          <w:color w:val="000000"/>
        </w:rPr>
        <w:t xml:space="preserve">brachyrhynchus </w:t>
      </w:r>
      <w:r w:rsidR="004C76BC">
        <w:t xml:space="preserve">(Eudes-Deslongchamps, 1868c) </w:t>
      </w:r>
    </w:p>
    <w:p w14:paraId="6C6FD729"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GLAHM V978, GLAHM V995, NHMUK PV R 3541, NHMUK PV R 3699, NHMUK PV R 3700 (neotype), NHMUK PV R 3804, NHMUK PV R 4763, PETMG R19.</w:t>
      </w:r>
    </w:p>
    <w:p w14:paraId="199E22A7"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62A423BA"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4DFB8637" w14:textId="77777777" w:rsidR="004C76BC" w:rsidRDefault="004C76BC" w:rsidP="004C76BC">
      <w:pPr>
        <w:autoSpaceDE w:val="0"/>
        <w:autoSpaceDN w:val="0"/>
        <w:adjustRightInd w:val="0"/>
        <w:ind w:left="357"/>
        <w:rPr>
          <w:color w:val="000000"/>
        </w:rPr>
      </w:pPr>
      <w:r>
        <w:rPr>
          <w:smallCaps/>
          <w:color w:val="000000"/>
        </w:rPr>
        <w:t>Age</w:t>
      </w:r>
      <w:r>
        <w:rPr>
          <w:color w:val="000000"/>
        </w:rPr>
        <w:t>: middle Callovian, Middle Jurassic.</w:t>
      </w:r>
    </w:p>
    <w:p w14:paraId="4558B82F" w14:textId="77777777" w:rsidR="004C76BC" w:rsidRDefault="004C76BC" w:rsidP="004C76BC">
      <w:pPr>
        <w:ind w:left="720" w:hanging="720"/>
      </w:pPr>
    </w:p>
    <w:p w14:paraId="779EB27F" w14:textId="4C4350C1" w:rsidR="004C76BC" w:rsidRDefault="00E8075A" w:rsidP="004C76BC">
      <w:pPr>
        <w:ind w:left="720" w:hanging="720"/>
      </w:pPr>
      <w:r>
        <w:t>(127</w:t>
      </w:r>
      <w:r w:rsidR="004C76BC">
        <w:t>) '</w:t>
      </w:r>
      <w:r w:rsidR="004C76BC">
        <w:rPr>
          <w:i/>
        </w:rPr>
        <w:t>Metriorhynchus</w:t>
      </w:r>
      <w:r w:rsidR="004C76BC">
        <w:t xml:space="preserve">' </w:t>
      </w:r>
      <w:r w:rsidR="004C76BC">
        <w:rPr>
          <w:i/>
          <w:color w:val="000000"/>
        </w:rPr>
        <w:t>casamiquelai</w:t>
      </w:r>
      <w:r w:rsidR="004C76BC">
        <w:t xml:space="preserve"> Gasparini &amp; Chong, 1977</w:t>
      </w:r>
    </w:p>
    <w:p w14:paraId="1E32A0A9"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Gasparini &amp; Chong (1977).</w:t>
      </w:r>
    </w:p>
    <w:p w14:paraId="174A23E0"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Quebrada Sajasa, Región de Antofagasta, Chile.</w:t>
      </w:r>
    </w:p>
    <w:p w14:paraId="124F0FDC" w14:textId="77777777" w:rsidR="004C76BC" w:rsidRDefault="004C76BC" w:rsidP="004C76BC">
      <w:pPr>
        <w:autoSpaceDE w:val="0"/>
        <w:autoSpaceDN w:val="0"/>
        <w:adjustRightInd w:val="0"/>
        <w:ind w:left="357"/>
        <w:rPr>
          <w:color w:val="000000"/>
        </w:rPr>
      </w:pPr>
      <w:r>
        <w:rPr>
          <w:smallCaps/>
          <w:color w:val="000000"/>
        </w:rPr>
        <w:t>Formation</w:t>
      </w:r>
      <w:r>
        <w:rPr>
          <w:color w:val="000000"/>
        </w:rPr>
        <w:t>: not given.</w:t>
      </w:r>
    </w:p>
    <w:p w14:paraId="7E202955" w14:textId="77777777" w:rsidR="004C76BC" w:rsidRDefault="004C76BC" w:rsidP="004C76BC">
      <w:pPr>
        <w:autoSpaceDE w:val="0"/>
        <w:autoSpaceDN w:val="0"/>
        <w:adjustRightInd w:val="0"/>
        <w:ind w:left="357"/>
        <w:rPr>
          <w:i/>
          <w:iCs/>
          <w:color w:val="000000"/>
        </w:rPr>
      </w:pPr>
      <w:r>
        <w:rPr>
          <w:smallCaps/>
          <w:color w:val="000000"/>
        </w:rPr>
        <w:t>Age</w:t>
      </w:r>
      <w:r>
        <w:rPr>
          <w:color w:val="000000"/>
        </w:rPr>
        <w:t>: Callovian, Middle Jurassic.</w:t>
      </w:r>
    </w:p>
    <w:p w14:paraId="32DEADD9" w14:textId="77777777" w:rsidR="004C76BC" w:rsidRDefault="004C76BC" w:rsidP="004C76BC">
      <w:pPr>
        <w:ind w:left="720" w:hanging="720"/>
        <w:rPr>
          <w:color w:val="000000"/>
        </w:rPr>
      </w:pPr>
    </w:p>
    <w:p w14:paraId="23C01D00" w14:textId="57FA5704" w:rsidR="004C76BC" w:rsidRDefault="00E8075A" w:rsidP="004C76BC">
      <w:pPr>
        <w:ind w:left="720" w:hanging="720"/>
      </w:pPr>
      <w:r>
        <w:rPr>
          <w:color w:val="000000"/>
        </w:rPr>
        <w:t>(128</w:t>
      </w:r>
      <w:r w:rsidR="004C76BC">
        <w:rPr>
          <w:color w:val="000000"/>
        </w:rPr>
        <w:t>) '</w:t>
      </w:r>
      <w:r w:rsidR="004C76BC">
        <w:rPr>
          <w:i/>
          <w:color w:val="000000"/>
        </w:rPr>
        <w:t>Metriorhynchus</w:t>
      </w:r>
      <w:r w:rsidR="004C76BC">
        <w:rPr>
          <w:color w:val="000000"/>
        </w:rPr>
        <w:t xml:space="preserve">' </w:t>
      </w:r>
      <w:r w:rsidR="004C76BC">
        <w:rPr>
          <w:i/>
          <w:color w:val="000000"/>
        </w:rPr>
        <w:t>hastifer</w:t>
      </w:r>
      <w:r w:rsidR="004C76BC">
        <w:t xml:space="preserve"> (Eudes-Deslongchamps, 1868d)</w:t>
      </w:r>
    </w:p>
    <w:p w14:paraId="1C254133"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MNHN.F RJN 199 (holotype); Eudes-Deslongchamps (1867–1869); Lepage </w:t>
      </w:r>
      <w:r>
        <w:rPr>
          <w:i/>
        </w:rPr>
        <w:t>et al</w:t>
      </w:r>
      <w:r>
        <w:t>. (2008).</w:t>
      </w:r>
    </w:p>
    <w:p w14:paraId="5C42FDD8"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Cap de la Hève (type locality), and Octeville-sur-Mer,</w:t>
      </w:r>
      <w:r>
        <w:rPr>
          <w:b/>
        </w:rPr>
        <w:t xml:space="preserve"> </w:t>
      </w:r>
      <w:r>
        <w:rPr>
          <w:rStyle w:val="Emphasis"/>
        </w:rPr>
        <w:t xml:space="preserve">Département du </w:t>
      </w:r>
      <w:r>
        <w:rPr>
          <w:bCs/>
        </w:rPr>
        <w:t>Seine-Maritime</w:t>
      </w:r>
      <w:r>
        <w:t>, Haute-Normandie, France.</w:t>
      </w:r>
    </w:p>
    <w:p w14:paraId="111129C7" w14:textId="77777777" w:rsidR="004C76BC" w:rsidRDefault="004C76BC" w:rsidP="004C76BC">
      <w:pPr>
        <w:autoSpaceDE w:val="0"/>
        <w:autoSpaceDN w:val="0"/>
        <w:adjustRightInd w:val="0"/>
        <w:ind w:left="357"/>
        <w:rPr>
          <w:color w:val="000000"/>
        </w:rPr>
      </w:pPr>
      <w:r>
        <w:rPr>
          <w:smallCaps/>
          <w:color w:val="000000"/>
        </w:rPr>
        <w:t>Formation</w:t>
      </w:r>
      <w:r>
        <w:rPr>
          <w:color w:val="000000"/>
        </w:rPr>
        <w:t xml:space="preserve">: </w:t>
      </w:r>
      <w:r>
        <w:t>Marnes de Bléville Formation.</w:t>
      </w:r>
    </w:p>
    <w:p w14:paraId="5A7C76C2" w14:textId="77777777" w:rsidR="004C76BC" w:rsidRDefault="004C76BC" w:rsidP="004C76BC">
      <w:pPr>
        <w:autoSpaceDE w:val="0"/>
        <w:autoSpaceDN w:val="0"/>
        <w:adjustRightInd w:val="0"/>
        <w:ind w:left="357"/>
        <w:rPr>
          <w:i/>
          <w:iCs/>
          <w:color w:val="000000"/>
        </w:rPr>
      </w:pPr>
      <w:r>
        <w:rPr>
          <w:smallCaps/>
          <w:color w:val="000000"/>
        </w:rPr>
        <w:t>Age</w:t>
      </w:r>
      <w:r>
        <w:rPr>
          <w:color w:val="000000"/>
        </w:rPr>
        <w:t>:</w:t>
      </w:r>
      <w:r>
        <w:rPr>
          <w:b/>
          <w:i/>
          <w:iCs/>
        </w:rPr>
        <w:t xml:space="preserve"> </w:t>
      </w:r>
      <w:r>
        <w:rPr>
          <w:rStyle w:val="st"/>
          <w:i/>
        </w:rPr>
        <w:t>Rasenia</w:t>
      </w:r>
      <w:r>
        <w:rPr>
          <w:rStyle w:val="st"/>
          <w:i/>
          <w:sz w:val="20"/>
          <w:szCs w:val="20"/>
        </w:rPr>
        <w:t xml:space="preserve"> </w:t>
      </w:r>
      <w:r>
        <w:rPr>
          <w:i/>
          <w:iCs/>
        </w:rPr>
        <w:t xml:space="preserve">cymodoce </w:t>
      </w:r>
      <w:r>
        <w:rPr>
          <w:iCs/>
        </w:rPr>
        <w:t xml:space="preserve">Sub-Boreal </w:t>
      </w:r>
      <w:r>
        <w:t>ammonite Zone,</w:t>
      </w:r>
      <w:r>
        <w:rPr>
          <w:color w:val="000000"/>
        </w:rPr>
        <w:t xml:space="preserve"> lower Kimmeridgian, Upper Jurassic.</w:t>
      </w:r>
    </w:p>
    <w:p w14:paraId="73E4C48B" w14:textId="77777777" w:rsidR="004C76BC" w:rsidRDefault="004C76BC" w:rsidP="004C76BC">
      <w:pPr>
        <w:ind w:left="720" w:hanging="720"/>
      </w:pPr>
    </w:p>
    <w:p w14:paraId="2A55010F" w14:textId="7436CF4A" w:rsidR="004C76BC" w:rsidRDefault="00E8075A" w:rsidP="004C76BC">
      <w:pPr>
        <w:ind w:left="720" w:hanging="720"/>
      </w:pPr>
      <w:r>
        <w:t>(129</w:t>
      </w:r>
      <w:r w:rsidR="004C76BC">
        <w:t>) '</w:t>
      </w:r>
      <w:r w:rsidR="004C76BC">
        <w:rPr>
          <w:i/>
        </w:rPr>
        <w:t>Metriorhynchus</w:t>
      </w:r>
      <w:r w:rsidR="004C76BC">
        <w:t xml:space="preserve">' </w:t>
      </w:r>
      <w:r w:rsidR="004C76BC">
        <w:rPr>
          <w:i/>
          <w:color w:val="000000"/>
        </w:rPr>
        <w:t>westermanni</w:t>
      </w:r>
      <w:r w:rsidR="004C76BC">
        <w:rPr>
          <w:color w:val="000000"/>
        </w:rPr>
        <w:t xml:space="preserve"> </w:t>
      </w:r>
      <w:r w:rsidR="004C76BC">
        <w:t>Gasparini, 1980</w:t>
      </w:r>
    </w:p>
    <w:p w14:paraId="1A1659F8"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w:t>
      </w:r>
      <w:r>
        <w:rPr>
          <w:rFonts w:eastAsia="TimesNewRomanPS-BoldMT"/>
          <w:bCs/>
        </w:rPr>
        <w:t xml:space="preserve">Gasparini </w:t>
      </w:r>
      <w:r>
        <w:rPr>
          <w:rFonts w:eastAsia="TimesNewRomanPS-BoldMT"/>
          <w:bCs/>
          <w:i/>
        </w:rPr>
        <w:t>et al</w:t>
      </w:r>
      <w:r>
        <w:rPr>
          <w:rFonts w:eastAsia="TimesNewRomanPS-BoldMT"/>
          <w:bCs/>
        </w:rPr>
        <w:t>. (</w:t>
      </w:r>
      <w:r>
        <w:t xml:space="preserve">2008), </w:t>
      </w:r>
      <w:r>
        <w:rPr>
          <w:color w:val="000000"/>
        </w:rPr>
        <w:t xml:space="preserve">Fernández </w:t>
      </w:r>
      <w:r>
        <w:rPr>
          <w:i/>
          <w:color w:val="000000"/>
        </w:rPr>
        <w:t>et al</w:t>
      </w:r>
      <w:r>
        <w:rPr>
          <w:color w:val="000000"/>
        </w:rPr>
        <w:t>. (2011)</w:t>
      </w:r>
      <w:r>
        <w:t>.</w:t>
      </w:r>
    </w:p>
    <w:p w14:paraId="66863770"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Placilla de Caracoles (type locality), and Sierra del Medio, Región de Antofagasta, Chile</w:t>
      </w:r>
    </w:p>
    <w:p w14:paraId="4609B44E" w14:textId="77777777" w:rsidR="004C76BC" w:rsidRDefault="004C76BC" w:rsidP="004C76BC">
      <w:pPr>
        <w:autoSpaceDE w:val="0"/>
        <w:autoSpaceDN w:val="0"/>
        <w:adjustRightInd w:val="0"/>
        <w:ind w:left="357"/>
        <w:rPr>
          <w:color w:val="000000"/>
        </w:rPr>
      </w:pPr>
      <w:r>
        <w:rPr>
          <w:smallCaps/>
          <w:color w:val="000000"/>
        </w:rPr>
        <w:t>Formation</w:t>
      </w:r>
      <w:r>
        <w:rPr>
          <w:color w:val="000000"/>
        </w:rPr>
        <w:t>: Mina Chica Formation (type locality) and Vergara Formation.</w:t>
      </w:r>
    </w:p>
    <w:p w14:paraId="7D56EE65" w14:textId="77777777" w:rsidR="004C76BC" w:rsidRDefault="004C76BC" w:rsidP="004C76BC">
      <w:pPr>
        <w:autoSpaceDE w:val="0"/>
        <w:autoSpaceDN w:val="0"/>
        <w:adjustRightInd w:val="0"/>
        <w:ind w:left="357"/>
        <w:rPr>
          <w:i/>
          <w:iCs/>
          <w:color w:val="000000"/>
        </w:rPr>
      </w:pPr>
      <w:r>
        <w:rPr>
          <w:smallCaps/>
          <w:color w:val="000000"/>
        </w:rPr>
        <w:t>Age</w:t>
      </w:r>
      <w:r>
        <w:rPr>
          <w:color w:val="000000"/>
        </w:rPr>
        <w:t>: Callovian and Oxfordian, Middle and Upper Jurassic.</w:t>
      </w:r>
    </w:p>
    <w:p w14:paraId="0B04A5A3" w14:textId="77777777" w:rsidR="004C76BC" w:rsidRDefault="004C76BC" w:rsidP="004C76BC">
      <w:pPr>
        <w:ind w:left="720" w:hanging="720"/>
      </w:pPr>
    </w:p>
    <w:p w14:paraId="4C5304F4" w14:textId="717EED66" w:rsidR="004C76BC" w:rsidRDefault="00E8075A" w:rsidP="004C76BC">
      <w:pPr>
        <w:ind w:left="720" w:hanging="720"/>
      </w:pPr>
      <w:r>
        <w:t>(130</w:t>
      </w:r>
      <w:r w:rsidR="004C76BC">
        <w:t>) Mr Leeds’ Dakosaur</w:t>
      </w:r>
    </w:p>
    <w:p w14:paraId="27F1DAF6"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 xml:space="preserve">: </w:t>
      </w:r>
      <w:r>
        <w:t>NHMUK PV R 3321, NHMUK PV R 4696, NHMUK PV R 4763.</w:t>
      </w:r>
    </w:p>
    <w:p w14:paraId="0469CC70"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69D49996"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1C14F27A" w14:textId="77777777" w:rsidR="004C76BC" w:rsidRDefault="004C76BC" w:rsidP="004C76BC">
      <w:pPr>
        <w:autoSpaceDE w:val="0"/>
        <w:autoSpaceDN w:val="0"/>
        <w:adjustRightInd w:val="0"/>
        <w:ind w:left="357"/>
        <w:rPr>
          <w:color w:val="000000"/>
        </w:rPr>
      </w:pPr>
      <w:r>
        <w:rPr>
          <w:smallCaps/>
          <w:color w:val="000000"/>
        </w:rPr>
        <w:t>Age</w:t>
      </w:r>
      <w:r>
        <w:rPr>
          <w:color w:val="000000"/>
        </w:rPr>
        <w:t>: middle Callovian, Middle Jurassic.</w:t>
      </w:r>
    </w:p>
    <w:p w14:paraId="6AA6E3C5" w14:textId="77777777" w:rsidR="004C76BC" w:rsidRDefault="004C76BC" w:rsidP="004C76BC">
      <w:pPr>
        <w:ind w:left="720" w:hanging="720"/>
      </w:pPr>
    </w:p>
    <w:p w14:paraId="1F7CF846" w14:textId="492203C8" w:rsidR="004C76BC" w:rsidRDefault="00E8075A" w:rsidP="004C76BC">
      <w:pPr>
        <w:ind w:left="720" w:hanging="720"/>
      </w:pPr>
      <w:r>
        <w:t>(131</w:t>
      </w:r>
      <w:r w:rsidR="004C76BC">
        <w:t>) Mr Passmore’s Specimen</w:t>
      </w:r>
    </w:p>
    <w:p w14:paraId="184D6B00"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OUMNH J1583.</w:t>
      </w:r>
    </w:p>
    <w:p w14:paraId="6D0EA31B" w14:textId="77777777" w:rsidR="004C76BC" w:rsidRDefault="004C76BC" w:rsidP="004C76BC">
      <w:pPr>
        <w:autoSpaceDE w:val="0"/>
        <w:autoSpaceDN w:val="0"/>
        <w:adjustRightInd w:val="0"/>
        <w:ind w:left="357"/>
        <w:rPr>
          <w:color w:val="000000"/>
        </w:rPr>
      </w:pPr>
      <w:r>
        <w:rPr>
          <w:smallCaps/>
          <w:color w:val="000000"/>
        </w:rPr>
        <w:t>Locality</w:t>
      </w:r>
      <w:r>
        <w:rPr>
          <w:color w:val="000000"/>
        </w:rPr>
        <w:t>: Swindon, Wiltshire, UK.</w:t>
      </w:r>
    </w:p>
    <w:p w14:paraId="65944748" w14:textId="77777777" w:rsidR="004C76BC" w:rsidRDefault="004C76BC" w:rsidP="004C76BC">
      <w:pPr>
        <w:autoSpaceDE w:val="0"/>
        <w:autoSpaceDN w:val="0"/>
        <w:adjustRightInd w:val="0"/>
        <w:ind w:left="357"/>
        <w:rPr>
          <w:color w:val="000000"/>
        </w:rPr>
      </w:pPr>
      <w:r>
        <w:rPr>
          <w:smallCaps/>
          <w:color w:val="000000"/>
        </w:rPr>
        <w:t>Formation</w:t>
      </w:r>
      <w:r>
        <w:rPr>
          <w:color w:val="000000"/>
        </w:rPr>
        <w:t>: upper Kimmeridge Clay Formation.</w:t>
      </w:r>
    </w:p>
    <w:p w14:paraId="047F7465" w14:textId="77777777" w:rsidR="004C76BC" w:rsidRDefault="004C76BC" w:rsidP="004C76BC">
      <w:pPr>
        <w:autoSpaceDE w:val="0"/>
        <w:autoSpaceDN w:val="0"/>
        <w:adjustRightInd w:val="0"/>
        <w:ind w:left="357"/>
        <w:rPr>
          <w:i/>
          <w:iCs/>
          <w:color w:val="000000"/>
        </w:rPr>
      </w:pPr>
      <w:r>
        <w:rPr>
          <w:smallCaps/>
          <w:color w:val="000000"/>
        </w:rPr>
        <w:t>Age</w:t>
      </w:r>
      <w:r>
        <w:rPr>
          <w:color w:val="000000"/>
        </w:rPr>
        <w:t>: lower Tithonian, Upper Jurassic.</w:t>
      </w:r>
    </w:p>
    <w:p w14:paraId="28A0F500" w14:textId="77777777" w:rsidR="004C76BC" w:rsidRDefault="004C76BC" w:rsidP="004C76BC">
      <w:pPr>
        <w:ind w:left="720" w:hanging="720"/>
      </w:pPr>
    </w:p>
    <w:p w14:paraId="41E3BE37" w14:textId="6B955C61" w:rsidR="004C76BC" w:rsidRDefault="00E8075A" w:rsidP="004C76BC">
      <w:pPr>
        <w:ind w:left="720" w:hanging="720"/>
      </w:pPr>
      <w:r>
        <w:lastRenderedPageBreak/>
        <w:t>(132</w:t>
      </w:r>
      <w:r w:rsidR="004C76BC">
        <w:t>)</w:t>
      </w:r>
      <w:r w:rsidR="004C76BC">
        <w:rPr>
          <w:i/>
        </w:rPr>
        <w:t xml:space="preserve"> Neptunidraco ammoniticus</w:t>
      </w:r>
      <w:r w:rsidR="004C76BC">
        <w:rPr>
          <w:color w:val="000000"/>
        </w:rPr>
        <w:t xml:space="preserve"> </w:t>
      </w:r>
      <w:r w:rsidR="004C76BC">
        <w:t>Cau &amp; Fanti, 2011</w:t>
      </w:r>
    </w:p>
    <w:p w14:paraId="59052D2E"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Cau &amp; Fanti (2011).</w:t>
      </w:r>
    </w:p>
    <w:p w14:paraId="36A31873" w14:textId="77777777" w:rsidR="004C76BC" w:rsidRDefault="004C76BC" w:rsidP="004C76BC">
      <w:pPr>
        <w:autoSpaceDE w:val="0"/>
        <w:autoSpaceDN w:val="0"/>
        <w:adjustRightInd w:val="0"/>
        <w:ind w:left="357"/>
        <w:rPr>
          <w:color w:val="000000"/>
        </w:rPr>
      </w:pPr>
      <w:r>
        <w:rPr>
          <w:smallCaps/>
          <w:color w:val="000000"/>
        </w:rPr>
        <w:t>Locality</w:t>
      </w:r>
      <w:r>
        <w:rPr>
          <w:color w:val="000000"/>
        </w:rPr>
        <w:t>: unknown, but near Sant’Ambrogio di Valpolicella, Verona, Italty.</w:t>
      </w:r>
    </w:p>
    <w:p w14:paraId="29EDCC58" w14:textId="77777777" w:rsidR="004C76BC" w:rsidRDefault="004C76BC" w:rsidP="004C76BC">
      <w:pPr>
        <w:autoSpaceDE w:val="0"/>
        <w:autoSpaceDN w:val="0"/>
        <w:adjustRightInd w:val="0"/>
        <w:ind w:left="357"/>
        <w:rPr>
          <w:color w:val="000000"/>
        </w:rPr>
      </w:pPr>
      <w:r>
        <w:rPr>
          <w:smallCaps/>
          <w:color w:val="000000"/>
        </w:rPr>
        <w:t>Formation</w:t>
      </w:r>
      <w:r>
        <w:rPr>
          <w:color w:val="000000"/>
        </w:rPr>
        <w:t>: pseudonodular facies of lowermost Rosso Ammonitico Veronese Formation.</w:t>
      </w:r>
    </w:p>
    <w:p w14:paraId="22C51A45"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color w:val="000000"/>
        </w:rPr>
        <w:t>Parkinsonia parkinsoni</w:t>
      </w:r>
      <w:r>
        <w:rPr>
          <w:color w:val="000000"/>
        </w:rPr>
        <w:t xml:space="preserve"> ammonite Zone, uppermost Bajocian, Middle Jurassic.</w:t>
      </w:r>
    </w:p>
    <w:p w14:paraId="7E8D9BC9" w14:textId="77777777" w:rsidR="004C76BC" w:rsidRDefault="004C76BC" w:rsidP="004C76BC">
      <w:pPr>
        <w:ind w:left="720" w:hanging="720"/>
      </w:pPr>
    </w:p>
    <w:p w14:paraId="199E5C3E" w14:textId="14BF912F" w:rsidR="004C76BC" w:rsidRDefault="00E8075A" w:rsidP="004C76BC">
      <w:pPr>
        <w:autoSpaceDE w:val="0"/>
        <w:autoSpaceDN w:val="0"/>
        <w:adjustRightInd w:val="0"/>
        <w:ind w:left="720" w:hanging="720"/>
      </w:pPr>
      <w:r>
        <w:rPr>
          <w:color w:val="000000"/>
        </w:rPr>
        <w:t>(133</w:t>
      </w:r>
      <w:r w:rsidR="004C76BC">
        <w:rPr>
          <w:color w:val="000000"/>
        </w:rPr>
        <w:t xml:space="preserve">) </w:t>
      </w:r>
      <w:r w:rsidR="004C76BC">
        <w:rPr>
          <w:i/>
          <w:color w:val="000000"/>
        </w:rPr>
        <w:t>Plesiosuchus manselii</w:t>
      </w:r>
      <w:r w:rsidR="004C76BC">
        <w:t xml:space="preserve"> (Hulke, 1870)</w:t>
      </w:r>
    </w:p>
    <w:p w14:paraId="6B45717D"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NHMUK PV OR 40103 and</w:t>
      </w:r>
      <w:r>
        <w:rPr>
          <w:b/>
        </w:rPr>
        <w:t xml:space="preserve"> </w:t>
      </w:r>
      <w:r>
        <w:t xml:space="preserve">NHMUK PV OR 40103a (holotype), NHMUK PV R 1089, </w:t>
      </w:r>
      <w:bookmarkStart w:id="45" w:name="_Hlk479276134"/>
      <w:r>
        <w:t>MJML</w:t>
      </w:r>
      <w:bookmarkEnd w:id="45"/>
      <w:r>
        <w:t xml:space="preserve"> K181, MJML K434.</w:t>
      </w:r>
    </w:p>
    <w:p w14:paraId="621FC6BD" w14:textId="77777777" w:rsidR="004C76BC" w:rsidRDefault="004C76BC" w:rsidP="004C76BC">
      <w:pPr>
        <w:autoSpaceDE w:val="0"/>
        <w:autoSpaceDN w:val="0"/>
        <w:adjustRightInd w:val="0"/>
        <w:ind w:left="357"/>
        <w:rPr>
          <w:color w:val="000000"/>
        </w:rPr>
      </w:pPr>
      <w:r>
        <w:rPr>
          <w:smallCaps/>
          <w:color w:val="000000"/>
        </w:rPr>
        <w:t>Localities</w:t>
      </w:r>
      <w:r>
        <w:rPr>
          <w:color w:val="000000"/>
        </w:rPr>
        <w:t>: Westbury, Wiltshire; and Kimmeridge, Dorset (type locality), England, UK.</w:t>
      </w:r>
    </w:p>
    <w:p w14:paraId="78182416" w14:textId="77777777" w:rsidR="004C76BC" w:rsidRDefault="004C76BC" w:rsidP="004C76BC">
      <w:pPr>
        <w:autoSpaceDE w:val="0"/>
        <w:autoSpaceDN w:val="0"/>
        <w:adjustRightInd w:val="0"/>
        <w:ind w:left="357"/>
        <w:rPr>
          <w:color w:val="000000"/>
        </w:rPr>
      </w:pPr>
      <w:r>
        <w:rPr>
          <w:smallCaps/>
          <w:color w:val="000000"/>
        </w:rPr>
        <w:t>Formation</w:t>
      </w:r>
      <w:r>
        <w:rPr>
          <w:color w:val="000000"/>
        </w:rPr>
        <w:t>: Kimmeridge Clay Formation, Ancholme Group.</w:t>
      </w:r>
    </w:p>
    <w:p w14:paraId="512D619E"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 xml:space="preserve">eudoxus </w:t>
      </w:r>
      <w:r>
        <w:rPr>
          <w:iCs/>
        </w:rPr>
        <w:t xml:space="preserve">Sub-Boreal </w:t>
      </w:r>
      <w:r>
        <w:rPr>
          <w:color w:val="000000"/>
        </w:rPr>
        <w:t xml:space="preserve">ammonite Zone, upper Kimmeridgian, to </w:t>
      </w:r>
      <w:r>
        <w:rPr>
          <w:i/>
        </w:rPr>
        <w:t>Pectinatites wheatleyensis</w:t>
      </w:r>
      <w:r>
        <w:t xml:space="preserve"> </w:t>
      </w:r>
      <w:r>
        <w:rPr>
          <w:iCs/>
        </w:rPr>
        <w:t xml:space="preserve">Sub-Boreal ammonite </w:t>
      </w:r>
      <w:r>
        <w:t xml:space="preserve">Zone, lower Tithonian, </w:t>
      </w:r>
      <w:r>
        <w:rPr>
          <w:color w:val="000000"/>
        </w:rPr>
        <w:t>Upper Jurassic.</w:t>
      </w:r>
    </w:p>
    <w:p w14:paraId="5506CD87" w14:textId="77777777" w:rsidR="004C76BC" w:rsidRDefault="004C76BC" w:rsidP="004C76BC">
      <w:pPr>
        <w:autoSpaceDE w:val="0"/>
        <w:autoSpaceDN w:val="0"/>
        <w:adjustRightInd w:val="0"/>
        <w:ind w:left="720" w:hanging="720"/>
      </w:pPr>
    </w:p>
    <w:p w14:paraId="010799CD" w14:textId="18000BE0" w:rsidR="004C76BC" w:rsidRDefault="00E8075A" w:rsidP="004C76BC">
      <w:pPr>
        <w:autoSpaceDE w:val="0"/>
        <w:autoSpaceDN w:val="0"/>
        <w:adjustRightInd w:val="0"/>
        <w:ind w:left="720" w:hanging="720"/>
      </w:pPr>
      <w:r>
        <w:rPr>
          <w:color w:val="000000"/>
        </w:rPr>
        <w:t>(134</w:t>
      </w:r>
      <w:r w:rsidR="004C76BC">
        <w:rPr>
          <w:color w:val="000000"/>
        </w:rPr>
        <w:t xml:space="preserve">) </w:t>
      </w:r>
      <w:r w:rsidR="004C76BC">
        <w:rPr>
          <w:i/>
          <w:color w:val="000000"/>
        </w:rPr>
        <w:t>Purranisaurus potens</w:t>
      </w:r>
      <w:r w:rsidR="004C76BC">
        <w:t xml:space="preserve"> Rusconi, 1948</w:t>
      </w:r>
    </w:p>
    <w:p w14:paraId="1BA3F437"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Herrera et al. (2015); high quality photographs of the holotype by Yanina Herrera.</w:t>
      </w:r>
    </w:p>
    <w:p w14:paraId="7BDC91EF" w14:textId="77777777" w:rsidR="004C76BC" w:rsidRDefault="004C76BC" w:rsidP="004C76BC">
      <w:pPr>
        <w:autoSpaceDE w:val="0"/>
        <w:autoSpaceDN w:val="0"/>
        <w:adjustRightInd w:val="0"/>
        <w:ind w:left="357"/>
        <w:rPr>
          <w:rFonts w:eastAsiaTheme="minorHAnsi"/>
          <w:lang w:eastAsia="en-US"/>
        </w:rPr>
      </w:pPr>
      <w:r>
        <w:rPr>
          <w:smallCaps/>
          <w:color w:val="000000"/>
        </w:rPr>
        <w:t>Locality</w:t>
      </w:r>
      <w:r>
        <w:rPr>
          <w:color w:val="000000"/>
        </w:rPr>
        <w:t xml:space="preserve">: Arroyo del </w:t>
      </w:r>
      <w:r>
        <w:rPr>
          <w:rFonts w:eastAsiaTheme="minorHAnsi"/>
          <w:lang w:eastAsia="en-US"/>
        </w:rPr>
        <w:t>Arroyo del Cajón Grande, southwest Malargüe Department, Mendoza Province, Argentina.</w:t>
      </w:r>
    </w:p>
    <w:p w14:paraId="57D76CC1" w14:textId="77777777" w:rsidR="004C76BC" w:rsidRDefault="004C76BC" w:rsidP="004C76BC">
      <w:pPr>
        <w:autoSpaceDE w:val="0"/>
        <w:autoSpaceDN w:val="0"/>
        <w:adjustRightInd w:val="0"/>
        <w:ind w:left="357"/>
        <w:rPr>
          <w:color w:val="000000"/>
        </w:rPr>
      </w:pPr>
      <w:r>
        <w:rPr>
          <w:smallCaps/>
          <w:color w:val="000000"/>
        </w:rPr>
        <w:t>Formation</w:t>
      </w:r>
      <w:r>
        <w:rPr>
          <w:color w:val="000000"/>
        </w:rPr>
        <w:t>: Vaca Muerta Formation, Mendoza Group. Neuquén Basin.</w:t>
      </w:r>
    </w:p>
    <w:p w14:paraId="7E741222"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rFonts w:eastAsiaTheme="minorHAnsi"/>
          <w:i/>
          <w:lang w:eastAsia="en-US"/>
        </w:rPr>
        <w:t>Substeueroceras koeneni</w:t>
      </w:r>
      <w:r>
        <w:rPr>
          <w:rFonts w:eastAsiaTheme="minorHAnsi"/>
          <w:lang w:eastAsia="en-US"/>
        </w:rPr>
        <w:t xml:space="preserve"> ammonite Zone, upper Tithonian or lower Berriasian, Upper Jurassic or Lower Cretaceous.</w:t>
      </w:r>
    </w:p>
    <w:p w14:paraId="45E8A361" w14:textId="77777777" w:rsidR="004C76BC" w:rsidRDefault="004C76BC" w:rsidP="004C76BC">
      <w:pPr>
        <w:autoSpaceDE w:val="0"/>
        <w:autoSpaceDN w:val="0"/>
        <w:adjustRightInd w:val="0"/>
        <w:ind w:left="720" w:hanging="720"/>
      </w:pPr>
    </w:p>
    <w:p w14:paraId="08D091FD" w14:textId="44C5DD68" w:rsidR="004C76BC" w:rsidRDefault="00E8075A" w:rsidP="004C76BC">
      <w:pPr>
        <w:autoSpaceDE w:val="0"/>
        <w:autoSpaceDN w:val="0"/>
        <w:adjustRightInd w:val="0"/>
        <w:ind w:left="720" w:hanging="720"/>
      </w:pPr>
      <w:r>
        <w:rPr>
          <w:color w:val="000000"/>
        </w:rPr>
        <w:t>(135</w:t>
      </w:r>
      <w:r w:rsidR="004C76BC">
        <w:rPr>
          <w:color w:val="000000"/>
        </w:rPr>
        <w:t xml:space="preserve">) </w:t>
      </w:r>
      <w:r w:rsidR="004C76BC">
        <w:rPr>
          <w:i/>
          <w:color w:val="000000"/>
        </w:rPr>
        <w:t xml:space="preserve">Suchodus durobrivensis </w:t>
      </w:r>
      <w:r w:rsidR="004C76BC">
        <w:t>Lydekker, 1890</w:t>
      </w:r>
    </w:p>
    <w:p w14:paraId="447D50E8"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rPr>
          <w:b/>
        </w:rPr>
        <w:t xml:space="preserve"> </w:t>
      </w:r>
      <w:r>
        <w:t>NHMUK PV R 1994 (holotype), NHMUK PV R 2039</w:t>
      </w:r>
    </w:p>
    <w:p w14:paraId="16959E63"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04EA0819"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2145492D" w14:textId="77777777" w:rsidR="004C76BC" w:rsidRDefault="004C76BC" w:rsidP="004C76BC">
      <w:pPr>
        <w:autoSpaceDE w:val="0"/>
        <w:autoSpaceDN w:val="0"/>
        <w:adjustRightInd w:val="0"/>
        <w:ind w:left="357"/>
        <w:rPr>
          <w:color w:val="000000"/>
        </w:rPr>
      </w:pPr>
      <w:r>
        <w:rPr>
          <w:smallCaps/>
          <w:color w:val="000000"/>
        </w:rPr>
        <w:t>Age</w:t>
      </w:r>
      <w:r>
        <w:rPr>
          <w:color w:val="000000"/>
        </w:rPr>
        <w:t>: middle Callovian, Middle Jurassic.</w:t>
      </w:r>
    </w:p>
    <w:p w14:paraId="7A150F9F" w14:textId="77777777" w:rsidR="004C76BC" w:rsidRDefault="004C76BC" w:rsidP="004C76BC">
      <w:pPr>
        <w:ind w:left="720" w:hanging="720"/>
        <w:rPr>
          <w:i/>
          <w:color w:val="000000"/>
        </w:rPr>
      </w:pPr>
    </w:p>
    <w:p w14:paraId="15054385" w14:textId="641FB19E" w:rsidR="004C76BC" w:rsidRDefault="00E8075A" w:rsidP="004C76BC">
      <w:pPr>
        <w:ind w:left="720" w:hanging="720"/>
      </w:pPr>
      <w:r>
        <w:rPr>
          <w:color w:val="000000"/>
        </w:rPr>
        <w:t>(136</w:t>
      </w:r>
      <w:r w:rsidR="004C76BC">
        <w:rPr>
          <w:color w:val="000000"/>
        </w:rPr>
        <w:t xml:space="preserve">) </w:t>
      </w:r>
      <w:r w:rsidR="004C76BC">
        <w:rPr>
          <w:i/>
          <w:color w:val="000000"/>
        </w:rPr>
        <w:t>Torvoneustes</w:t>
      </w:r>
      <w:r w:rsidR="004C76BC">
        <w:rPr>
          <w:color w:val="000000"/>
        </w:rPr>
        <w:t xml:space="preserve"> </w:t>
      </w:r>
      <w:r w:rsidR="004C76BC">
        <w:rPr>
          <w:i/>
          <w:color w:val="000000"/>
        </w:rPr>
        <w:t>carpenteri</w:t>
      </w:r>
      <w:r w:rsidR="004C76BC">
        <w:rPr>
          <w:color w:val="000000"/>
        </w:rPr>
        <w:t xml:space="preserve"> </w:t>
      </w:r>
      <w:r w:rsidR="004C76BC">
        <w:rPr>
          <w:iCs/>
          <w:color w:val="000000"/>
        </w:rPr>
        <w:t>(</w:t>
      </w:r>
      <w:r w:rsidR="004C76BC">
        <w:rPr>
          <w:color w:val="000000"/>
        </w:rPr>
        <w:t xml:space="preserve">Wilkinson </w:t>
      </w:r>
      <w:r w:rsidR="004C76BC">
        <w:rPr>
          <w:i/>
          <w:iCs/>
          <w:color w:val="000000"/>
        </w:rPr>
        <w:t>et al.</w:t>
      </w:r>
      <w:r w:rsidR="004C76BC">
        <w:rPr>
          <w:color w:val="000000"/>
        </w:rPr>
        <w:t>, 2008)</w:t>
      </w:r>
    </w:p>
    <w:p w14:paraId="05FC096E"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bookmarkStart w:id="46" w:name="_Hlk479276146"/>
      <w:r>
        <w:rPr>
          <w:color w:val="000000"/>
        </w:rPr>
        <w:t xml:space="preserve">BRSMG </w:t>
      </w:r>
      <w:bookmarkEnd w:id="46"/>
      <w:r>
        <w:rPr>
          <w:color w:val="000000"/>
        </w:rPr>
        <w:t xml:space="preserve">Ce 17365 (holotype), BRSMG Cd 7203; Wilkinson </w:t>
      </w:r>
      <w:r>
        <w:rPr>
          <w:i/>
          <w:iCs/>
          <w:color w:val="000000"/>
        </w:rPr>
        <w:t xml:space="preserve">et al. </w:t>
      </w:r>
      <w:r>
        <w:rPr>
          <w:color w:val="000000"/>
        </w:rPr>
        <w:t xml:space="preserve">(2008), Andrade (2010), Andrade </w:t>
      </w:r>
      <w:r>
        <w:rPr>
          <w:i/>
          <w:iCs/>
          <w:color w:val="000000"/>
        </w:rPr>
        <w:t xml:space="preserve">et al. </w:t>
      </w:r>
      <w:r>
        <w:rPr>
          <w:color w:val="000000"/>
        </w:rPr>
        <w:t>(2010).</w:t>
      </w:r>
    </w:p>
    <w:p w14:paraId="310278B5" w14:textId="77777777" w:rsidR="004C76BC" w:rsidRDefault="004C76BC" w:rsidP="004C76BC">
      <w:pPr>
        <w:autoSpaceDE w:val="0"/>
        <w:autoSpaceDN w:val="0"/>
        <w:adjustRightInd w:val="0"/>
        <w:ind w:left="357"/>
        <w:rPr>
          <w:color w:val="000000"/>
        </w:rPr>
      </w:pPr>
      <w:r>
        <w:rPr>
          <w:smallCaps/>
          <w:color w:val="000000"/>
        </w:rPr>
        <w:t xml:space="preserve">Locality: </w:t>
      </w:r>
      <w:r>
        <w:rPr>
          <w:color w:val="000000"/>
        </w:rPr>
        <w:t>Westbury, Wiltshire, England, UK.</w:t>
      </w:r>
    </w:p>
    <w:p w14:paraId="46DD96FD" w14:textId="77777777" w:rsidR="004C76BC" w:rsidRDefault="004C76BC" w:rsidP="004C76BC">
      <w:pPr>
        <w:autoSpaceDE w:val="0"/>
        <w:autoSpaceDN w:val="0"/>
        <w:adjustRightInd w:val="0"/>
        <w:ind w:left="357"/>
        <w:rPr>
          <w:color w:val="000000"/>
        </w:rPr>
      </w:pPr>
      <w:r>
        <w:rPr>
          <w:smallCaps/>
          <w:color w:val="000000"/>
        </w:rPr>
        <w:t>Formation</w:t>
      </w:r>
      <w:r>
        <w:rPr>
          <w:color w:val="000000"/>
        </w:rPr>
        <w:t>: lower Kimmeridge Clay Formation, Ancholme Group.</w:t>
      </w:r>
    </w:p>
    <w:p w14:paraId="3DF63C94"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 xml:space="preserve">eudoxus </w:t>
      </w:r>
      <w:r>
        <w:rPr>
          <w:iCs/>
        </w:rPr>
        <w:t xml:space="preserve">Sub-Boreal </w:t>
      </w:r>
      <w:r>
        <w:rPr>
          <w:color w:val="000000"/>
        </w:rPr>
        <w:t>ammonite Zone, upper Kimmeridgian, Upper Jurassic.</w:t>
      </w:r>
    </w:p>
    <w:p w14:paraId="2A7EDD59" w14:textId="77777777" w:rsidR="004C76BC" w:rsidRDefault="004C76BC" w:rsidP="004C76BC">
      <w:pPr>
        <w:ind w:left="720" w:hanging="720"/>
      </w:pPr>
    </w:p>
    <w:p w14:paraId="5FFE622B" w14:textId="20778EE4" w:rsidR="004C76BC" w:rsidRDefault="00E8075A" w:rsidP="004C76BC">
      <w:pPr>
        <w:ind w:left="720" w:hanging="720"/>
      </w:pPr>
      <w:r>
        <w:rPr>
          <w:color w:val="000000"/>
        </w:rPr>
        <w:t>(137</w:t>
      </w:r>
      <w:r w:rsidR="004C76BC">
        <w:rPr>
          <w:color w:val="000000"/>
        </w:rPr>
        <w:t xml:space="preserve">) </w:t>
      </w:r>
      <w:r w:rsidR="004C76BC">
        <w:rPr>
          <w:i/>
          <w:color w:val="000000"/>
        </w:rPr>
        <w:t>Torvoneustes coryphaeus</w:t>
      </w:r>
      <w:r w:rsidR="004C76BC">
        <w:t xml:space="preserve"> Young </w:t>
      </w:r>
      <w:r w:rsidR="004C76BC">
        <w:rPr>
          <w:i/>
        </w:rPr>
        <w:t>et al</w:t>
      </w:r>
      <w:r w:rsidR="004C76BC">
        <w:t>., 2013b</w:t>
      </w:r>
    </w:p>
    <w:p w14:paraId="3D08E65C"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MJML K1863 (holotype).</w:t>
      </w:r>
    </w:p>
    <w:p w14:paraId="197A2FFD" w14:textId="77777777" w:rsidR="004C76BC" w:rsidRDefault="004C76BC" w:rsidP="004C76BC">
      <w:pPr>
        <w:autoSpaceDE w:val="0"/>
        <w:autoSpaceDN w:val="0"/>
        <w:adjustRightInd w:val="0"/>
        <w:ind w:left="357"/>
        <w:rPr>
          <w:color w:val="000000"/>
        </w:rPr>
      </w:pPr>
      <w:r>
        <w:rPr>
          <w:smallCaps/>
          <w:color w:val="000000"/>
        </w:rPr>
        <w:t>Locality</w:t>
      </w:r>
      <w:r>
        <w:rPr>
          <w:color w:val="000000"/>
        </w:rPr>
        <w:t>: Swindon, Wiltshire, UK.</w:t>
      </w:r>
    </w:p>
    <w:p w14:paraId="7F8FCB35" w14:textId="77777777" w:rsidR="004C76BC" w:rsidRDefault="004C76BC" w:rsidP="004C76BC">
      <w:pPr>
        <w:autoSpaceDE w:val="0"/>
        <w:autoSpaceDN w:val="0"/>
        <w:adjustRightInd w:val="0"/>
        <w:ind w:left="357"/>
        <w:rPr>
          <w:color w:val="000000"/>
        </w:rPr>
      </w:pPr>
      <w:r>
        <w:rPr>
          <w:smallCaps/>
          <w:color w:val="000000"/>
        </w:rPr>
        <w:t>Formation</w:t>
      </w:r>
      <w:r>
        <w:rPr>
          <w:color w:val="000000"/>
        </w:rPr>
        <w:t>: lower Kimmeridge Clay Formation, Ancholme Group.</w:t>
      </w:r>
    </w:p>
    <w:p w14:paraId="4A73A956"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rPr>
        <w:t xml:space="preserve">Pictonia baylei </w:t>
      </w:r>
      <w:r>
        <w:rPr>
          <w:iCs/>
        </w:rPr>
        <w:t xml:space="preserve">Sub-Boreal ammonite </w:t>
      </w:r>
      <w:r>
        <w:t>Zone, lower Kimmeridgian, Upper Jurassic.</w:t>
      </w:r>
    </w:p>
    <w:p w14:paraId="52343676" w14:textId="77777777" w:rsidR="004C76BC" w:rsidRDefault="004C76BC" w:rsidP="004C76BC">
      <w:pPr>
        <w:ind w:left="720" w:hanging="720"/>
      </w:pPr>
    </w:p>
    <w:p w14:paraId="381A2E20" w14:textId="328C8F93" w:rsidR="004C76BC" w:rsidRDefault="00E8075A" w:rsidP="004C76BC">
      <w:pPr>
        <w:ind w:left="720" w:hanging="720"/>
      </w:pPr>
      <w:r>
        <w:rPr>
          <w:color w:val="000000"/>
        </w:rPr>
        <w:t>(138</w:t>
      </w:r>
      <w:r w:rsidR="004C76BC">
        <w:rPr>
          <w:color w:val="000000"/>
        </w:rPr>
        <w:t xml:space="preserve">) </w:t>
      </w:r>
      <w:r w:rsidR="004C76BC">
        <w:rPr>
          <w:i/>
          <w:color w:val="000000"/>
        </w:rPr>
        <w:t xml:space="preserve">Torvoneustes </w:t>
      </w:r>
      <w:r w:rsidR="004C76BC">
        <w:rPr>
          <w:color w:val="000000"/>
        </w:rPr>
        <w:t>sp.</w:t>
      </w:r>
      <w:r w:rsidR="004C76BC">
        <w:t xml:space="preserve"> </w:t>
      </w:r>
      <w:r w:rsidR="004C76BC">
        <w:rPr>
          <w:color w:val="000000"/>
        </w:rPr>
        <w:t>[fragmentary taxon]</w:t>
      </w:r>
    </w:p>
    <w:p w14:paraId="5F68529F"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MJML K1707.</w:t>
      </w:r>
    </w:p>
    <w:p w14:paraId="4036852A" w14:textId="77777777" w:rsidR="004C76BC" w:rsidRDefault="004C76BC" w:rsidP="004C76BC">
      <w:pPr>
        <w:autoSpaceDE w:val="0"/>
        <w:autoSpaceDN w:val="0"/>
        <w:adjustRightInd w:val="0"/>
        <w:ind w:left="357"/>
        <w:rPr>
          <w:color w:val="000000"/>
        </w:rPr>
      </w:pPr>
      <w:r>
        <w:rPr>
          <w:smallCaps/>
          <w:color w:val="000000"/>
        </w:rPr>
        <w:t>Locality</w:t>
      </w:r>
      <w:r>
        <w:rPr>
          <w:color w:val="000000"/>
        </w:rPr>
        <w:t>: Kimmeridge Bay, Dorset, UK.</w:t>
      </w:r>
    </w:p>
    <w:p w14:paraId="069F6937" w14:textId="77777777" w:rsidR="004C76BC" w:rsidRDefault="004C76BC" w:rsidP="004C76BC">
      <w:pPr>
        <w:autoSpaceDE w:val="0"/>
        <w:autoSpaceDN w:val="0"/>
        <w:adjustRightInd w:val="0"/>
        <w:ind w:left="357"/>
        <w:rPr>
          <w:color w:val="000000"/>
        </w:rPr>
      </w:pPr>
      <w:r>
        <w:rPr>
          <w:smallCaps/>
          <w:color w:val="000000"/>
        </w:rPr>
        <w:t>Formation</w:t>
      </w:r>
      <w:r>
        <w:rPr>
          <w:color w:val="000000"/>
        </w:rPr>
        <w:t>: Dorset succession, lower Kimmeridge Clay Formation, Ancholme Group.</w:t>
      </w:r>
    </w:p>
    <w:p w14:paraId="2C940500" w14:textId="77777777" w:rsidR="004C76BC" w:rsidRDefault="004C76BC" w:rsidP="004C76BC">
      <w:pPr>
        <w:autoSpaceDE w:val="0"/>
        <w:autoSpaceDN w:val="0"/>
        <w:adjustRightInd w:val="0"/>
        <w:ind w:left="357"/>
        <w:rPr>
          <w:i/>
          <w:iCs/>
          <w:color w:val="000000"/>
        </w:rPr>
      </w:pPr>
      <w:r>
        <w:rPr>
          <w:smallCaps/>
          <w:color w:val="000000"/>
        </w:rPr>
        <w:t>Age</w:t>
      </w:r>
      <w:r>
        <w:rPr>
          <w:color w:val="000000"/>
        </w:rPr>
        <w:t xml:space="preserve">: </w:t>
      </w:r>
      <w:r>
        <w:rPr>
          <w:i/>
          <w:iCs/>
        </w:rPr>
        <w:t>Aulacostephanus</w:t>
      </w:r>
      <w:r>
        <w:rPr>
          <w:b/>
          <w:i/>
          <w:iCs/>
        </w:rPr>
        <w:t xml:space="preserve"> </w:t>
      </w:r>
      <w:r>
        <w:rPr>
          <w:i/>
          <w:iCs/>
        </w:rPr>
        <w:t xml:space="preserve">autossiodorensis </w:t>
      </w:r>
      <w:r>
        <w:rPr>
          <w:iCs/>
        </w:rPr>
        <w:t xml:space="preserve">Sub-Boreal </w:t>
      </w:r>
      <w:r>
        <w:rPr>
          <w:color w:val="000000"/>
        </w:rPr>
        <w:t>ammonite Zone, upper Kimmeridgian, Upper Jurassic.</w:t>
      </w:r>
    </w:p>
    <w:p w14:paraId="4590964F" w14:textId="77777777" w:rsidR="004C76BC" w:rsidRDefault="004C76BC" w:rsidP="004C76BC">
      <w:pPr>
        <w:ind w:left="720" w:hanging="720"/>
      </w:pPr>
    </w:p>
    <w:p w14:paraId="56E32F36" w14:textId="310DD9B8" w:rsidR="004C76BC" w:rsidRDefault="00E8075A" w:rsidP="004C76BC">
      <w:pPr>
        <w:ind w:left="720" w:hanging="720"/>
      </w:pPr>
      <w:r>
        <w:lastRenderedPageBreak/>
        <w:t>(139</w:t>
      </w:r>
      <w:r w:rsidR="004C76BC">
        <w:t xml:space="preserve">) </w:t>
      </w:r>
      <w:r w:rsidR="004C76BC">
        <w:rPr>
          <w:i/>
        </w:rPr>
        <w:t>Tyrannoneustes lythrodectikos</w:t>
      </w:r>
      <w:r w:rsidR="004C76BC">
        <w:t xml:space="preserve"> Young </w:t>
      </w:r>
      <w:r w:rsidR="004C76BC">
        <w:rPr>
          <w:i/>
        </w:rPr>
        <w:t>et al</w:t>
      </w:r>
      <w:r w:rsidR="004C76BC">
        <w:t>., 2013a</w:t>
      </w:r>
    </w:p>
    <w:p w14:paraId="649714A4" w14:textId="77777777" w:rsidR="004C76BC" w:rsidRDefault="004C76BC" w:rsidP="004C76BC">
      <w:pPr>
        <w:autoSpaceDE w:val="0"/>
        <w:autoSpaceDN w:val="0"/>
        <w:adjustRightInd w:val="0"/>
        <w:ind w:left="357"/>
        <w:rPr>
          <w:color w:val="000000"/>
        </w:rPr>
      </w:pPr>
      <w:r>
        <w:rPr>
          <w:smallCaps/>
          <w:color w:val="000000"/>
        </w:rPr>
        <w:t>Data from</w:t>
      </w:r>
      <w:r>
        <w:rPr>
          <w:color w:val="000000"/>
        </w:rPr>
        <w:t xml:space="preserve">: </w:t>
      </w:r>
      <w:r>
        <w:t>GLAHM V972 (holotype), GLAHM V1145, NHMUK PV R 3939, PETMG R176.</w:t>
      </w:r>
    </w:p>
    <w:p w14:paraId="12FFB23F" w14:textId="77777777" w:rsidR="004C76BC" w:rsidRDefault="004C76BC" w:rsidP="004C76BC">
      <w:pPr>
        <w:autoSpaceDE w:val="0"/>
        <w:autoSpaceDN w:val="0"/>
        <w:adjustRightInd w:val="0"/>
        <w:ind w:left="357"/>
        <w:rPr>
          <w:color w:val="000000"/>
        </w:rPr>
      </w:pPr>
      <w:r>
        <w:rPr>
          <w:smallCaps/>
          <w:color w:val="000000"/>
        </w:rPr>
        <w:t>Locality</w:t>
      </w:r>
      <w:r>
        <w:rPr>
          <w:color w:val="000000"/>
        </w:rPr>
        <w:t>: Peterborough, UK.</w:t>
      </w:r>
    </w:p>
    <w:p w14:paraId="7665C61E" w14:textId="77777777" w:rsidR="004C76BC" w:rsidRDefault="004C76BC" w:rsidP="004C76BC">
      <w:pPr>
        <w:autoSpaceDE w:val="0"/>
        <w:autoSpaceDN w:val="0"/>
        <w:adjustRightInd w:val="0"/>
        <w:ind w:left="357"/>
        <w:rPr>
          <w:color w:val="000000"/>
        </w:rPr>
      </w:pPr>
      <w:r>
        <w:rPr>
          <w:smallCaps/>
          <w:color w:val="000000"/>
        </w:rPr>
        <w:t>Formation</w:t>
      </w:r>
      <w:r>
        <w:rPr>
          <w:color w:val="000000"/>
        </w:rPr>
        <w:t>: Peterborough Member, Oxford Clay Formation, Ancholme Group.</w:t>
      </w:r>
    </w:p>
    <w:p w14:paraId="396E65AF" w14:textId="77777777" w:rsidR="004C76BC" w:rsidRDefault="004C76BC" w:rsidP="004C76BC">
      <w:pPr>
        <w:autoSpaceDE w:val="0"/>
        <w:autoSpaceDN w:val="0"/>
        <w:adjustRightInd w:val="0"/>
        <w:ind w:left="357"/>
        <w:rPr>
          <w:color w:val="000000"/>
        </w:rPr>
      </w:pPr>
      <w:r>
        <w:rPr>
          <w:smallCaps/>
          <w:color w:val="000000"/>
        </w:rPr>
        <w:t>Age</w:t>
      </w:r>
      <w:r>
        <w:rPr>
          <w:color w:val="000000"/>
        </w:rPr>
        <w:t>: middle Callovian, Middle Jurassic.</w:t>
      </w:r>
    </w:p>
    <w:p w14:paraId="5B3FBCEB" w14:textId="77777777" w:rsidR="004C76BC" w:rsidRDefault="004C76BC" w:rsidP="004C76BC">
      <w:pPr>
        <w:ind w:left="720" w:hanging="720"/>
      </w:pPr>
    </w:p>
    <w:p w14:paraId="373F751D" w14:textId="426846BB" w:rsidR="004C76BC" w:rsidRDefault="00E8075A" w:rsidP="004C76BC">
      <w:pPr>
        <w:ind w:left="720" w:hanging="720"/>
      </w:pPr>
      <w:r>
        <w:t>(140</w:t>
      </w:r>
      <w:r w:rsidR="004C76BC">
        <w:t>) Vaches Noire Dakosaur</w:t>
      </w:r>
    </w:p>
    <w:p w14:paraId="187CA909" w14:textId="77777777" w:rsidR="004C76BC" w:rsidRDefault="004C76BC" w:rsidP="004C76BC">
      <w:pPr>
        <w:autoSpaceDE w:val="0"/>
        <w:autoSpaceDN w:val="0"/>
        <w:adjustRightInd w:val="0"/>
        <w:ind w:left="357"/>
        <w:rPr>
          <w:smallCaps/>
          <w:color w:val="000000"/>
        </w:rPr>
      </w:pPr>
      <w:r>
        <w:rPr>
          <w:smallCaps/>
          <w:color w:val="000000"/>
        </w:rPr>
        <w:t>Data from</w:t>
      </w:r>
      <w:r>
        <w:rPr>
          <w:color w:val="000000"/>
        </w:rPr>
        <w:t>:</w:t>
      </w:r>
      <w:r>
        <w:t xml:space="preserve"> MNHN.F RJN 134a, </w:t>
      </w:r>
      <w:bookmarkStart w:id="47" w:name="_Hlk479276160"/>
      <w:r>
        <w:t xml:space="preserve">ME </w:t>
      </w:r>
      <w:bookmarkEnd w:id="47"/>
      <w:r>
        <w:t>2012.4.68.</w:t>
      </w:r>
    </w:p>
    <w:p w14:paraId="016D8D66" w14:textId="77777777" w:rsidR="004C76BC" w:rsidRDefault="004C76BC" w:rsidP="004C76BC">
      <w:pPr>
        <w:autoSpaceDE w:val="0"/>
        <w:autoSpaceDN w:val="0"/>
        <w:adjustRightInd w:val="0"/>
        <w:ind w:left="357"/>
        <w:rPr>
          <w:color w:val="000000"/>
        </w:rPr>
      </w:pPr>
      <w:r>
        <w:rPr>
          <w:smallCaps/>
          <w:color w:val="000000"/>
        </w:rPr>
        <w:t>Locality</w:t>
      </w:r>
      <w:r>
        <w:rPr>
          <w:color w:val="000000"/>
        </w:rPr>
        <w:t xml:space="preserve">: </w:t>
      </w:r>
      <w:r>
        <w:t>Vaches Noires cliffs, Calvados, France</w:t>
      </w:r>
    </w:p>
    <w:p w14:paraId="62D62E56" w14:textId="77777777" w:rsidR="004C76BC" w:rsidRDefault="004C76BC" w:rsidP="004C76BC">
      <w:pPr>
        <w:autoSpaceDE w:val="0"/>
        <w:autoSpaceDN w:val="0"/>
        <w:adjustRightInd w:val="0"/>
        <w:ind w:left="357"/>
        <w:rPr>
          <w:color w:val="000000"/>
        </w:rPr>
      </w:pPr>
      <w:r>
        <w:rPr>
          <w:smallCaps/>
          <w:color w:val="000000"/>
        </w:rPr>
        <w:t>Formation</w:t>
      </w:r>
      <w:r>
        <w:rPr>
          <w:color w:val="000000"/>
        </w:rPr>
        <w:t>: Marnes de Villers Formation (possibly also Marnes de Dives Formation).</w:t>
      </w:r>
    </w:p>
    <w:p w14:paraId="4DBC807E" w14:textId="77777777" w:rsidR="004C76BC" w:rsidRDefault="004C76BC" w:rsidP="004C76BC">
      <w:pPr>
        <w:autoSpaceDE w:val="0"/>
        <w:autoSpaceDN w:val="0"/>
        <w:adjustRightInd w:val="0"/>
        <w:ind w:left="357"/>
        <w:rPr>
          <w:i/>
          <w:iCs/>
          <w:color w:val="000000"/>
        </w:rPr>
      </w:pPr>
      <w:r>
        <w:rPr>
          <w:smallCaps/>
          <w:color w:val="000000"/>
        </w:rPr>
        <w:t>Age</w:t>
      </w:r>
      <w:r>
        <w:rPr>
          <w:color w:val="000000"/>
        </w:rPr>
        <w:t>: ?Callovian and Oxfordian, Middle? and Upper Jurassic.</w:t>
      </w:r>
    </w:p>
    <w:p w14:paraId="539A529D" w14:textId="77777777" w:rsidR="004C76BC" w:rsidRDefault="004C76BC" w:rsidP="004C76BC">
      <w:pPr>
        <w:spacing w:line="480" w:lineRule="auto"/>
        <w:rPr>
          <w:b/>
        </w:rPr>
      </w:pPr>
      <w:r>
        <w:rPr>
          <w:b/>
        </w:rPr>
        <w:br w:type="page"/>
      </w:r>
    </w:p>
    <w:p w14:paraId="62604001" w14:textId="77777777" w:rsidR="004C76BC" w:rsidRDefault="004C76BC" w:rsidP="004C76BC">
      <w:pPr>
        <w:rPr>
          <w:b/>
          <w:i/>
          <w:sz w:val="28"/>
        </w:rPr>
      </w:pPr>
      <w:r>
        <w:rPr>
          <w:b/>
          <w:i/>
          <w:sz w:val="28"/>
        </w:rPr>
        <w:lastRenderedPageBreak/>
        <w:t xml:space="preserve">     S2.2) H+Y dataset </w:t>
      </w:r>
      <w:r>
        <w:rPr>
          <w:b/>
          <w:bCs/>
          <w:i/>
          <w:sz w:val="28"/>
        </w:rPr>
        <w:t xml:space="preserve">– </w:t>
      </w:r>
      <w:r>
        <w:rPr>
          <w:b/>
          <w:i/>
          <w:sz w:val="28"/>
        </w:rPr>
        <w:t>character list</w:t>
      </w:r>
    </w:p>
    <w:p w14:paraId="21844094" w14:textId="77777777" w:rsidR="004C76BC" w:rsidRDefault="004C76BC" w:rsidP="004C76BC">
      <w:pPr>
        <w:autoSpaceDE w:val="0"/>
        <w:autoSpaceDN w:val="0"/>
        <w:adjustRightInd w:val="0"/>
        <w:rPr>
          <w:rFonts w:ascii="TimesNewRoman" w:hAnsi="TimesNewRoman" w:cs="TimesNewRoman"/>
          <w:color w:val="000000"/>
        </w:rPr>
      </w:pPr>
    </w:p>
    <w:p w14:paraId="69AE3BEA" w14:textId="141971EE" w:rsidR="004C76BC" w:rsidRDefault="004C76BC" w:rsidP="004C76BC">
      <w:pPr>
        <w:rPr>
          <w:b/>
        </w:rPr>
      </w:pPr>
      <w:r>
        <w:rPr>
          <w:color w:val="000000"/>
        </w:rPr>
        <w:t>The character list (454 characters) for the Hastings + Young (H+Y) dataset used for one of the phylogenetic analyses herein. The characters are organised into the anatomical order listed in section S1. Comments on the characters and scoring are in italics, and precede the description of states. Osteological craniomandibular and dental ch</w:t>
      </w:r>
      <w:r w:rsidR="002254BF">
        <w:rPr>
          <w:color w:val="000000"/>
        </w:rPr>
        <w:t>aracters constitute 73568% (334</w:t>
      </w:r>
      <w:r>
        <w:rPr>
          <w:color w:val="000000"/>
        </w:rPr>
        <w:t>/454) of the character list, osteological post-cranial characters contribute 25.551% (116/454), while soft-tissue</w:t>
      </w:r>
      <w:r w:rsidR="002254BF">
        <w:rPr>
          <w:color w:val="000000"/>
        </w:rPr>
        <w:t xml:space="preserve"> characters contribute 0.881% (4</w:t>
      </w:r>
      <w:r>
        <w:rPr>
          <w:color w:val="000000"/>
        </w:rPr>
        <w:t>/454).</w:t>
      </w:r>
    </w:p>
    <w:p w14:paraId="5C3D6B27" w14:textId="77777777" w:rsidR="004C76BC" w:rsidRDefault="004C76BC" w:rsidP="004C76BC">
      <w:pPr>
        <w:ind w:firstLine="720"/>
      </w:pPr>
      <w:bookmarkStart w:id="48" w:name="_Hlk485309715"/>
      <w:r>
        <w:t xml:space="preserve">Characters that are not applicable (i.e. cannot be scored) for all taxa are marked with an asterisk </w:t>
      </w:r>
      <w:r>
        <w:rPr>
          <w:b/>
        </w:rPr>
        <w:t xml:space="preserve">(*) </w:t>
      </w:r>
      <w:r>
        <w:t xml:space="preserve">following the character description. Characters treated as additive for the ordered-character analysis are denoted by </w:t>
      </w:r>
      <w:r>
        <w:rPr>
          <w:b/>
        </w:rPr>
        <w:t xml:space="preserve">(ORDERED) </w:t>
      </w:r>
      <w:r>
        <w:t>following the character description.</w:t>
      </w:r>
    </w:p>
    <w:bookmarkEnd w:id="48"/>
    <w:p w14:paraId="3B44ADA1" w14:textId="77777777" w:rsidR="004C76BC" w:rsidRDefault="004C76BC" w:rsidP="004C76BC">
      <w:pPr>
        <w:ind w:firstLine="720"/>
      </w:pPr>
      <w:r>
        <w:rPr>
          <w:b/>
        </w:rPr>
        <w:t>Abbreviation: ch.</w:t>
      </w:r>
      <w:r>
        <w:t xml:space="preserve">, character; </w:t>
      </w:r>
      <w:r>
        <w:rPr>
          <w:b/>
        </w:rPr>
        <w:t>ds</w:t>
      </w:r>
      <w:r>
        <w:t>, dataset.</w:t>
      </w:r>
    </w:p>
    <w:p w14:paraId="54C5D9FF" w14:textId="77777777" w:rsidR="004C76BC" w:rsidRDefault="004C76BC" w:rsidP="004C76BC"/>
    <w:p w14:paraId="4548E3AD" w14:textId="77777777" w:rsidR="004C76BC" w:rsidRDefault="004C76BC" w:rsidP="004C76BC">
      <w:pPr>
        <w:rPr>
          <w:rFonts w:eastAsiaTheme="minorHAnsi"/>
        </w:rPr>
      </w:pPr>
      <w:bookmarkStart w:id="49" w:name="_Hlk486838482"/>
      <w:r>
        <w:rPr>
          <w:b/>
        </w:rPr>
        <w:t>Skull geometry and dimensions</w:t>
      </w:r>
      <w:r>
        <w:t xml:space="preserve"> (Ch. 1 – 10; 2.203% of characters)</w:t>
      </w:r>
    </w:p>
    <w:p w14:paraId="18534E19" w14:textId="77777777" w:rsidR="004C76BC" w:rsidRDefault="004C76BC" w:rsidP="004C76BC"/>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4C76BC" w14:paraId="42578C72"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4EE7DE49"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047821E" w14:textId="77777777" w:rsidR="004C76BC" w:rsidRDefault="004C76BC" w:rsidP="00AF438E">
            <w:pPr>
              <w:rPr>
                <w:sz w:val="20"/>
                <w:szCs w:val="20"/>
                <w:lang w:eastAsia="en-US"/>
              </w:rPr>
            </w:pPr>
            <w:r>
              <w:rPr>
                <w:sz w:val="20"/>
                <w:szCs w:val="20"/>
                <w:lang w:eastAsia="en-US"/>
              </w:rPr>
              <w:t>Description</w:t>
            </w:r>
          </w:p>
        </w:tc>
      </w:tr>
      <w:tr w:rsidR="004C76BC" w14:paraId="42FBDFBA"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33B3B932" w14:textId="77777777" w:rsidR="004C76BC" w:rsidRDefault="004C76BC" w:rsidP="00AF438E">
            <w:pPr>
              <w:rPr>
                <w:sz w:val="20"/>
                <w:szCs w:val="20"/>
                <w:lang w:eastAsia="en-US"/>
              </w:rPr>
            </w:pPr>
            <w:r>
              <w:rPr>
                <w:color w:val="000000"/>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0D48D75" w14:textId="77777777" w:rsidR="004C76BC" w:rsidRDefault="004C76BC" w:rsidP="00AF438E">
            <w:pPr>
              <w:autoSpaceDE w:val="0"/>
              <w:autoSpaceDN w:val="0"/>
              <w:adjustRightInd w:val="0"/>
              <w:rPr>
                <w:b/>
                <w:bCs/>
                <w:sz w:val="20"/>
                <w:szCs w:val="20"/>
                <w:lang w:eastAsia="en-US"/>
              </w:rPr>
            </w:pPr>
            <w:r>
              <w:rPr>
                <w:b/>
                <w:bCs/>
                <w:sz w:val="20"/>
                <w:szCs w:val="20"/>
                <w:lang w:eastAsia="en-US"/>
              </w:rPr>
              <w:t>Skull height, in posterior view:</w:t>
            </w:r>
          </w:p>
          <w:p w14:paraId="45437042" w14:textId="4BD01019" w:rsidR="004C76BC" w:rsidRDefault="004C76BC" w:rsidP="00AF438E">
            <w:pPr>
              <w:autoSpaceDE w:val="0"/>
              <w:autoSpaceDN w:val="0"/>
              <w:adjustRightInd w:val="0"/>
              <w:rPr>
                <w:bCs/>
                <w:i/>
                <w:sz w:val="20"/>
                <w:szCs w:val="20"/>
                <w:lang w:eastAsia="en-US"/>
              </w:rPr>
            </w:pPr>
            <w:r>
              <w:rPr>
                <w:bCs/>
                <w:i/>
                <w:sz w:val="20"/>
                <w:szCs w:val="20"/>
                <w:lang w:eastAsia="en-US"/>
              </w:rPr>
              <w:t>Clark (1994, ch. 3 modified); Andrade &amp; Bertini (2008a, ch. 2); Andrade et al. (2011, ch. 1);</w:t>
            </w:r>
            <w:r>
              <w:rPr>
                <w:i/>
                <w:sz w:val="20"/>
                <w:szCs w:val="20"/>
                <w:lang w:eastAsia="en-US"/>
              </w:rPr>
              <w:t xml:space="preserve"> Ristevski et al. (2018, ds 1, ch. 1); Smith et al. (in review, ds 2, ch. 1)</w:t>
            </w:r>
            <w:r w:rsidR="00FD6E73">
              <w:rPr>
                <w:i/>
                <w:sz w:val="20"/>
                <w:szCs w:val="20"/>
                <w:lang w:eastAsia="en-US"/>
              </w:rPr>
              <w:t xml:space="preserve">; </w:t>
            </w:r>
            <w:r w:rsidR="00FD6E73">
              <w:rPr>
                <w:i/>
                <w:sz w:val="20"/>
                <w:szCs w:val="20"/>
              </w:rPr>
              <w:t>Ősi et al. (in review, ds 1, ch. 1)</w:t>
            </w:r>
            <w:r>
              <w:rPr>
                <w:bCs/>
                <w:i/>
                <w:sz w:val="20"/>
                <w:szCs w:val="20"/>
                <w:lang w:eastAsia="en-US"/>
              </w:rPr>
              <w:t>.</w:t>
            </w:r>
          </w:p>
          <w:p w14:paraId="47367B01" w14:textId="77777777" w:rsidR="004C76BC" w:rsidRDefault="004C76BC" w:rsidP="00AF438E">
            <w:pPr>
              <w:autoSpaceDE w:val="0"/>
              <w:autoSpaceDN w:val="0"/>
              <w:adjustRightInd w:val="0"/>
              <w:rPr>
                <w:sz w:val="20"/>
                <w:szCs w:val="20"/>
                <w:lang w:eastAsia="en-US"/>
              </w:rPr>
            </w:pPr>
            <w:r>
              <w:rPr>
                <w:sz w:val="20"/>
                <w:szCs w:val="20"/>
                <w:lang w:eastAsia="en-US"/>
              </w:rPr>
              <w:t>0. skull higher than wide, or subequal</w:t>
            </w:r>
          </w:p>
          <w:p w14:paraId="1019A5D7" w14:textId="77777777" w:rsidR="004C76BC" w:rsidRDefault="004C76BC" w:rsidP="00AF438E">
            <w:pPr>
              <w:rPr>
                <w:sz w:val="20"/>
                <w:szCs w:val="20"/>
                <w:lang w:eastAsia="en-US"/>
              </w:rPr>
            </w:pPr>
            <w:r>
              <w:rPr>
                <w:sz w:val="20"/>
                <w:szCs w:val="20"/>
                <w:lang w:eastAsia="en-US"/>
              </w:rPr>
              <w:t>1. skull evidently wider than high</w:t>
            </w:r>
          </w:p>
        </w:tc>
      </w:tr>
      <w:tr w:rsidR="004C76BC" w14:paraId="382B7C6D"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3C2CC5E" w14:textId="77777777" w:rsidR="004C76BC" w:rsidRDefault="004C76BC" w:rsidP="00AF438E">
            <w:pPr>
              <w:rPr>
                <w:sz w:val="20"/>
                <w:szCs w:val="20"/>
                <w:lang w:eastAsia="en-US"/>
              </w:rPr>
            </w:pPr>
            <w:r>
              <w:rPr>
                <w:color w:val="000000"/>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73271E44" w14:textId="77777777" w:rsidR="004C76BC" w:rsidRDefault="004C76BC" w:rsidP="00AF438E">
            <w:pPr>
              <w:autoSpaceDE w:val="0"/>
              <w:autoSpaceDN w:val="0"/>
              <w:adjustRightInd w:val="0"/>
              <w:rPr>
                <w:b/>
                <w:bCs/>
                <w:sz w:val="20"/>
                <w:szCs w:val="20"/>
                <w:lang w:eastAsia="en-US"/>
              </w:rPr>
            </w:pPr>
            <w:r>
              <w:rPr>
                <w:b/>
                <w:bCs/>
                <w:sz w:val="20"/>
                <w:szCs w:val="20"/>
                <w:lang w:eastAsia="en-US"/>
              </w:rPr>
              <w:t>Skull geometry, relative position of tooth row, quadrate articular facet and occipital condyle:</w:t>
            </w:r>
          </w:p>
          <w:p w14:paraId="3EC11B07" w14:textId="60C55FE6" w:rsidR="004C76BC" w:rsidRDefault="004C76BC" w:rsidP="00AF438E">
            <w:pPr>
              <w:autoSpaceDE w:val="0"/>
              <w:autoSpaceDN w:val="0"/>
              <w:adjustRightInd w:val="0"/>
              <w:rPr>
                <w:bCs/>
                <w:i/>
                <w:sz w:val="20"/>
                <w:szCs w:val="20"/>
                <w:lang w:eastAsia="en-US"/>
              </w:rPr>
            </w:pPr>
            <w:r>
              <w:rPr>
                <w:bCs/>
                <w:i/>
                <w:sz w:val="20"/>
                <w:szCs w:val="20"/>
                <w:lang w:eastAsia="en-US"/>
              </w:rPr>
              <w:t xml:space="preserve">Wu &amp; Sues (1996, ch. 24 modified); Sereno </w:t>
            </w:r>
            <w:r>
              <w:rPr>
                <w:bCs/>
                <w:i/>
                <w:iCs/>
                <w:sz w:val="20"/>
                <w:szCs w:val="20"/>
                <w:lang w:eastAsia="en-US"/>
              </w:rPr>
              <w:t>et al. (</w:t>
            </w:r>
            <w:r>
              <w:rPr>
                <w:bCs/>
                <w:i/>
                <w:sz w:val="20"/>
                <w:szCs w:val="20"/>
                <w:lang w:eastAsia="en-US"/>
              </w:rPr>
              <w:t>2003, ch. 46 modified); Pol (2003, ch. 104 modified); Turner &amp; Buckley (2008, ch. 105 modified); Andrade et al. (2011, ch. 2);</w:t>
            </w:r>
            <w:r>
              <w:rPr>
                <w:i/>
                <w:sz w:val="20"/>
                <w:szCs w:val="20"/>
                <w:lang w:eastAsia="en-US"/>
              </w:rPr>
              <w:t xml:space="preserve"> Ristevski et al. (2018, ds 1, ch. 2); Smith et al. (in review, ds 2, ch. 2)</w:t>
            </w:r>
            <w:r w:rsidR="00FD6E73">
              <w:rPr>
                <w:i/>
                <w:sz w:val="20"/>
                <w:szCs w:val="20"/>
                <w:lang w:eastAsia="en-US"/>
              </w:rPr>
              <w:t xml:space="preserve">; </w:t>
            </w:r>
            <w:r w:rsidR="00FD6E73">
              <w:rPr>
                <w:i/>
                <w:sz w:val="20"/>
                <w:szCs w:val="20"/>
              </w:rPr>
              <w:t>Ősi et al. (in review, ds 1, ch. 2)</w:t>
            </w:r>
            <w:r>
              <w:rPr>
                <w:bCs/>
                <w:i/>
                <w:sz w:val="20"/>
                <w:szCs w:val="20"/>
                <w:lang w:eastAsia="en-US"/>
              </w:rPr>
              <w:t>.</w:t>
            </w:r>
          </w:p>
          <w:p w14:paraId="1136ACFE" w14:textId="77777777" w:rsidR="004C76BC" w:rsidRDefault="004C76BC" w:rsidP="00AF438E">
            <w:pPr>
              <w:autoSpaceDE w:val="0"/>
              <w:autoSpaceDN w:val="0"/>
              <w:adjustRightInd w:val="0"/>
              <w:rPr>
                <w:i/>
                <w:iCs/>
                <w:sz w:val="20"/>
                <w:szCs w:val="20"/>
                <w:lang w:eastAsia="en-US"/>
              </w:rPr>
            </w:pPr>
            <w:r>
              <w:rPr>
                <w:i/>
                <w:iCs/>
                <w:sz w:val="20"/>
                <w:szCs w:val="20"/>
                <w:lang w:eastAsia="en-US"/>
              </w:rPr>
              <w:t xml:space="preserve">In its original format, this character assumed that the tooth row was always below the occipital condyle, which is not always true (e.g., </w:t>
            </w:r>
            <w:r>
              <w:rPr>
                <w:sz w:val="20"/>
                <w:szCs w:val="20"/>
                <w:lang w:eastAsia="en-US"/>
              </w:rPr>
              <w:t>Pelagosaurus</w:t>
            </w:r>
            <w:r>
              <w:rPr>
                <w:i/>
                <w:iCs/>
                <w:sz w:val="20"/>
                <w:szCs w:val="20"/>
                <w:lang w:eastAsia="en-US"/>
              </w:rPr>
              <w:t>). The original format was modified by Andrade et al. (2011) because in Mesoeucrocodylia each of its components (height of occipital condyle, quadrate condyle and tooth row) will relate to each other independently, therefore demanding more than the original three states to reflect their geometrical relationships. Note also differences from the original scorings, and also the lack of agreement on the scorings by different authors, for the original format.</w:t>
            </w:r>
          </w:p>
          <w:p w14:paraId="799750C1" w14:textId="77777777" w:rsidR="004C76BC" w:rsidRDefault="004C76BC" w:rsidP="00AF438E">
            <w:pPr>
              <w:autoSpaceDE w:val="0"/>
              <w:autoSpaceDN w:val="0"/>
              <w:adjustRightInd w:val="0"/>
              <w:rPr>
                <w:sz w:val="20"/>
                <w:szCs w:val="20"/>
                <w:lang w:eastAsia="en-US"/>
              </w:rPr>
            </w:pPr>
            <w:r>
              <w:rPr>
                <w:sz w:val="20"/>
                <w:szCs w:val="20"/>
                <w:lang w:eastAsia="en-US"/>
              </w:rPr>
              <w:t>0. tooth row and quadrate condyle aligned, both at a lower level than the occipital condyle</w:t>
            </w:r>
          </w:p>
          <w:p w14:paraId="3D01FD11" w14:textId="77777777" w:rsidR="004C76BC" w:rsidRDefault="004C76BC" w:rsidP="00AF438E">
            <w:pPr>
              <w:autoSpaceDE w:val="0"/>
              <w:autoSpaceDN w:val="0"/>
              <w:adjustRightInd w:val="0"/>
              <w:rPr>
                <w:sz w:val="20"/>
                <w:szCs w:val="20"/>
                <w:lang w:eastAsia="en-US"/>
              </w:rPr>
            </w:pPr>
            <w:r>
              <w:rPr>
                <w:sz w:val="20"/>
                <w:szCs w:val="20"/>
                <w:lang w:eastAsia="en-US"/>
              </w:rPr>
              <w:t>1. tooth row at a lower level than the quadrate condyle, which is aligned to the occipital condyle</w:t>
            </w:r>
          </w:p>
          <w:p w14:paraId="10563FE2" w14:textId="77777777" w:rsidR="004C76BC" w:rsidRDefault="004C76BC" w:rsidP="00AF438E">
            <w:pPr>
              <w:autoSpaceDE w:val="0"/>
              <w:autoSpaceDN w:val="0"/>
              <w:adjustRightInd w:val="0"/>
              <w:rPr>
                <w:sz w:val="20"/>
                <w:szCs w:val="20"/>
                <w:lang w:eastAsia="en-US"/>
              </w:rPr>
            </w:pPr>
            <w:r>
              <w:rPr>
                <w:sz w:val="20"/>
                <w:szCs w:val="20"/>
                <w:lang w:eastAsia="en-US"/>
              </w:rPr>
              <w:t>2. tooth row quadrate and occipital condyle all aligned in the same plane</w:t>
            </w:r>
          </w:p>
          <w:p w14:paraId="57DD783F" w14:textId="77777777" w:rsidR="004C76BC" w:rsidRDefault="004C76BC" w:rsidP="00AF438E">
            <w:pPr>
              <w:autoSpaceDE w:val="0"/>
              <w:autoSpaceDN w:val="0"/>
              <w:adjustRightInd w:val="0"/>
              <w:rPr>
                <w:sz w:val="20"/>
                <w:szCs w:val="20"/>
                <w:lang w:eastAsia="en-US"/>
              </w:rPr>
            </w:pPr>
            <w:r>
              <w:rPr>
                <w:sz w:val="20"/>
                <w:szCs w:val="20"/>
                <w:lang w:eastAsia="en-US"/>
              </w:rPr>
              <w:t>3. tooth row and occipital condyle aligned, but quadrate condyle at a slightly lower level</w:t>
            </w:r>
          </w:p>
          <w:p w14:paraId="665AFD19" w14:textId="77777777" w:rsidR="004C76BC" w:rsidRDefault="004C76BC" w:rsidP="00AF438E">
            <w:pPr>
              <w:autoSpaceDE w:val="0"/>
              <w:autoSpaceDN w:val="0"/>
              <w:adjustRightInd w:val="0"/>
              <w:rPr>
                <w:sz w:val="20"/>
                <w:szCs w:val="20"/>
                <w:lang w:eastAsia="en-US"/>
              </w:rPr>
            </w:pPr>
            <w:r>
              <w:rPr>
                <w:sz w:val="20"/>
                <w:szCs w:val="20"/>
                <w:lang w:eastAsia="en-US"/>
              </w:rPr>
              <w:t>4. tooth row and quadrate condyle unaligned and quadrate at a lower level, but both below the occipital condyle</w:t>
            </w:r>
          </w:p>
          <w:p w14:paraId="4BAC9DB8" w14:textId="77777777" w:rsidR="004C76BC" w:rsidRDefault="004C76BC" w:rsidP="00AF438E">
            <w:pPr>
              <w:rPr>
                <w:sz w:val="20"/>
                <w:szCs w:val="20"/>
                <w:lang w:eastAsia="en-US"/>
              </w:rPr>
            </w:pPr>
            <w:r>
              <w:rPr>
                <w:sz w:val="20"/>
                <w:szCs w:val="20"/>
                <w:lang w:eastAsia="en-US"/>
              </w:rPr>
              <w:t>5. tooth row and quadrate condyle unaligned and tooth row at a lower level, but both below the occipital condyle</w:t>
            </w:r>
          </w:p>
        </w:tc>
      </w:tr>
      <w:tr w:rsidR="004C76BC" w14:paraId="5BA50CBC"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7751409B" w14:textId="77777777" w:rsidR="004C76BC" w:rsidRDefault="004C76BC" w:rsidP="00AF438E">
            <w:pPr>
              <w:rPr>
                <w:sz w:val="20"/>
                <w:szCs w:val="20"/>
                <w:lang w:eastAsia="en-US"/>
              </w:rPr>
            </w:pPr>
            <w:r>
              <w:rPr>
                <w:color w:val="000000"/>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03286071" w14:textId="77777777" w:rsidR="004C76BC" w:rsidRDefault="004C76BC" w:rsidP="00AF438E">
            <w:pPr>
              <w:autoSpaceDE w:val="0"/>
              <w:autoSpaceDN w:val="0"/>
              <w:adjustRightInd w:val="0"/>
              <w:rPr>
                <w:b/>
                <w:bCs/>
                <w:sz w:val="20"/>
                <w:szCs w:val="20"/>
                <w:lang w:eastAsia="en-US"/>
              </w:rPr>
            </w:pPr>
            <w:r>
              <w:rPr>
                <w:b/>
                <w:bCs/>
                <w:sz w:val="20"/>
                <w:szCs w:val="20"/>
                <w:lang w:eastAsia="en-US"/>
              </w:rPr>
              <w:t>Skull geometry, relative position of tooth row and occipital condyle:</w:t>
            </w:r>
          </w:p>
          <w:p w14:paraId="3F087258" w14:textId="75FC8D86" w:rsidR="004C76BC" w:rsidRDefault="004C76BC" w:rsidP="00AF438E">
            <w:pPr>
              <w:autoSpaceDE w:val="0"/>
              <w:autoSpaceDN w:val="0"/>
              <w:adjustRightInd w:val="0"/>
              <w:rPr>
                <w:bCs/>
                <w:i/>
                <w:sz w:val="20"/>
                <w:szCs w:val="20"/>
                <w:lang w:eastAsia="en-US"/>
              </w:rPr>
            </w:pPr>
            <w:r>
              <w:rPr>
                <w:bCs/>
                <w:i/>
                <w:sz w:val="20"/>
                <w:szCs w:val="20"/>
                <w:lang w:eastAsia="en-US"/>
              </w:rPr>
              <w:t xml:space="preserve">Wu &amp; Sues (1996, ch. 24 modified); Sereno </w:t>
            </w:r>
            <w:r>
              <w:rPr>
                <w:bCs/>
                <w:i/>
                <w:iCs/>
                <w:sz w:val="20"/>
                <w:szCs w:val="20"/>
                <w:lang w:eastAsia="en-US"/>
              </w:rPr>
              <w:t>et al. (</w:t>
            </w:r>
            <w:r>
              <w:rPr>
                <w:bCs/>
                <w:i/>
                <w:sz w:val="20"/>
                <w:szCs w:val="20"/>
                <w:lang w:eastAsia="en-US"/>
              </w:rPr>
              <w:t>2003, ch. 46 modified); Pol (2003, ch. 104 modified); Turner &amp; Buckley (2008, ch. 105 modified); Andrade et al. (2011, ch. 3);</w:t>
            </w:r>
            <w:r>
              <w:rPr>
                <w:i/>
                <w:sz w:val="20"/>
                <w:szCs w:val="20"/>
                <w:lang w:eastAsia="en-US"/>
              </w:rPr>
              <w:t xml:space="preserve"> Ristevski et al. (2018, ds 1, ch. 3); Smith et al. (in review, ds 2, ch. 3)</w:t>
            </w:r>
            <w:r w:rsidR="00FD6E73">
              <w:rPr>
                <w:i/>
                <w:sz w:val="20"/>
                <w:szCs w:val="20"/>
                <w:lang w:eastAsia="en-US"/>
              </w:rPr>
              <w:t xml:space="preserve">; </w:t>
            </w:r>
            <w:r w:rsidR="00FD6E73">
              <w:rPr>
                <w:i/>
                <w:sz w:val="20"/>
                <w:szCs w:val="20"/>
              </w:rPr>
              <w:t>Ősi et al. (in review, ds 1, ch. 3)</w:t>
            </w:r>
            <w:r>
              <w:rPr>
                <w:bCs/>
                <w:i/>
                <w:sz w:val="20"/>
                <w:szCs w:val="20"/>
                <w:lang w:eastAsia="en-US"/>
              </w:rPr>
              <w:t>.</w:t>
            </w:r>
          </w:p>
          <w:p w14:paraId="421762A7" w14:textId="77777777" w:rsidR="004C76BC" w:rsidRDefault="004C76BC" w:rsidP="00AF438E">
            <w:pPr>
              <w:autoSpaceDE w:val="0"/>
              <w:autoSpaceDN w:val="0"/>
              <w:adjustRightInd w:val="0"/>
              <w:rPr>
                <w:sz w:val="20"/>
                <w:szCs w:val="20"/>
                <w:lang w:eastAsia="en-US"/>
              </w:rPr>
            </w:pPr>
            <w:r>
              <w:rPr>
                <w:sz w:val="20"/>
                <w:szCs w:val="20"/>
                <w:lang w:eastAsia="en-US"/>
              </w:rPr>
              <w:t>0. unaligned, tooth row at a lower level than occipital condyle</w:t>
            </w:r>
          </w:p>
          <w:p w14:paraId="1630727E" w14:textId="77777777" w:rsidR="004C76BC" w:rsidRDefault="004C76BC" w:rsidP="00AF438E">
            <w:pPr>
              <w:rPr>
                <w:sz w:val="20"/>
                <w:szCs w:val="20"/>
                <w:lang w:eastAsia="en-US"/>
              </w:rPr>
            </w:pPr>
            <w:r>
              <w:rPr>
                <w:sz w:val="20"/>
                <w:szCs w:val="20"/>
                <w:lang w:eastAsia="en-US"/>
              </w:rPr>
              <w:t>1. tooth row and occipital condyle aligned in the same plane</w:t>
            </w:r>
          </w:p>
        </w:tc>
      </w:tr>
      <w:tr w:rsidR="004C76BC" w14:paraId="704373D0"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65E674A4" w14:textId="77777777" w:rsidR="004C76BC" w:rsidRDefault="004C76BC" w:rsidP="00AF438E">
            <w:pPr>
              <w:rPr>
                <w:sz w:val="20"/>
                <w:szCs w:val="20"/>
                <w:lang w:eastAsia="en-US"/>
              </w:rPr>
            </w:pPr>
            <w:r>
              <w:rPr>
                <w:color w:val="000000"/>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14:paraId="5515AA71" w14:textId="77777777" w:rsidR="004C76BC" w:rsidRDefault="004C76BC" w:rsidP="00AF438E">
            <w:pPr>
              <w:autoSpaceDE w:val="0"/>
              <w:autoSpaceDN w:val="0"/>
              <w:adjustRightInd w:val="0"/>
              <w:rPr>
                <w:b/>
                <w:bCs/>
                <w:color w:val="000000"/>
                <w:sz w:val="20"/>
                <w:szCs w:val="20"/>
                <w:lang w:eastAsia="en-US"/>
              </w:rPr>
            </w:pPr>
            <w:r>
              <w:rPr>
                <w:b/>
                <w:bCs/>
                <w:color w:val="000000"/>
                <w:sz w:val="20"/>
                <w:szCs w:val="20"/>
                <w:lang w:eastAsia="en-US"/>
              </w:rPr>
              <w:t>Skull geometry, relative position of quadrate condyles and occipital condyle:</w:t>
            </w:r>
          </w:p>
          <w:p w14:paraId="3B389C59" w14:textId="4CBEA517" w:rsidR="004C76BC" w:rsidRDefault="004C76BC" w:rsidP="00AF438E">
            <w:pPr>
              <w:autoSpaceDE w:val="0"/>
              <w:autoSpaceDN w:val="0"/>
              <w:adjustRightInd w:val="0"/>
              <w:rPr>
                <w:bCs/>
                <w:i/>
                <w:color w:val="000000"/>
                <w:sz w:val="20"/>
                <w:szCs w:val="20"/>
                <w:lang w:eastAsia="en-US"/>
              </w:rPr>
            </w:pPr>
            <w:r>
              <w:rPr>
                <w:bCs/>
                <w:i/>
                <w:color w:val="000000"/>
                <w:sz w:val="20"/>
                <w:szCs w:val="20"/>
                <w:lang w:eastAsia="en-US"/>
              </w:rPr>
              <w:t xml:space="preserve">Wu &amp; Sues (1996, ch. 24 modified); Sereno </w:t>
            </w:r>
            <w:r>
              <w:rPr>
                <w:bCs/>
                <w:i/>
                <w:iCs/>
                <w:color w:val="000000"/>
                <w:sz w:val="20"/>
                <w:szCs w:val="20"/>
                <w:lang w:eastAsia="en-US"/>
              </w:rPr>
              <w:t>et al. (</w:t>
            </w:r>
            <w:r>
              <w:rPr>
                <w:bCs/>
                <w:i/>
                <w:color w:val="000000"/>
                <w:sz w:val="20"/>
                <w:szCs w:val="20"/>
                <w:lang w:eastAsia="en-US"/>
              </w:rPr>
              <w:t xml:space="preserve">2003, ch. 46 modified); Pol (2003, ch. 104 modified); Turner &amp; Buckley (2008, ch. 105 modified); Andrade et al. (2011, ch. 4); Young et al. (2016, ds 2, ch. 148), </w:t>
            </w:r>
            <w:r>
              <w:rPr>
                <w:i/>
                <w:sz w:val="20"/>
                <w:szCs w:val="20"/>
                <w:lang w:eastAsia="en-US"/>
              </w:rPr>
              <w:t>Ristevski et al. (2018, ds 2, ch. 6); Smith et al. (in review, ds 1, ch. 7)</w:t>
            </w:r>
            <w:r w:rsidR="00FD6E73">
              <w:rPr>
                <w:i/>
                <w:sz w:val="20"/>
                <w:szCs w:val="20"/>
                <w:lang w:eastAsia="en-US"/>
              </w:rPr>
              <w:t xml:space="preserve">; </w:t>
            </w:r>
            <w:r w:rsidR="00FD6E73">
              <w:rPr>
                <w:i/>
                <w:sz w:val="20"/>
                <w:szCs w:val="20"/>
              </w:rPr>
              <w:t>Ősi et al. (in review, ds 1, ch. 4)</w:t>
            </w:r>
            <w:r>
              <w:rPr>
                <w:bCs/>
                <w:i/>
                <w:color w:val="000000"/>
                <w:sz w:val="20"/>
                <w:szCs w:val="20"/>
                <w:lang w:eastAsia="en-US"/>
              </w:rPr>
              <w:t>.</w:t>
            </w:r>
          </w:p>
          <w:p w14:paraId="05D2E05F" w14:textId="77777777" w:rsidR="004C76BC" w:rsidRDefault="004C76BC" w:rsidP="00AF438E">
            <w:pPr>
              <w:rPr>
                <w:i/>
                <w:sz w:val="20"/>
                <w:szCs w:val="20"/>
                <w:lang w:eastAsia="en-US"/>
              </w:rPr>
            </w:pPr>
            <w:r>
              <w:rPr>
                <w:i/>
                <w:sz w:val="20"/>
                <w:szCs w:val="20"/>
                <w:lang w:eastAsia="en-US"/>
              </w:rPr>
              <w:t xml:space="preserve">State (1) occurs in Neosuchia (with reversals in marine crocodyliforms, e.g. Dyrosauridae and cf. </w:t>
            </w:r>
            <w:r>
              <w:rPr>
                <w:sz w:val="20"/>
                <w:szCs w:val="20"/>
                <w:lang w:eastAsia="en-US"/>
              </w:rPr>
              <w:t>Terminonaris robusta</w:t>
            </w:r>
            <w:r>
              <w:rPr>
                <w:i/>
                <w:sz w:val="20"/>
                <w:szCs w:val="20"/>
                <w:lang w:eastAsia="en-US"/>
              </w:rPr>
              <w:t>).</w:t>
            </w:r>
          </w:p>
          <w:p w14:paraId="05F64E6B" w14:textId="77777777" w:rsidR="004C76BC" w:rsidRDefault="004C76BC" w:rsidP="00AF438E">
            <w:pPr>
              <w:autoSpaceDE w:val="0"/>
              <w:autoSpaceDN w:val="0"/>
              <w:adjustRightInd w:val="0"/>
              <w:rPr>
                <w:color w:val="000000"/>
                <w:sz w:val="20"/>
                <w:szCs w:val="20"/>
                <w:lang w:eastAsia="en-US"/>
              </w:rPr>
            </w:pPr>
            <w:r>
              <w:rPr>
                <w:color w:val="000000"/>
                <w:sz w:val="20"/>
                <w:szCs w:val="20"/>
                <w:lang w:eastAsia="en-US"/>
              </w:rPr>
              <w:t>0. unaligned, quadrate condyles are at a lower level than the occipital condyle</w:t>
            </w:r>
          </w:p>
          <w:p w14:paraId="552B114C" w14:textId="77777777" w:rsidR="004C76BC" w:rsidRDefault="004C76BC" w:rsidP="00AF438E">
            <w:pPr>
              <w:rPr>
                <w:sz w:val="20"/>
                <w:szCs w:val="20"/>
                <w:lang w:eastAsia="en-US"/>
              </w:rPr>
            </w:pPr>
            <w:r>
              <w:rPr>
                <w:color w:val="000000"/>
                <w:sz w:val="20"/>
                <w:szCs w:val="20"/>
                <w:lang w:eastAsia="en-US"/>
              </w:rPr>
              <w:t>1. quadrate condyles and occipital condyle aligned on the same plane</w:t>
            </w:r>
          </w:p>
        </w:tc>
      </w:tr>
      <w:tr w:rsidR="004C76BC" w14:paraId="3CFA03E9"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66BEDF48" w14:textId="77777777" w:rsidR="004C76BC" w:rsidRDefault="004C76BC" w:rsidP="00AF438E">
            <w:pPr>
              <w:rPr>
                <w:color w:val="000000"/>
                <w:sz w:val="20"/>
                <w:szCs w:val="20"/>
                <w:lang w:eastAsia="en-US"/>
              </w:rPr>
            </w:pPr>
            <w:r>
              <w:rPr>
                <w:color w:val="000000"/>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4388BC93" w14:textId="77777777" w:rsidR="004C76BC" w:rsidRDefault="004C76BC" w:rsidP="00AF438E">
            <w:pPr>
              <w:rPr>
                <w:b/>
                <w:sz w:val="20"/>
                <w:szCs w:val="20"/>
                <w:lang w:eastAsia="en-US"/>
              </w:rPr>
            </w:pPr>
            <w:r>
              <w:rPr>
                <w:b/>
                <w:sz w:val="20"/>
                <w:szCs w:val="20"/>
                <w:lang w:eastAsia="en-US"/>
              </w:rPr>
              <w:t>Skull width to length ratio</w:t>
            </w:r>
            <w:r>
              <w:rPr>
                <w:b/>
                <w:color w:val="000000"/>
                <w:sz w:val="20"/>
                <w:szCs w:val="20"/>
                <w:lang w:eastAsia="en-US"/>
              </w:rPr>
              <w:t>:</w:t>
            </w:r>
          </w:p>
          <w:p w14:paraId="6FB7310F" w14:textId="029B2112" w:rsidR="004C76BC" w:rsidRDefault="004C76BC" w:rsidP="00AF438E">
            <w:pPr>
              <w:autoSpaceDE w:val="0"/>
              <w:autoSpaceDN w:val="0"/>
              <w:adjustRightInd w:val="0"/>
              <w:rPr>
                <w:i/>
                <w:sz w:val="20"/>
                <w:szCs w:val="20"/>
                <w:lang w:eastAsia="en-US"/>
              </w:rPr>
            </w:pPr>
            <w:r>
              <w:rPr>
                <w:i/>
                <w:sz w:val="20"/>
                <w:szCs w:val="20"/>
                <w:lang w:eastAsia="en-US"/>
              </w:rPr>
              <w:t>Young et al. (2012, ch. 1); Young (2014, ch. 1); Young et al. (2016, ds 2, ch. 1); Ristevski et al. (2018, ds 2, ch. 1); Smith et al. (in review, ds 1, ch. 1)</w:t>
            </w:r>
            <w:r w:rsidR="00FD6E73">
              <w:rPr>
                <w:i/>
                <w:sz w:val="20"/>
                <w:szCs w:val="20"/>
                <w:lang w:eastAsia="en-US"/>
              </w:rPr>
              <w:t xml:space="preserve">; </w:t>
            </w:r>
            <w:r w:rsidR="00FD6E73">
              <w:rPr>
                <w:i/>
                <w:sz w:val="20"/>
                <w:szCs w:val="20"/>
              </w:rPr>
              <w:t>Ősi et al. (in review, ds 1, ch. 5)</w:t>
            </w:r>
            <w:r>
              <w:rPr>
                <w:i/>
                <w:sz w:val="20"/>
                <w:szCs w:val="20"/>
                <w:lang w:eastAsia="en-US"/>
              </w:rPr>
              <w:t>.</w:t>
            </w:r>
          </w:p>
          <w:p w14:paraId="61E20E99" w14:textId="77777777" w:rsidR="004C76BC" w:rsidRDefault="004C76BC" w:rsidP="00AF438E">
            <w:pPr>
              <w:rPr>
                <w:i/>
                <w:sz w:val="20"/>
                <w:szCs w:val="20"/>
                <w:lang w:eastAsia="en-US"/>
              </w:rPr>
            </w:pPr>
            <w:r>
              <w:rPr>
                <w:i/>
                <w:sz w:val="20"/>
                <w:szCs w:val="20"/>
                <w:lang w:eastAsia="en-US"/>
              </w:rPr>
              <w:lastRenderedPageBreak/>
              <w:t>= maximum width between the lateral-most points of the quadrates : basicranial length</w:t>
            </w:r>
          </w:p>
          <w:p w14:paraId="3856F10E" w14:textId="77777777" w:rsidR="004C76BC" w:rsidRDefault="004C76BC" w:rsidP="00AF438E">
            <w:pPr>
              <w:rPr>
                <w:sz w:val="20"/>
                <w:szCs w:val="20"/>
                <w:lang w:eastAsia="en-US"/>
              </w:rPr>
            </w:pPr>
            <w:r>
              <w:rPr>
                <w:sz w:val="20"/>
                <w:szCs w:val="20"/>
                <w:lang w:eastAsia="en-US"/>
              </w:rPr>
              <w:t>0. 0.26 or lower</w:t>
            </w:r>
          </w:p>
          <w:p w14:paraId="7A6A6805" w14:textId="77777777" w:rsidR="004C76BC" w:rsidRDefault="004C76BC" w:rsidP="00AF438E">
            <w:pPr>
              <w:rPr>
                <w:sz w:val="20"/>
                <w:szCs w:val="20"/>
                <w:lang w:eastAsia="en-US"/>
              </w:rPr>
            </w:pPr>
            <w:r>
              <w:rPr>
                <w:sz w:val="20"/>
                <w:szCs w:val="20"/>
                <w:lang w:eastAsia="en-US"/>
              </w:rPr>
              <w:t>1. between 0.27 and 0.4</w:t>
            </w:r>
          </w:p>
          <w:p w14:paraId="5F258206" w14:textId="77777777" w:rsidR="004C76BC" w:rsidRDefault="004C76BC" w:rsidP="00AF438E">
            <w:pPr>
              <w:autoSpaceDE w:val="0"/>
              <w:autoSpaceDN w:val="0"/>
              <w:adjustRightInd w:val="0"/>
              <w:rPr>
                <w:color w:val="000000"/>
                <w:sz w:val="20"/>
                <w:szCs w:val="20"/>
                <w:lang w:eastAsia="en-US"/>
              </w:rPr>
            </w:pPr>
            <w:r>
              <w:rPr>
                <w:sz w:val="20"/>
                <w:szCs w:val="20"/>
                <w:lang w:eastAsia="en-US"/>
              </w:rPr>
              <w:t>2. 0.4 or greater</w:t>
            </w:r>
          </w:p>
        </w:tc>
      </w:tr>
      <w:tr w:rsidR="004C76BC" w14:paraId="673BE1E7"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E74D26A" w14:textId="77777777" w:rsidR="004C76BC" w:rsidRDefault="004C76BC" w:rsidP="00AF438E">
            <w:pPr>
              <w:rPr>
                <w:color w:val="000000"/>
                <w:sz w:val="20"/>
                <w:szCs w:val="20"/>
                <w:lang w:eastAsia="en-US"/>
              </w:rPr>
            </w:pPr>
            <w:r>
              <w:rPr>
                <w:color w:val="000000"/>
                <w:sz w:val="20"/>
                <w:szCs w:val="20"/>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vAlign w:val="bottom"/>
            <w:hideMark/>
          </w:tcPr>
          <w:p w14:paraId="42B9255E" w14:textId="77777777" w:rsidR="004C76BC" w:rsidRDefault="004C76BC" w:rsidP="00AF438E">
            <w:pPr>
              <w:rPr>
                <w:b/>
                <w:sz w:val="20"/>
                <w:szCs w:val="20"/>
                <w:lang w:eastAsia="en-US"/>
              </w:rPr>
            </w:pPr>
            <w:r>
              <w:rPr>
                <w:b/>
                <w:sz w:val="20"/>
                <w:szCs w:val="20"/>
                <w:lang w:eastAsia="en-US"/>
              </w:rPr>
              <w:t>Snout elongation:</w:t>
            </w:r>
          </w:p>
          <w:p w14:paraId="53DB6076" w14:textId="23980235" w:rsidR="004C76BC" w:rsidRDefault="004C76BC" w:rsidP="00AF438E">
            <w:pPr>
              <w:rPr>
                <w:bCs/>
                <w:i/>
                <w:sz w:val="20"/>
                <w:szCs w:val="20"/>
                <w:lang w:eastAsia="en-US"/>
              </w:rPr>
            </w:pPr>
            <w:r>
              <w:rPr>
                <w:i/>
                <w:sz w:val="20"/>
                <w:szCs w:val="20"/>
                <w:lang w:eastAsia="en-US"/>
              </w:rPr>
              <w:t xml:space="preserve">Jouve (2005, ch. </w:t>
            </w:r>
            <w:r>
              <w:rPr>
                <w:bCs/>
                <w:i/>
                <w:sz w:val="20"/>
                <w:szCs w:val="20"/>
                <w:lang w:eastAsia="en-US"/>
              </w:rPr>
              <w:t xml:space="preserve">5 modified); Hastings et al. (2010, ch. 1 modified); </w:t>
            </w:r>
            <w:r>
              <w:rPr>
                <w:i/>
                <w:sz w:val="20"/>
                <w:szCs w:val="20"/>
                <w:lang w:eastAsia="en-US"/>
              </w:rPr>
              <w:t>Ristevski et al. (2018, ds 2, ch. 2); Smith et al. (in review, ds 1, ch.2)</w:t>
            </w:r>
            <w:r w:rsidR="00FD6E73">
              <w:rPr>
                <w:i/>
                <w:sz w:val="20"/>
                <w:szCs w:val="20"/>
                <w:lang w:eastAsia="en-US"/>
              </w:rPr>
              <w:t xml:space="preserve">; </w:t>
            </w:r>
            <w:r w:rsidR="00FD6E73">
              <w:rPr>
                <w:i/>
                <w:sz w:val="20"/>
                <w:szCs w:val="20"/>
              </w:rPr>
              <w:t>Ősi et al. (in review, ds 1, ch. 6)</w:t>
            </w:r>
            <w:r>
              <w:rPr>
                <w:bCs/>
                <w:i/>
                <w:sz w:val="20"/>
                <w:szCs w:val="20"/>
                <w:lang w:eastAsia="en-US"/>
              </w:rPr>
              <w:t>.</w:t>
            </w:r>
          </w:p>
          <w:p w14:paraId="22107C7D" w14:textId="77777777" w:rsidR="004C76BC" w:rsidRDefault="004C76BC" w:rsidP="00AF438E">
            <w:pPr>
              <w:rPr>
                <w:bCs/>
                <w:i/>
                <w:sz w:val="20"/>
                <w:szCs w:val="20"/>
                <w:lang w:eastAsia="en-US"/>
              </w:rPr>
            </w:pPr>
            <w:r>
              <w:rPr>
                <w:bCs/>
                <w:i/>
                <w:sz w:val="20"/>
                <w:szCs w:val="20"/>
                <w:lang w:eastAsia="en-US"/>
              </w:rPr>
              <w:t>State (2) can only be scored for taxa where snout elongation is the result of the anteroposterior elongation of the maxilla (with the maxillae contact along their medial margins along the dorsal surface).</w:t>
            </w:r>
          </w:p>
          <w:p w14:paraId="6D849748" w14:textId="77777777" w:rsidR="004C76BC" w:rsidRDefault="004C76BC" w:rsidP="00AF438E">
            <w:pPr>
              <w:rPr>
                <w:bCs/>
                <w:i/>
                <w:sz w:val="20"/>
                <w:szCs w:val="20"/>
                <w:lang w:eastAsia="en-US"/>
              </w:rPr>
            </w:pPr>
            <w:r>
              <w:rPr>
                <w:bCs/>
                <w:i/>
                <w:sz w:val="20"/>
                <w:szCs w:val="20"/>
                <w:lang w:eastAsia="en-US"/>
              </w:rPr>
              <w:t>State (1) occurs in most pholidosaurids, most dyrosaurids and gavialoids.</w:t>
            </w:r>
          </w:p>
          <w:p w14:paraId="12AC9720" w14:textId="77777777" w:rsidR="004C76BC" w:rsidRDefault="004C76BC" w:rsidP="00AF438E">
            <w:pPr>
              <w:rPr>
                <w:i/>
                <w:sz w:val="20"/>
                <w:szCs w:val="20"/>
                <w:lang w:eastAsia="en-US"/>
              </w:rPr>
            </w:pPr>
            <w:r>
              <w:rPr>
                <w:bCs/>
                <w:i/>
                <w:sz w:val="20"/>
                <w:szCs w:val="20"/>
                <w:lang w:eastAsia="en-US"/>
              </w:rPr>
              <w:t xml:space="preserve">State (2) occurs in Thalattosuchia and </w:t>
            </w:r>
            <w:r>
              <w:rPr>
                <w:bCs/>
                <w:sz w:val="20"/>
                <w:szCs w:val="20"/>
                <w:lang w:eastAsia="en-US"/>
              </w:rPr>
              <w:t>Meridiosaurus</w:t>
            </w:r>
            <w:r>
              <w:rPr>
                <w:bCs/>
                <w:i/>
                <w:sz w:val="20"/>
                <w:szCs w:val="20"/>
                <w:lang w:eastAsia="en-US"/>
              </w:rPr>
              <w:t>.</w:t>
            </w:r>
          </w:p>
          <w:p w14:paraId="022E64BF" w14:textId="77777777" w:rsidR="004C76BC" w:rsidRDefault="004C76BC" w:rsidP="00AF438E">
            <w:pPr>
              <w:rPr>
                <w:sz w:val="20"/>
                <w:szCs w:val="20"/>
                <w:lang w:eastAsia="en-US"/>
              </w:rPr>
            </w:pPr>
            <w:r>
              <w:rPr>
                <w:sz w:val="20"/>
                <w:szCs w:val="20"/>
                <w:lang w:eastAsia="en-US"/>
              </w:rPr>
              <w:t>0. both the nasals and maxillae not elongated</w:t>
            </w:r>
          </w:p>
          <w:p w14:paraId="48DB96C1" w14:textId="77777777" w:rsidR="004C76BC" w:rsidRDefault="004C76BC" w:rsidP="00AF438E">
            <w:pPr>
              <w:rPr>
                <w:sz w:val="20"/>
                <w:szCs w:val="20"/>
                <w:lang w:eastAsia="en-US"/>
              </w:rPr>
            </w:pPr>
            <w:r>
              <w:rPr>
                <w:sz w:val="20"/>
                <w:szCs w:val="20"/>
                <w:lang w:eastAsia="en-US"/>
              </w:rPr>
              <w:t>1. nasals and maxillae both elongated (having the sublongirostrine or longirostrine condition)</w:t>
            </w:r>
          </w:p>
          <w:p w14:paraId="2B3339C4" w14:textId="77777777" w:rsidR="004C76BC" w:rsidRDefault="004C76BC" w:rsidP="00AF438E">
            <w:pPr>
              <w:rPr>
                <w:b/>
                <w:color w:val="000000"/>
                <w:sz w:val="20"/>
                <w:szCs w:val="20"/>
                <w:lang w:eastAsia="en-US"/>
              </w:rPr>
            </w:pPr>
            <w:r>
              <w:rPr>
                <w:sz w:val="20"/>
                <w:szCs w:val="20"/>
                <w:lang w:eastAsia="en-US"/>
              </w:rPr>
              <w:t>2. maxillae elongated, contacting each other along their medial margins. No elongation of the nasals (having the sublongirostrine or longirostrine condition)</w:t>
            </w:r>
          </w:p>
        </w:tc>
      </w:tr>
      <w:tr w:rsidR="004C76BC" w14:paraId="4AB83093"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7F56429D" w14:textId="77777777" w:rsidR="004C76BC" w:rsidRDefault="004C76BC" w:rsidP="00AF438E">
            <w:pPr>
              <w:rPr>
                <w:color w:val="000000"/>
                <w:sz w:val="20"/>
                <w:szCs w:val="20"/>
                <w:lang w:eastAsia="en-US"/>
              </w:rPr>
            </w:pPr>
            <w:r>
              <w:rPr>
                <w:color w:val="000000"/>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bottom"/>
            <w:hideMark/>
          </w:tcPr>
          <w:p w14:paraId="2B46903A" w14:textId="77777777" w:rsidR="004C76BC" w:rsidRDefault="004C76BC" w:rsidP="00AF438E">
            <w:pPr>
              <w:autoSpaceDE w:val="0"/>
              <w:autoSpaceDN w:val="0"/>
              <w:adjustRightInd w:val="0"/>
              <w:rPr>
                <w:b/>
                <w:bCs/>
                <w:color w:val="000000"/>
                <w:sz w:val="20"/>
                <w:szCs w:val="20"/>
                <w:lang w:eastAsia="en-US"/>
              </w:rPr>
            </w:pPr>
            <w:r>
              <w:rPr>
                <w:b/>
                <w:bCs/>
                <w:color w:val="000000"/>
                <w:sz w:val="20"/>
                <w:szCs w:val="20"/>
                <w:lang w:eastAsia="en-US"/>
              </w:rPr>
              <w:t>Rostrum, relation between height and width: (ORDERED)</w:t>
            </w:r>
          </w:p>
          <w:p w14:paraId="4D17B90B" w14:textId="4AD96508" w:rsidR="004C76BC" w:rsidRDefault="004C76BC" w:rsidP="00AF438E">
            <w:pPr>
              <w:autoSpaceDE w:val="0"/>
              <w:autoSpaceDN w:val="0"/>
              <w:adjustRightInd w:val="0"/>
              <w:rPr>
                <w:bCs/>
                <w:i/>
                <w:color w:val="000000"/>
                <w:sz w:val="20"/>
                <w:szCs w:val="20"/>
                <w:lang w:eastAsia="en-US"/>
              </w:rPr>
            </w:pPr>
            <w:r>
              <w:rPr>
                <w:bCs/>
                <w:i/>
                <w:color w:val="000000"/>
                <w:sz w:val="20"/>
                <w:szCs w:val="20"/>
                <w:lang w:eastAsia="en-US"/>
              </w:rPr>
              <w:t xml:space="preserve">Clark (1994, ch. 3 modified); </w:t>
            </w:r>
            <w:r>
              <w:rPr>
                <w:i/>
                <w:sz w:val="20"/>
                <w:szCs w:val="20"/>
                <w:lang w:eastAsia="en-US"/>
              </w:rPr>
              <w:t xml:space="preserve">Young (2006, ch. 8 modified); Wilkinson et al. (2008, ch. 25 modified); Young &amp; Andrade (2009, ch. 25 modified); </w:t>
            </w:r>
            <w:r>
              <w:rPr>
                <w:bCs/>
                <w:i/>
                <w:color w:val="000000"/>
                <w:sz w:val="20"/>
                <w:szCs w:val="20"/>
                <w:lang w:eastAsia="en-US"/>
              </w:rPr>
              <w:t>Andrade et al. (2011, ch. 6 modified); Young et al. (2011, ch. 25 modified); Young et al. (2013a, ch. 1 modified);</w:t>
            </w:r>
            <w:r>
              <w:rPr>
                <w:i/>
                <w:sz w:val="20"/>
                <w:szCs w:val="20"/>
                <w:lang w:eastAsia="en-US"/>
              </w:rPr>
              <w:t xml:space="preserve"> Young et al. (2012, ch. 2 modified); Young (2014, ch. 2 modified); Young et al. (2016, ds 2, ch. 2 modified), Ristevski et al. (2018, ds 2, ch. 3); Smith et al. (in review, ds 1, ch.3)</w:t>
            </w:r>
            <w:r w:rsidR="00FD6E73">
              <w:rPr>
                <w:i/>
                <w:sz w:val="20"/>
                <w:szCs w:val="20"/>
                <w:lang w:eastAsia="en-US"/>
              </w:rPr>
              <w:t xml:space="preserve">; </w:t>
            </w:r>
            <w:r w:rsidR="00FD6E73">
              <w:rPr>
                <w:i/>
                <w:sz w:val="20"/>
                <w:szCs w:val="20"/>
              </w:rPr>
              <w:t>Ősi et al. (in review, ds 1, ch. 7)</w:t>
            </w:r>
            <w:r>
              <w:rPr>
                <w:bCs/>
                <w:i/>
                <w:color w:val="000000"/>
                <w:sz w:val="20"/>
                <w:szCs w:val="20"/>
                <w:lang w:eastAsia="en-US"/>
              </w:rPr>
              <w:t>.</w:t>
            </w:r>
          </w:p>
          <w:p w14:paraId="2222A8C6" w14:textId="77777777" w:rsidR="004C76BC" w:rsidRDefault="004C76BC" w:rsidP="00AF438E">
            <w:pPr>
              <w:autoSpaceDE w:val="0"/>
              <w:autoSpaceDN w:val="0"/>
              <w:adjustRightInd w:val="0"/>
              <w:rPr>
                <w:bCs/>
                <w:i/>
                <w:color w:val="000000"/>
                <w:sz w:val="20"/>
                <w:szCs w:val="20"/>
                <w:lang w:eastAsia="en-US"/>
              </w:rPr>
            </w:pPr>
            <w:r>
              <w:rPr>
                <w:bCs/>
                <w:i/>
                <w:color w:val="000000"/>
                <w:sz w:val="20"/>
                <w:szCs w:val="20"/>
                <w:lang w:eastAsia="en-US"/>
              </w:rPr>
              <w:t>State (0) does not imply the platyrostral condition, although that is the most likely morphology.</w:t>
            </w:r>
          </w:p>
          <w:p w14:paraId="26B17C3D" w14:textId="77777777" w:rsidR="004C76BC" w:rsidRDefault="004C76BC" w:rsidP="00AF438E">
            <w:pPr>
              <w:autoSpaceDE w:val="0"/>
              <w:autoSpaceDN w:val="0"/>
              <w:adjustRightInd w:val="0"/>
              <w:rPr>
                <w:i/>
                <w:iCs/>
                <w:color w:val="000000"/>
                <w:sz w:val="20"/>
                <w:szCs w:val="20"/>
                <w:lang w:eastAsia="en-US"/>
              </w:rPr>
            </w:pPr>
            <w:r>
              <w:rPr>
                <w:i/>
                <w:iCs/>
                <w:color w:val="000000"/>
                <w:sz w:val="20"/>
                <w:szCs w:val="20"/>
                <w:lang w:eastAsia="en-US"/>
              </w:rPr>
              <w:t>State (1) does not imply the rostrum will be tubular, although a tubular rostrum is most likely (1) in proportion.</w:t>
            </w:r>
          </w:p>
          <w:p w14:paraId="01F7EE81" w14:textId="77777777" w:rsidR="004C76BC" w:rsidRDefault="004C76BC" w:rsidP="00AF438E">
            <w:pPr>
              <w:autoSpaceDE w:val="0"/>
              <w:autoSpaceDN w:val="0"/>
              <w:adjustRightInd w:val="0"/>
              <w:rPr>
                <w:i/>
                <w:iCs/>
                <w:color w:val="000000"/>
                <w:sz w:val="20"/>
                <w:szCs w:val="20"/>
                <w:lang w:eastAsia="en-US"/>
              </w:rPr>
            </w:pPr>
            <w:r>
              <w:rPr>
                <w:i/>
                <w:iCs/>
                <w:color w:val="000000"/>
                <w:sz w:val="20"/>
                <w:szCs w:val="20"/>
                <w:lang w:eastAsia="en-US"/>
              </w:rPr>
              <w:t>State (2) does not imply the oreinirostral condition, although that is the most likely morphology.</w:t>
            </w:r>
          </w:p>
          <w:p w14:paraId="1F858323" w14:textId="77777777" w:rsidR="004C76BC" w:rsidRDefault="004C76BC" w:rsidP="00AF438E">
            <w:pPr>
              <w:autoSpaceDE w:val="0"/>
              <w:autoSpaceDN w:val="0"/>
              <w:adjustRightInd w:val="0"/>
              <w:rPr>
                <w:color w:val="000000"/>
                <w:sz w:val="20"/>
                <w:szCs w:val="20"/>
                <w:lang w:eastAsia="en-US"/>
              </w:rPr>
            </w:pPr>
            <w:r>
              <w:rPr>
                <w:color w:val="000000"/>
                <w:sz w:val="20"/>
                <w:szCs w:val="20"/>
                <w:lang w:eastAsia="en-US"/>
              </w:rPr>
              <w:t>0. wider than high (lateromedial axis greater than dorsoventral axis, by more than 10%)</w:t>
            </w:r>
          </w:p>
          <w:p w14:paraId="60049900" w14:textId="77777777" w:rsidR="004C76BC" w:rsidRDefault="004C76BC" w:rsidP="00AF438E">
            <w:pPr>
              <w:autoSpaceDE w:val="0"/>
              <w:autoSpaceDN w:val="0"/>
              <w:adjustRightInd w:val="0"/>
              <w:rPr>
                <w:color w:val="000000"/>
                <w:sz w:val="20"/>
                <w:szCs w:val="20"/>
                <w:lang w:eastAsia="en-US"/>
              </w:rPr>
            </w:pPr>
            <w:r>
              <w:rPr>
                <w:color w:val="000000"/>
                <w:sz w:val="20"/>
                <w:szCs w:val="20"/>
                <w:lang w:eastAsia="en-US"/>
              </w:rPr>
              <w:t>1. height and width subequal (lateromedial &amp; dorsoventral axes subequal ±10%)</w:t>
            </w:r>
          </w:p>
          <w:p w14:paraId="2B6E8A30" w14:textId="77777777" w:rsidR="004C76BC" w:rsidRDefault="004C76BC" w:rsidP="00AF438E">
            <w:pPr>
              <w:rPr>
                <w:color w:val="000000"/>
                <w:sz w:val="20"/>
                <w:szCs w:val="20"/>
                <w:lang w:eastAsia="en-US"/>
              </w:rPr>
            </w:pPr>
            <w:r>
              <w:rPr>
                <w:color w:val="000000"/>
                <w:sz w:val="20"/>
                <w:szCs w:val="20"/>
                <w:lang w:eastAsia="en-US"/>
              </w:rPr>
              <w:t>2. higher than wide (dorsoventral axis greater than lateromedial axis, by more than 10%)</w:t>
            </w:r>
          </w:p>
        </w:tc>
      </w:tr>
      <w:tr w:rsidR="004C76BC" w14:paraId="3A3685D9"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172C48C7" w14:textId="77777777" w:rsidR="004C76BC" w:rsidRDefault="004C76BC" w:rsidP="00AF438E">
            <w:pPr>
              <w:rPr>
                <w:color w:val="000000"/>
                <w:sz w:val="20"/>
                <w:szCs w:val="20"/>
                <w:lang w:eastAsia="en-US"/>
              </w:rPr>
            </w:pPr>
            <w:r>
              <w:rPr>
                <w:color w:val="000000"/>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18F0B7D0" w14:textId="77777777" w:rsidR="004C76BC" w:rsidRDefault="004C76BC" w:rsidP="00AF438E">
            <w:pPr>
              <w:rPr>
                <w:b/>
                <w:sz w:val="20"/>
                <w:szCs w:val="20"/>
                <w:lang w:eastAsia="en-US"/>
              </w:rPr>
            </w:pPr>
            <w:r>
              <w:rPr>
                <w:b/>
                <w:sz w:val="20"/>
                <w:szCs w:val="20"/>
                <w:lang w:eastAsia="en-US"/>
              </w:rPr>
              <w:t>Rostrum, in dorsal view – amblygnathy (“bullet-shaped”, with the rostrum retaining its width along almost all its length):</w:t>
            </w:r>
          </w:p>
          <w:p w14:paraId="65C85EE8" w14:textId="2F65E62C" w:rsidR="004C76BC" w:rsidRDefault="004C76BC" w:rsidP="00AF438E">
            <w:pPr>
              <w:autoSpaceDE w:val="0"/>
              <w:autoSpaceDN w:val="0"/>
              <w:adjustRightInd w:val="0"/>
              <w:rPr>
                <w:i/>
                <w:sz w:val="20"/>
                <w:szCs w:val="20"/>
                <w:lang w:eastAsia="en-US"/>
              </w:rPr>
            </w:pPr>
            <w:r>
              <w:rPr>
                <w:i/>
                <w:sz w:val="20"/>
                <w:szCs w:val="20"/>
                <w:lang w:eastAsia="en-US"/>
              </w:rPr>
              <w:t>Young et al. (2012, ch. 3); Young (2014, ch. 3); Young et al. (2016, ds 2, ch. 3), Ristevski et al. (2018, ds 2, ch. 4); Smith et al. (in review, ds 1, ch.4)</w:t>
            </w:r>
            <w:r w:rsidR="00FD6E73">
              <w:rPr>
                <w:i/>
                <w:sz w:val="20"/>
                <w:szCs w:val="20"/>
                <w:lang w:eastAsia="en-US"/>
              </w:rPr>
              <w:t xml:space="preserve">; </w:t>
            </w:r>
            <w:r w:rsidR="00FD6E73">
              <w:rPr>
                <w:i/>
                <w:sz w:val="20"/>
                <w:szCs w:val="20"/>
              </w:rPr>
              <w:t>Ősi et al. (in review, ds 1, ch. 8)</w:t>
            </w:r>
            <w:r>
              <w:rPr>
                <w:i/>
                <w:sz w:val="20"/>
                <w:szCs w:val="20"/>
                <w:lang w:eastAsia="en-US"/>
              </w:rPr>
              <w:t>.</w:t>
            </w:r>
          </w:p>
          <w:p w14:paraId="52EDDAE6" w14:textId="77777777" w:rsidR="004C76BC" w:rsidRDefault="004C76BC" w:rsidP="00AF438E">
            <w:pPr>
              <w:rPr>
                <w:color w:val="000000"/>
                <w:sz w:val="20"/>
                <w:szCs w:val="20"/>
                <w:lang w:eastAsia="en-US"/>
              </w:rPr>
            </w:pPr>
            <w:r>
              <w:rPr>
                <w:i/>
                <w:color w:val="000000"/>
                <w:sz w:val="20"/>
                <w:szCs w:val="20"/>
                <w:lang w:eastAsia="en-US"/>
              </w:rPr>
              <w:t>State (1) is a putative apomorphy of</w:t>
            </w:r>
            <w:r>
              <w:rPr>
                <w:color w:val="000000"/>
                <w:sz w:val="20"/>
                <w:szCs w:val="20"/>
                <w:lang w:eastAsia="en-US"/>
              </w:rPr>
              <w:t xml:space="preserve"> Dakosaurus + </w:t>
            </w:r>
            <w:r>
              <w:rPr>
                <w:i/>
                <w:color w:val="000000"/>
                <w:sz w:val="20"/>
                <w:szCs w:val="20"/>
                <w:lang w:eastAsia="en-US"/>
              </w:rPr>
              <w:t>Mr Leeds’ Dakosaur.</w:t>
            </w:r>
          </w:p>
          <w:p w14:paraId="09F3839F" w14:textId="77777777" w:rsidR="004C76BC" w:rsidRDefault="004C76BC" w:rsidP="00AF438E">
            <w:pPr>
              <w:rPr>
                <w:color w:val="000000"/>
                <w:sz w:val="20"/>
                <w:szCs w:val="20"/>
                <w:lang w:eastAsia="en-US"/>
              </w:rPr>
            </w:pPr>
            <w:r>
              <w:rPr>
                <w:color w:val="000000"/>
                <w:sz w:val="20"/>
                <w:szCs w:val="20"/>
                <w:lang w:eastAsia="en-US"/>
              </w:rPr>
              <w:t>0. no</w:t>
            </w:r>
          </w:p>
          <w:p w14:paraId="5E0D2AF9" w14:textId="77777777" w:rsidR="004C76BC" w:rsidRDefault="004C76BC" w:rsidP="00AF438E">
            <w:pPr>
              <w:rPr>
                <w:color w:val="000000"/>
                <w:sz w:val="20"/>
                <w:szCs w:val="20"/>
                <w:lang w:eastAsia="en-US"/>
              </w:rPr>
            </w:pPr>
            <w:r>
              <w:rPr>
                <w:color w:val="000000"/>
                <w:sz w:val="20"/>
                <w:szCs w:val="20"/>
                <w:lang w:eastAsia="en-US"/>
              </w:rPr>
              <w:t>1. yes</w:t>
            </w:r>
          </w:p>
        </w:tc>
      </w:tr>
      <w:tr w:rsidR="004C76BC" w14:paraId="7B09B3E6"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8B9A52E" w14:textId="77777777" w:rsidR="004C76BC" w:rsidRDefault="004C76BC" w:rsidP="00AF438E">
            <w:pPr>
              <w:rPr>
                <w:color w:val="000000"/>
                <w:sz w:val="20"/>
                <w:szCs w:val="20"/>
                <w:lang w:eastAsia="en-US"/>
              </w:rPr>
            </w:pPr>
            <w:r>
              <w:rPr>
                <w:color w:val="000000"/>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14:paraId="6502BD43" w14:textId="77777777" w:rsidR="004C76BC" w:rsidRDefault="004C76BC" w:rsidP="00AF438E">
            <w:pPr>
              <w:rPr>
                <w:b/>
                <w:sz w:val="20"/>
                <w:szCs w:val="20"/>
                <w:lang w:eastAsia="en-US"/>
              </w:rPr>
            </w:pPr>
            <w:r>
              <w:rPr>
                <w:b/>
                <w:sz w:val="20"/>
                <w:szCs w:val="20"/>
                <w:lang w:eastAsia="en-US"/>
              </w:rPr>
              <w:t>Rostrum, presence of distinct flattening of the cranial rostrum dorsal surface and symphyseal dentary ventral surface:</w:t>
            </w:r>
          </w:p>
          <w:p w14:paraId="35238E3B" w14:textId="3F3A2FE1" w:rsidR="004C76BC" w:rsidRDefault="004C76BC" w:rsidP="00AF438E">
            <w:pPr>
              <w:rPr>
                <w:i/>
                <w:sz w:val="20"/>
                <w:lang w:eastAsia="en-US"/>
              </w:rPr>
            </w:pPr>
            <w:r>
              <w:rPr>
                <w:i/>
                <w:sz w:val="20"/>
                <w:szCs w:val="20"/>
                <w:lang w:eastAsia="en-US"/>
              </w:rPr>
              <w:t>Smith et al. (in review, ds 1, ch. 5)</w:t>
            </w:r>
            <w:r w:rsidR="00FD6E73">
              <w:rPr>
                <w:i/>
                <w:sz w:val="20"/>
                <w:szCs w:val="20"/>
                <w:lang w:eastAsia="en-US"/>
              </w:rPr>
              <w:t xml:space="preserve">; </w:t>
            </w:r>
            <w:r w:rsidR="00FD6E73">
              <w:rPr>
                <w:i/>
                <w:sz w:val="20"/>
                <w:szCs w:val="20"/>
              </w:rPr>
              <w:t>Ősi et al. (in review, ds 1, ch. 9)</w:t>
            </w:r>
            <w:r>
              <w:rPr>
                <w:i/>
                <w:sz w:val="20"/>
                <w:szCs w:val="20"/>
                <w:lang w:eastAsia="en-US"/>
              </w:rPr>
              <w:t>.</w:t>
            </w:r>
          </w:p>
          <w:p w14:paraId="30142D93" w14:textId="77777777" w:rsidR="004C76BC" w:rsidRDefault="004C76BC" w:rsidP="00AF438E">
            <w:pPr>
              <w:rPr>
                <w:sz w:val="20"/>
                <w:lang w:eastAsia="en-US"/>
              </w:rPr>
            </w:pPr>
            <w:r>
              <w:rPr>
                <w:i/>
                <w:sz w:val="20"/>
                <w:lang w:eastAsia="en-US"/>
              </w:rPr>
              <w:t>State (1) occurs in</w:t>
            </w:r>
            <w:r>
              <w:rPr>
                <w:sz w:val="20"/>
                <w:lang w:eastAsia="en-US"/>
              </w:rPr>
              <w:t xml:space="preserve"> Sarcosuchus </w:t>
            </w:r>
            <w:r>
              <w:rPr>
                <w:i/>
                <w:sz w:val="20"/>
                <w:lang w:eastAsia="en-US"/>
              </w:rPr>
              <w:t>and</w:t>
            </w:r>
            <w:r>
              <w:rPr>
                <w:sz w:val="20"/>
                <w:lang w:eastAsia="en-US"/>
              </w:rPr>
              <w:t xml:space="preserve"> Chalawan.</w:t>
            </w:r>
          </w:p>
          <w:p w14:paraId="11252677" w14:textId="77777777" w:rsidR="004C76BC" w:rsidRDefault="004C76BC" w:rsidP="00AF438E">
            <w:pPr>
              <w:rPr>
                <w:i/>
                <w:sz w:val="20"/>
                <w:lang w:eastAsia="en-US"/>
              </w:rPr>
            </w:pPr>
            <w:r>
              <w:rPr>
                <w:i/>
                <w:sz w:val="20"/>
                <w:lang w:eastAsia="en-US"/>
              </w:rPr>
              <w:t>This character can be scored based on either the cranial or mandibular rostrum.</w:t>
            </w:r>
          </w:p>
          <w:p w14:paraId="59415056" w14:textId="77777777" w:rsidR="004C76BC" w:rsidRDefault="004C76BC" w:rsidP="00AF438E">
            <w:pPr>
              <w:rPr>
                <w:i/>
                <w:sz w:val="20"/>
                <w:lang w:eastAsia="en-US"/>
              </w:rPr>
            </w:pPr>
            <w:r>
              <w:rPr>
                <w:i/>
                <w:sz w:val="20"/>
                <w:lang w:eastAsia="en-US"/>
              </w:rPr>
              <w:t>This character scores the almost planar dentary symphyseal region, and the flattening of the cranial rostrum. Note, this character does not score for the ‘duck’-billed morphology seen in some crocodylomorphs, only the flattening seen in the giant pholidosaurids.</w:t>
            </w:r>
          </w:p>
          <w:p w14:paraId="39B3DA6B" w14:textId="77777777" w:rsidR="004C76BC" w:rsidRDefault="004C76BC" w:rsidP="00AF438E">
            <w:pPr>
              <w:rPr>
                <w:sz w:val="20"/>
                <w:lang w:eastAsia="en-US"/>
              </w:rPr>
            </w:pPr>
            <w:r>
              <w:rPr>
                <w:sz w:val="20"/>
                <w:lang w:eastAsia="en-US"/>
              </w:rPr>
              <w:t>0. no</w:t>
            </w:r>
          </w:p>
          <w:p w14:paraId="43CF1948" w14:textId="77777777" w:rsidR="004C76BC" w:rsidRDefault="004C76BC" w:rsidP="00AF438E">
            <w:pPr>
              <w:rPr>
                <w:sz w:val="20"/>
                <w:lang w:eastAsia="en-US"/>
              </w:rPr>
            </w:pPr>
            <w:r>
              <w:rPr>
                <w:sz w:val="20"/>
                <w:lang w:eastAsia="en-US"/>
              </w:rPr>
              <w:t>1. yes</w:t>
            </w:r>
          </w:p>
        </w:tc>
      </w:tr>
      <w:tr w:rsidR="004C76BC" w14:paraId="68F5A25D"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3E47691A" w14:textId="77777777" w:rsidR="004C76BC" w:rsidRDefault="004C76BC" w:rsidP="00AF438E">
            <w:pPr>
              <w:rPr>
                <w:color w:val="000000"/>
                <w:sz w:val="20"/>
                <w:szCs w:val="20"/>
                <w:lang w:eastAsia="en-US"/>
              </w:rPr>
            </w:pPr>
            <w:r>
              <w:rPr>
                <w:color w:val="000000"/>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5497EFAC" w14:textId="77777777" w:rsidR="004C76BC" w:rsidRDefault="004C76BC" w:rsidP="00AF438E">
            <w:pPr>
              <w:rPr>
                <w:b/>
                <w:sz w:val="20"/>
                <w:szCs w:val="20"/>
                <w:lang w:eastAsia="en-US"/>
              </w:rPr>
            </w:pPr>
            <w:r>
              <w:rPr>
                <w:b/>
                <w:sz w:val="20"/>
                <w:szCs w:val="20"/>
                <w:lang w:eastAsia="en-US"/>
              </w:rPr>
              <w:t>Rostrum narrows markedly in dorsal view, immediately in front of the orbits</w:t>
            </w:r>
          </w:p>
          <w:p w14:paraId="63D28288" w14:textId="7CDF7541" w:rsidR="004C76BC" w:rsidRDefault="004C76BC" w:rsidP="00AF438E">
            <w:pPr>
              <w:rPr>
                <w:i/>
                <w:color w:val="000000"/>
                <w:sz w:val="20"/>
                <w:szCs w:val="20"/>
                <w:lang w:eastAsia="en-US"/>
              </w:rPr>
            </w:pPr>
            <w:r>
              <w:rPr>
                <w:i/>
                <w:color w:val="000000"/>
                <w:sz w:val="20"/>
                <w:szCs w:val="20"/>
                <w:lang w:eastAsia="en-US"/>
              </w:rPr>
              <w:t xml:space="preserve">Young et al. (2016, ds 2, ch. 4), </w:t>
            </w:r>
            <w:r>
              <w:rPr>
                <w:i/>
                <w:sz w:val="20"/>
                <w:szCs w:val="20"/>
                <w:lang w:eastAsia="en-US"/>
              </w:rPr>
              <w:t>Ristevski et al. (2018, ds 2, ch. 5); Smith et al. (in review, ds 1, ch. 6)</w:t>
            </w:r>
            <w:r w:rsidR="00FD6E73">
              <w:rPr>
                <w:i/>
                <w:sz w:val="20"/>
                <w:szCs w:val="20"/>
                <w:lang w:eastAsia="en-US"/>
              </w:rPr>
              <w:t xml:space="preserve">; </w:t>
            </w:r>
            <w:r w:rsidR="00FD6E73">
              <w:rPr>
                <w:i/>
                <w:sz w:val="20"/>
                <w:szCs w:val="20"/>
              </w:rPr>
              <w:t>Ősi et al. (in review, ds 1, ch. 10)</w:t>
            </w:r>
            <w:r>
              <w:rPr>
                <w:i/>
                <w:color w:val="000000"/>
                <w:sz w:val="20"/>
                <w:szCs w:val="20"/>
                <w:lang w:eastAsia="en-US"/>
              </w:rPr>
              <w:t>.</w:t>
            </w:r>
          </w:p>
          <w:p w14:paraId="1DE68E93" w14:textId="77777777" w:rsidR="004C76BC" w:rsidRDefault="004C76BC" w:rsidP="00AF438E">
            <w:pPr>
              <w:rPr>
                <w:i/>
                <w:color w:val="000000"/>
                <w:sz w:val="20"/>
                <w:szCs w:val="20"/>
                <w:lang w:eastAsia="en-US"/>
              </w:rPr>
            </w:pPr>
            <w:r>
              <w:rPr>
                <w:i/>
                <w:color w:val="000000"/>
                <w:sz w:val="20"/>
                <w:szCs w:val="20"/>
                <w:lang w:eastAsia="en-US"/>
              </w:rPr>
              <w:t>In Thalattosuchia, state (1) occurs in</w:t>
            </w:r>
            <w:r>
              <w:rPr>
                <w:color w:val="000000"/>
                <w:sz w:val="20"/>
                <w:szCs w:val="20"/>
                <w:lang w:eastAsia="en-US"/>
              </w:rPr>
              <w:t xml:space="preserve"> Aeolodon priscus, Mycterosuchus nasutus, Teleosaurus megarhinus </w:t>
            </w:r>
            <w:r>
              <w:rPr>
                <w:i/>
                <w:color w:val="000000"/>
                <w:sz w:val="20"/>
                <w:szCs w:val="20"/>
                <w:lang w:eastAsia="en-US"/>
              </w:rPr>
              <w:t>and</w:t>
            </w:r>
            <w:r>
              <w:rPr>
                <w:color w:val="000000"/>
                <w:sz w:val="20"/>
                <w:szCs w:val="20"/>
                <w:lang w:eastAsia="en-US"/>
              </w:rPr>
              <w:t xml:space="preserve"> Teleosaurus cadomensis. </w:t>
            </w:r>
            <w:r>
              <w:rPr>
                <w:i/>
                <w:color w:val="000000"/>
                <w:sz w:val="20"/>
                <w:szCs w:val="20"/>
                <w:lang w:eastAsia="en-US"/>
              </w:rPr>
              <w:t>Note that in many</w:t>
            </w:r>
            <w:r>
              <w:rPr>
                <w:color w:val="000000"/>
                <w:sz w:val="20"/>
                <w:szCs w:val="20"/>
                <w:lang w:eastAsia="en-US"/>
              </w:rPr>
              <w:t xml:space="preserve"> Steneosaurus bollensis </w:t>
            </w:r>
            <w:r>
              <w:rPr>
                <w:i/>
                <w:color w:val="000000"/>
                <w:sz w:val="20"/>
                <w:szCs w:val="20"/>
                <w:lang w:eastAsia="en-US"/>
              </w:rPr>
              <w:t>specimens the dorsoventral compression of the skulls exaggerates the width of the temporal region.</w:t>
            </w:r>
          </w:p>
          <w:p w14:paraId="30F857D9" w14:textId="77777777" w:rsidR="004C76BC" w:rsidRDefault="004C76BC" w:rsidP="00AF438E">
            <w:pPr>
              <w:rPr>
                <w:color w:val="000000"/>
                <w:sz w:val="20"/>
                <w:szCs w:val="20"/>
                <w:lang w:eastAsia="en-US"/>
              </w:rPr>
            </w:pPr>
            <w:r>
              <w:rPr>
                <w:color w:val="000000"/>
                <w:sz w:val="20"/>
                <w:szCs w:val="20"/>
                <w:lang w:eastAsia="en-US"/>
              </w:rPr>
              <w:t>0. no</w:t>
            </w:r>
          </w:p>
          <w:p w14:paraId="424EED62" w14:textId="77777777" w:rsidR="004C76BC" w:rsidRDefault="004C76BC" w:rsidP="00AF438E">
            <w:pPr>
              <w:rPr>
                <w:color w:val="000000"/>
                <w:sz w:val="20"/>
                <w:szCs w:val="20"/>
                <w:lang w:eastAsia="en-US"/>
              </w:rPr>
            </w:pPr>
            <w:r>
              <w:rPr>
                <w:color w:val="000000"/>
                <w:sz w:val="20"/>
                <w:szCs w:val="20"/>
                <w:lang w:eastAsia="en-US"/>
              </w:rPr>
              <w:t>1. yes</w:t>
            </w:r>
          </w:p>
        </w:tc>
      </w:tr>
      <w:bookmarkEnd w:id="49"/>
    </w:tbl>
    <w:p w14:paraId="3262BADA" w14:textId="77777777" w:rsidR="004C76BC" w:rsidRDefault="004C76BC" w:rsidP="004C76BC"/>
    <w:p w14:paraId="10A71AB6" w14:textId="77777777" w:rsidR="004C76BC" w:rsidRDefault="004C76BC" w:rsidP="004C76BC">
      <w:r>
        <w:rPr>
          <w:b/>
        </w:rPr>
        <w:t xml:space="preserve">Craniomandibular ornamentation </w:t>
      </w:r>
      <w:r>
        <w:t>(Ch. 11 – 16; 1.322% of characters)</w:t>
      </w:r>
    </w:p>
    <w:p w14:paraId="75B85F9A" w14:textId="77777777" w:rsidR="004C76BC" w:rsidRDefault="004C76BC" w:rsidP="004C76BC">
      <w:pPr>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4C76BC" w14:paraId="7571B4DD"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3D388C95"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D7610DD" w14:textId="77777777" w:rsidR="004C76BC" w:rsidRDefault="004C76BC" w:rsidP="00AF438E">
            <w:pPr>
              <w:rPr>
                <w:sz w:val="20"/>
                <w:szCs w:val="20"/>
                <w:lang w:eastAsia="en-US"/>
              </w:rPr>
            </w:pPr>
            <w:r>
              <w:rPr>
                <w:sz w:val="20"/>
                <w:szCs w:val="20"/>
                <w:lang w:eastAsia="en-US"/>
              </w:rPr>
              <w:t>Description</w:t>
            </w:r>
          </w:p>
        </w:tc>
      </w:tr>
      <w:tr w:rsidR="004C76BC" w14:paraId="4466AEA9"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26348689" w14:textId="77777777" w:rsidR="004C76BC" w:rsidRDefault="004C76BC" w:rsidP="00AF438E">
            <w:pPr>
              <w:rPr>
                <w:color w:val="000000"/>
                <w:sz w:val="20"/>
                <w:szCs w:val="20"/>
                <w:lang w:eastAsia="en-US"/>
              </w:rPr>
            </w:pPr>
            <w:r>
              <w:rPr>
                <w:color w:val="000000"/>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vAlign w:val="bottom"/>
            <w:hideMark/>
          </w:tcPr>
          <w:p w14:paraId="481A002C" w14:textId="77777777" w:rsidR="004C76BC" w:rsidRDefault="004C76BC" w:rsidP="00AF438E">
            <w:pPr>
              <w:rPr>
                <w:b/>
                <w:color w:val="000000"/>
                <w:sz w:val="20"/>
                <w:szCs w:val="20"/>
                <w:lang w:eastAsia="en-US"/>
              </w:rPr>
            </w:pPr>
            <w:r>
              <w:rPr>
                <w:b/>
                <w:color w:val="000000"/>
                <w:sz w:val="20"/>
                <w:szCs w:val="20"/>
                <w:lang w:eastAsia="en-US"/>
              </w:rPr>
              <w:t>Ornamentation (maxilla in dorsal view = external surface):</w:t>
            </w:r>
          </w:p>
          <w:p w14:paraId="28857FFD" w14:textId="72985494" w:rsidR="004C76BC" w:rsidRDefault="004C76BC" w:rsidP="00AF438E">
            <w:pPr>
              <w:autoSpaceDE w:val="0"/>
              <w:autoSpaceDN w:val="0"/>
              <w:adjustRightInd w:val="0"/>
              <w:rPr>
                <w:i/>
                <w:sz w:val="20"/>
                <w:szCs w:val="20"/>
                <w:lang w:eastAsia="en-US"/>
              </w:rPr>
            </w:pPr>
            <w:r>
              <w:rPr>
                <w:i/>
                <w:sz w:val="20"/>
                <w:szCs w:val="20"/>
                <w:lang w:eastAsia="en-US"/>
              </w:rPr>
              <w:lastRenderedPageBreak/>
              <w:t>Young &amp; Andrade (2009, ch. 84 modified); Young et al. (2011, ch. 84 modified); Young et al. (2013a, ch. 2 modified); Young et al. (2012, ch. 4 modified); Young (2014, ch. 4); Young et al. (2016, ds 2, ch. 5), Ristevski et al. (2018, ds 2, ch. 7); Smith et al. (in review, ds 1, ch. 8)</w:t>
            </w:r>
            <w:r w:rsidR="00FD6E73">
              <w:rPr>
                <w:i/>
                <w:sz w:val="20"/>
                <w:szCs w:val="20"/>
                <w:lang w:eastAsia="en-US"/>
              </w:rPr>
              <w:t xml:space="preserve">; </w:t>
            </w:r>
            <w:r w:rsidR="00FD6E73">
              <w:rPr>
                <w:i/>
                <w:sz w:val="20"/>
                <w:szCs w:val="20"/>
              </w:rPr>
              <w:t>Ősi et al. (in review, ds 1, ch. 11)</w:t>
            </w:r>
            <w:r>
              <w:rPr>
                <w:i/>
                <w:sz w:val="20"/>
                <w:szCs w:val="20"/>
                <w:lang w:eastAsia="en-US"/>
              </w:rPr>
              <w:t>.</w:t>
            </w:r>
          </w:p>
          <w:p w14:paraId="248BC4E2" w14:textId="77777777" w:rsidR="004C76BC" w:rsidRDefault="004C76BC" w:rsidP="00AF438E">
            <w:pPr>
              <w:autoSpaceDE w:val="0"/>
              <w:autoSpaceDN w:val="0"/>
              <w:adjustRightInd w:val="0"/>
              <w:rPr>
                <w:sz w:val="20"/>
                <w:szCs w:val="20"/>
                <w:lang w:eastAsia="en-US"/>
              </w:rPr>
            </w:pPr>
            <w:r>
              <w:rPr>
                <w:color w:val="000000"/>
                <w:sz w:val="20"/>
                <w:szCs w:val="20"/>
                <w:lang w:eastAsia="en-US"/>
              </w:rPr>
              <w:t xml:space="preserve">0. no conspicuous ornamentation, or </w:t>
            </w:r>
            <w:r>
              <w:rPr>
                <w:sz w:val="20"/>
                <w:szCs w:val="20"/>
                <w:lang w:eastAsia="en-US"/>
              </w:rPr>
              <w:t>ornamented with an irregular pattern of ridges, rugosities and anastomosing grooves</w:t>
            </w:r>
          </w:p>
          <w:p w14:paraId="210CDFE1" w14:textId="77777777" w:rsidR="004C76BC" w:rsidRDefault="004C76BC" w:rsidP="00AF438E">
            <w:pPr>
              <w:rPr>
                <w:color w:val="000000"/>
                <w:sz w:val="20"/>
                <w:szCs w:val="20"/>
                <w:lang w:eastAsia="en-US"/>
              </w:rPr>
            </w:pPr>
            <w:r>
              <w:rPr>
                <w:color w:val="000000"/>
                <w:sz w:val="20"/>
                <w:szCs w:val="20"/>
                <w:lang w:eastAsia="en-US"/>
              </w:rPr>
              <w:t>1. conspicuous circular-to-polygonally pitted pattern</w:t>
            </w:r>
          </w:p>
          <w:p w14:paraId="05F5830C" w14:textId="77777777" w:rsidR="004C76BC" w:rsidRDefault="004C76BC" w:rsidP="00AF438E">
            <w:pPr>
              <w:rPr>
                <w:color w:val="000000"/>
                <w:sz w:val="20"/>
                <w:szCs w:val="20"/>
                <w:lang w:eastAsia="en-US"/>
              </w:rPr>
            </w:pPr>
            <w:r>
              <w:rPr>
                <w:color w:val="000000"/>
                <w:sz w:val="20"/>
                <w:szCs w:val="20"/>
                <w:lang w:eastAsia="en-US"/>
              </w:rPr>
              <w:t>2. conspicuous grooved-ridged pattern</w:t>
            </w:r>
          </w:p>
          <w:p w14:paraId="36B121B3" w14:textId="77777777" w:rsidR="004C76BC" w:rsidRDefault="004C76BC" w:rsidP="00AF438E">
            <w:pPr>
              <w:rPr>
                <w:color w:val="000000"/>
                <w:sz w:val="20"/>
                <w:szCs w:val="20"/>
                <w:lang w:eastAsia="en-US"/>
              </w:rPr>
            </w:pPr>
            <w:r>
              <w:rPr>
                <w:color w:val="000000"/>
                <w:sz w:val="20"/>
                <w:szCs w:val="20"/>
                <w:lang w:eastAsia="en-US"/>
              </w:rPr>
              <w:t>3. conspicuous pits and grooves</w:t>
            </w:r>
          </w:p>
        </w:tc>
      </w:tr>
      <w:tr w:rsidR="004C76BC" w14:paraId="22D170B0"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3247730B" w14:textId="77777777" w:rsidR="004C76BC" w:rsidRDefault="004C76BC" w:rsidP="00AF438E">
            <w:pPr>
              <w:rPr>
                <w:color w:val="000000"/>
                <w:sz w:val="20"/>
                <w:szCs w:val="20"/>
                <w:lang w:eastAsia="en-US"/>
              </w:rPr>
            </w:pPr>
            <w:r>
              <w:rPr>
                <w:sz w:val="20"/>
                <w:szCs w:val="20"/>
                <w:lang w:eastAsia="en-US"/>
              </w:rPr>
              <w:lastRenderedPageBreak/>
              <w:t>12</w:t>
            </w:r>
          </w:p>
        </w:tc>
        <w:tc>
          <w:tcPr>
            <w:tcW w:w="0" w:type="auto"/>
            <w:tcBorders>
              <w:top w:val="single" w:sz="4" w:space="0" w:color="auto"/>
              <w:left w:val="single" w:sz="4" w:space="0" w:color="auto"/>
              <w:bottom w:val="single" w:sz="4" w:space="0" w:color="auto"/>
              <w:right w:val="single" w:sz="4" w:space="0" w:color="auto"/>
            </w:tcBorders>
            <w:vAlign w:val="bottom"/>
            <w:hideMark/>
          </w:tcPr>
          <w:p w14:paraId="7A154B2E" w14:textId="77777777" w:rsidR="004C76BC" w:rsidRDefault="004C76BC" w:rsidP="00AF438E">
            <w:pPr>
              <w:rPr>
                <w:b/>
                <w:color w:val="000000"/>
                <w:sz w:val="20"/>
                <w:szCs w:val="20"/>
                <w:lang w:eastAsia="en-US"/>
              </w:rPr>
            </w:pPr>
            <w:r>
              <w:rPr>
                <w:b/>
                <w:color w:val="000000"/>
                <w:sz w:val="20"/>
                <w:szCs w:val="20"/>
                <w:lang w:eastAsia="en-US"/>
              </w:rPr>
              <w:t>Ornamentation (frontal):</w:t>
            </w:r>
          </w:p>
          <w:p w14:paraId="1DF209EA" w14:textId="2B70CD07" w:rsidR="004C76BC" w:rsidRDefault="004C76BC" w:rsidP="00AF438E">
            <w:pPr>
              <w:autoSpaceDE w:val="0"/>
              <w:autoSpaceDN w:val="0"/>
              <w:adjustRightInd w:val="0"/>
              <w:rPr>
                <w:i/>
                <w:sz w:val="20"/>
                <w:szCs w:val="20"/>
                <w:lang w:eastAsia="en-US"/>
              </w:rPr>
            </w:pPr>
            <w:r>
              <w:rPr>
                <w:i/>
                <w:sz w:val="20"/>
                <w:szCs w:val="20"/>
                <w:lang w:eastAsia="en-US"/>
              </w:rPr>
              <w:t>Young (2006, ch. 1 modified); Wilkinson et al. (2008, ch. 1 modified); Young &amp; Andrade (2009, ch. 1 modified); Young et al. (2011, ch. 1 modified); Young et al. (2013a, ch. 46 modified); Young et al. (2012, ch. 55 modified); Young (2014, ch. 57); Young et al. (2016, ds 2, ch. 65), Ristevski et al. (2018, ds 2, ch. 8); Smith et al. (in review, ds 1, ch. 9)</w:t>
            </w:r>
            <w:r w:rsidR="00FD6E73">
              <w:rPr>
                <w:i/>
                <w:sz w:val="20"/>
                <w:szCs w:val="20"/>
                <w:lang w:eastAsia="en-US"/>
              </w:rPr>
              <w:t xml:space="preserve">; </w:t>
            </w:r>
            <w:r w:rsidR="00FD6E73">
              <w:rPr>
                <w:i/>
                <w:sz w:val="20"/>
                <w:szCs w:val="20"/>
              </w:rPr>
              <w:t>Ősi et al. (in review, ds 1, ch. 12)</w:t>
            </w:r>
            <w:r>
              <w:rPr>
                <w:i/>
                <w:sz w:val="20"/>
                <w:szCs w:val="20"/>
                <w:lang w:eastAsia="en-US"/>
              </w:rPr>
              <w:t>.</w:t>
            </w:r>
          </w:p>
          <w:p w14:paraId="6973268E" w14:textId="77777777" w:rsidR="004C76BC" w:rsidRDefault="004C76BC" w:rsidP="00AF438E">
            <w:pPr>
              <w:autoSpaceDE w:val="0"/>
              <w:autoSpaceDN w:val="0"/>
              <w:adjustRightInd w:val="0"/>
              <w:rPr>
                <w:sz w:val="20"/>
                <w:szCs w:val="20"/>
                <w:lang w:eastAsia="en-US"/>
              </w:rPr>
            </w:pPr>
            <w:r>
              <w:rPr>
                <w:i/>
                <w:iCs/>
                <w:color w:val="000000"/>
                <w:sz w:val="20"/>
                <w:szCs w:val="20"/>
                <w:lang w:eastAsia="en-US"/>
              </w:rPr>
              <w:t>In metriorhynchids, the main body of the frontal can be largely or entirely 'smooth', while the anteromedial process is ornamented. If this process is ornamented, the taxon was still scored from states (0–2).</w:t>
            </w:r>
          </w:p>
          <w:p w14:paraId="019AF98B" w14:textId="77777777" w:rsidR="004C76BC" w:rsidRDefault="004C76BC" w:rsidP="00AF438E">
            <w:pPr>
              <w:rPr>
                <w:color w:val="000000"/>
                <w:sz w:val="20"/>
                <w:szCs w:val="20"/>
                <w:lang w:eastAsia="en-US"/>
              </w:rPr>
            </w:pPr>
            <w:r>
              <w:rPr>
                <w:color w:val="000000"/>
                <w:sz w:val="20"/>
                <w:szCs w:val="20"/>
                <w:lang w:eastAsia="en-US"/>
              </w:rPr>
              <w:t>0. yes, with shallow to deep elliptical pits and shallow to deep grooves</w:t>
            </w:r>
          </w:p>
          <w:p w14:paraId="316408D0" w14:textId="77777777" w:rsidR="004C76BC" w:rsidRDefault="004C76BC" w:rsidP="00AF438E">
            <w:pPr>
              <w:rPr>
                <w:color w:val="000000"/>
                <w:sz w:val="20"/>
                <w:szCs w:val="20"/>
                <w:lang w:eastAsia="en-US"/>
              </w:rPr>
            </w:pPr>
            <w:r>
              <w:rPr>
                <w:color w:val="000000"/>
                <w:sz w:val="20"/>
                <w:szCs w:val="20"/>
                <w:lang w:eastAsia="en-US"/>
              </w:rPr>
              <w:t>1. yes, shallow to deep elliptical pits</w:t>
            </w:r>
          </w:p>
          <w:p w14:paraId="65B2D9B2" w14:textId="77777777" w:rsidR="004C76BC" w:rsidRDefault="004C76BC" w:rsidP="00AF438E">
            <w:pPr>
              <w:rPr>
                <w:color w:val="000000"/>
                <w:sz w:val="20"/>
                <w:szCs w:val="20"/>
                <w:lang w:eastAsia="en-US"/>
              </w:rPr>
            </w:pPr>
            <w:r>
              <w:rPr>
                <w:color w:val="000000"/>
                <w:sz w:val="20"/>
                <w:szCs w:val="20"/>
                <w:lang w:eastAsia="en-US"/>
              </w:rPr>
              <w:t>2. yes, shallow to deep grooves</w:t>
            </w:r>
          </w:p>
          <w:p w14:paraId="1956679B" w14:textId="77777777" w:rsidR="004C76BC" w:rsidRDefault="004C76BC" w:rsidP="00AF438E">
            <w:pPr>
              <w:rPr>
                <w:b/>
                <w:color w:val="000000"/>
                <w:sz w:val="20"/>
                <w:szCs w:val="20"/>
                <w:lang w:eastAsia="en-US"/>
              </w:rPr>
            </w:pPr>
            <w:r>
              <w:rPr>
                <w:color w:val="000000"/>
                <w:sz w:val="20"/>
                <w:szCs w:val="20"/>
                <w:lang w:eastAsia="en-US"/>
              </w:rPr>
              <w:t>3. no</w:t>
            </w:r>
          </w:p>
        </w:tc>
      </w:tr>
      <w:tr w:rsidR="004C76BC" w14:paraId="6D8AF75D"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7DCDF6F" w14:textId="77777777" w:rsidR="004C76BC" w:rsidRDefault="004C76BC" w:rsidP="00AF438E">
            <w:pPr>
              <w:rPr>
                <w:color w:val="000000"/>
                <w:sz w:val="20"/>
                <w:szCs w:val="20"/>
                <w:lang w:eastAsia="en-US"/>
              </w:rPr>
            </w:pPr>
            <w:r>
              <w:rPr>
                <w:color w:val="000000"/>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bottom"/>
            <w:hideMark/>
          </w:tcPr>
          <w:p w14:paraId="4F749AD0" w14:textId="77777777" w:rsidR="004C76BC" w:rsidRDefault="004C76BC" w:rsidP="00AF438E">
            <w:pPr>
              <w:rPr>
                <w:b/>
                <w:color w:val="000000"/>
                <w:sz w:val="20"/>
                <w:szCs w:val="20"/>
                <w:lang w:eastAsia="en-US"/>
              </w:rPr>
            </w:pPr>
            <w:r>
              <w:rPr>
                <w:b/>
                <w:color w:val="000000"/>
                <w:sz w:val="20"/>
                <w:szCs w:val="20"/>
                <w:lang w:eastAsia="en-US"/>
              </w:rPr>
              <w:t>Ornamentation (dorsal surface of the medial temporal region, typically the intertemporal bar):</w:t>
            </w:r>
          </w:p>
          <w:p w14:paraId="4763F035" w14:textId="62E31D15" w:rsidR="004C76BC" w:rsidRDefault="004C76BC" w:rsidP="00AF438E">
            <w:pPr>
              <w:rPr>
                <w:i/>
                <w:sz w:val="20"/>
                <w:szCs w:val="20"/>
                <w:lang w:eastAsia="en-US"/>
              </w:rPr>
            </w:pPr>
            <w:r>
              <w:rPr>
                <w:i/>
                <w:sz w:val="20"/>
                <w:szCs w:val="20"/>
                <w:lang w:eastAsia="en-US"/>
              </w:rPr>
              <w:t xml:space="preserve">Jouve et al. (2005b, ch. </w:t>
            </w:r>
            <w:r>
              <w:rPr>
                <w:bCs/>
                <w:i/>
                <w:sz w:val="20"/>
                <w:szCs w:val="20"/>
                <w:lang w:eastAsia="en-US"/>
              </w:rPr>
              <w:t>30 modified</w:t>
            </w:r>
            <w:r>
              <w:rPr>
                <w:i/>
                <w:sz w:val="20"/>
                <w:szCs w:val="20"/>
                <w:lang w:eastAsia="en-US"/>
              </w:rPr>
              <w:t xml:space="preserve">); Jouve et al. (2008, ch. </w:t>
            </w:r>
            <w:r>
              <w:rPr>
                <w:bCs/>
                <w:i/>
                <w:sz w:val="20"/>
                <w:szCs w:val="20"/>
                <w:lang w:eastAsia="en-US"/>
              </w:rPr>
              <w:t>30 modified</w:t>
            </w:r>
            <w:r>
              <w:rPr>
                <w:i/>
                <w:sz w:val="20"/>
                <w:szCs w:val="20"/>
                <w:lang w:eastAsia="en-US"/>
              </w:rPr>
              <w:t>); Hastings et al. (2010, ch. 8 modified), Ristevski et al. (2018, ds 2, ch. 9 modified); Smith et al. (in review, ds 1, ch. 10 modified)</w:t>
            </w:r>
            <w:r w:rsidR="00FD6E73">
              <w:rPr>
                <w:i/>
                <w:sz w:val="20"/>
                <w:szCs w:val="20"/>
                <w:lang w:eastAsia="en-US"/>
              </w:rPr>
              <w:t xml:space="preserve">; </w:t>
            </w:r>
            <w:r w:rsidR="00FD6E73">
              <w:rPr>
                <w:i/>
                <w:sz w:val="20"/>
                <w:szCs w:val="20"/>
              </w:rPr>
              <w:t>Ősi et al. (in review, ds 1, ch. 13)</w:t>
            </w:r>
            <w:r>
              <w:rPr>
                <w:i/>
                <w:sz w:val="20"/>
                <w:szCs w:val="20"/>
                <w:lang w:eastAsia="en-US"/>
              </w:rPr>
              <w:t>.</w:t>
            </w:r>
          </w:p>
          <w:p w14:paraId="60030881" w14:textId="77777777" w:rsidR="004C76BC" w:rsidRDefault="004C76BC" w:rsidP="00AF438E">
            <w:pPr>
              <w:rPr>
                <w:i/>
                <w:sz w:val="20"/>
                <w:szCs w:val="20"/>
                <w:lang w:eastAsia="en-US"/>
              </w:rPr>
            </w:pPr>
            <w:r>
              <w:rPr>
                <w:i/>
                <w:sz w:val="20"/>
                <w:szCs w:val="20"/>
                <w:lang w:eastAsia="en-US"/>
              </w:rPr>
              <w:t xml:space="preserve">Note, herein we have re-worded this character to score for ornamentation along the dorsal surface of the medial temporal region, and not the intertemporal bar. This allows taxa that lack supratemporal fenestrae (such as </w:t>
            </w:r>
            <w:r>
              <w:rPr>
                <w:sz w:val="20"/>
                <w:szCs w:val="20"/>
                <w:lang w:eastAsia="en-US"/>
              </w:rPr>
              <w:t>Iharkutosuchus</w:t>
            </w:r>
            <w:r>
              <w:rPr>
                <w:i/>
                <w:sz w:val="20"/>
                <w:szCs w:val="20"/>
                <w:lang w:eastAsia="en-US"/>
              </w:rPr>
              <w:t>) to be scored for this character.</w:t>
            </w:r>
          </w:p>
          <w:p w14:paraId="6F6A223D" w14:textId="77777777" w:rsidR="004C76BC" w:rsidRDefault="004C76BC" w:rsidP="00AF438E">
            <w:pPr>
              <w:rPr>
                <w:color w:val="000000"/>
                <w:sz w:val="20"/>
                <w:szCs w:val="20"/>
                <w:lang w:eastAsia="en-US"/>
              </w:rPr>
            </w:pPr>
            <w:r>
              <w:rPr>
                <w:color w:val="000000"/>
                <w:sz w:val="20"/>
                <w:szCs w:val="20"/>
                <w:lang w:eastAsia="en-US"/>
              </w:rPr>
              <w:t>0. ornamented</w:t>
            </w:r>
          </w:p>
          <w:p w14:paraId="55B07525" w14:textId="77777777" w:rsidR="004C76BC" w:rsidRDefault="004C76BC" w:rsidP="00AF438E">
            <w:pPr>
              <w:rPr>
                <w:b/>
                <w:color w:val="000000"/>
                <w:sz w:val="20"/>
                <w:szCs w:val="20"/>
                <w:lang w:eastAsia="en-US"/>
              </w:rPr>
            </w:pPr>
            <w:r>
              <w:rPr>
                <w:color w:val="000000"/>
                <w:sz w:val="20"/>
                <w:szCs w:val="20"/>
                <w:lang w:eastAsia="en-US"/>
              </w:rPr>
              <w:t>1. unornamented</w:t>
            </w:r>
          </w:p>
        </w:tc>
      </w:tr>
      <w:tr w:rsidR="004C76BC" w14:paraId="4A27D198"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07408C58" w14:textId="77777777" w:rsidR="004C76BC" w:rsidRDefault="004C76BC" w:rsidP="00AF438E">
            <w:pPr>
              <w:rPr>
                <w:color w:val="000000"/>
                <w:sz w:val="20"/>
                <w:szCs w:val="20"/>
                <w:lang w:eastAsia="en-US"/>
              </w:rPr>
            </w:pPr>
            <w:r>
              <w:rPr>
                <w:color w:val="000000"/>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14:paraId="5254D2A0" w14:textId="77777777" w:rsidR="004C76BC" w:rsidRDefault="004C76BC" w:rsidP="00AF438E">
            <w:pPr>
              <w:rPr>
                <w:b/>
                <w:sz w:val="20"/>
                <w:szCs w:val="20"/>
                <w:lang w:eastAsia="en-US"/>
              </w:rPr>
            </w:pPr>
            <w:r>
              <w:rPr>
                <w:b/>
                <w:sz w:val="20"/>
                <w:szCs w:val="20"/>
                <w:lang w:eastAsia="en-US"/>
              </w:rPr>
              <w:t>Ornamentation (parietal in dorsal view):</w:t>
            </w:r>
          </w:p>
          <w:p w14:paraId="1B2128FB" w14:textId="704DF70C" w:rsidR="004C76BC" w:rsidRDefault="004C76BC" w:rsidP="00AF438E">
            <w:pPr>
              <w:rPr>
                <w:sz w:val="20"/>
                <w:szCs w:val="20"/>
                <w:lang w:eastAsia="en-US"/>
              </w:rPr>
            </w:pPr>
            <w:r>
              <w:rPr>
                <w:i/>
                <w:sz w:val="20"/>
                <w:szCs w:val="20"/>
                <w:lang w:eastAsia="en-US"/>
              </w:rPr>
              <w:t xml:space="preserve">Jouve et al. (2005b, ch. </w:t>
            </w:r>
            <w:r>
              <w:rPr>
                <w:bCs/>
                <w:i/>
                <w:sz w:val="20"/>
                <w:szCs w:val="20"/>
                <w:lang w:eastAsia="en-US"/>
              </w:rPr>
              <w:t xml:space="preserve">27 modified); </w:t>
            </w:r>
            <w:r>
              <w:rPr>
                <w:i/>
                <w:sz w:val="20"/>
                <w:szCs w:val="20"/>
                <w:lang w:eastAsia="en-US"/>
              </w:rPr>
              <w:t xml:space="preserve">Jouve et al. (2008, ch. </w:t>
            </w:r>
            <w:r>
              <w:rPr>
                <w:bCs/>
                <w:i/>
                <w:sz w:val="20"/>
                <w:szCs w:val="20"/>
                <w:lang w:eastAsia="en-US"/>
              </w:rPr>
              <w:t xml:space="preserve">27 modified); Hastings et al. (2010, ch. 45 modified), </w:t>
            </w:r>
            <w:r>
              <w:rPr>
                <w:i/>
                <w:sz w:val="20"/>
                <w:szCs w:val="20"/>
                <w:lang w:eastAsia="en-US"/>
              </w:rPr>
              <w:t>Ristevski et al. (2018, ds 2, ch. 10); Smith et al. (in review, ds 1, ch. 11)</w:t>
            </w:r>
            <w:r w:rsidR="00FD6E73">
              <w:rPr>
                <w:i/>
                <w:sz w:val="20"/>
                <w:szCs w:val="20"/>
                <w:lang w:eastAsia="en-US"/>
              </w:rPr>
              <w:t xml:space="preserve">; </w:t>
            </w:r>
            <w:r w:rsidR="00FD6E73">
              <w:rPr>
                <w:i/>
                <w:sz w:val="20"/>
                <w:szCs w:val="20"/>
              </w:rPr>
              <w:t>Ősi et al. (in review, ds 1, ch. 14)</w:t>
            </w:r>
            <w:r>
              <w:rPr>
                <w:i/>
                <w:sz w:val="20"/>
                <w:szCs w:val="20"/>
                <w:lang w:eastAsia="en-US"/>
              </w:rPr>
              <w:t>.</w:t>
            </w:r>
          </w:p>
          <w:p w14:paraId="622DEB64" w14:textId="77777777" w:rsidR="004C76BC" w:rsidRDefault="004C76BC" w:rsidP="00AF438E">
            <w:pPr>
              <w:rPr>
                <w:sz w:val="20"/>
                <w:szCs w:val="20"/>
                <w:lang w:eastAsia="en-US"/>
              </w:rPr>
            </w:pPr>
            <w:r>
              <w:rPr>
                <w:sz w:val="20"/>
                <w:szCs w:val="20"/>
                <w:lang w:eastAsia="en-US"/>
              </w:rPr>
              <w:t>0. no conspicuous ornamentation</w:t>
            </w:r>
          </w:p>
          <w:p w14:paraId="16AC3CBD" w14:textId="77777777" w:rsidR="004C76BC" w:rsidRDefault="004C76BC" w:rsidP="00AF438E">
            <w:pPr>
              <w:rPr>
                <w:sz w:val="20"/>
                <w:szCs w:val="20"/>
                <w:lang w:eastAsia="en-US"/>
              </w:rPr>
            </w:pPr>
            <w:r>
              <w:rPr>
                <w:sz w:val="20"/>
                <w:szCs w:val="20"/>
                <w:lang w:eastAsia="en-US"/>
              </w:rPr>
              <w:t>1. slight ornamentation</w:t>
            </w:r>
          </w:p>
          <w:p w14:paraId="68A2D73B" w14:textId="77777777" w:rsidR="004C76BC" w:rsidRDefault="004C76BC" w:rsidP="00AF438E">
            <w:pPr>
              <w:rPr>
                <w:b/>
                <w:color w:val="000000"/>
                <w:sz w:val="20"/>
                <w:szCs w:val="20"/>
                <w:lang w:eastAsia="en-US"/>
              </w:rPr>
            </w:pPr>
            <w:r>
              <w:rPr>
                <w:sz w:val="20"/>
                <w:szCs w:val="20"/>
                <w:lang w:eastAsia="en-US"/>
              </w:rPr>
              <w:t>2. strongly ornamented with deep and/or numerous pits</w:t>
            </w:r>
          </w:p>
        </w:tc>
      </w:tr>
      <w:tr w:rsidR="004C76BC" w14:paraId="3E23529F"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74A081EB" w14:textId="77777777" w:rsidR="004C76BC" w:rsidRDefault="004C76BC" w:rsidP="00AF438E">
            <w:pPr>
              <w:rPr>
                <w:color w:val="000000"/>
                <w:sz w:val="20"/>
                <w:szCs w:val="20"/>
                <w:lang w:eastAsia="en-US"/>
              </w:rPr>
            </w:pPr>
            <w:r>
              <w:rPr>
                <w:color w:val="000000"/>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14:paraId="4CA4FC12" w14:textId="77777777" w:rsidR="004C76BC" w:rsidRDefault="004C76BC" w:rsidP="00AF438E">
            <w:pPr>
              <w:autoSpaceDE w:val="0"/>
              <w:autoSpaceDN w:val="0"/>
              <w:adjustRightInd w:val="0"/>
              <w:rPr>
                <w:b/>
                <w:bCs/>
                <w:sz w:val="20"/>
                <w:lang w:eastAsia="en-US"/>
              </w:rPr>
            </w:pPr>
            <w:r>
              <w:rPr>
                <w:b/>
                <w:bCs/>
                <w:sz w:val="20"/>
                <w:lang w:eastAsia="en-US"/>
              </w:rPr>
              <w:t>Sculpturing, palatal surface of maxilla:</w:t>
            </w:r>
          </w:p>
          <w:p w14:paraId="7067275C" w14:textId="132AE241" w:rsidR="004C76BC" w:rsidRDefault="004C76BC" w:rsidP="00AF438E">
            <w:pPr>
              <w:autoSpaceDE w:val="0"/>
              <w:autoSpaceDN w:val="0"/>
              <w:adjustRightInd w:val="0"/>
              <w:rPr>
                <w:bCs/>
                <w:i/>
                <w:sz w:val="20"/>
                <w:lang w:eastAsia="en-US"/>
              </w:rPr>
            </w:pPr>
            <w:r>
              <w:rPr>
                <w:bCs/>
                <w:i/>
                <w:sz w:val="20"/>
                <w:lang w:eastAsia="en-US"/>
              </w:rPr>
              <w:t xml:space="preserve">Ortega </w:t>
            </w:r>
            <w:r>
              <w:rPr>
                <w:bCs/>
                <w:i/>
                <w:iCs/>
                <w:sz w:val="20"/>
                <w:lang w:eastAsia="en-US"/>
              </w:rPr>
              <w:t>et al. (</w:t>
            </w:r>
            <w:r>
              <w:rPr>
                <w:bCs/>
                <w:i/>
                <w:sz w:val="20"/>
                <w:lang w:eastAsia="en-US"/>
              </w:rPr>
              <w:t>2000, ch. 2); Andrade et al. (2011, ch. 20)</w:t>
            </w:r>
            <w:r>
              <w:rPr>
                <w:bCs/>
                <w:i/>
                <w:sz w:val="20"/>
                <w:szCs w:val="20"/>
                <w:lang w:eastAsia="en-US"/>
              </w:rPr>
              <w:t>;</w:t>
            </w:r>
            <w:r>
              <w:rPr>
                <w:i/>
                <w:sz w:val="20"/>
                <w:szCs w:val="20"/>
                <w:lang w:eastAsia="en-US"/>
              </w:rPr>
              <w:t xml:space="preserve"> Ristevski et al. (2018, ds 1, ch. 20); Smith et al. (in review, ds 2, ch. 20)</w:t>
            </w:r>
            <w:r w:rsidR="00FD6E73">
              <w:rPr>
                <w:i/>
                <w:sz w:val="20"/>
                <w:szCs w:val="20"/>
                <w:lang w:eastAsia="en-US"/>
              </w:rPr>
              <w:t xml:space="preserve">; </w:t>
            </w:r>
            <w:r w:rsidR="00FD6E73">
              <w:rPr>
                <w:i/>
                <w:sz w:val="20"/>
                <w:szCs w:val="20"/>
              </w:rPr>
              <w:t>Ősi et al. (in review, ds 1, ch. 15)</w:t>
            </w:r>
            <w:r>
              <w:rPr>
                <w:bCs/>
                <w:i/>
                <w:sz w:val="20"/>
                <w:lang w:eastAsia="en-US"/>
              </w:rPr>
              <w:t>.</w:t>
            </w:r>
          </w:p>
          <w:p w14:paraId="405DF90C" w14:textId="77777777" w:rsidR="004C76BC" w:rsidRDefault="004C76BC" w:rsidP="00AF438E">
            <w:pPr>
              <w:autoSpaceDE w:val="0"/>
              <w:autoSpaceDN w:val="0"/>
              <w:adjustRightInd w:val="0"/>
              <w:rPr>
                <w:i/>
                <w:iCs/>
                <w:sz w:val="20"/>
                <w:lang w:eastAsia="en-US"/>
              </w:rPr>
            </w:pPr>
            <w:r>
              <w:rPr>
                <w:i/>
                <w:iCs/>
                <w:sz w:val="20"/>
                <w:lang w:eastAsia="en-US"/>
              </w:rPr>
              <w:t xml:space="preserve">State (1) was also registered for </w:t>
            </w:r>
            <w:r>
              <w:rPr>
                <w:sz w:val="20"/>
                <w:lang w:eastAsia="en-US"/>
              </w:rPr>
              <w:t>Sichuanosuchus</w:t>
            </w:r>
            <w:r>
              <w:rPr>
                <w:i/>
                <w:iCs/>
                <w:sz w:val="20"/>
                <w:lang w:eastAsia="en-US"/>
              </w:rPr>
              <w:t xml:space="preserve">, </w:t>
            </w:r>
            <w:r>
              <w:rPr>
                <w:sz w:val="20"/>
                <w:lang w:eastAsia="en-US"/>
              </w:rPr>
              <w:t xml:space="preserve">Shantungosuchus </w:t>
            </w:r>
            <w:r>
              <w:rPr>
                <w:i/>
                <w:iCs/>
                <w:sz w:val="20"/>
                <w:lang w:eastAsia="en-US"/>
              </w:rPr>
              <w:t xml:space="preserve">and </w:t>
            </w:r>
            <w:r>
              <w:rPr>
                <w:iCs/>
                <w:sz w:val="20"/>
                <w:lang w:eastAsia="en-US"/>
              </w:rPr>
              <w:t>Fruitachampsa</w:t>
            </w:r>
            <w:r>
              <w:rPr>
                <w:i/>
                <w:iCs/>
                <w:sz w:val="20"/>
                <w:lang w:eastAsia="en-US"/>
              </w:rPr>
              <w:t xml:space="preserve"> by Ortega et al. (2000), but the absence (0) in </w:t>
            </w:r>
            <w:r>
              <w:rPr>
                <w:sz w:val="20"/>
                <w:lang w:eastAsia="en-US"/>
              </w:rPr>
              <w:t xml:space="preserve">Hemiprotosuchus </w:t>
            </w:r>
            <w:r>
              <w:rPr>
                <w:i/>
                <w:iCs/>
                <w:sz w:val="20"/>
                <w:lang w:eastAsia="en-US"/>
              </w:rPr>
              <w:t>cannot be confirmed, as the specimen is preserved with mandible in occlusion. Palatal sculpturing is also present in a few notosuchians.</w:t>
            </w:r>
          </w:p>
          <w:p w14:paraId="70280850" w14:textId="77777777" w:rsidR="004C76BC" w:rsidRDefault="004C76BC" w:rsidP="00AF438E">
            <w:pPr>
              <w:autoSpaceDE w:val="0"/>
              <w:autoSpaceDN w:val="0"/>
              <w:adjustRightInd w:val="0"/>
              <w:rPr>
                <w:sz w:val="20"/>
                <w:lang w:eastAsia="en-US"/>
              </w:rPr>
            </w:pPr>
            <w:r>
              <w:rPr>
                <w:sz w:val="20"/>
                <w:lang w:eastAsia="en-US"/>
              </w:rPr>
              <w:t>0. absent, palatal surface smooth</w:t>
            </w:r>
          </w:p>
          <w:p w14:paraId="4AD3E5CA" w14:textId="77777777" w:rsidR="004C76BC" w:rsidRDefault="004C76BC" w:rsidP="00AF438E">
            <w:pPr>
              <w:rPr>
                <w:b/>
                <w:sz w:val="20"/>
                <w:szCs w:val="20"/>
                <w:lang w:eastAsia="en-US"/>
              </w:rPr>
            </w:pPr>
            <w:r>
              <w:rPr>
                <w:sz w:val="20"/>
                <w:lang w:eastAsia="en-US"/>
              </w:rPr>
              <w:t>1. present, palatal surface ornamented with ridges</w:t>
            </w:r>
          </w:p>
        </w:tc>
      </w:tr>
      <w:tr w:rsidR="004C76BC" w14:paraId="01FA1E32"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6C25683D" w14:textId="77777777" w:rsidR="004C76BC" w:rsidRDefault="004C76BC" w:rsidP="00AF438E">
            <w:pPr>
              <w:rPr>
                <w:color w:val="000000"/>
                <w:sz w:val="20"/>
                <w:szCs w:val="20"/>
                <w:lang w:eastAsia="en-US"/>
              </w:rPr>
            </w:pPr>
            <w:r>
              <w:rPr>
                <w:color w:val="000000"/>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14:paraId="721CDB20" w14:textId="77777777" w:rsidR="004C76BC" w:rsidRDefault="004C76BC" w:rsidP="00AF438E">
            <w:pPr>
              <w:autoSpaceDE w:val="0"/>
              <w:autoSpaceDN w:val="0"/>
              <w:adjustRightInd w:val="0"/>
              <w:rPr>
                <w:b/>
                <w:bCs/>
                <w:sz w:val="20"/>
                <w:lang w:eastAsia="en-US"/>
              </w:rPr>
            </w:pPr>
            <w:r>
              <w:rPr>
                <w:b/>
                <w:bCs/>
                <w:sz w:val="20"/>
                <w:lang w:eastAsia="en-US"/>
              </w:rPr>
              <w:t xml:space="preserve">Sculpturing, presence on the palatal surface of pterygoid: </w:t>
            </w:r>
          </w:p>
          <w:p w14:paraId="580F5B47" w14:textId="208106AA" w:rsidR="004C76BC" w:rsidRDefault="004C76BC" w:rsidP="00AF438E">
            <w:pPr>
              <w:autoSpaceDE w:val="0"/>
              <w:autoSpaceDN w:val="0"/>
              <w:adjustRightInd w:val="0"/>
              <w:rPr>
                <w:i/>
                <w:iCs/>
                <w:sz w:val="20"/>
                <w:lang w:eastAsia="en-US"/>
              </w:rPr>
            </w:pPr>
            <w:r>
              <w:rPr>
                <w:bCs/>
                <w:i/>
                <w:sz w:val="20"/>
                <w:lang w:eastAsia="en-US"/>
              </w:rPr>
              <w:t>Clark (1994, ch. 40); Andrade et al. (2011, ch. 21)</w:t>
            </w:r>
            <w:r>
              <w:rPr>
                <w:bCs/>
                <w:i/>
                <w:sz w:val="20"/>
                <w:szCs w:val="20"/>
                <w:lang w:eastAsia="en-US"/>
              </w:rPr>
              <w:t>;</w:t>
            </w:r>
            <w:r>
              <w:rPr>
                <w:i/>
                <w:sz w:val="20"/>
                <w:szCs w:val="20"/>
                <w:lang w:eastAsia="en-US"/>
              </w:rPr>
              <w:t xml:space="preserve"> Ristevski et al. (2018, ds 1, ch. 21); Smith et al. (in review, ds 2, ch. 21)</w:t>
            </w:r>
            <w:r w:rsidR="00FD6E73">
              <w:rPr>
                <w:i/>
                <w:sz w:val="20"/>
                <w:szCs w:val="20"/>
                <w:lang w:eastAsia="en-US"/>
              </w:rPr>
              <w:t xml:space="preserve">; </w:t>
            </w:r>
            <w:r w:rsidR="00FD6E73">
              <w:rPr>
                <w:i/>
                <w:sz w:val="20"/>
                <w:szCs w:val="20"/>
              </w:rPr>
              <w:t>Ősi et al. (in review, ds 1, ch. 16)</w:t>
            </w:r>
            <w:r>
              <w:rPr>
                <w:bCs/>
                <w:i/>
                <w:sz w:val="20"/>
                <w:lang w:eastAsia="en-US"/>
              </w:rPr>
              <w:t>.</w:t>
            </w:r>
          </w:p>
          <w:p w14:paraId="602D87FC" w14:textId="77777777" w:rsidR="004C76BC" w:rsidRDefault="004C76BC" w:rsidP="00AF438E">
            <w:pPr>
              <w:autoSpaceDE w:val="0"/>
              <w:autoSpaceDN w:val="0"/>
              <w:adjustRightInd w:val="0"/>
              <w:rPr>
                <w:i/>
                <w:iCs/>
                <w:sz w:val="20"/>
                <w:lang w:eastAsia="en-US"/>
              </w:rPr>
            </w:pPr>
            <w:r>
              <w:rPr>
                <w:i/>
                <w:iCs/>
                <w:sz w:val="20"/>
                <w:lang w:eastAsia="en-US"/>
              </w:rPr>
              <w:t>State (1) is present in Protosuchidae.</w:t>
            </w:r>
          </w:p>
          <w:p w14:paraId="4DC6BC8B" w14:textId="77777777" w:rsidR="004C76BC" w:rsidRDefault="004C76BC" w:rsidP="00AF438E">
            <w:pPr>
              <w:autoSpaceDE w:val="0"/>
              <w:autoSpaceDN w:val="0"/>
              <w:adjustRightInd w:val="0"/>
              <w:rPr>
                <w:sz w:val="20"/>
                <w:lang w:eastAsia="en-US"/>
              </w:rPr>
            </w:pPr>
            <w:r>
              <w:rPr>
                <w:sz w:val="20"/>
                <w:lang w:eastAsia="en-US"/>
              </w:rPr>
              <w:t>0. absent, surface smooth</w:t>
            </w:r>
          </w:p>
          <w:p w14:paraId="5C3BECD9" w14:textId="77777777" w:rsidR="004C76BC" w:rsidRDefault="004C76BC" w:rsidP="00AF438E">
            <w:pPr>
              <w:rPr>
                <w:b/>
                <w:sz w:val="20"/>
                <w:szCs w:val="20"/>
                <w:lang w:eastAsia="en-US"/>
              </w:rPr>
            </w:pPr>
            <w:r>
              <w:rPr>
                <w:sz w:val="20"/>
                <w:lang w:eastAsia="en-US"/>
              </w:rPr>
              <w:t>1. present</w:t>
            </w:r>
          </w:p>
        </w:tc>
      </w:tr>
    </w:tbl>
    <w:p w14:paraId="73652413" w14:textId="72F872B5" w:rsidR="004C76BC" w:rsidRDefault="004C76BC" w:rsidP="004C76BC"/>
    <w:p w14:paraId="2A474873" w14:textId="1CE97612" w:rsidR="00F61B46" w:rsidRDefault="00F61B46" w:rsidP="00F61B46">
      <w:pPr>
        <w:autoSpaceDE w:val="0"/>
        <w:autoSpaceDN w:val="0"/>
        <w:adjustRightInd w:val="0"/>
      </w:pPr>
      <w:r>
        <w:rPr>
          <w:b/>
        </w:rPr>
        <w:t xml:space="preserve">Internal neuroanatomy, sensory systems and cranial exocrine glands </w:t>
      </w:r>
      <w:r w:rsidR="008C485C">
        <w:t>(Ch. 17</w:t>
      </w:r>
      <w:r>
        <w:t xml:space="preserve">; </w:t>
      </w:r>
      <w:r w:rsidR="00D55C19">
        <w:t>0.220</w:t>
      </w:r>
      <w:r>
        <w:t>% of characters)</w:t>
      </w:r>
    </w:p>
    <w:p w14:paraId="0BB31FE0" w14:textId="77777777" w:rsidR="00F61B46" w:rsidRDefault="00F61B46" w:rsidP="00F61B46">
      <w:pPr>
        <w:autoSpaceDE w:val="0"/>
        <w:autoSpaceDN w:val="0"/>
        <w:adjustRightInd w:val="0"/>
        <w:spacing w:line="256" w:lineRule="auto"/>
      </w:pPr>
      <w:r w:rsidRPr="00D84E2A">
        <w:rPr>
          <w:i/>
        </w:rPr>
        <w:t>[</w:t>
      </w:r>
      <w:r w:rsidRPr="00D84E2A">
        <w:rPr>
          <w:i/>
          <w:lang w:eastAsia="en-US"/>
        </w:rPr>
        <w:t xml:space="preserve">Scoring any OTU </w:t>
      </w:r>
      <w:r>
        <w:rPr>
          <w:i/>
          <w:lang w:eastAsia="en-US"/>
        </w:rPr>
        <w:t>for these characters c</w:t>
      </w:r>
      <w:r w:rsidRPr="00D84E2A">
        <w:rPr>
          <w:i/>
          <w:lang w:eastAsia="en-US"/>
        </w:rPr>
        <w:t>an come from</w:t>
      </w:r>
      <w:r>
        <w:rPr>
          <w:i/>
          <w:lang w:eastAsia="en-US"/>
        </w:rPr>
        <w:t>:</w:t>
      </w:r>
      <w:r w:rsidRPr="00D84E2A">
        <w:rPr>
          <w:i/>
          <w:lang w:eastAsia="en-US"/>
        </w:rPr>
        <w:t xml:space="preserve"> CT scan datasets</w:t>
      </w:r>
      <w:r>
        <w:rPr>
          <w:i/>
          <w:lang w:eastAsia="en-US"/>
        </w:rPr>
        <w:t xml:space="preserve"> or</w:t>
      </w:r>
      <w:r w:rsidRPr="00D84E2A">
        <w:rPr>
          <w:i/>
          <w:lang w:eastAsia="en-US"/>
        </w:rPr>
        <w:t xml:space="preserve"> specimens with </w:t>
      </w:r>
      <w:r>
        <w:rPr>
          <w:i/>
          <w:lang w:eastAsia="en-US"/>
        </w:rPr>
        <w:t>the cranium</w:t>
      </w:r>
      <w:r w:rsidRPr="00D84E2A">
        <w:rPr>
          <w:i/>
          <w:lang w:eastAsia="en-US"/>
        </w:rPr>
        <w:t xml:space="preserve"> broken show</w:t>
      </w:r>
      <w:r>
        <w:rPr>
          <w:i/>
          <w:lang w:eastAsia="en-US"/>
        </w:rPr>
        <w:t>ing</w:t>
      </w:r>
      <w:r w:rsidRPr="00D84E2A">
        <w:rPr>
          <w:i/>
          <w:lang w:eastAsia="en-US"/>
        </w:rPr>
        <w:t xml:space="preserve"> </w:t>
      </w:r>
      <w:r>
        <w:rPr>
          <w:i/>
          <w:lang w:eastAsia="en-US"/>
        </w:rPr>
        <w:t>said cavity. All characters in this section refer to internal anatomy, principally internal cavities and structures. Thus are not included in the sections referring to bones visible externally</w:t>
      </w:r>
      <w:r w:rsidRPr="00D84E2A">
        <w:rPr>
          <w:i/>
        </w:rPr>
        <w:t>]</w:t>
      </w:r>
    </w:p>
    <w:p w14:paraId="71DA7B69" w14:textId="77777777" w:rsidR="00F61B46" w:rsidRDefault="00F61B46" w:rsidP="00F61B46">
      <w:pPr>
        <w:autoSpaceDE w:val="0"/>
        <w:autoSpaceDN w:val="0"/>
        <w:adjustRightInd w:val="0"/>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F61B46" w14:paraId="56C63133" w14:textId="77777777" w:rsidTr="00091544">
        <w:tc>
          <w:tcPr>
            <w:tcW w:w="516" w:type="dxa"/>
            <w:tcBorders>
              <w:top w:val="single" w:sz="4" w:space="0" w:color="auto"/>
              <w:left w:val="single" w:sz="4" w:space="0" w:color="auto"/>
              <w:bottom w:val="single" w:sz="4" w:space="0" w:color="auto"/>
              <w:right w:val="single" w:sz="4" w:space="0" w:color="auto"/>
            </w:tcBorders>
            <w:hideMark/>
          </w:tcPr>
          <w:p w14:paraId="65BD5D55" w14:textId="77777777" w:rsidR="00F61B46" w:rsidRDefault="00F61B46" w:rsidP="00091544">
            <w:pPr>
              <w:spacing w:line="256" w:lineRule="auto"/>
              <w:rPr>
                <w:sz w:val="20"/>
                <w:szCs w:val="20"/>
                <w:lang w:eastAsia="en-US"/>
              </w:rPr>
            </w:pPr>
            <w:r>
              <w:rPr>
                <w:sz w:val="20"/>
                <w:szCs w:val="20"/>
                <w:lang w:eastAsia="en-US"/>
              </w:rPr>
              <w:t>#</w:t>
            </w:r>
          </w:p>
        </w:tc>
        <w:tc>
          <w:tcPr>
            <w:tcW w:w="8726" w:type="dxa"/>
            <w:tcBorders>
              <w:top w:val="single" w:sz="4" w:space="0" w:color="auto"/>
              <w:left w:val="single" w:sz="4" w:space="0" w:color="auto"/>
              <w:bottom w:val="single" w:sz="4" w:space="0" w:color="auto"/>
              <w:right w:val="single" w:sz="4" w:space="0" w:color="auto"/>
            </w:tcBorders>
            <w:hideMark/>
          </w:tcPr>
          <w:p w14:paraId="2CB27F30" w14:textId="77777777" w:rsidR="00F61B46" w:rsidRDefault="00F61B46" w:rsidP="00091544">
            <w:pPr>
              <w:spacing w:line="256" w:lineRule="auto"/>
              <w:rPr>
                <w:sz w:val="20"/>
                <w:szCs w:val="20"/>
                <w:lang w:eastAsia="en-US"/>
              </w:rPr>
            </w:pPr>
            <w:r>
              <w:rPr>
                <w:sz w:val="20"/>
                <w:szCs w:val="20"/>
                <w:lang w:eastAsia="en-US"/>
              </w:rPr>
              <w:t>Description</w:t>
            </w:r>
          </w:p>
        </w:tc>
      </w:tr>
      <w:tr w:rsidR="00F61B46" w14:paraId="40E8FA5A" w14:textId="77777777" w:rsidTr="00091544">
        <w:tc>
          <w:tcPr>
            <w:tcW w:w="516" w:type="dxa"/>
            <w:tcBorders>
              <w:top w:val="single" w:sz="4" w:space="0" w:color="auto"/>
              <w:left w:val="single" w:sz="4" w:space="0" w:color="auto"/>
              <w:bottom w:val="single" w:sz="4" w:space="0" w:color="auto"/>
              <w:right w:val="single" w:sz="4" w:space="0" w:color="auto"/>
            </w:tcBorders>
          </w:tcPr>
          <w:p w14:paraId="0C5A466D" w14:textId="73D229BA" w:rsidR="00F61B46" w:rsidRDefault="001B5F3E" w:rsidP="00091544">
            <w:pPr>
              <w:spacing w:line="256" w:lineRule="auto"/>
              <w:rPr>
                <w:sz w:val="20"/>
                <w:szCs w:val="20"/>
                <w:lang w:eastAsia="en-US"/>
              </w:rPr>
            </w:pPr>
            <w:r>
              <w:rPr>
                <w:sz w:val="20"/>
                <w:szCs w:val="20"/>
                <w:lang w:eastAsia="en-US"/>
              </w:rPr>
              <w:lastRenderedPageBreak/>
              <w:t>17</w:t>
            </w:r>
          </w:p>
        </w:tc>
        <w:tc>
          <w:tcPr>
            <w:tcW w:w="8726" w:type="dxa"/>
            <w:tcBorders>
              <w:top w:val="single" w:sz="4" w:space="0" w:color="auto"/>
              <w:left w:val="single" w:sz="4" w:space="0" w:color="auto"/>
              <w:bottom w:val="single" w:sz="4" w:space="0" w:color="auto"/>
              <w:right w:val="single" w:sz="4" w:space="0" w:color="auto"/>
            </w:tcBorders>
            <w:vAlign w:val="bottom"/>
          </w:tcPr>
          <w:p w14:paraId="7E4C6F5A" w14:textId="77777777" w:rsidR="00F61B46" w:rsidRDefault="00F61B46" w:rsidP="00091544">
            <w:pPr>
              <w:autoSpaceDE w:val="0"/>
              <w:autoSpaceDN w:val="0"/>
              <w:adjustRightInd w:val="0"/>
              <w:rPr>
                <w:b/>
                <w:bCs/>
                <w:color w:val="000000"/>
                <w:sz w:val="20"/>
                <w:szCs w:val="20"/>
                <w:lang w:eastAsia="en-US"/>
              </w:rPr>
            </w:pPr>
            <w:r>
              <w:rPr>
                <w:b/>
                <w:bCs/>
                <w:color w:val="000000"/>
                <w:sz w:val="20"/>
                <w:szCs w:val="20"/>
                <w:lang w:eastAsia="en-US"/>
              </w:rPr>
              <w:t>Internal enlarged cephalic exocrine glands, presence:</w:t>
            </w:r>
          </w:p>
          <w:p w14:paraId="5558D2E5" w14:textId="77777777" w:rsidR="00F61B46" w:rsidRDefault="00F61B46" w:rsidP="00091544">
            <w:pPr>
              <w:autoSpaceDE w:val="0"/>
              <w:autoSpaceDN w:val="0"/>
              <w:adjustRightInd w:val="0"/>
              <w:rPr>
                <w:i/>
                <w:iCs/>
                <w:color w:val="000000"/>
                <w:sz w:val="20"/>
                <w:szCs w:val="20"/>
                <w:lang w:eastAsia="en-US"/>
              </w:rPr>
            </w:pPr>
            <w:r>
              <w:rPr>
                <w:i/>
                <w:iCs/>
                <w:color w:val="000000"/>
                <w:sz w:val="20"/>
                <w:szCs w:val="20"/>
                <w:lang w:eastAsia="en-US"/>
              </w:rPr>
              <w:t xml:space="preserve">Andrade et al. (2011, ch. 485 modified); </w:t>
            </w:r>
            <w:r>
              <w:rPr>
                <w:i/>
                <w:sz w:val="20"/>
                <w:szCs w:val="20"/>
                <w:lang w:eastAsia="en-US"/>
              </w:rPr>
              <w:t xml:space="preserve">Ristevski et al. (2018, ds 2, ch. 386 modified); Smith et al. (in review, ds 1, ch. 392 modified); </w:t>
            </w:r>
            <w:r>
              <w:rPr>
                <w:i/>
                <w:sz w:val="20"/>
                <w:szCs w:val="20"/>
              </w:rPr>
              <w:t>Ősi et al. (in review, ds 1, ch. 453)</w:t>
            </w:r>
            <w:r>
              <w:rPr>
                <w:i/>
                <w:iCs/>
                <w:color w:val="000000"/>
                <w:sz w:val="20"/>
                <w:szCs w:val="20"/>
                <w:lang w:eastAsia="en-US"/>
              </w:rPr>
              <w:t>.</w:t>
            </w:r>
          </w:p>
          <w:p w14:paraId="4B9F7721" w14:textId="77777777" w:rsidR="00F61B46" w:rsidRDefault="00F61B46" w:rsidP="00091544">
            <w:pPr>
              <w:autoSpaceDE w:val="0"/>
              <w:autoSpaceDN w:val="0"/>
              <w:adjustRightInd w:val="0"/>
              <w:rPr>
                <w:i/>
                <w:iCs/>
                <w:color w:val="000000"/>
                <w:sz w:val="20"/>
                <w:szCs w:val="20"/>
                <w:lang w:eastAsia="en-US"/>
              </w:rPr>
            </w:pPr>
            <w:r>
              <w:rPr>
                <w:i/>
                <w:iCs/>
                <w:color w:val="000000"/>
                <w:sz w:val="20"/>
                <w:szCs w:val="20"/>
                <w:lang w:eastAsia="en-US"/>
              </w:rPr>
              <w:t>The evidence for internal large cephalic exocrine glands is well supported (e.g. Fernández &amp; Gasparini, 2000, 2008; Gandola et al., 2006; Fernández &amp; Herrera, 2009), and interpreted as structures for salt excretion. In fossil specimens, lobulations for glands must show a regular pattern, and have no trabecular bones, which otherwise indicate the presence of pneumatic cells of air sinuses (Fernández &amp; Herrera, 2009).</w:t>
            </w:r>
          </w:p>
          <w:p w14:paraId="3FAA01F5" w14:textId="77777777" w:rsidR="00F61B46" w:rsidRDefault="00F61B46" w:rsidP="00091544">
            <w:pPr>
              <w:autoSpaceDE w:val="0"/>
              <w:autoSpaceDN w:val="0"/>
              <w:adjustRightInd w:val="0"/>
              <w:rPr>
                <w:i/>
                <w:iCs/>
                <w:color w:val="000000"/>
                <w:sz w:val="20"/>
                <w:szCs w:val="20"/>
                <w:lang w:eastAsia="en-US"/>
              </w:rPr>
            </w:pPr>
            <w:r>
              <w:rPr>
                <w:i/>
                <w:iCs/>
                <w:color w:val="000000"/>
                <w:sz w:val="20"/>
                <w:szCs w:val="20"/>
                <w:lang w:eastAsia="en-US"/>
              </w:rPr>
              <w:t>Note that in metriorhynchids the chambers housing these enlarged glands indicate their presence.</w:t>
            </w:r>
          </w:p>
          <w:p w14:paraId="7819ED17" w14:textId="77777777" w:rsidR="00F61B46" w:rsidRDefault="00F61B46" w:rsidP="00091544">
            <w:pPr>
              <w:autoSpaceDE w:val="0"/>
              <w:autoSpaceDN w:val="0"/>
              <w:adjustRightInd w:val="0"/>
              <w:rPr>
                <w:i/>
                <w:iCs/>
                <w:color w:val="000000"/>
                <w:sz w:val="20"/>
                <w:szCs w:val="20"/>
                <w:lang w:eastAsia="en-US"/>
              </w:rPr>
            </w:pPr>
            <w:r>
              <w:rPr>
                <w:i/>
                <w:iCs/>
                <w:color w:val="000000"/>
                <w:sz w:val="20"/>
                <w:szCs w:val="20"/>
                <w:lang w:eastAsia="en-US"/>
              </w:rPr>
              <w:t>These enlarged nasal glands are also associated with gland drainage ducts.</w:t>
            </w:r>
          </w:p>
          <w:p w14:paraId="15A98A70" w14:textId="77777777" w:rsidR="00F61B46" w:rsidRDefault="00F61B46" w:rsidP="00091544">
            <w:pPr>
              <w:autoSpaceDE w:val="0"/>
              <w:autoSpaceDN w:val="0"/>
              <w:adjustRightInd w:val="0"/>
              <w:rPr>
                <w:i/>
                <w:iCs/>
                <w:color w:val="000000"/>
                <w:sz w:val="20"/>
                <w:szCs w:val="20"/>
                <w:lang w:eastAsia="en-US"/>
              </w:rPr>
            </w:pPr>
            <w:r>
              <w:rPr>
                <w:i/>
                <w:iCs/>
                <w:color w:val="000000"/>
                <w:sz w:val="20"/>
                <w:szCs w:val="20"/>
                <w:lang w:eastAsia="en-US"/>
              </w:rPr>
              <w:t>State (1) occurs in Metriorhynchidae.</w:t>
            </w:r>
          </w:p>
          <w:p w14:paraId="2430A090" w14:textId="77777777" w:rsidR="00F61B46" w:rsidRDefault="00F61B46" w:rsidP="00091544">
            <w:pPr>
              <w:autoSpaceDE w:val="0"/>
              <w:autoSpaceDN w:val="0"/>
              <w:adjustRightInd w:val="0"/>
              <w:rPr>
                <w:color w:val="000000"/>
                <w:sz w:val="20"/>
                <w:szCs w:val="20"/>
                <w:lang w:eastAsia="en-US"/>
              </w:rPr>
            </w:pPr>
            <w:r>
              <w:rPr>
                <w:color w:val="000000"/>
                <w:sz w:val="20"/>
                <w:szCs w:val="20"/>
                <w:lang w:eastAsia="en-US"/>
              </w:rPr>
              <w:t>0. absent, nasal glands not enlarged</w:t>
            </w:r>
          </w:p>
          <w:p w14:paraId="788C7ECA" w14:textId="77777777" w:rsidR="00F61B46" w:rsidRDefault="00F61B46" w:rsidP="00091544">
            <w:pPr>
              <w:autoSpaceDE w:val="0"/>
              <w:autoSpaceDN w:val="0"/>
              <w:adjustRightInd w:val="0"/>
              <w:spacing w:line="256" w:lineRule="auto"/>
              <w:rPr>
                <w:b/>
                <w:bCs/>
                <w:sz w:val="20"/>
                <w:szCs w:val="20"/>
                <w:lang w:eastAsia="en-US"/>
              </w:rPr>
            </w:pPr>
            <w:r>
              <w:rPr>
                <w:color w:val="000000"/>
                <w:sz w:val="20"/>
                <w:szCs w:val="20"/>
                <w:lang w:eastAsia="en-US"/>
              </w:rPr>
              <w:t>1. present, nasal glands enlarged (= hypertrophied), being bound externally by the nasal, prefrontal, lachrymal, maxilla and jugal</w:t>
            </w:r>
          </w:p>
        </w:tc>
      </w:tr>
    </w:tbl>
    <w:p w14:paraId="44D928FC" w14:textId="77777777" w:rsidR="00F61B46" w:rsidRDefault="00F61B46" w:rsidP="00F61B46"/>
    <w:p w14:paraId="0A5291C3" w14:textId="76F15E44" w:rsidR="00F61B46" w:rsidRPr="00CC5944" w:rsidRDefault="00F61B46" w:rsidP="00F61B46">
      <w:pPr>
        <w:autoSpaceDE w:val="0"/>
        <w:autoSpaceDN w:val="0"/>
        <w:adjustRightInd w:val="0"/>
        <w:rPr>
          <w:b/>
        </w:rPr>
      </w:pPr>
      <w:r>
        <w:rPr>
          <w:b/>
        </w:rPr>
        <w:t xml:space="preserve">Craniomandibular pneumaticity </w:t>
      </w:r>
      <w:r>
        <w:t>(Ch. 1</w:t>
      </w:r>
      <w:r w:rsidR="008C485C">
        <w:t>8 – 21</w:t>
      </w:r>
      <w:r>
        <w:t xml:space="preserve">; </w:t>
      </w:r>
      <w:r w:rsidR="00D55C19">
        <w:t>0.881</w:t>
      </w:r>
      <w:r>
        <w:t>% of characters)</w:t>
      </w:r>
    </w:p>
    <w:p w14:paraId="1CAEA947" w14:textId="77777777" w:rsidR="00F61B46" w:rsidRDefault="00F61B46" w:rsidP="00F61B46">
      <w:pPr>
        <w:autoSpaceDE w:val="0"/>
        <w:autoSpaceDN w:val="0"/>
        <w:adjustRightInd w:val="0"/>
        <w:spacing w:line="256" w:lineRule="auto"/>
      </w:pPr>
      <w:r w:rsidRPr="00D84E2A">
        <w:rPr>
          <w:i/>
        </w:rPr>
        <w:t>[</w:t>
      </w:r>
      <w:r w:rsidRPr="00D84E2A">
        <w:rPr>
          <w:i/>
          <w:lang w:eastAsia="en-US"/>
        </w:rPr>
        <w:t xml:space="preserve">Scoring any OTU </w:t>
      </w:r>
      <w:r>
        <w:rPr>
          <w:i/>
          <w:lang w:eastAsia="en-US"/>
        </w:rPr>
        <w:t>for these characters c</w:t>
      </w:r>
      <w:r w:rsidRPr="00D84E2A">
        <w:rPr>
          <w:i/>
          <w:lang w:eastAsia="en-US"/>
        </w:rPr>
        <w:t>an come from</w:t>
      </w:r>
      <w:r>
        <w:rPr>
          <w:i/>
          <w:lang w:eastAsia="en-US"/>
        </w:rPr>
        <w:t>:</w:t>
      </w:r>
      <w:r w:rsidRPr="00D84E2A">
        <w:rPr>
          <w:i/>
          <w:lang w:eastAsia="en-US"/>
        </w:rPr>
        <w:t xml:space="preserve"> CT scan datasets</w:t>
      </w:r>
      <w:r>
        <w:rPr>
          <w:i/>
          <w:lang w:eastAsia="en-US"/>
        </w:rPr>
        <w:t xml:space="preserve"> or</w:t>
      </w:r>
      <w:r w:rsidRPr="00D84E2A">
        <w:rPr>
          <w:i/>
          <w:lang w:eastAsia="en-US"/>
        </w:rPr>
        <w:t xml:space="preserve"> specimens with </w:t>
      </w:r>
      <w:r>
        <w:rPr>
          <w:i/>
          <w:lang w:eastAsia="en-US"/>
        </w:rPr>
        <w:t>the cranium</w:t>
      </w:r>
      <w:r w:rsidRPr="00D84E2A">
        <w:rPr>
          <w:i/>
          <w:lang w:eastAsia="en-US"/>
        </w:rPr>
        <w:t xml:space="preserve"> broken show</w:t>
      </w:r>
      <w:r>
        <w:rPr>
          <w:i/>
          <w:lang w:eastAsia="en-US"/>
        </w:rPr>
        <w:t>ing</w:t>
      </w:r>
      <w:r w:rsidRPr="00D84E2A">
        <w:rPr>
          <w:i/>
          <w:lang w:eastAsia="en-US"/>
        </w:rPr>
        <w:t xml:space="preserve"> </w:t>
      </w:r>
      <w:r>
        <w:rPr>
          <w:i/>
          <w:lang w:eastAsia="en-US"/>
        </w:rPr>
        <w:t>said cavity. All characters in this section refer to internal pneumatic cavities or the enclosure of pneumatic structures by bone. Thus are not included in the sections referring to bones visible externally</w:t>
      </w:r>
      <w:r w:rsidRPr="00D84E2A">
        <w:rPr>
          <w:i/>
        </w:rPr>
        <w:t>]</w:t>
      </w:r>
    </w:p>
    <w:p w14:paraId="73A0CE8C" w14:textId="77777777" w:rsidR="00F61B46" w:rsidRDefault="00F61B46" w:rsidP="00F61B46">
      <w:pPr>
        <w:autoSpaceDE w:val="0"/>
        <w:autoSpaceDN w:val="0"/>
        <w:adjustRightInd w:val="0"/>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26"/>
      </w:tblGrid>
      <w:tr w:rsidR="00F61B46" w14:paraId="3908023D" w14:textId="77777777" w:rsidTr="00091544">
        <w:tc>
          <w:tcPr>
            <w:tcW w:w="516" w:type="dxa"/>
            <w:tcBorders>
              <w:top w:val="single" w:sz="4" w:space="0" w:color="auto"/>
              <w:left w:val="single" w:sz="4" w:space="0" w:color="auto"/>
              <w:bottom w:val="single" w:sz="4" w:space="0" w:color="auto"/>
              <w:right w:val="single" w:sz="4" w:space="0" w:color="auto"/>
            </w:tcBorders>
            <w:hideMark/>
          </w:tcPr>
          <w:p w14:paraId="7B20D52E" w14:textId="77777777" w:rsidR="00F61B46" w:rsidRDefault="00F61B46" w:rsidP="00091544">
            <w:pPr>
              <w:spacing w:line="256" w:lineRule="auto"/>
              <w:rPr>
                <w:sz w:val="20"/>
                <w:szCs w:val="20"/>
                <w:lang w:eastAsia="en-US"/>
              </w:rPr>
            </w:pPr>
            <w:r>
              <w:rPr>
                <w:sz w:val="20"/>
                <w:szCs w:val="20"/>
                <w:lang w:eastAsia="en-US"/>
              </w:rPr>
              <w:t>#</w:t>
            </w:r>
          </w:p>
        </w:tc>
        <w:tc>
          <w:tcPr>
            <w:tcW w:w="8726" w:type="dxa"/>
            <w:tcBorders>
              <w:top w:val="single" w:sz="4" w:space="0" w:color="auto"/>
              <w:left w:val="single" w:sz="4" w:space="0" w:color="auto"/>
              <w:bottom w:val="single" w:sz="4" w:space="0" w:color="auto"/>
              <w:right w:val="single" w:sz="4" w:space="0" w:color="auto"/>
            </w:tcBorders>
            <w:hideMark/>
          </w:tcPr>
          <w:p w14:paraId="359F3D86" w14:textId="77777777" w:rsidR="00F61B46" w:rsidRDefault="00F61B46" w:rsidP="00091544">
            <w:pPr>
              <w:spacing w:line="256" w:lineRule="auto"/>
              <w:rPr>
                <w:sz w:val="20"/>
                <w:szCs w:val="20"/>
                <w:lang w:eastAsia="en-US"/>
              </w:rPr>
            </w:pPr>
            <w:r>
              <w:rPr>
                <w:sz w:val="20"/>
                <w:szCs w:val="20"/>
                <w:lang w:eastAsia="en-US"/>
              </w:rPr>
              <w:t>Description</w:t>
            </w:r>
          </w:p>
        </w:tc>
      </w:tr>
      <w:tr w:rsidR="00F61B46" w14:paraId="162BE110" w14:textId="77777777" w:rsidTr="00091544">
        <w:tc>
          <w:tcPr>
            <w:tcW w:w="516" w:type="dxa"/>
            <w:tcBorders>
              <w:top w:val="single" w:sz="4" w:space="0" w:color="auto"/>
              <w:left w:val="single" w:sz="4" w:space="0" w:color="auto"/>
              <w:bottom w:val="single" w:sz="4" w:space="0" w:color="auto"/>
              <w:right w:val="single" w:sz="4" w:space="0" w:color="auto"/>
            </w:tcBorders>
          </w:tcPr>
          <w:p w14:paraId="034ABFB9" w14:textId="3A5BE68E" w:rsidR="00F61B46" w:rsidRDefault="001B5F3E" w:rsidP="00091544">
            <w:pPr>
              <w:rPr>
                <w:color w:val="000000"/>
                <w:sz w:val="20"/>
                <w:szCs w:val="20"/>
                <w:lang w:eastAsia="en-US"/>
              </w:rPr>
            </w:pPr>
            <w:r>
              <w:rPr>
                <w:color w:val="000000"/>
                <w:sz w:val="20"/>
                <w:szCs w:val="20"/>
                <w:lang w:eastAsia="en-US"/>
              </w:rPr>
              <w:t>18</w:t>
            </w:r>
          </w:p>
        </w:tc>
        <w:tc>
          <w:tcPr>
            <w:tcW w:w="8726" w:type="dxa"/>
            <w:tcBorders>
              <w:top w:val="single" w:sz="4" w:space="0" w:color="auto"/>
              <w:left w:val="single" w:sz="4" w:space="0" w:color="auto"/>
              <w:bottom w:val="single" w:sz="4" w:space="0" w:color="auto"/>
              <w:right w:val="single" w:sz="4" w:space="0" w:color="auto"/>
            </w:tcBorders>
            <w:vAlign w:val="bottom"/>
          </w:tcPr>
          <w:p w14:paraId="65A9BC59" w14:textId="77777777" w:rsidR="00F61B46" w:rsidRDefault="00F61B46" w:rsidP="00091544">
            <w:pPr>
              <w:autoSpaceDE w:val="0"/>
              <w:autoSpaceDN w:val="0"/>
              <w:adjustRightInd w:val="0"/>
              <w:rPr>
                <w:b/>
                <w:bCs/>
                <w:color w:val="000000"/>
                <w:sz w:val="20"/>
                <w:szCs w:val="20"/>
                <w:lang w:eastAsia="en-US"/>
              </w:rPr>
            </w:pPr>
            <w:r>
              <w:rPr>
                <w:b/>
                <w:bCs/>
                <w:color w:val="000000"/>
                <w:sz w:val="20"/>
                <w:szCs w:val="20"/>
                <w:lang w:eastAsia="en-US"/>
              </w:rPr>
              <w:t>Supraoccipital, internal presence of the cavity for the intertympantic diverticulum of the pharyngotympanic sinus system (= the “mastoid antrum”):</w:t>
            </w:r>
          </w:p>
          <w:p w14:paraId="3BAB9F9D" w14:textId="77777777" w:rsidR="00F61B46" w:rsidRDefault="00F61B46" w:rsidP="00091544">
            <w:pPr>
              <w:autoSpaceDE w:val="0"/>
              <w:autoSpaceDN w:val="0"/>
              <w:adjustRightInd w:val="0"/>
              <w:rPr>
                <w:bCs/>
                <w:i/>
                <w:color w:val="000000"/>
                <w:sz w:val="20"/>
                <w:lang w:eastAsia="en-US"/>
              </w:rPr>
            </w:pPr>
            <w:r>
              <w:rPr>
                <w:bCs/>
                <w:i/>
                <w:color w:val="000000"/>
                <w:sz w:val="20"/>
                <w:szCs w:val="20"/>
                <w:lang w:eastAsia="en-US"/>
              </w:rPr>
              <w:t>Clark (1994, ch. 63 modified);</w:t>
            </w:r>
            <w:r>
              <w:rPr>
                <w:b/>
                <w:bCs/>
                <w:color w:val="000000"/>
                <w:sz w:val="20"/>
                <w:szCs w:val="20"/>
                <w:lang w:eastAsia="en-US"/>
              </w:rPr>
              <w:t xml:space="preserve"> </w:t>
            </w:r>
            <w:r>
              <w:rPr>
                <w:bCs/>
                <w:i/>
                <w:color w:val="000000"/>
                <w:sz w:val="20"/>
                <w:lang w:eastAsia="en-US"/>
              </w:rPr>
              <w:t xml:space="preserve">Andrade et al. (2011, ch. 282 modified); </w:t>
            </w:r>
            <w:r>
              <w:rPr>
                <w:i/>
                <w:sz w:val="20"/>
                <w:szCs w:val="20"/>
                <w:lang w:eastAsia="en-US"/>
              </w:rPr>
              <w:t xml:space="preserve">Ristevski et al. (2018, ds 2, ch. 165); Smith et al. (in review, ds 1, ch. 169); </w:t>
            </w:r>
            <w:r>
              <w:rPr>
                <w:i/>
                <w:sz w:val="20"/>
                <w:szCs w:val="20"/>
              </w:rPr>
              <w:t>Ősi et al. (in review, ds 1, ch. 186)</w:t>
            </w:r>
            <w:r>
              <w:rPr>
                <w:bCs/>
                <w:i/>
                <w:color w:val="000000"/>
                <w:sz w:val="20"/>
                <w:lang w:eastAsia="en-US"/>
              </w:rPr>
              <w:t>.</w:t>
            </w:r>
          </w:p>
          <w:p w14:paraId="42172F7D" w14:textId="77777777" w:rsidR="00F61B46" w:rsidRDefault="00F61B46" w:rsidP="00091544">
            <w:pPr>
              <w:autoSpaceDE w:val="0"/>
              <w:autoSpaceDN w:val="0"/>
              <w:adjustRightInd w:val="0"/>
              <w:rPr>
                <w:i/>
                <w:sz w:val="20"/>
                <w:lang w:eastAsia="en-US"/>
              </w:rPr>
            </w:pPr>
            <w:r>
              <w:rPr>
                <w:bCs/>
                <w:i/>
                <w:color w:val="000000"/>
                <w:sz w:val="20"/>
                <w:lang w:eastAsia="en-US"/>
              </w:rPr>
              <w:t>As discussed by Wilberg (2015b), this character has been scored to unite Pholidosauridae and Dyrosauridae with Thalattosuchia. The</w:t>
            </w:r>
            <w:r>
              <w:rPr>
                <w:bCs/>
                <w:i/>
                <w:color w:val="000000"/>
                <w:sz w:val="16"/>
                <w:lang w:eastAsia="en-US"/>
              </w:rPr>
              <w:t xml:space="preserve"> </w:t>
            </w:r>
            <w:r>
              <w:rPr>
                <w:i/>
                <w:sz w:val="20"/>
                <w:lang w:eastAsia="en-US"/>
              </w:rPr>
              <w:t xml:space="preserve">natural external and internal mould </w:t>
            </w:r>
            <w:r>
              <w:rPr>
                <w:bCs/>
                <w:color w:val="000000"/>
                <w:sz w:val="20"/>
                <w:lang w:eastAsia="en-US"/>
              </w:rPr>
              <w:t xml:space="preserve">Pholidosaurus schaumburgensis </w:t>
            </w:r>
            <w:r>
              <w:rPr>
                <w:i/>
                <w:sz w:val="20"/>
                <w:lang w:eastAsia="en-US"/>
              </w:rPr>
              <w:t>Bückeburg specimens held in Berlin show the cavity for this diverticulum (also see Wilberg, 2015b Figure 7c).</w:t>
            </w:r>
          </w:p>
          <w:p w14:paraId="0E85A601" w14:textId="77777777" w:rsidR="00F61B46" w:rsidRDefault="00F61B46" w:rsidP="00091544">
            <w:pPr>
              <w:autoSpaceDE w:val="0"/>
              <w:autoSpaceDN w:val="0"/>
              <w:adjustRightInd w:val="0"/>
              <w:rPr>
                <w:i/>
                <w:sz w:val="20"/>
                <w:lang w:eastAsia="en-US"/>
              </w:rPr>
            </w:pPr>
            <w:r>
              <w:rPr>
                <w:i/>
                <w:sz w:val="20"/>
                <w:lang w:eastAsia="en-US"/>
              </w:rPr>
              <w:t>Scoring any OTU as state (1) can come from CT scan datasets, or fossil specimens with a broken supraoccipital that show the cavity. However, scoring an OTU can only reliably come from CT scan datasets, or acid prepared specimens that have the braincase preserved. While this limits the number of OTUs that can be scored, it helps prevent potential mis-scorings.</w:t>
            </w:r>
          </w:p>
          <w:p w14:paraId="383E34CD" w14:textId="77777777" w:rsidR="00F61B46" w:rsidRDefault="00F61B46" w:rsidP="00091544">
            <w:pPr>
              <w:autoSpaceDE w:val="0"/>
              <w:autoSpaceDN w:val="0"/>
              <w:adjustRightInd w:val="0"/>
              <w:rPr>
                <w:bCs/>
                <w:i/>
                <w:color w:val="000000"/>
                <w:sz w:val="20"/>
                <w:lang w:eastAsia="en-US"/>
              </w:rPr>
            </w:pPr>
            <w:r>
              <w:rPr>
                <w:i/>
                <w:sz w:val="20"/>
                <w:lang w:eastAsia="en-US"/>
              </w:rPr>
              <w:t xml:space="preserve">Here </w:t>
            </w:r>
            <w:r>
              <w:rPr>
                <w:sz w:val="20"/>
                <w:lang w:eastAsia="en-US"/>
              </w:rPr>
              <w:t>Dyrosaurus</w:t>
            </w:r>
            <w:r>
              <w:rPr>
                <w:i/>
                <w:sz w:val="20"/>
                <w:lang w:eastAsia="en-US"/>
              </w:rPr>
              <w:t xml:space="preserve">, </w:t>
            </w:r>
            <w:r>
              <w:rPr>
                <w:sz w:val="20"/>
                <w:lang w:eastAsia="en-US"/>
              </w:rPr>
              <w:t>Sarcosuchus</w:t>
            </w:r>
            <w:r>
              <w:rPr>
                <w:i/>
                <w:sz w:val="20"/>
                <w:lang w:eastAsia="en-US"/>
              </w:rPr>
              <w:t xml:space="preserve"> and </w:t>
            </w:r>
            <w:r>
              <w:rPr>
                <w:sz w:val="20"/>
                <w:lang w:eastAsia="en-US"/>
              </w:rPr>
              <w:t>Terminonaris</w:t>
            </w:r>
            <w:r>
              <w:rPr>
                <w:i/>
                <w:sz w:val="20"/>
                <w:lang w:eastAsia="en-US"/>
              </w:rPr>
              <w:t xml:space="preserve"> are scored as (?) until CT scans conclusively show the lack of this diverticulum.</w:t>
            </w:r>
          </w:p>
          <w:p w14:paraId="457C7E67" w14:textId="77777777" w:rsidR="00F61B46" w:rsidRDefault="00F61B46" w:rsidP="00091544">
            <w:pPr>
              <w:autoSpaceDE w:val="0"/>
              <w:autoSpaceDN w:val="0"/>
              <w:adjustRightInd w:val="0"/>
              <w:rPr>
                <w:b/>
                <w:bCs/>
                <w:color w:val="000000"/>
                <w:sz w:val="20"/>
                <w:szCs w:val="20"/>
                <w:lang w:eastAsia="en-US"/>
              </w:rPr>
            </w:pPr>
            <w:r>
              <w:rPr>
                <w:bCs/>
                <w:i/>
                <w:color w:val="000000"/>
                <w:sz w:val="20"/>
                <w:lang w:eastAsia="en-US"/>
              </w:rPr>
              <w:t>State (0) occurs in Thalattosuchia.</w:t>
            </w:r>
          </w:p>
          <w:p w14:paraId="540A1EC4" w14:textId="77777777" w:rsidR="00F61B46" w:rsidRDefault="00F61B46" w:rsidP="00091544">
            <w:pPr>
              <w:autoSpaceDE w:val="0"/>
              <w:autoSpaceDN w:val="0"/>
              <w:adjustRightInd w:val="0"/>
              <w:rPr>
                <w:color w:val="000000"/>
                <w:sz w:val="20"/>
                <w:szCs w:val="20"/>
                <w:lang w:eastAsia="en-US"/>
              </w:rPr>
            </w:pPr>
            <w:r>
              <w:rPr>
                <w:color w:val="000000"/>
                <w:sz w:val="20"/>
                <w:szCs w:val="20"/>
                <w:lang w:eastAsia="en-US"/>
              </w:rPr>
              <w:t>0. absent (in Thalattosuchia this diverticulum is lost)</w:t>
            </w:r>
          </w:p>
          <w:p w14:paraId="234B2DE1" w14:textId="77777777" w:rsidR="00F61B46" w:rsidRDefault="00F61B46" w:rsidP="00091544">
            <w:pPr>
              <w:rPr>
                <w:b/>
                <w:sz w:val="20"/>
                <w:szCs w:val="20"/>
                <w:lang w:eastAsia="en-US"/>
              </w:rPr>
            </w:pPr>
            <w:r>
              <w:rPr>
                <w:color w:val="000000"/>
                <w:sz w:val="20"/>
                <w:szCs w:val="20"/>
                <w:lang w:eastAsia="en-US"/>
              </w:rPr>
              <w:t>1. present</w:t>
            </w:r>
          </w:p>
        </w:tc>
      </w:tr>
      <w:tr w:rsidR="00F61B46" w14:paraId="42294E91" w14:textId="77777777" w:rsidTr="00091544">
        <w:tc>
          <w:tcPr>
            <w:tcW w:w="516" w:type="dxa"/>
            <w:tcBorders>
              <w:top w:val="single" w:sz="4" w:space="0" w:color="auto"/>
              <w:left w:val="single" w:sz="4" w:space="0" w:color="auto"/>
              <w:bottom w:val="single" w:sz="4" w:space="0" w:color="auto"/>
              <w:right w:val="single" w:sz="4" w:space="0" w:color="auto"/>
            </w:tcBorders>
          </w:tcPr>
          <w:p w14:paraId="2C65F1DD" w14:textId="557C485B" w:rsidR="00F61B46" w:rsidRDefault="001B5F3E" w:rsidP="00091544">
            <w:pPr>
              <w:rPr>
                <w:color w:val="000000"/>
                <w:sz w:val="20"/>
                <w:szCs w:val="20"/>
                <w:lang w:eastAsia="en-US"/>
              </w:rPr>
            </w:pPr>
            <w:r>
              <w:rPr>
                <w:color w:val="000000"/>
                <w:sz w:val="20"/>
                <w:szCs w:val="20"/>
                <w:lang w:eastAsia="en-US"/>
              </w:rPr>
              <w:t>19</w:t>
            </w:r>
          </w:p>
        </w:tc>
        <w:tc>
          <w:tcPr>
            <w:tcW w:w="8726" w:type="dxa"/>
            <w:tcBorders>
              <w:top w:val="single" w:sz="4" w:space="0" w:color="auto"/>
              <w:left w:val="single" w:sz="4" w:space="0" w:color="auto"/>
              <w:bottom w:val="single" w:sz="4" w:space="0" w:color="auto"/>
              <w:right w:val="single" w:sz="4" w:space="0" w:color="auto"/>
            </w:tcBorders>
            <w:vAlign w:val="bottom"/>
          </w:tcPr>
          <w:p w14:paraId="5DFC76F6" w14:textId="77777777" w:rsidR="00F61B46" w:rsidRDefault="00F61B46" w:rsidP="00091544">
            <w:pPr>
              <w:rPr>
                <w:b/>
                <w:color w:val="000000"/>
                <w:sz w:val="20"/>
                <w:szCs w:val="20"/>
                <w:lang w:eastAsia="en-US"/>
              </w:rPr>
            </w:pPr>
            <w:r>
              <w:rPr>
                <w:b/>
                <w:color w:val="000000"/>
                <w:sz w:val="20"/>
                <w:szCs w:val="20"/>
                <w:lang w:eastAsia="en-US"/>
              </w:rPr>
              <w:t>Quadrate, openings on the dorsal surface at the proximal end (= subtympanic foramina; = quadrate fenestrae):</w:t>
            </w:r>
          </w:p>
          <w:p w14:paraId="396CA6BD" w14:textId="77777777" w:rsidR="00F61B46" w:rsidRDefault="00F61B46" w:rsidP="00091544">
            <w:pPr>
              <w:autoSpaceDE w:val="0"/>
              <w:autoSpaceDN w:val="0"/>
              <w:adjustRightInd w:val="0"/>
              <w:rPr>
                <w:i/>
                <w:sz w:val="20"/>
                <w:szCs w:val="20"/>
                <w:lang w:eastAsia="en-US"/>
              </w:rPr>
            </w:pPr>
            <w:r>
              <w:rPr>
                <w:i/>
                <w:sz w:val="20"/>
                <w:szCs w:val="20"/>
                <w:lang w:eastAsia="en-US"/>
              </w:rPr>
              <w:t xml:space="preserve">Young &amp; Andrade (2009, ch. 158 modified); </w:t>
            </w:r>
            <w:r>
              <w:rPr>
                <w:bCs/>
                <w:i/>
                <w:color w:val="000000"/>
                <w:sz w:val="20"/>
                <w:szCs w:val="20"/>
                <w:lang w:eastAsia="en-US"/>
              </w:rPr>
              <w:t xml:space="preserve">Young et al. (2011, ch. 158 modified); Young et al. (2013a, ch. 104 modified); </w:t>
            </w:r>
            <w:r>
              <w:rPr>
                <w:i/>
                <w:sz w:val="20"/>
                <w:szCs w:val="20"/>
                <w:lang w:eastAsia="en-US"/>
              </w:rPr>
              <w:t xml:space="preserve">Young et al. (2012, ch. 121 modified); Young (2014, ch. 124 modified); Young et al. (2016, ds 2, ch. 145 modified); Ristevski et al. (2018, ds 2, ch. 198); Smith et al. (in review, ds 1, ch. 202); </w:t>
            </w:r>
            <w:r>
              <w:rPr>
                <w:i/>
                <w:sz w:val="20"/>
                <w:szCs w:val="20"/>
              </w:rPr>
              <w:t>Ősi et al. (in review, ds 1, ch. 220)</w:t>
            </w:r>
            <w:r>
              <w:rPr>
                <w:i/>
                <w:sz w:val="20"/>
                <w:szCs w:val="20"/>
                <w:lang w:eastAsia="en-US"/>
              </w:rPr>
              <w:t>.</w:t>
            </w:r>
          </w:p>
          <w:p w14:paraId="184585AB" w14:textId="77777777" w:rsidR="00F61B46" w:rsidRDefault="00F61B46" w:rsidP="00091544">
            <w:pPr>
              <w:rPr>
                <w:i/>
                <w:color w:val="000000"/>
                <w:sz w:val="20"/>
                <w:szCs w:val="20"/>
                <w:lang w:eastAsia="en-US"/>
              </w:rPr>
            </w:pPr>
            <w:r>
              <w:rPr>
                <w:i/>
                <w:color w:val="000000"/>
                <w:sz w:val="20"/>
                <w:szCs w:val="20"/>
                <w:lang w:eastAsia="en-US"/>
              </w:rPr>
              <w:t>This character scores the presence of foramina on the proximal quadrate for the infundibular diverticula of the pharyngotympanic sinus system contacting the tympanum.</w:t>
            </w:r>
          </w:p>
          <w:p w14:paraId="3E259EE7" w14:textId="77777777" w:rsidR="00F61B46" w:rsidRDefault="00F61B46" w:rsidP="00091544">
            <w:pPr>
              <w:rPr>
                <w:i/>
                <w:color w:val="000000"/>
                <w:sz w:val="20"/>
                <w:szCs w:val="20"/>
                <w:lang w:eastAsia="en-US"/>
              </w:rPr>
            </w:pPr>
            <w:r>
              <w:rPr>
                <w:i/>
                <w:color w:val="000000"/>
                <w:sz w:val="20"/>
                <w:szCs w:val="20"/>
                <w:lang w:eastAsia="en-US"/>
              </w:rPr>
              <w:t>State (2) occurs in Thalattosuchia.</w:t>
            </w:r>
          </w:p>
          <w:p w14:paraId="444DDD15" w14:textId="77777777" w:rsidR="00F61B46" w:rsidRDefault="00F61B46" w:rsidP="00091544">
            <w:pPr>
              <w:rPr>
                <w:color w:val="000000"/>
                <w:sz w:val="20"/>
                <w:szCs w:val="20"/>
                <w:lang w:eastAsia="en-US"/>
              </w:rPr>
            </w:pPr>
            <w:r>
              <w:rPr>
                <w:color w:val="000000"/>
                <w:sz w:val="20"/>
                <w:szCs w:val="20"/>
                <w:lang w:eastAsia="en-US"/>
              </w:rPr>
              <w:t>0. multiple subtympanic foramina</w:t>
            </w:r>
          </w:p>
          <w:p w14:paraId="7A274E4F" w14:textId="77777777" w:rsidR="00F61B46" w:rsidRDefault="00F61B46" w:rsidP="00091544">
            <w:pPr>
              <w:rPr>
                <w:color w:val="000000"/>
                <w:sz w:val="20"/>
                <w:szCs w:val="20"/>
                <w:lang w:eastAsia="en-US"/>
              </w:rPr>
            </w:pPr>
            <w:r>
              <w:rPr>
                <w:color w:val="000000"/>
                <w:sz w:val="20"/>
                <w:szCs w:val="20"/>
                <w:lang w:eastAsia="en-US"/>
              </w:rPr>
              <w:t>1. single subtympanic foramen</w:t>
            </w:r>
          </w:p>
          <w:p w14:paraId="50F42B2D" w14:textId="77777777" w:rsidR="00F61B46" w:rsidRDefault="00F61B46" w:rsidP="00091544">
            <w:pPr>
              <w:rPr>
                <w:color w:val="000000"/>
                <w:sz w:val="20"/>
                <w:szCs w:val="20"/>
                <w:lang w:eastAsia="en-US"/>
              </w:rPr>
            </w:pPr>
            <w:r>
              <w:rPr>
                <w:color w:val="000000"/>
                <w:sz w:val="20"/>
                <w:szCs w:val="20"/>
                <w:lang w:eastAsia="en-US"/>
              </w:rPr>
              <w:t>2. lacks subtympanic foramina</w:t>
            </w:r>
          </w:p>
        </w:tc>
      </w:tr>
      <w:tr w:rsidR="00F61B46" w14:paraId="387E83C7" w14:textId="77777777" w:rsidTr="00091544">
        <w:tc>
          <w:tcPr>
            <w:tcW w:w="516" w:type="dxa"/>
            <w:tcBorders>
              <w:top w:val="single" w:sz="4" w:space="0" w:color="auto"/>
              <w:left w:val="single" w:sz="4" w:space="0" w:color="auto"/>
              <w:bottom w:val="single" w:sz="4" w:space="0" w:color="auto"/>
              <w:right w:val="single" w:sz="4" w:space="0" w:color="auto"/>
            </w:tcBorders>
          </w:tcPr>
          <w:p w14:paraId="45B7D5C2" w14:textId="1F404BDB" w:rsidR="00F61B46" w:rsidRDefault="001B5F3E" w:rsidP="001B5F3E">
            <w:pPr>
              <w:rPr>
                <w:color w:val="000000"/>
                <w:sz w:val="20"/>
                <w:szCs w:val="20"/>
                <w:lang w:eastAsia="en-US"/>
              </w:rPr>
            </w:pPr>
            <w:r>
              <w:rPr>
                <w:color w:val="000000"/>
                <w:sz w:val="20"/>
                <w:szCs w:val="20"/>
                <w:lang w:eastAsia="en-US"/>
              </w:rPr>
              <w:t>20</w:t>
            </w:r>
          </w:p>
        </w:tc>
        <w:tc>
          <w:tcPr>
            <w:tcW w:w="8726" w:type="dxa"/>
            <w:tcBorders>
              <w:top w:val="single" w:sz="4" w:space="0" w:color="auto"/>
              <w:left w:val="single" w:sz="4" w:space="0" w:color="auto"/>
              <w:bottom w:val="single" w:sz="4" w:space="0" w:color="auto"/>
              <w:right w:val="single" w:sz="4" w:space="0" w:color="auto"/>
            </w:tcBorders>
            <w:vAlign w:val="bottom"/>
          </w:tcPr>
          <w:p w14:paraId="38905F73" w14:textId="77777777" w:rsidR="00F61B46" w:rsidRDefault="00F61B46" w:rsidP="00091544">
            <w:pPr>
              <w:rPr>
                <w:b/>
                <w:color w:val="000000"/>
                <w:sz w:val="20"/>
                <w:szCs w:val="20"/>
                <w:lang w:eastAsia="en-US"/>
              </w:rPr>
            </w:pPr>
            <w:r>
              <w:rPr>
                <w:b/>
                <w:color w:val="000000"/>
                <w:sz w:val="20"/>
                <w:szCs w:val="20"/>
                <w:lang w:eastAsia="en-US"/>
              </w:rPr>
              <w:t>Quadrate (and articular), foramina aërum presence:</w:t>
            </w:r>
          </w:p>
          <w:p w14:paraId="15AA8ECE" w14:textId="77777777" w:rsidR="00F61B46" w:rsidRDefault="00F61B46" w:rsidP="00091544">
            <w:pPr>
              <w:rPr>
                <w:i/>
                <w:color w:val="000000"/>
                <w:sz w:val="20"/>
                <w:szCs w:val="20"/>
                <w:lang w:eastAsia="en-US"/>
              </w:rPr>
            </w:pPr>
            <w:r>
              <w:rPr>
                <w:i/>
                <w:sz w:val="20"/>
                <w:szCs w:val="20"/>
                <w:lang w:eastAsia="en-US"/>
              </w:rPr>
              <w:t xml:space="preserve">Ristevski et al. (2018, ds 2, ch. 199); Smith et al. (in review, ds 1, ch. 203); </w:t>
            </w:r>
            <w:r>
              <w:rPr>
                <w:i/>
                <w:sz w:val="20"/>
                <w:szCs w:val="20"/>
              </w:rPr>
              <w:t>Ősi et al. (in review, ds 1, ch. 221)</w:t>
            </w:r>
            <w:r>
              <w:rPr>
                <w:i/>
                <w:sz w:val="20"/>
                <w:szCs w:val="20"/>
                <w:lang w:eastAsia="en-US"/>
              </w:rPr>
              <w:t>.</w:t>
            </w:r>
          </w:p>
          <w:p w14:paraId="4B352803" w14:textId="77777777" w:rsidR="00F61B46" w:rsidRDefault="00F61B46" w:rsidP="00091544">
            <w:pPr>
              <w:rPr>
                <w:i/>
                <w:color w:val="000000"/>
                <w:sz w:val="20"/>
                <w:szCs w:val="20"/>
                <w:lang w:eastAsia="en-US"/>
              </w:rPr>
            </w:pPr>
            <w:r>
              <w:rPr>
                <w:i/>
                <w:color w:val="000000"/>
                <w:sz w:val="20"/>
                <w:szCs w:val="20"/>
                <w:lang w:eastAsia="en-US"/>
              </w:rPr>
              <w:t>This character scores the presences of the aërum foramina on the dorsal or mediodorsal surface of the distal quadrate, and the associated opening on the dorsal or medial surface of the retroarticular process of the mandible. These foramina are for the siphonium connecting the quadrate and articular diverticula of the pharyngotympanic sinus system.</w:t>
            </w:r>
          </w:p>
          <w:p w14:paraId="514CD740" w14:textId="77777777" w:rsidR="00F61B46" w:rsidRDefault="00F61B46" w:rsidP="00091544">
            <w:pPr>
              <w:rPr>
                <w:i/>
                <w:color w:val="000000"/>
                <w:sz w:val="20"/>
                <w:szCs w:val="20"/>
                <w:lang w:eastAsia="en-US"/>
              </w:rPr>
            </w:pPr>
            <w:r>
              <w:rPr>
                <w:i/>
                <w:color w:val="000000"/>
                <w:sz w:val="20"/>
                <w:szCs w:val="20"/>
                <w:lang w:eastAsia="en-US"/>
              </w:rPr>
              <w:lastRenderedPageBreak/>
              <w:t>Note that in large adults the articular diverticula can completely regress, thus the quadrate aërum foramen may be the best indicator of the structure's presence.</w:t>
            </w:r>
          </w:p>
          <w:p w14:paraId="0BEA9C21" w14:textId="77777777" w:rsidR="00F61B46" w:rsidRDefault="00F61B46" w:rsidP="00091544">
            <w:pPr>
              <w:rPr>
                <w:i/>
                <w:color w:val="000000"/>
                <w:sz w:val="20"/>
                <w:szCs w:val="20"/>
                <w:lang w:eastAsia="en-US"/>
              </w:rPr>
            </w:pPr>
            <w:r>
              <w:rPr>
                <w:i/>
                <w:color w:val="000000"/>
                <w:sz w:val="20"/>
                <w:szCs w:val="20"/>
                <w:lang w:eastAsia="en-US"/>
              </w:rPr>
              <w:t>Following Nesbitt (2011; discussion on ch. 159), basal crocodylomorphs (i.e. ‘sphenosuchians’) the large medial articular foramina are not considered to be articular aërum foramina. Whether basal crocodylomorphs had articular diverticula is currently unknown.</w:t>
            </w:r>
          </w:p>
          <w:p w14:paraId="4274445A" w14:textId="77777777" w:rsidR="00F61B46" w:rsidRDefault="00F61B46" w:rsidP="00091544">
            <w:pPr>
              <w:rPr>
                <w:i/>
                <w:color w:val="000000"/>
                <w:sz w:val="20"/>
                <w:szCs w:val="20"/>
                <w:lang w:eastAsia="en-US"/>
              </w:rPr>
            </w:pPr>
            <w:r>
              <w:rPr>
                <w:i/>
                <w:color w:val="000000"/>
                <w:sz w:val="20"/>
                <w:szCs w:val="20"/>
                <w:lang w:eastAsia="en-US"/>
              </w:rPr>
              <w:t>State (0) occurs in Thalattosuchia (basal crocodylomorphs are scored as ‘?’).</w:t>
            </w:r>
          </w:p>
          <w:p w14:paraId="016F0A8A" w14:textId="77777777" w:rsidR="00F61B46" w:rsidRDefault="00F61B46" w:rsidP="00091544">
            <w:pPr>
              <w:rPr>
                <w:i/>
                <w:color w:val="000000"/>
                <w:sz w:val="20"/>
                <w:szCs w:val="20"/>
                <w:lang w:eastAsia="en-US"/>
              </w:rPr>
            </w:pPr>
            <w:r>
              <w:rPr>
                <w:i/>
                <w:color w:val="000000"/>
                <w:sz w:val="20"/>
                <w:szCs w:val="20"/>
                <w:lang w:eastAsia="en-US"/>
              </w:rPr>
              <w:t>State (1) is currently only known to occur in Crocodyliformes.</w:t>
            </w:r>
          </w:p>
          <w:p w14:paraId="1BF3FB72" w14:textId="77777777" w:rsidR="00F61B46" w:rsidRDefault="00F61B46" w:rsidP="00091544">
            <w:pPr>
              <w:rPr>
                <w:color w:val="000000"/>
                <w:sz w:val="20"/>
                <w:szCs w:val="20"/>
                <w:lang w:eastAsia="en-US"/>
              </w:rPr>
            </w:pPr>
            <w:r>
              <w:rPr>
                <w:color w:val="000000"/>
                <w:sz w:val="20"/>
                <w:szCs w:val="20"/>
                <w:lang w:eastAsia="en-US"/>
              </w:rPr>
              <w:t>0. absent</w:t>
            </w:r>
          </w:p>
          <w:p w14:paraId="7A01F770" w14:textId="77777777" w:rsidR="00F61B46" w:rsidRDefault="00F61B46" w:rsidP="00091544">
            <w:pPr>
              <w:rPr>
                <w:color w:val="000000"/>
                <w:sz w:val="20"/>
                <w:szCs w:val="20"/>
                <w:lang w:eastAsia="en-US"/>
              </w:rPr>
            </w:pPr>
            <w:r>
              <w:rPr>
                <w:color w:val="000000"/>
                <w:sz w:val="20"/>
                <w:szCs w:val="20"/>
                <w:lang w:eastAsia="en-US"/>
              </w:rPr>
              <w:t>1. present</w:t>
            </w:r>
          </w:p>
        </w:tc>
      </w:tr>
      <w:tr w:rsidR="00F61B46" w14:paraId="5264DB30" w14:textId="77777777" w:rsidTr="00091544">
        <w:tc>
          <w:tcPr>
            <w:tcW w:w="516" w:type="dxa"/>
            <w:tcBorders>
              <w:top w:val="single" w:sz="4" w:space="0" w:color="auto"/>
              <w:left w:val="single" w:sz="4" w:space="0" w:color="auto"/>
              <w:bottom w:val="single" w:sz="4" w:space="0" w:color="auto"/>
              <w:right w:val="single" w:sz="4" w:space="0" w:color="auto"/>
            </w:tcBorders>
          </w:tcPr>
          <w:p w14:paraId="689243BB" w14:textId="52677BA1" w:rsidR="00F61B46" w:rsidRDefault="001B5F3E" w:rsidP="00091544">
            <w:pPr>
              <w:rPr>
                <w:color w:val="000000"/>
                <w:sz w:val="20"/>
                <w:szCs w:val="20"/>
                <w:lang w:eastAsia="en-US"/>
              </w:rPr>
            </w:pPr>
            <w:r>
              <w:rPr>
                <w:color w:val="000000"/>
                <w:sz w:val="20"/>
                <w:szCs w:val="20"/>
                <w:lang w:eastAsia="en-US"/>
              </w:rPr>
              <w:lastRenderedPageBreak/>
              <w:t>21</w:t>
            </w:r>
          </w:p>
        </w:tc>
        <w:tc>
          <w:tcPr>
            <w:tcW w:w="8726" w:type="dxa"/>
            <w:tcBorders>
              <w:top w:val="single" w:sz="4" w:space="0" w:color="auto"/>
              <w:left w:val="single" w:sz="4" w:space="0" w:color="auto"/>
              <w:bottom w:val="single" w:sz="4" w:space="0" w:color="auto"/>
              <w:right w:val="single" w:sz="4" w:space="0" w:color="auto"/>
            </w:tcBorders>
          </w:tcPr>
          <w:p w14:paraId="4E3D3FFD" w14:textId="77777777" w:rsidR="00F61B46" w:rsidRDefault="00F61B46" w:rsidP="00091544">
            <w:pPr>
              <w:rPr>
                <w:b/>
                <w:color w:val="000000"/>
                <w:sz w:val="20"/>
                <w:szCs w:val="20"/>
                <w:lang w:eastAsia="en-US"/>
              </w:rPr>
            </w:pPr>
            <w:r>
              <w:rPr>
                <w:b/>
                <w:color w:val="000000"/>
                <w:sz w:val="20"/>
                <w:szCs w:val="20"/>
                <w:lang w:eastAsia="en-US"/>
              </w:rPr>
              <w:t>Medial pharyngeal and pharyngotympanic tubes (= “Eustachian tubes”), relation to basioccipital and basisphenoid: (ORDERED)</w:t>
            </w:r>
          </w:p>
          <w:p w14:paraId="1ECCABB2" w14:textId="77777777" w:rsidR="00F61B46" w:rsidRDefault="00F61B46" w:rsidP="00091544">
            <w:pPr>
              <w:rPr>
                <w:color w:val="000000"/>
                <w:sz w:val="20"/>
                <w:szCs w:val="20"/>
                <w:lang w:eastAsia="en-US"/>
              </w:rPr>
            </w:pPr>
            <w:r>
              <w:rPr>
                <w:i/>
                <w:iCs/>
                <w:color w:val="000000"/>
                <w:sz w:val="20"/>
                <w:szCs w:val="20"/>
                <w:lang w:eastAsia="en-US"/>
              </w:rPr>
              <w:t xml:space="preserve">Clark (1994, ch. 52 modified); Andrade et al. (2011, ch. 290 modified); Nesbitt (2011, ch. 121 – based on Gower 2002, ch. 13); Young et al. (2013a, ch. 108); Young et al. (2012, ch. 126); Young (2014, ch. 130); Young et al. (2016, ds 2, ch. 152); </w:t>
            </w:r>
            <w:r>
              <w:rPr>
                <w:i/>
                <w:sz w:val="20"/>
                <w:szCs w:val="20"/>
                <w:lang w:eastAsia="en-US"/>
              </w:rPr>
              <w:t xml:space="preserve">Ristevski et al. (2018, ds 2, ch. 206); Smith et al. (in review, ds 1, ch. 210); </w:t>
            </w:r>
            <w:r>
              <w:rPr>
                <w:i/>
                <w:sz w:val="20"/>
                <w:szCs w:val="20"/>
              </w:rPr>
              <w:t>Ősi et al. (in review, ds 1, ch. 228)</w:t>
            </w:r>
            <w:r>
              <w:rPr>
                <w:color w:val="000000"/>
                <w:sz w:val="20"/>
                <w:szCs w:val="20"/>
                <w:lang w:eastAsia="en-US"/>
              </w:rPr>
              <w:t>.</w:t>
            </w:r>
          </w:p>
          <w:p w14:paraId="2CE39CE3" w14:textId="77777777" w:rsidR="00F61B46" w:rsidRDefault="00F61B46" w:rsidP="00091544">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Postosuchus </w:t>
            </w:r>
            <w:r>
              <w:rPr>
                <w:i/>
                <w:color w:val="000000"/>
                <w:sz w:val="20"/>
                <w:szCs w:val="20"/>
                <w:lang w:eastAsia="en-US"/>
              </w:rPr>
              <w:t>and ‘sphenosuchians’.</w:t>
            </w:r>
          </w:p>
          <w:p w14:paraId="33068669" w14:textId="77777777" w:rsidR="00F61B46" w:rsidRDefault="00F61B46" w:rsidP="00091544">
            <w:pPr>
              <w:rPr>
                <w:i/>
                <w:color w:val="000000"/>
                <w:sz w:val="20"/>
                <w:szCs w:val="20"/>
                <w:lang w:eastAsia="en-US"/>
              </w:rPr>
            </w:pPr>
            <w:r>
              <w:rPr>
                <w:i/>
                <w:color w:val="000000"/>
                <w:sz w:val="20"/>
                <w:szCs w:val="20"/>
                <w:lang w:eastAsia="en-US"/>
              </w:rPr>
              <w:t>State (2) occurs in Crocodyliformes.</w:t>
            </w:r>
          </w:p>
          <w:p w14:paraId="1C5F2ABC" w14:textId="77777777" w:rsidR="00F61B46" w:rsidRDefault="00F61B46" w:rsidP="00091544">
            <w:pPr>
              <w:rPr>
                <w:color w:val="000000"/>
                <w:sz w:val="20"/>
                <w:szCs w:val="20"/>
                <w:lang w:eastAsia="en-US"/>
              </w:rPr>
            </w:pPr>
            <w:r>
              <w:rPr>
                <w:color w:val="000000"/>
                <w:sz w:val="20"/>
                <w:szCs w:val="20"/>
                <w:lang w:eastAsia="en-US"/>
              </w:rPr>
              <w:t>0. not enclosed by bone</w:t>
            </w:r>
          </w:p>
          <w:p w14:paraId="09F737CE" w14:textId="77777777" w:rsidR="00F61B46" w:rsidRDefault="00F61B46" w:rsidP="00091544">
            <w:pPr>
              <w:rPr>
                <w:color w:val="000000"/>
                <w:sz w:val="20"/>
                <w:szCs w:val="20"/>
                <w:lang w:eastAsia="en-US"/>
              </w:rPr>
            </w:pPr>
            <w:r>
              <w:rPr>
                <w:color w:val="000000"/>
                <w:sz w:val="20"/>
                <w:szCs w:val="20"/>
                <w:lang w:eastAsia="en-US"/>
              </w:rPr>
              <w:t xml:space="preserve">1. partially enclosed between the basioccipital and basisphenoid </w:t>
            </w:r>
          </w:p>
          <w:p w14:paraId="6C249494" w14:textId="77777777" w:rsidR="00F61B46" w:rsidRDefault="00F61B46" w:rsidP="00091544">
            <w:pPr>
              <w:rPr>
                <w:color w:val="000000"/>
                <w:sz w:val="20"/>
                <w:szCs w:val="20"/>
                <w:lang w:eastAsia="en-US"/>
              </w:rPr>
            </w:pPr>
            <w:r>
              <w:rPr>
                <w:color w:val="000000"/>
                <w:sz w:val="20"/>
                <w:szCs w:val="20"/>
                <w:lang w:eastAsia="en-US"/>
              </w:rPr>
              <w:t>2. entirely enclosed between the basioccipital and basisphenoid</w:t>
            </w:r>
          </w:p>
        </w:tc>
      </w:tr>
    </w:tbl>
    <w:p w14:paraId="40557A72" w14:textId="77777777" w:rsidR="00F61B46" w:rsidRDefault="00F61B46" w:rsidP="004C76BC"/>
    <w:p w14:paraId="0A25EACA" w14:textId="0D583625" w:rsidR="004C76BC" w:rsidRDefault="004C76BC" w:rsidP="004C76BC">
      <w:pPr>
        <w:autoSpaceDE w:val="0"/>
        <w:autoSpaceDN w:val="0"/>
        <w:adjustRightInd w:val="0"/>
        <w:rPr>
          <w:rFonts w:eastAsiaTheme="minorHAnsi"/>
        </w:rPr>
      </w:pPr>
      <w:r>
        <w:rPr>
          <w:b/>
        </w:rPr>
        <w:t xml:space="preserve">Rostral neurovascular foramina </w:t>
      </w:r>
      <w:r>
        <w:t xml:space="preserve">(Ch. </w:t>
      </w:r>
      <w:r w:rsidR="006E44D9">
        <w:t>22</w:t>
      </w:r>
      <w:r>
        <w:t xml:space="preserve"> – 2</w:t>
      </w:r>
      <w:r w:rsidR="006E44D9">
        <w:t>7</w:t>
      </w:r>
      <w:r>
        <w:t>; 1.322% of characters)</w:t>
      </w:r>
    </w:p>
    <w:p w14:paraId="6BACF191" w14:textId="77777777" w:rsidR="004C76BC" w:rsidRDefault="004C76BC" w:rsidP="004C76BC">
      <w:pPr>
        <w:rPr>
          <w:rFonts w:eastAsiaTheme="minorHAnsi"/>
        </w:rPr>
      </w:pPr>
    </w:p>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4C76BC" w14:paraId="0EECE880" w14:textId="77777777" w:rsidTr="00AF438E">
        <w:tc>
          <w:tcPr>
            <w:tcW w:w="416" w:type="dxa"/>
            <w:tcBorders>
              <w:top w:val="single" w:sz="4" w:space="0" w:color="auto"/>
              <w:left w:val="single" w:sz="4" w:space="0" w:color="auto"/>
              <w:bottom w:val="single" w:sz="4" w:space="0" w:color="auto"/>
              <w:right w:val="single" w:sz="4" w:space="0" w:color="auto"/>
            </w:tcBorders>
            <w:hideMark/>
          </w:tcPr>
          <w:p w14:paraId="64BC2BA1" w14:textId="77777777" w:rsidR="004C76BC" w:rsidRDefault="004C76BC" w:rsidP="00AF438E">
            <w:pPr>
              <w:rPr>
                <w:sz w:val="20"/>
                <w:szCs w:val="20"/>
                <w:lang w:eastAsia="en-US"/>
              </w:rPr>
            </w:pPr>
            <w:r>
              <w:rPr>
                <w:sz w:val="20"/>
                <w:szCs w:val="20"/>
                <w:lang w:eastAsia="en-US"/>
              </w:rPr>
              <w:t>#</w:t>
            </w:r>
          </w:p>
        </w:tc>
        <w:tc>
          <w:tcPr>
            <w:tcW w:w="8826" w:type="dxa"/>
            <w:tcBorders>
              <w:top w:val="single" w:sz="4" w:space="0" w:color="auto"/>
              <w:left w:val="single" w:sz="4" w:space="0" w:color="auto"/>
              <w:bottom w:val="single" w:sz="4" w:space="0" w:color="auto"/>
              <w:right w:val="single" w:sz="4" w:space="0" w:color="auto"/>
            </w:tcBorders>
            <w:hideMark/>
          </w:tcPr>
          <w:p w14:paraId="21E2A551" w14:textId="77777777" w:rsidR="004C76BC" w:rsidRDefault="004C76BC" w:rsidP="00AF438E">
            <w:pPr>
              <w:rPr>
                <w:sz w:val="20"/>
                <w:szCs w:val="20"/>
                <w:lang w:eastAsia="en-US"/>
              </w:rPr>
            </w:pPr>
            <w:r>
              <w:rPr>
                <w:sz w:val="20"/>
                <w:szCs w:val="20"/>
                <w:lang w:eastAsia="en-US"/>
              </w:rPr>
              <w:t>Description</w:t>
            </w:r>
          </w:p>
        </w:tc>
      </w:tr>
      <w:tr w:rsidR="004C76BC" w14:paraId="0B8D9CBC" w14:textId="77777777" w:rsidTr="006E44D9">
        <w:tc>
          <w:tcPr>
            <w:tcW w:w="416" w:type="dxa"/>
            <w:tcBorders>
              <w:top w:val="single" w:sz="4" w:space="0" w:color="auto"/>
              <w:left w:val="single" w:sz="4" w:space="0" w:color="auto"/>
              <w:bottom w:val="single" w:sz="4" w:space="0" w:color="auto"/>
              <w:right w:val="single" w:sz="4" w:space="0" w:color="auto"/>
            </w:tcBorders>
          </w:tcPr>
          <w:p w14:paraId="31A02256" w14:textId="69BCFABA" w:rsidR="004C76BC" w:rsidRDefault="006E44D9" w:rsidP="00AF438E">
            <w:pPr>
              <w:rPr>
                <w:sz w:val="20"/>
                <w:szCs w:val="20"/>
                <w:lang w:eastAsia="en-US"/>
              </w:rPr>
            </w:pPr>
            <w:r>
              <w:rPr>
                <w:color w:val="000000"/>
                <w:sz w:val="20"/>
                <w:szCs w:val="20"/>
                <w:lang w:eastAsia="en-US"/>
              </w:rPr>
              <w:t>22</w:t>
            </w:r>
          </w:p>
        </w:tc>
        <w:tc>
          <w:tcPr>
            <w:tcW w:w="8826" w:type="dxa"/>
            <w:tcBorders>
              <w:top w:val="single" w:sz="4" w:space="0" w:color="auto"/>
              <w:left w:val="single" w:sz="4" w:space="0" w:color="auto"/>
              <w:bottom w:val="single" w:sz="4" w:space="0" w:color="auto"/>
              <w:right w:val="single" w:sz="4" w:space="0" w:color="auto"/>
            </w:tcBorders>
            <w:hideMark/>
          </w:tcPr>
          <w:p w14:paraId="6751FAAE" w14:textId="77777777" w:rsidR="004C76BC" w:rsidRDefault="004C76BC" w:rsidP="00AF438E">
            <w:pPr>
              <w:autoSpaceDE w:val="0"/>
              <w:autoSpaceDN w:val="0"/>
              <w:adjustRightInd w:val="0"/>
              <w:rPr>
                <w:rFonts w:eastAsiaTheme="minorHAnsi"/>
                <w:b/>
                <w:bCs/>
                <w:color w:val="000000"/>
                <w:sz w:val="20"/>
                <w:lang w:eastAsia="en-US"/>
              </w:rPr>
            </w:pPr>
            <w:r>
              <w:rPr>
                <w:b/>
                <w:bCs/>
                <w:color w:val="000000"/>
                <w:sz w:val="20"/>
                <w:lang w:eastAsia="en-US"/>
              </w:rPr>
              <w:t>Neurovascular foramina, presence of an expanded network of openings on the dorsal surface of the rostrum and ventral-lateral surfaces of the mandible:</w:t>
            </w:r>
          </w:p>
          <w:p w14:paraId="4F0AE351" w14:textId="3CD646AF" w:rsidR="004C76BC" w:rsidRDefault="004C76BC" w:rsidP="00AF438E">
            <w:pPr>
              <w:autoSpaceDE w:val="0"/>
              <w:autoSpaceDN w:val="0"/>
              <w:adjustRightInd w:val="0"/>
              <w:rPr>
                <w:i/>
                <w:iCs/>
                <w:color w:val="000000"/>
                <w:sz w:val="20"/>
                <w:lang w:eastAsia="en-US"/>
              </w:rPr>
            </w:pPr>
            <w:r>
              <w:rPr>
                <w:bCs/>
                <w:i/>
                <w:color w:val="000000"/>
                <w:sz w:val="20"/>
                <w:lang w:eastAsia="en-US"/>
              </w:rPr>
              <w:t xml:space="preserve">Andrade et al. (2011, ch. 22), </w:t>
            </w:r>
            <w:r>
              <w:rPr>
                <w:i/>
                <w:sz w:val="20"/>
                <w:szCs w:val="20"/>
                <w:lang w:eastAsia="en-US"/>
              </w:rPr>
              <w:t>Ristevski et al. (2018, ds 2, ch. 11); Smith et al. (in review, ds 1, ch. 12)</w:t>
            </w:r>
            <w:r w:rsidR="00FD6E73">
              <w:rPr>
                <w:i/>
                <w:sz w:val="20"/>
                <w:szCs w:val="20"/>
                <w:lang w:eastAsia="en-US"/>
              </w:rPr>
              <w:t xml:space="preserve">; </w:t>
            </w:r>
            <w:r w:rsidR="00FD6E73">
              <w:rPr>
                <w:i/>
                <w:sz w:val="20"/>
                <w:szCs w:val="20"/>
              </w:rPr>
              <w:t>Ősi et al. (in review, ds 1, ch. 17)</w:t>
            </w:r>
            <w:r>
              <w:rPr>
                <w:bCs/>
                <w:i/>
                <w:color w:val="000000"/>
                <w:sz w:val="20"/>
                <w:lang w:eastAsia="en-US"/>
              </w:rPr>
              <w:t>.</w:t>
            </w:r>
          </w:p>
          <w:p w14:paraId="6FBF68CC" w14:textId="77777777" w:rsidR="004C76BC" w:rsidRDefault="004C76BC" w:rsidP="00AF438E">
            <w:pPr>
              <w:autoSpaceDE w:val="0"/>
              <w:autoSpaceDN w:val="0"/>
              <w:adjustRightInd w:val="0"/>
              <w:rPr>
                <w:i/>
                <w:iCs/>
                <w:color w:val="000000"/>
                <w:sz w:val="20"/>
                <w:lang w:eastAsia="en-US"/>
              </w:rPr>
            </w:pPr>
            <w:r>
              <w:rPr>
                <w:i/>
                <w:iCs/>
                <w:color w:val="000000"/>
                <w:sz w:val="20"/>
                <w:lang w:eastAsia="en-US"/>
              </w:rPr>
              <w:t>Based on the data by Soares (2002), where neurovascular foramina are related to the presence of dome pressure receptors (DPR).</w:t>
            </w:r>
          </w:p>
          <w:p w14:paraId="1D245A2A" w14:textId="629A2C4A" w:rsidR="004C76BC" w:rsidRDefault="004C76BC" w:rsidP="00AF438E">
            <w:pPr>
              <w:autoSpaceDE w:val="0"/>
              <w:autoSpaceDN w:val="0"/>
              <w:adjustRightInd w:val="0"/>
              <w:rPr>
                <w:rFonts w:eastAsiaTheme="minorHAnsi"/>
                <w:i/>
                <w:iCs/>
                <w:color w:val="000000"/>
                <w:sz w:val="20"/>
                <w:lang w:eastAsia="en-US"/>
              </w:rPr>
            </w:pPr>
            <w:r>
              <w:rPr>
                <w:i/>
                <w:iCs/>
                <w:color w:val="000000"/>
                <w:sz w:val="20"/>
                <w:lang w:eastAsia="en-US"/>
              </w:rPr>
              <w:t>Teleosaur</w:t>
            </w:r>
            <w:r w:rsidR="00007246">
              <w:rPr>
                <w:i/>
                <w:iCs/>
                <w:color w:val="000000"/>
                <w:sz w:val="20"/>
                <w:lang w:eastAsia="en-US"/>
              </w:rPr>
              <w:t>o</w:t>
            </w:r>
            <w:r>
              <w:rPr>
                <w:i/>
                <w:iCs/>
                <w:color w:val="000000"/>
                <w:sz w:val="20"/>
                <w:lang w:eastAsia="en-US"/>
              </w:rPr>
              <w:t>ids score as state (1), even though usually only basal single line of foramina is evident on the maxillae. In all thalattosuchians the dentary foramina are greater in number, and are easier to score for. In teleosaur</w:t>
            </w:r>
            <w:r w:rsidR="00007246">
              <w:rPr>
                <w:i/>
                <w:iCs/>
                <w:color w:val="000000"/>
                <w:sz w:val="20"/>
                <w:lang w:eastAsia="en-US"/>
              </w:rPr>
              <w:t>o</w:t>
            </w:r>
            <w:r>
              <w:rPr>
                <w:i/>
                <w:iCs/>
                <w:color w:val="000000"/>
                <w:sz w:val="20"/>
                <w:lang w:eastAsia="en-US"/>
              </w:rPr>
              <w:t>ids with no/little premaxillary/maxillary ornamentation, the accessory foramina are visible on the premaxilla and on the anterior maxillae. In Machimosaurini these foramina are much more numerous, and therefore easier to identify.</w:t>
            </w:r>
          </w:p>
          <w:p w14:paraId="16A3C112" w14:textId="4FA1F710" w:rsidR="004C76BC" w:rsidRDefault="004C76BC" w:rsidP="00AF438E">
            <w:pPr>
              <w:autoSpaceDE w:val="0"/>
              <w:autoSpaceDN w:val="0"/>
              <w:adjustRightInd w:val="0"/>
              <w:rPr>
                <w:i/>
                <w:iCs/>
                <w:color w:val="000000"/>
                <w:sz w:val="20"/>
                <w:lang w:eastAsia="en-US"/>
              </w:rPr>
            </w:pPr>
            <w:r>
              <w:rPr>
                <w:i/>
                <w:iCs/>
                <w:color w:val="000000"/>
                <w:sz w:val="20"/>
                <w:lang w:eastAsia="en-US"/>
              </w:rPr>
              <w:t>Metriorhynchids however clearly have accessory foramina on the premaxillae, maxillae and dentaries, although they do not have the ‘beehive-like’ arrangement mentioned for extant taxa. The maxillary foramina can be observed across the element, and are not restricted to the anterior maxilla as in teleosau</w:t>
            </w:r>
            <w:r w:rsidR="00007246">
              <w:rPr>
                <w:i/>
                <w:iCs/>
                <w:color w:val="000000"/>
                <w:sz w:val="20"/>
                <w:lang w:eastAsia="en-US"/>
              </w:rPr>
              <w:t>o</w:t>
            </w:r>
            <w:r>
              <w:rPr>
                <w:i/>
                <w:iCs/>
                <w:color w:val="000000"/>
                <w:sz w:val="20"/>
                <w:lang w:eastAsia="en-US"/>
              </w:rPr>
              <w:t xml:space="preserve">rids. </w:t>
            </w:r>
            <w:r>
              <w:rPr>
                <w:iCs/>
                <w:color w:val="000000"/>
                <w:sz w:val="20"/>
                <w:lang w:eastAsia="en-US"/>
              </w:rPr>
              <w:t>Pelagosaurus typus</w:t>
            </w:r>
            <w:r>
              <w:rPr>
                <w:i/>
                <w:iCs/>
                <w:color w:val="000000"/>
                <w:sz w:val="20"/>
                <w:lang w:eastAsia="en-US"/>
              </w:rPr>
              <w:t xml:space="preserve"> has clear accessory foramina on the premaxillae and anterior dentaries, and is here scored as (1).</w:t>
            </w:r>
          </w:p>
          <w:p w14:paraId="233291C7" w14:textId="77777777" w:rsidR="004C76BC" w:rsidRDefault="004C76BC" w:rsidP="00AF438E">
            <w:pPr>
              <w:autoSpaceDE w:val="0"/>
              <w:autoSpaceDN w:val="0"/>
              <w:adjustRightInd w:val="0"/>
              <w:rPr>
                <w:i/>
                <w:iCs/>
                <w:color w:val="000000"/>
                <w:sz w:val="20"/>
                <w:lang w:eastAsia="en-US"/>
              </w:rPr>
            </w:pPr>
            <w:r>
              <w:rPr>
                <w:i/>
                <w:iCs/>
                <w:color w:val="000000"/>
                <w:sz w:val="20"/>
                <w:lang w:eastAsia="en-US"/>
              </w:rPr>
              <w:t>It is unclear whether the thalattosuchian condition is homologous to that seen in neosuchians.</w:t>
            </w:r>
          </w:p>
          <w:p w14:paraId="660F48A5" w14:textId="77777777" w:rsidR="004C76BC" w:rsidRDefault="004C76BC" w:rsidP="00AF438E">
            <w:pPr>
              <w:autoSpaceDE w:val="0"/>
              <w:autoSpaceDN w:val="0"/>
              <w:adjustRightInd w:val="0"/>
              <w:rPr>
                <w:i/>
                <w:iCs/>
                <w:color w:val="000000"/>
                <w:sz w:val="20"/>
                <w:lang w:eastAsia="en-US"/>
              </w:rPr>
            </w:pPr>
            <w:r>
              <w:rPr>
                <w:i/>
                <w:iCs/>
                <w:color w:val="000000"/>
                <w:sz w:val="20"/>
                <w:lang w:eastAsia="en-US"/>
              </w:rPr>
              <w:t>This character might need to be re-evaluated, as George &amp; Holliday (2013) have questioned the utility of using facial neurovascular foramina as osteological correlates for the DPR system.</w:t>
            </w:r>
          </w:p>
          <w:p w14:paraId="7362DB79" w14:textId="77777777" w:rsidR="004C76BC" w:rsidRDefault="004C76BC" w:rsidP="00AF438E">
            <w:pPr>
              <w:autoSpaceDE w:val="0"/>
              <w:autoSpaceDN w:val="0"/>
              <w:adjustRightInd w:val="0"/>
              <w:rPr>
                <w:color w:val="000000"/>
                <w:sz w:val="20"/>
                <w:lang w:eastAsia="en-US"/>
              </w:rPr>
            </w:pPr>
            <w:r>
              <w:rPr>
                <w:color w:val="000000"/>
                <w:sz w:val="20"/>
                <w:lang w:eastAsia="en-US"/>
              </w:rPr>
              <w:t>0. absent, neurovascular openings limited to a single line, near the ventral margin of the rostrum and dorsal margin of dentary</w:t>
            </w:r>
          </w:p>
          <w:p w14:paraId="328AA2A0" w14:textId="77777777" w:rsidR="004C76BC" w:rsidRDefault="004C76BC" w:rsidP="00AF438E">
            <w:pPr>
              <w:rPr>
                <w:sz w:val="20"/>
                <w:szCs w:val="20"/>
                <w:lang w:eastAsia="en-US"/>
              </w:rPr>
            </w:pPr>
            <w:r>
              <w:rPr>
                <w:color w:val="000000"/>
                <w:sz w:val="20"/>
                <w:lang w:eastAsia="en-US"/>
              </w:rPr>
              <w:t>1. present at least at the premaxillae, maxillae and dentaries</w:t>
            </w:r>
          </w:p>
        </w:tc>
      </w:tr>
      <w:tr w:rsidR="006E44D9" w14:paraId="1FA94F5B" w14:textId="77777777" w:rsidTr="006E44D9">
        <w:tc>
          <w:tcPr>
            <w:tcW w:w="416" w:type="dxa"/>
            <w:tcBorders>
              <w:top w:val="single" w:sz="4" w:space="0" w:color="auto"/>
              <w:left w:val="single" w:sz="4" w:space="0" w:color="auto"/>
              <w:bottom w:val="single" w:sz="4" w:space="0" w:color="auto"/>
              <w:right w:val="single" w:sz="4" w:space="0" w:color="auto"/>
            </w:tcBorders>
          </w:tcPr>
          <w:p w14:paraId="52C28C25" w14:textId="1351FAE5" w:rsidR="006E44D9" w:rsidRDefault="006E44D9" w:rsidP="006E44D9">
            <w:pPr>
              <w:rPr>
                <w:sz w:val="20"/>
                <w:szCs w:val="20"/>
                <w:lang w:eastAsia="en-US"/>
              </w:rPr>
            </w:pPr>
            <w:r>
              <w:rPr>
                <w:color w:val="000000"/>
                <w:sz w:val="20"/>
                <w:szCs w:val="20"/>
                <w:lang w:eastAsia="en-US"/>
              </w:rPr>
              <w:t>23</w:t>
            </w:r>
          </w:p>
        </w:tc>
        <w:tc>
          <w:tcPr>
            <w:tcW w:w="8826" w:type="dxa"/>
            <w:tcBorders>
              <w:top w:val="single" w:sz="4" w:space="0" w:color="auto"/>
              <w:left w:val="single" w:sz="4" w:space="0" w:color="auto"/>
              <w:bottom w:val="single" w:sz="4" w:space="0" w:color="auto"/>
              <w:right w:val="single" w:sz="4" w:space="0" w:color="auto"/>
            </w:tcBorders>
            <w:hideMark/>
          </w:tcPr>
          <w:p w14:paraId="0C875BF5" w14:textId="77777777" w:rsidR="006E44D9" w:rsidRDefault="006E44D9" w:rsidP="006E44D9">
            <w:pPr>
              <w:autoSpaceDE w:val="0"/>
              <w:autoSpaceDN w:val="0"/>
              <w:adjustRightInd w:val="0"/>
              <w:rPr>
                <w:rFonts w:eastAsiaTheme="minorHAnsi"/>
                <w:b/>
                <w:bCs/>
                <w:sz w:val="20"/>
                <w:lang w:eastAsia="en-US"/>
              </w:rPr>
            </w:pPr>
            <w:r>
              <w:rPr>
                <w:b/>
                <w:bCs/>
                <w:sz w:val="20"/>
                <w:lang w:eastAsia="en-US"/>
              </w:rPr>
              <w:t>Neurovascular foramina (premaxilla), overall distance to the alveolar margin and teeth:</w:t>
            </w:r>
          </w:p>
          <w:p w14:paraId="3FDF8ACA" w14:textId="3C711607" w:rsidR="006E44D9" w:rsidRDefault="006E44D9" w:rsidP="006E44D9">
            <w:pPr>
              <w:autoSpaceDE w:val="0"/>
              <w:autoSpaceDN w:val="0"/>
              <w:adjustRightInd w:val="0"/>
              <w:rPr>
                <w:i/>
                <w:iCs/>
                <w:sz w:val="20"/>
                <w:lang w:eastAsia="en-US"/>
              </w:rPr>
            </w:pPr>
            <w:r>
              <w:rPr>
                <w:bCs/>
                <w:i/>
                <w:sz w:val="20"/>
                <w:lang w:eastAsia="en-US"/>
              </w:rPr>
              <w:t>Andrade &amp; Bertini (2008, ch. 17 part); Andrade et al. (2011, ch. 23)</w:t>
            </w:r>
            <w:r>
              <w:rPr>
                <w:bCs/>
                <w:i/>
                <w:sz w:val="20"/>
                <w:szCs w:val="20"/>
                <w:lang w:eastAsia="en-US"/>
              </w:rPr>
              <w:t>;</w:t>
            </w:r>
            <w:r>
              <w:rPr>
                <w:i/>
                <w:sz w:val="20"/>
                <w:szCs w:val="20"/>
                <w:lang w:eastAsia="en-US"/>
              </w:rPr>
              <w:t xml:space="preserve"> Ristevski et al. (2018, ds 1, ch. 23); Smith et al. (in review, ds 2, ch. 23); </w:t>
            </w:r>
            <w:r>
              <w:rPr>
                <w:i/>
                <w:sz w:val="20"/>
                <w:szCs w:val="20"/>
              </w:rPr>
              <w:t>Ősi et al. (in review, ds 1, ch. 18)</w:t>
            </w:r>
            <w:r>
              <w:rPr>
                <w:bCs/>
                <w:i/>
                <w:sz w:val="20"/>
                <w:lang w:eastAsia="en-US"/>
              </w:rPr>
              <w:t>.</w:t>
            </w:r>
          </w:p>
          <w:p w14:paraId="7DDC377A" w14:textId="77777777" w:rsidR="006E44D9" w:rsidRDefault="006E44D9" w:rsidP="006E44D9">
            <w:pPr>
              <w:autoSpaceDE w:val="0"/>
              <w:autoSpaceDN w:val="0"/>
              <w:adjustRightInd w:val="0"/>
              <w:rPr>
                <w:i/>
                <w:iCs/>
                <w:sz w:val="20"/>
                <w:lang w:eastAsia="en-US"/>
              </w:rPr>
            </w:pPr>
            <w:r>
              <w:rPr>
                <w:i/>
                <w:iCs/>
                <w:sz w:val="20"/>
                <w:lang w:eastAsia="en-US"/>
              </w:rPr>
              <w:t>Note that Andrade et al. (2011) substantially re-scored this character from the original (Andrade &amp; Bertini 2008, ch17), and that complementary characters on neurovascular foramina are present.</w:t>
            </w:r>
          </w:p>
          <w:p w14:paraId="04494A32" w14:textId="77777777" w:rsidR="006E44D9" w:rsidRDefault="006E44D9" w:rsidP="006E44D9">
            <w:pPr>
              <w:autoSpaceDE w:val="0"/>
              <w:autoSpaceDN w:val="0"/>
              <w:adjustRightInd w:val="0"/>
              <w:rPr>
                <w:sz w:val="20"/>
                <w:lang w:eastAsia="en-US"/>
              </w:rPr>
            </w:pPr>
            <w:r>
              <w:rPr>
                <w:sz w:val="20"/>
                <w:lang w:eastAsia="en-US"/>
              </w:rPr>
              <w:t>0. ventral-most foramina reach area next to the alveolar margin, close to teeth</w:t>
            </w:r>
          </w:p>
          <w:p w14:paraId="0AB011D8" w14:textId="77777777" w:rsidR="006E44D9" w:rsidRDefault="006E44D9" w:rsidP="006E44D9">
            <w:pPr>
              <w:autoSpaceDE w:val="0"/>
              <w:autoSpaceDN w:val="0"/>
              <w:adjustRightInd w:val="0"/>
              <w:rPr>
                <w:b/>
                <w:bCs/>
                <w:color w:val="000000"/>
                <w:sz w:val="20"/>
                <w:lang w:eastAsia="en-US"/>
              </w:rPr>
            </w:pPr>
            <w:r>
              <w:rPr>
                <w:sz w:val="20"/>
                <w:lang w:eastAsia="en-US"/>
              </w:rPr>
              <w:t>1. ventral-most foramina clearly apart from the alveolar margin, distant to the teeth</w:t>
            </w:r>
          </w:p>
        </w:tc>
      </w:tr>
      <w:tr w:rsidR="006E44D9" w14:paraId="2C322058" w14:textId="77777777" w:rsidTr="006E44D9">
        <w:tc>
          <w:tcPr>
            <w:tcW w:w="416" w:type="dxa"/>
            <w:tcBorders>
              <w:top w:val="single" w:sz="4" w:space="0" w:color="auto"/>
              <w:left w:val="single" w:sz="4" w:space="0" w:color="auto"/>
              <w:bottom w:val="single" w:sz="4" w:space="0" w:color="auto"/>
              <w:right w:val="single" w:sz="4" w:space="0" w:color="auto"/>
            </w:tcBorders>
          </w:tcPr>
          <w:p w14:paraId="3D561F44" w14:textId="4B12E86D" w:rsidR="006E44D9" w:rsidRDefault="006E44D9" w:rsidP="006E44D9">
            <w:pPr>
              <w:rPr>
                <w:sz w:val="20"/>
                <w:szCs w:val="20"/>
                <w:lang w:eastAsia="en-US"/>
              </w:rPr>
            </w:pPr>
            <w:r>
              <w:rPr>
                <w:color w:val="000000"/>
                <w:sz w:val="20"/>
                <w:szCs w:val="20"/>
                <w:lang w:eastAsia="en-US"/>
              </w:rPr>
              <w:t>24</w:t>
            </w:r>
          </w:p>
        </w:tc>
        <w:tc>
          <w:tcPr>
            <w:tcW w:w="8826" w:type="dxa"/>
            <w:tcBorders>
              <w:top w:val="single" w:sz="4" w:space="0" w:color="auto"/>
              <w:left w:val="single" w:sz="4" w:space="0" w:color="auto"/>
              <w:bottom w:val="single" w:sz="4" w:space="0" w:color="auto"/>
              <w:right w:val="single" w:sz="4" w:space="0" w:color="auto"/>
            </w:tcBorders>
            <w:hideMark/>
          </w:tcPr>
          <w:p w14:paraId="2BFA38F0" w14:textId="77777777" w:rsidR="006E44D9" w:rsidRDefault="006E44D9" w:rsidP="006E44D9">
            <w:pPr>
              <w:autoSpaceDE w:val="0"/>
              <w:autoSpaceDN w:val="0"/>
              <w:adjustRightInd w:val="0"/>
              <w:rPr>
                <w:b/>
                <w:bCs/>
                <w:sz w:val="20"/>
                <w:lang w:eastAsia="en-US"/>
              </w:rPr>
            </w:pPr>
            <w:r>
              <w:rPr>
                <w:b/>
                <w:bCs/>
                <w:sz w:val="20"/>
                <w:lang w:eastAsia="en-US"/>
              </w:rPr>
              <w:t>Neurovascular foramina (anterior maxilla), overall distance to the alveolar margin and teeth:</w:t>
            </w:r>
          </w:p>
          <w:p w14:paraId="396722BC" w14:textId="413CE117" w:rsidR="006E44D9" w:rsidRDefault="006E44D9" w:rsidP="006E44D9">
            <w:pPr>
              <w:autoSpaceDE w:val="0"/>
              <w:autoSpaceDN w:val="0"/>
              <w:adjustRightInd w:val="0"/>
              <w:rPr>
                <w:bCs/>
                <w:i/>
                <w:sz w:val="20"/>
                <w:lang w:eastAsia="en-US"/>
              </w:rPr>
            </w:pPr>
            <w:r>
              <w:rPr>
                <w:bCs/>
                <w:i/>
                <w:sz w:val="20"/>
                <w:lang w:eastAsia="en-US"/>
              </w:rPr>
              <w:t>Andrade &amp; Bertini (2008, ch. 17 part); Andrade et al. (2011, ch. 24);</w:t>
            </w:r>
            <w:r>
              <w:rPr>
                <w:i/>
                <w:sz w:val="20"/>
                <w:szCs w:val="20"/>
                <w:lang w:eastAsia="en-US"/>
              </w:rPr>
              <w:t xml:space="preserve"> Ristevski et al. (2018, ds 1, ch. 24); Smith et al. (in review, ds 2, ch. 24); </w:t>
            </w:r>
            <w:r>
              <w:rPr>
                <w:i/>
                <w:sz w:val="20"/>
                <w:szCs w:val="20"/>
              </w:rPr>
              <w:t>Ősi et al. (in review, ds 1, ch. 19)</w:t>
            </w:r>
            <w:r>
              <w:rPr>
                <w:bCs/>
                <w:i/>
                <w:sz w:val="20"/>
                <w:lang w:eastAsia="en-US"/>
              </w:rPr>
              <w:t>.</w:t>
            </w:r>
          </w:p>
          <w:p w14:paraId="44AC4E14" w14:textId="77777777" w:rsidR="006E44D9" w:rsidRDefault="006E44D9" w:rsidP="006E44D9">
            <w:pPr>
              <w:autoSpaceDE w:val="0"/>
              <w:autoSpaceDN w:val="0"/>
              <w:adjustRightInd w:val="0"/>
              <w:rPr>
                <w:i/>
                <w:iCs/>
                <w:sz w:val="20"/>
                <w:lang w:eastAsia="en-US"/>
              </w:rPr>
            </w:pPr>
            <w:r>
              <w:rPr>
                <w:i/>
                <w:iCs/>
                <w:sz w:val="20"/>
                <w:lang w:eastAsia="en-US"/>
              </w:rPr>
              <w:t xml:space="preserve">State (0) is putative apomorphy of derived eusuchians, but is also present in other mesoeucrocodylian clades. </w:t>
            </w:r>
          </w:p>
          <w:p w14:paraId="213C2F8E" w14:textId="77777777" w:rsidR="006E44D9" w:rsidRDefault="006E44D9" w:rsidP="006E44D9">
            <w:pPr>
              <w:autoSpaceDE w:val="0"/>
              <w:autoSpaceDN w:val="0"/>
              <w:adjustRightInd w:val="0"/>
              <w:rPr>
                <w:i/>
                <w:iCs/>
                <w:sz w:val="20"/>
                <w:lang w:eastAsia="en-US"/>
              </w:rPr>
            </w:pPr>
            <w:r>
              <w:rPr>
                <w:i/>
                <w:iCs/>
                <w:sz w:val="20"/>
                <w:lang w:eastAsia="en-US"/>
              </w:rPr>
              <w:t>State (1) is a common condition in Crocodylomorpha, occurring even in basal eusuchians.</w:t>
            </w:r>
          </w:p>
          <w:p w14:paraId="1CF92FB5" w14:textId="77777777" w:rsidR="006E44D9" w:rsidRDefault="006E44D9" w:rsidP="006E44D9">
            <w:pPr>
              <w:autoSpaceDE w:val="0"/>
              <w:autoSpaceDN w:val="0"/>
              <w:adjustRightInd w:val="0"/>
              <w:rPr>
                <w:sz w:val="20"/>
                <w:lang w:eastAsia="en-US"/>
              </w:rPr>
            </w:pPr>
            <w:r>
              <w:rPr>
                <w:sz w:val="20"/>
                <w:lang w:eastAsia="en-US"/>
              </w:rPr>
              <w:lastRenderedPageBreak/>
              <w:t>0. ventral-most foramina reach area next to the alveolar margin, close to teeth</w:t>
            </w:r>
          </w:p>
          <w:p w14:paraId="1EA7F36B" w14:textId="77777777" w:rsidR="006E44D9" w:rsidRDefault="006E44D9" w:rsidP="006E44D9">
            <w:pPr>
              <w:autoSpaceDE w:val="0"/>
              <w:autoSpaceDN w:val="0"/>
              <w:adjustRightInd w:val="0"/>
              <w:rPr>
                <w:b/>
                <w:bCs/>
                <w:color w:val="000000"/>
                <w:sz w:val="20"/>
                <w:lang w:eastAsia="en-US"/>
              </w:rPr>
            </w:pPr>
            <w:r>
              <w:rPr>
                <w:sz w:val="20"/>
                <w:lang w:eastAsia="en-US"/>
              </w:rPr>
              <w:t>1. ventral-most foramina clearly apart from the alveolar margin, distant to the teeth</w:t>
            </w:r>
          </w:p>
        </w:tc>
      </w:tr>
      <w:tr w:rsidR="006E44D9" w14:paraId="4F4553F2" w14:textId="77777777" w:rsidTr="006E44D9">
        <w:tc>
          <w:tcPr>
            <w:tcW w:w="416" w:type="dxa"/>
            <w:tcBorders>
              <w:top w:val="single" w:sz="4" w:space="0" w:color="auto"/>
              <w:left w:val="single" w:sz="4" w:space="0" w:color="auto"/>
              <w:bottom w:val="single" w:sz="4" w:space="0" w:color="auto"/>
              <w:right w:val="single" w:sz="4" w:space="0" w:color="auto"/>
            </w:tcBorders>
          </w:tcPr>
          <w:p w14:paraId="1A0FACF5" w14:textId="2F6B7125" w:rsidR="006E44D9" w:rsidRDefault="006E44D9" w:rsidP="006E44D9">
            <w:pPr>
              <w:rPr>
                <w:sz w:val="20"/>
                <w:szCs w:val="20"/>
                <w:lang w:eastAsia="en-US"/>
              </w:rPr>
            </w:pPr>
            <w:r>
              <w:rPr>
                <w:color w:val="000000"/>
                <w:sz w:val="20"/>
                <w:szCs w:val="20"/>
                <w:lang w:eastAsia="en-US"/>
              </w:rPr>
              <w:lastRenderedPageBreak/>
              <w:t>25</w:t>
            </w:r>
          </w:p>
        </w:tc>
        <w:tc>
          <w:tcPr>
            <w:tcW w:w="8826" w:type="dxa"/>
            <w:tcBorders>
              <w:top w:val="single" w:sz="4" w:space="0" w:color="auto"/>
              <w:left w:val="single" w:sz="4" w:space="0" w:color="auto"/>
              <w:bottom w:val="single" w:sz="4" w:space="0" w:color="auto"/>
              <w:right w:val="single" w:sz="4" w:space="0" w:color="auto"/>
            </w:tcBorders>
            <w:hideMark/>
          </w:tcPr>
          <w:p w14:paraId="666AF670" w14:textId="77777777" w:rsidR="006E44D9" w:rsidRDefault="006E44D9" w:rsidP="006E44D9">
            <w:pPr>
              <w:autoSpaceDE w:val="0"/>
              <w:autoSpaceDN w:val="0"/>
              <w:adjustRightInd w:val="0"/>
              <w:rPr>
                <w:b/>
                <w:bCs/>
                <w:sz w:val="20"/>
                <w:lang w:eastAsia="en-US"/>
              </w:rPr>
            </w:pPr>
            <w:r>
              <w:rPr>
                <w:b/>
                <w:bCs/>
                <w:sz w:val="20"/>
                <w:lang w:eastAsia="en-US"/>
              </w:rPr>
              <w:t>Neurovascular foramina (mid maxilla) forming a strongly arched line at mid-rostrum, at maturity:</w:t>
            </w:r>
          </w:p>
          <w:p w14:paraId="307D12CF" w14:textId="7390D388" w:rsidR="006E44D9" w:rsidRDefault="006E44D9" w:rsidP="006E44D9">
            <w:pPr>
              <w:autoSpaceDE w:val="0"/>
              <w:autoSpaceDN w:val="0"/>
              <w:adjustRightInd w:val="0"/>
              <w:rPr>
                <w:i/>
                <w:iCs/>
                <w:sz w:val="20"/>
                <w:lang w:eastAsia="en-US"/>
              </w:rPr>
            </w:pPr>
            <w:r>
              <w:rPr>
                <w:bCs/>
                <w:i/>
                <w:sz w:val="20"/>
                <w:lang w:eastAsia="en-US"/>
              </w:rPr>
              <w:t>Andrade et al. (2011, ch. 25);</w:t>
            </w:r>
            <w:r>
              <w:rPr>
                <w:i/>
                <w:sz w:val="20"/>
                <w:szCs w:val="20"/>
                <w:lang w:eastAsia="en-US"/>
              </w:rPr>
              <w:t xml:space="preserve"> Ristevski et al. (2018, ds 1, ch. 25); Smith et al. (in review, ds 2, ch. 25); </w:t>
            </w:r>
            <w:r>
              <w:rPr>
                <w:i/>
                <w:sz w:val="20"/>
                <w:szCs w:val="20"/>
              </w:rPr>
              <w:t>Ősi et al. (in review, ds 1, ch. 20)</w:t>
            </w:r>
            <w:r>
              <w:rPr>
                <w:bCs/>
                <w:i/>
                <w:sz w:val="20"/>
                <w:lang w:eastAsia="en-US"/>
              </w:rPr>
              <w:t>.</w:t>
            </w:r>
          </w:p>
          <w:p w14:paraId="49476D29" w14:textId="77777777" w:rsidR="006E44D9" w:rsidRDefault="006E44D9" w:rsidP="006E44D9">
            <w:pPr>
              <w:autoSpaceDE w:val="0"/>
              <w:autoSpaceDN w:val="0"/>
              <w:adjustRightInd w:val="0"/>
              <w:rPr>
                <w:sz w:val="20"/>
                <w:lang w:eastAsia="en-US"/>
              </w:rPr>
            </w:pPr>
            <w:r>
              <w:rPr>
                <w:i/>
                <w:iCs/>
                <w:sz w:val="20"/>
                <w:lang w:eastAsia="en-US"/>
              </w:rPr>
              <w:t xml:space="preserve">State (1) is putative apomorphy of </w:t>
            </w:r>
            <w:r>
              <w:rPr>
                <w:sz w:val="20"/>
                <w:lang w:eastAsia="en-US"/>
              </w:rPr>
              <w:t>Araripesuchus</w:t>
            </w:r>
          </w:p>
          <w:p w14:paraId="54338F31" w14:textId="77777777" w:rsidR="006E44D9" w:rsidRDefault="006E44D9" w:rsidP="006E44D9">
            <w:pPr>
              <w:autoSpaceDE w:val="0"/>
              <w:autoSpaceDN w:val="0"/>
              <w:adjustRightInd w:val="0"/>
              <w:rPr>
                <w:sz w:val="20"/>
                <w:lang w:eastAsia="en-US"/>
              </w:rPr>
            </w:pPr>
            <w:r>
              <w:rPr>
                <w:sz w:val="20"/>
                <w:lang w:eastAsia="en-US"/>
              </w:rPr>
              <w:t>0. absent, line of foramina follows the overall outline of the margin</w:t>
            </w:r>
          </w:p>
          <w:p w14:paraId="590927B6" w14:textId="77777777" w:rsidR="006E44D9" w:rsidRDefault="006E44D9" w:rsidP="006E44D9">
            <w:pPr>
              <w:autoSpaceDE w:val="0"/>
              <w:autoSpaceDN w:val="0"/>
              <w:adjustRightInd w:val="0"/>
              <w:rPr>
                <w:b/>
                <w:bCs/>
                <w:color w:val="000000"/>
                <w:sz w:val="20"/>
                <w:lang w:eastAsia="en-US"/>
              </w:rPr>
            </w:pPr>
            <w:r>
              <w:rPr>
                <w:sz w:val="20"/>
                <w:lang w:eastAsia="en-US"/>
              </w:rPr>
              <w:t>1. present, ample area of smooth margin ventral to the arched line of foramina</w:t>
            </w:r>
          </w:p>
        </w:tc>
      </w:tr>
      <w:tr w:rsidR="006E44D9" w14:paraId="2399FD47" w14:textId="77777777" w:rsidTr="006E44D9">
        <w:tc>
          <w:tcPr>
            <w:tcW w:w="416" w:type="dxa"/>
            <w:tcBorders>
              <w:top w:val="single" w:sz="4" w:space="0" w:color="auto"/>
              <w:left w:val="single" w:sz="4" w:space="0" w:color="auto"/>
              <w:bottom w:val="single" w:sz="4" w:space="0" w:color="auto"/>
              <w:right w:val="single" w:sz="4" w:space="0" w:color="auto"/>
            </w:tcBorders>
          </w:tcPr>
          <w:p w14:paraId="31B25B28" w14:textId="47E06039" w:rsidR="006E44D9" w:rsidRDefault="006E44D9" w:rsidP="006E44D9">
            <w:pPr>
              <w:rPr>
                <w:color w:val="000000"/>
                <w:sz w:val="20"/>
                <w:szCs w:val="20"/>
                <w:lang w:eastAsia="en-US"/>
              </w:rPr>
            </w:pPr>
            <w:r>
              <w:rPr>
                <w:color w:val="000000"/>
                <w:sz w:val="20"/>
                <w:szCs w:val="20"/>
                <w:lang w:eastAsia="en-US"/>
              </w:rPr>
              <w:t>26</w:t>
            </w:r>
          </w:p>
        </w:tc>
        <w:tc>
          <w:tcPr>
            <w:tcW w:w="8826" w:type="dxa"/>
            <w:tcBorders>
              <w:top w:val="single" w:sz="4" w:space="0" w:color="auto"/>
              <w:left w:val="single" w:sz="4" w:space="0" w:color="auto"/>
              <w:bottom w:val="single" w:sz="4" w:space="0" w:color="auto"/>
              <w:right w:val="single" w:sz="4" w:space="0" w:color="auto"/>
            </w:tcBorders>
            <w:vAlign w:val="bottom"/>
            <w:hideMark/>
          </w:tcPr>
          <w:p w14:paraId="225FEB1E" w14:textId="77777777" w:rsidR="006E44D9" w:rsidRDefault="006E44D9" w:rsidP="006E44D9">
            <w:pPr>
              <w:autoSpaceDE w:val="0"/>
              <w:autoSpaceDN w:val="0"/>
              <w:adjustRightInd w:val="0"/>
              <w:rPr>
                <w:b/>
                <w:bCs/>
                <w:sz w:val="20"/>
                <w:szCs w:val="20"/>
                <w:lang w:eastAsia="en-US"/>
              </w:rPr>
            </w:pPr>
            <w:r>
              <w:rPr>
                <w:b/>
                <w:bCs/>
                <w:sz w:val="20"/>
                <w:szCs w:val="20"/>
                <w:lang w:eastAsia="en-US"/>
              </w:rPr>
              <w:t>Neurovascular foramina (posterior maxilla), distribution on the alveolar margin:</w:t>
            </w:r>
          </w:p>
          <w:p w14:paraId="54CBB2B7" w14:textId="7FE0869B" w:rsidR="006E44D9" w:rsidRDefault="006E44D9" w:rsidP="006E44D9">
            <w:pPr>
              <w:autoSpaceDE w:val="0"/>
              <w:autoSpaceDN w:val="0"/>
              <w:adjustRightInd w:val="0"/>
              <w:rPr>
                <w:i/>
                <w:sz w:val="20"/>
                <w:szCs w:val="20"/>
                <w:lang w:eastAsia="en-US"/>
              </w:rPr>
            </w:pPr>
            <w:r>
              <w:rPr>
                <w:i/>
                <w:iCs/>
                <w:sz w:val="20"/>
                <w:szCs w:val="20"/>
                <w:lang w:eastAsia="en-US"/>
              </w:rPr>
              <w:t xml:space="preserve">Andrade et al. (2011, ch. 26); </w:t>
            </w:r>
            <w:r>
              <w:rPr>
                <w:i/>
                <w:sz w:val="20"/>
                <w:szCs w:val="20"/>
                <w:lang w:eastAsia="en-US"/>
              </w:rPr>
              <w:t xml:space="preserve">Young et al. (2016, ds 2, ch. 26), Ristevski et al. (2018, ds 2, ch. 12); Smith et al. (in review, ds 1, ch. 13); </w:t>
            </w:r>
            <w:r>
              <w:rPr>
                <w:i/>
                <w:sz w:val="20"/>
                <w:szCs w:val="20"/>
              </w:rPr>
              <w:t>Ősi et al. (in review, ds 1, ch. 21)</w:t>
            </w:r>
            <w:r>
              <w:rPr>
                <w:i/>
                <w:sz w:val="20"/>
                <w:szCs w:val="20"/>
                <w:lang w:eastAsia="en-US"/>
              </w:rPr>
              <w:t>.</w:t>
            </w:r>
          </w:p>
          <w:p w14:paraId="25940800" w14:textId="77777777" w:rsidR="006E44D9" w:rsidRDefault="006E44D9" w:rsidP="006E44D9">
            <w:pPr>
              <w:autoSpaceDE w:val="0"/>
              <w:autoSpaceDN w:val="0"/>
              <w:adjustRightInd w:val="0"/>
              <w:rPr>
                <w:i/>
                <w:iCs/>
                <w:sz w:val="20"/>
                <w:szCs w:val="20"/>
                <w:lang w:eastAsia="en-US"/>
              </w:rPr>
            </w:pPr>
            <w:r>
              <w:rPr>
                <w:i/>
                <w:iCs/>
                <w:sz w:val="20"/>
                <w:szCs w:val="20"/>
                <w:lang w:eastAsia="en-US"/>
              </w:rPr>
              <w:t>State (1) occurs in goniopholidids</w:t>
            </w:r>
          </w:p>
          <w:p w14:paraId="3B03A298" w14:textId="77777777" w:rsidR="006E44D9" w:rsidRDefault="006E44D9" w:rsidP="006E44D9">
            <w:pPr>
              <w:autoSpaceDE w:val="0"/>
              <w:autoSpaceDN w:val="0"/>
              <w:adjustRightInd w:val="0"/>
              <w:rPr>
                <w:sz w:val="20"/>
                <w:szCs w:val="20"/>
                <w:lang w:eastAsia="en-US"/>
              </w:rPr>
            </w:pPr>
            <w:r>
              <w:rPr>
                <w:sz w:val="20"/>
                <w:szCs w:val="20"/>
                <w:lang w:eastAsia="en-US"/>
              </w:rPr>
              <w:t>0. ventral-most foramina not high on the maxillary margin, either close or next to the alveoli</w:t>
            </w:r>
          </w:p>
          <w:p w14:paraId="15817CB6" w14:textId="77777777" w:rsidR="006E44D9" w:rsidRDefault="006E44D9" w:rsidP="006E44D9">
            <w:pPr>
              <w:autoSpaceDE w:val="0"/>
              <w:autoSpaceDN w:val="0"/>
              <w:adjustRightInd w:val="0"/>
              <w:rPr>
                <w:rFonts w:ascii="TimesNewRoman" w:hAnsi="TimesNewRoman" w:cs="TimesNewRoman"/>
                <w:lang w:eastAsia="en-US"/>
              </w:rPr>
            </w:pPr>
            <w:r>
              <w:rPr>
                <w:sz w:val="20"/>
                <w:szCs w:val="20"/>
                <w:lang w:eastAsia="en-US"/>
              </w:rPr>
              <w:t>1. ventral-most foramina high on the maxilla (up to twice the distance from other foramina), very distant to the alveoli</w:t>
            </w:r>
          </w:p>
        </w:tc>
      </w:tr>
      <w:tr w:rsidR="006E44D9" w14:paraId="1036A547" w14:textId="77777777" w:rsidTr="00AF438E">
        <w:tc>
          <w:tcPr>
            <w:tcW w:w="416" w:type="dxa"/>
            <w:tcBorders>
              <w:top w:val="single" w:sz="4" w:space="0" w:color="auto"/>
              <w:left w:val="single" w:sz="4" w:space="0" w:color="auto"/>
              <w:bottom w:val="single" w:sz="4" w:space="0" w:color="auto"/>
              <w:right w:val="single" w:sz="4" w:space="0" w:color="auto"/>
            </w:tcBorders>
            <w:hideMark/>
          </w:tcPr>
          <w:p w14:paraId="6596583E" w14:textId="05D84500" w:rsidR="006E44D9" w:rsidRDefault="006E44D9" w:rsidP="006E44D9">
            <w:pPr>
              <w:rPr>
                <w:color w:val="000000"/>
                <w:sz w:val="20"/>
                <w:szCs w:val="20"/>
                <w:lang w:eastAsia="en-US"/>
              </w:rPr>
            </w:pPr>
            <w:r>
              <w:rPr>
                <w:color w:val="000000"/>
                <w:sz w:val="20"/>
                <w:szCs w:val="20"/>
                <w:lang w:eastAsia="en-US"/>
              </w:rPr>
              <w:t>27</w:t>
            </w:r>
          </w:p>
        </w:tc>
        <w:tc>
          <w:tcPr>
            <w:tcW w:w="8826" w:type="dxa"/>
            <w:tcBorders>
              <w:top w:val="single" w:sz="4" w:space="0" w:color="auto"/>
              <w:left w:val="single" w:sz="4" w:space="0" w:color="auto"/>
              <w:bottom w:val="single" w:sz="4" w:space="0" w:color="auto"/>
              <w:right w:val="single" w:sz="4" w:space="0" w:color="auto"/>
            </w:tcBorders>
            <w:vAlign w:val="bottom"/>
            <w:hideMark/>
          </w:tcPr>
          <w:p w14:paraId="53C43F5A" w14:textId="77777777" w:rsidR="006E44D9" w:rsidRDefault="006E44D9" w:rsidP="006E44D9">
            <w:pPr>
              <w:autoSpaceDE w:val="0"/>
              <w:autoSpaceDN w:val="0"/>
              <w:adjustRightInd w:val="0"/>
              <w:rPr>
                <w:rFonts w:eastAsiaTheme="minorHAnsi"/>
                <w:b/>
                <w:bCs/>
                <w:sz w:val="20"/>
                <w:lang w:eastAsia="en-US"/>
              </w:rPr>
            </w:pPr>
            <w:r>
              <w:rPr>
                <w:b/>
                <w:bCs/>
                <w:sz w:val="20"/>
                <w:lang w:eastAsia="en-US"/>
              </w:rPr>
              <w:t>Neurovascular foramina (dentary), distribution of neurovascular foramina relative to the alveolar margin, in non-tubular snouted forms: (*)</w:t>
            </w:r>
          </w:p>
          <w:p w14:paraId="2ABF5110" w14:textId="0B606602" w:rsidR="006E44D9" w:rsidRDefault="006E44D9" w:rsidP="006E44D9">
            <w:pPr>
              <w:autoSpaceDE w:val="0"/>
              <w:autoSpaceDN w:val="0"/>
              <w:adjustRightInd w:val="0"/>
              <w:rPr>
                <w:sz w:val="20"/>
                <w:lang w:eastAsia="en-US"/>
              </w:rPr>
            </w:pPr>
            <w:r>
              <w:rPr>
                <w:bCs/>
                <w:i/>
                <w:sz w:val="20"/>
                <w:lang w:eastAsia="en-US"/>
              </w:rPr>
              <w:t>Andrade et al. (2011, ch. 27);</w:t>
            </w:r>
            <w:r>
              <w:rPr>
                <w:i/>
                <w:sz w:val="20"/>
                <w:szCs w:val="20"/>
                <w:lang w:eastAsia="en-US"/>
              </w:rPr>
              <w:t xml:space="preserve"> Ristevski et al. (2018, ds 1, ch. 27); Smith et al. (in review, ds 2, ch. 27); </w:t>
            </w:r>
            <w:r>
              <w:rPr>
                <w:i/>
                <w:sz w:val="20"/>
                <w:szCs w:val="20"/>
              </w:rPr>
              <w:t>Ősi et al. (in review, ds 1, ch. 22)</w:t>
            </w:r>
            <w:r>
              <w:rPr>
                <w:bCs/>
                <w:i/>
                <w:sz w:val="20"/>
                <w:lang w:eastAsia="en-US"/>
              </w:rPr>
              <w:t>.</w:t>
            </w:r>
          </w:p>
          <w:p w14:paraId="0895A5D6" w14:textId="77777777" w:rsidR="006E44D9" w:rsidRDefault="006E44D9" w:rsidP="006E44D9">
            <w:pPr>
              <w:rPr>
                <w:bCs/>
                <w:i/>
                <w:sz w:val="20"/>
                <w:szCs w:val="20"/>
                <w:lang w:eastAsia="en-US"/>
              </w:rPr>
            </w:pPr>
            <w:r>
              <w:rPr>
                <w:bCs/>
                <w:i/>
                <w:sz w:val="20"/>
                <w:szCs w:val="20"/>
                <w:lang w:eastAsia="en-US"/>
              </w:rPr>
              <w:t>This character is not applicable for taxa that have tubular snouts.</w:t>
            </w:r>
          </w:p>
          <w:p w14:paraId="7007C01B" w14:textId="77777777" w:rsidR="006E44D9" w:rsidRDefault="006E44D9" w:rsidP="006E44D9">
            <w:pPr>
              <w:rPr>
                <w:i/>
                <w:sz w:val="20"/>
                <w:szCs w:val="20"/>
                <w:lang w:eastAsia="en-US"/>
              </w:rPr>
            </w:pPr>
            <w:r>
              <w:rPr>
                <w:bCs/>
                <w:i/>
                <w:sz w:val="20"/>
                <w:szCs w:val="20"/>
                <w:lang w:eastAsia="en-US"/>
              </w:rPr>
              <w:t>State (1) occurs in Crocodylia.</w:t>
            </w:r>
          </w:p>
          <w:p w14:paraId="7461C2F1" w14:textId="77777777" w:rsidR="006E44D9" w:rsidRDefault="006E44D9" w:rsidP="006E44D9">
            <w:pPr>
              <w:autoSpaceDE w:val="0"/>
              <w:autoSpaceDN w:val="0"/>
              <w:adjustRightInd w:val="0"/>
              <w:rPr>
                <w:sz w:val="20"/>
                <w:lang w:eastAsia="en-US"/>
              </w:rPr>
            </w:pPr>
            <w:r>
              <w:rPr>
                <w:sz w:val="20"/>
                <w:lang w:eastAsia="en-US"/>
              </w:rPr>
              <w:t>0. foramina form a simple straight to ventrally-arched line</w:t>
            </w:r>
          </w:p>
          <w:p w14:paraId="6580908F" w14:textId="77777777" w:rsidR="006E44D9" w:rsidRDefault="006E44D9" w:rsidP="006E44D9">
            <w:pPr>
              <w:autoSpaceDE w:val="0"/>
              <w:autoSpaceDN w:val="0"/>
              <w:adjustRightInd w:val="0"/>
              <w:rPr>
                <w:b/>
                <w:bCs/>
                <w:sz w:val="20"/>
                <w:szCs w:val="20"/>
                <w:lang w:eastAsia="en-US"/>
              </w:rPr>
            </w:pPr>
            <w:r>
              <w:rPr>
                <w:sz w:val="20"/>
                <w:lang w:eastAsia="en-US"/>
              </w:rPr>
              <w:t>1. foramina form a sinusoid line, following the dorsal fluttings, when fluttings are present</w:t>
            </w:r>
          </w:p>
        </w:tc>
      </w:tr>
    </w:tbl>
    <w:p w14:paraId="1B6F5AC7" w14:textId="77777777" w:rsidR="004C76BC" w:rsidRDefault="004C76BC" w:rsidP="004C76BC"/>
    <w:p w14:paraId="19FA50CC" w14:textId="2B739C50" w:rsidR="004C76BC" w:rsidRDefault="004C76BC" w:rsidP="004C76BC">
      <w:r>
        <w:rPr>
          <w:b/>
        </w:rPr>
        <w:t>Cranial rostrum</w:t>
      </w:r>
      <w:r>
        <w:t xml:space="preserve"> (Ch. 2</w:t>
      </w:r>
      <w:r w:rsidR="006E44D9">
        <w:t>8</w:t>
      </w:r>
      <w:r>
        <w:t xml:space="preserve"> – 8</w:t>
      </w:r>
      <w:r w:rsidR="006E44D9">
        <w:t>5</w:t>
      </w:r>
      <w:r>
        <w:t>; 12.775% of characters)</w:t>
      </w:r>
    </w:p>
    <w:p w14:paraId="32FA670B" w14:textId="77777777" w:rsidR="004C76BC" w:rsidRDefault="004C76BC" w:rsidP="004C76BC">
      <w:pPr>
        <w:rPr>
          <w:i/>
        </w:rPr>
      </w:pPr>
      <w:bookmarkStart w:id="50" w:name="_Hlk479755771"/>
      <w:r>
        <w:rPr>
          <w:i/>
        </w:rPr>
        <w:t>[external nares, dermatocranial bones (= os præmaxillare, ossa nasalia, os maxillare and ossa lacrimalia), antorbital cavity]</w:t>
      </w:r>
    </w:p>
    <w:bookmarkEnd w:id="50"/>
    <w:p w14:paraId="4B4FEF08" w14:textId="77777777" w:rsidR="004C76BC" w:rsidRDefault="004C76BC" w:rsidP="004C76BC"/>
    <w:tbl>
      <w:tblPr>
        <w:tblW w:w="92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8826"/>
      </w:tblGrid>
      <w:tr w:rsidR="004C76BC" w14:paraId="0D478D23"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491DE2C"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B0516C5" w14:textId="77777777" w:rsidR="004C76BC" w:rsidRDefault="004C76BC" w:rsidP="00AF438E">
            <w:pPr>
              <w:rPr>
                <w:sz w:val="20"/>
                <w:szCs w:val="20"/>
                <w:lang w:eastAsia="en-US"/>
              </w:rPr>
            </w:pPr>
            <w:r>
              <w:rPr>
                <w:sz w:val="20"/>
                <w:szCs w:val="20"/>
                <w:lang w:eastAsia="en-US"/>
              </w:rPr>
              <w:t>Description</w:t>
            </w:r>
          </w:p>
        </w:tc>
      </w:tr>
      <w:tr w:rsidR="006E44D9" w14:paraId="189F36F5" w14:textId="77777777" w:rsidTr="006E44D9">
        <w:tc>
          <w:tcPr>
            <w:tcW w:w="0" w:type="auto"/>
            <w:tcBorders>
              <w:top w:val="single" w:sz="4" w:space="0" w:color="auto"/>
              <w:left w:val="single" w:sz="4" w:space="0" w:color="auto"/>
              <w:bottom w:val="single" w:sz="4" w:space="0" w:color="auto"/>
              <w:right w:val="single" w:sz="4" w:space="0" w:color="auto"/>
            </w:tcBorders>
          </w:tcPr>
          <w:p w14:paraId="0CFE3E13" w14:textId="7F1EA77B" w:rsidR="006E44D9" w:rsidRDefault="006E44D9" w:rsidP="006E44D9">
            <w:pPr>
              <w:rPr>
                <w:color w:val="000000"/>
                <w:sz w:val="20"/>
                <w:szCs w:val="20"/>
                <w:highlight w:val="yellow"/>
                <w:lang w:eastAsia="en-US"/>
              </w:rPr>
            </w:pPr>
            <w:r>
              <w:rPr>
                <w:color w:val="000000"/>
                <w:sz w:val="20"/>
                <w:szCs w:val="20"/>
                <w:lang w:eastAsia="en-US"/>
              </w:rPr>
              <w:t>28</w:t>
            </w:r>
          </w:p>
        </w:tc>
        <w:tc>
          <w:tcPr>
            <w:tcW w:w="0" w:type="auto"/>
            <w:tcBorders>
              <w:top w:val="single" w:sz="4" w:space="0" w:color="auto"/>
              <w:left w:val="single" w:sz="4" w:space="0" w:color="auto"/>
              <w:bottom w:val="single" w:sz="4" w:space="0" w:color="auto"/>
              <w:right w:val="single" w:sz="4" w:space="0" w:color="auto"/>
            </w:tcBorders>
            <w:hideMark/>
          </w:tcPr>
          <w:p w14:paraId="10A027E3" w14:textId="77777777" w:rsidR="006E44D9" w:rsidRDefault="006E44D9" w:rsidP="006E44D9">
            <w:pPr>
              <w:autoSpaceDE w:val="0"/>
              <w:autoSpaceDN w:val="0"/>
              <w:adjustRightInd w:val="0"/>
              <w:rPr>
                <w:rFonts w:eastAsiaTheme="minorHAnsi"/>
                <w:b/>
                <w:bCs/>
                <w:sz w:val="20"/>
                <w:szCs w:val="20"/>
                <w:lang w:eastAsia="en-US"/>
              </w:rPr>
            </w:pPr>
            <w:r>
              <w:rPr>
                <w:b/>
                <w:bCs/>
                <w:sz w:val="20"/>
                <w:szCs w:val="20"/>
                <w:lang w:eastAsia="en-US"/>
              </w:rPr>
              <w:t>Perinarial crests, presence and morphology:</w:t>
            </w:r>
          </w:p>
          <w:p w14:paraId="6B26DFCB" w14:textId="366B8E49" w:rsidR="006E44D9" w:rsidRDefault="006E44D9" w:rsidP="006E44D9">
            <w:pPr>
              <w:autoSpaceDE w:val="0"/>
              <w:autoSpaceDN w:val="0"/>
              <w:adjustRightInd w:val="0"/>
              <w:rPr>
                <w:i/>
                <w:iCs/>
                <w:sz w:val="20"/>
                <w:szCs w:val="20"/>
                <w:lang w:eastAsia="en-US"/>
              </w:rPr>
            </w:pPr>
            <w:r>
              <w:rPr>
                <w:bCs/>
                <w:i/>
                <w:sz w:val="20"/>
                <w:lang w:eastAsia="en-US"/>
              </w:rPr>
              <w:t>Andrade et al. (2011, ch. 29);</w:t>
            </w:r>
            <w:r>
              <w:rPr>
                <w:i/>
                <w:sz w:val="20"/>
                <w:szCs w:val="20"/>
                <w:lang w:eastAsia="en-US"/>
              </w:rPr>
              <w:t xml:space="preserve"> Ristevski et al. (2018, ds 1, ch. 29); Smith et al. (in review, ds 2, ch. 29); </w:t>
            </w:r>
            <w:r>
              <w:rPr>
                <w:i/>
                <w:sz w:val="20"/>
                <w:szCs w:val="20"/>
              </w:rPr>
              <w:t>Ősi et al. (in review, ds 1, ch. 23)</w:t>
            </w:r>
            <w:r>
              <w:rPr>
                <w:bCs/>
                <w:i/>
                <w:sz w:val="20"/>
                <w:lang w:eastAsia="en-US"/>
              </w:rPr>
              <w:t>.</w:t>
            </w:r>
          </w:p>
          <w:p w14:paraId="4D644EA7" w14:textId="77777777" w:rsidR="006E44D9" w:rsidRDefault="006E44D9" w:rsidP="006E44D9">
            <w:pPr>
              <w:autoSpaceDE w:val="0"/>
              <w:autoSpaceDN w:val="0"/>
              <w:adjustRightInd w:val="0"/>
              <w:rPr>
                <w:i/>
                <w:iCs/>
                <w:sz w:val="20"/>
                <w:szCs w:val="20"/>
                <w:lang w:eastAsia="en-US"/>
              </w:rPr>
            </w:pPr>
            <w:r>
              <w:rPr>
                <w:i/>
                <w:iCs/>
                <w:sz w:val="20"/>
                <w:szCs w:val="20"/>
                <w:lang w:eastAsia="en-US"/>
              </w:rPr>
              <w:t>State (1) is present within Goniopholididae (</w:t>
            </w:r>
            <w:r>
              <w:rPr>
                <w:iCs/>
                <w:sz w:val="20"/>
                <w:szCs w:val="20"/>
                <w:lang w:eastAsia="en-US"/>
              </w:rPr>
              <w:t xml:space="preserve">Anteophthalmosuchus, Hulkeopholis, Goniopholis </w:t>
            </w:r>
            <w:r>
              <w:rPr>
                <w:i/>
                <w:iCs/>
                <w:sz w:val="20"/>
                <w:szCs w:val="20"/>
                <w:lang w:eastAsia="en-US"/>
              </w:rPr>
              <w:t>and</w:t>
            </w:r>
            <w:r>
              <w:rPr>
                <w:iCs/>
                <w:sz w:val="20"/>
                <w:szCs w:val="20"/>
                <w:lang w:eastAsia="en-US"/>
              </w:rPr>
              <w:t xml:space="preserve"> Amphicotylus</w:t>
            </w:r>
            <w:r>
              <w:rPr>
                <w:i/>
                <w:iCs/>
                <w:sz w:val="20"/>
                <w:szCs w:val="20"/>
                <w:lang w:eastAsia="en-US"/>
              </w:rPr>
              <w:t>).</w:t>
            </w:r>
          </w:p>
          <w:p w14:paraId="1C2A49B1" w14:textId="77777777" w:rsidR="006E44D9" w:rsidRDefault="006E44D9" w:rsidP="006E44D9">
            <w:pPr>
              <w:autoSpaceDE w:val="0"/>
              <w:autoSpaceDN w:val="0"/>
              <w:adjustRightInd w:val="0"/>
              <w:rPr>
                <w:sz w:val="20"/>
                <w:szCs w:val="20"/>
                <w:lang w:eastAsia="en-US"/>
              </w:rPr>
            </w:pPr>
            <w:r>
              <w:rPr>
                <w:sz w:val="20"/>
                <w:szCs w:val="20"/>
                <w:lang w:eastAsia="en-US"/>
              </w:rPr>
              <w:t>0. absent, surface even or bearing a perinarial fossa</w:t>
            </w:r>
          </w:p>
          <w:p w14:paraId="1D59C9CB" w14:textId="77777777" w:rsidR="006E44D9" w:rsidRDefault="006E44D9" w:rsidP="006E44D9">
            <w:pPr>
              <w:rPr>
                <w:b/>
                <w:color w:val="000000"/>
                <w:sz w:val="20"/>
                <w:szCs w:val="20"/>
                <w:highlight w:val="yellow"/>
                <w:lang w:eastAsia="en-US"/>
              </w:rPr>
            </w:pPr>
            <w:r>
              <w:rPr>
                <w:sz w:val="20"/>
                <w:szCs w:val="20"/>
                <w:lang w:eastAsia="en-US"/>
              </w:rPr>
              <w:t>1. present as well defined and distinct ridges, cornering the lateral to posterior borders of the naris</w:t>
            </w:r>
          </w:p>
        </w:tc>
      </w:tr>
      <w:tr w:rsidR="006E44D9" w14:paraId="0C933C44" w14:textId="77777777" w:rsidTr="006E44D9">
        <w:tc>
          <w:tcPr>
            <w:tcW w:w="0" w:type="auto"/>
            <w:tcBorders>
              <w:top w:val="single" w:sz="4" w:space="0" w:color="auto"/>
              <w:left w:val="single" w:sz="4" w:space="0" w:color="auto"/>
              <w:bottom w:val="single" w:sz="4" w:space="0" w:color="auto"/>
              <w:right w:val="single" w:sz="4" w:space="0" w:color="auto"/>
            </w:tcBorders>
          </w:tcPr>
          <w:p w14:paraId="2F0C100C" w14:textId="560C05CE" w:rsidR="006E44D9" w:rsidRDefault="006E44D9" w:rsidP="006E44D9">
            <w:pPr>
              <w:rPr>
                <w:sz w:val="20"/>
                <w:szCs w:val="20"/>
                <w:lang w:eastAsia="en-US"/>
              </w:rPr>
            </w:pPr>
            <w:r>
              <w:rPr>
                <w:color w:val="000000"/>
                <w:sz w:val="20"/>
                <w:szCs w:val="20"/>
                <w:lang w:eastAsia="en-US"/>
              </w:rPr>
              <w:t>29</w:t>
            </w:r>
          </w:p>
        </w:tc>
        <w:tc>
          <w:tcPr>
            <w:tcW w:w="0" w:type="auto"/>
            <w:tcBorders>
              <w:top w:val="single" w:sz="4" w:space="0" w:color="auto"/>
              <w:left w:val="single" w:sz="4" w:space="0" w:color="auto"/>
              <w:bottom w:val="single" w:sz="4" w:space="0" w:color="auto"/>
              <w:right w:val="single" w:sz="4" w:space="0" w:color="auto"/>
            </w:tcBorders>
            <w:hideMark/>
          </w:tcPr>
          <w:p w14:paraId="7CD07B4A" w14:textId="77777777" w:rsidR="006E44D9" w:rsidRDefault="006E44D9" w:rsidP="006E44D9">
            <w:pPr>
              <w:autoSpaceDE w:val="0"/>
              <w:autoSpaceDN w:val="0"/>
              <w:adjustRightInd w:val="0"/>
              <w:rPr>
                <w:b/>
                <w:sz w:val="20"/>
                <w:szCs w:val="20"/>
                <w:lang w:eastAsia="en-US"/>
              </w:rPr>
            </w:pPr>
            <w:r>
              <w:rPr>
                <w:b/>
                <w:sz w:val="20"/>
                <w:szCs w:val="20"/>
                <w:lang w:eastAsia="en-US"/>
              </w:rPr>
              <w:t>External nares orientation:</w:t>
            </w:r>
          </w:p>
          <w:p w14:paraId="6516CB67" w14:textId="65801CB7" w:rsidR="006E44D9" w:rsidRDefault="006E44D9" w:rsidP="006E44D9">
            <w:pPr>
              <w:autoSpaceDE w:val="0"/>
              <w:autoSpaceDN w:val="0"/>
              <w:adjustRightInd w:val="0"/>
              <w:rPr>
                <w:i/>
                <w:sz w:val="20"/>
                <w:szCs w:val="20"/>
                <w:lang w:eastAsia="en-US"/>
              </w:rPr>
            </w:pPr>
            <w:r>
              <w:rPr>
                <w:i/>
                <w:sz w:val="20"/>
                <w:szCs w:val="20"/>
                <w:lang w:eastAsia="en-US"/>
              </w:rPr>
              <w:t xml:space="preserve">Turner &amp; Pritchard (2015, ch. 6; modified from Clark 1994, ch. 6); Young et al. (2016, ds 2, ch. 8), Ristevski et al. (2018, ds 2, ch. 14); Smith et al. (in review, ds 1, ch. 15); </w:t>
            </w:r>
            <w:r>
              <w:rPr>
                <w:i/>
                <w:sz w:val="20"/>
                <w:szCs w:val="20"/>
              </w:rPr>
              <w:t>Ősi et al. (in review, ds 1, ch. 24)</w:t>
            </w:r>
            <w:r>
              <w:rPr>
                <w:i/>
                <w:sz w:val="20"/>
                <w:szCs w:val="20"/>
                <w:lang w:eastAsia="en-US"/>
              </w:rPr>
              <w:t>.</w:t>
            </w:r>
          </w:p>
          <w:p w14:paraId="368622A2" w14:textId="14B8140B" w:rsidR="006E44D9" w:rsidRDefault="006E44D9" w:rsidP="006E44D9">
            <w:pPr>
              <w:autoSpaceDE w:val="0"/>
              <w:autoSpaceDN w:val="0"/>
              <w:adjustRightInd w:val="0"/>
              <w:rPr>
                <w:i/>
                <w:sz w:val="20"/>
                <w:szCs w:val="20"/>
                <w:lang w:eastAsia="en-US"/>
              </w:rPr>
            </w:pPr>
            <w:r>
              <w:rPr>
                <w:i/>
                <w:sz w:val="20"/>
                <w:szCs w:val="20"/>
                <w:lang w:eastAsia="en-US"/>
              </w:rPr>
              <w:t>In Thalattosuchia, state (0) occurs in the teleosaur</w:t>
            </w:r>
            <w:r w:rsidR="00007246">
              <w:rPr>
                <w:i/>
                <w:sz w:val="20"/>
                <w:szCs w:val="20"/>
                <w:lang w:eastAsia="en-US"/>
              </w:rPr>
              <w:t>o</w:t>
            </w:r>
            <w:r>
              <w:rPr>
                <w:i/>
                <w:sz w:val="20"/>
                <w:szCs w:val="20"/>
                <w:lang w:eastAsia="en-US"/>
              </w:rPr>
              <w:t>ids</w:t>
            </w:r>
            <w:r>
              <w:rPr>
                <w:sz w:val="20"/>
                <w:szCs w:val="20"/>
                <w:lang w:eastAsia="en-US"/>
              </w:rPr>
              <w:t xml:space="preserve"> Mycterosuchus nasutus, </w:t>
            </w:r>
            <w:r>
              <w:rPr>
                <w:i/>
                <w:sz w:val="20"/>
                <w:szCs w:val="20"/>
                <w:lang w:eastAsia="en-US"/>
              </w:rPr>
              <w:t>the Chinese teleosaur</w:t>
            </w:r>
            <w:r w:rsidR="00007246">
              <w:rPr>
                <w:i/>
                <w:sz w:val="20"/>
                <w:szCs w:val="20"/>
                <w:lang w:eastAsia="en-US"/>
              </w:rPr>
              <w:t>o</w:t>
            </w:r>
            <w:r>
              <w:rPr>
                <w:i/>
                <w:sz w:val="20"/>
                <w:szCs w:val="20"/>
                <w:lang w:eastAsia="en-US"/>
              </w:rPr>
              <w:t xml:space="preserve">id referred to </w:t>
            </w:r>
            <w:r>
              <w:rPr>
                <w:sz w:val="20"/>
                <w:szCs w:val="20"/>
                <w:lang w:eastAsia="en-US"/>
              </w:rPr>
              <w:t>Peipehsuchus teleorhinus</w:t>
            </w:r>
            <w:r>
              <w:rPr>
                <w:i/>
                <w:sz w:val="20"/>
                <w:szCs w:val="20"/>
                <w:lang w:eastAsia="en-US"/>
              </w:rPr>
              <w:t xml:space="preserve">, </w:t>
            </w:r>
            <w:r>
              <w:rPr>
                <w:sz w:val="20"/>
                <w:szCs w:val="20"/>
                <w:lang w:eastAsia="en-US"/>
              </w:rPr>
              <w:t>Platysuchus multiscrobiculatus</w:t>
            </w:r>
            <w:r>
              <w:rPr>
                <w:i/>
                <w:sz w:val="20"/>
                <w:szCs w:val="20"/>
                <w:lang w:eastAsia="en-US"/>
              </w:rPr>
              <w:t xml:space="preserve">, </w:t>
            </w:r>
            <w:r>
              <w:rPr>
                <w:sz w:val="20"/>
                <w:szCs w:val="20"/>
                <w:lang w:eastAsia="en-US"/>
              </w:rPr>
              <w:t>Steneosaurus</w:t>
            </w:r>
            <w:r>
              <w:rPr>
                <w:i/>
                <w:sz w:val="20"/>
                <w:szCs w:val="20"/>
                <w:lang w:eastAsia="en-US"/>
              </w:rPr>
              <w:t xml:space="preserve"> </w:t>
            </w:r>
            <w:r>
              <w:rPr>
                <w:sz w:val="20"/>
                <w:szCs w:val="20"/>
                <w:lang w:eastAsia="en-US"/>
              </w:rPr>
              <w:t xml:space="preserve">brevior </w:t>
            </w:r>
            <w:r>
              <w:rPr>
                <w:i/>
                <w:sz w:val="20"/>
                <w:szCs w:val="20"/>
                <w:lang w:eastAsia="en-US"/>
              </w:rPr>
              <w:t xml:space="preserve">and </w:t>
            </w:r>
            <w:r>
              <w:rPr>
                <w:sz w:val="20"/>
                <w:szCs w:val="20"/>
                <w:lang w:eastAsia="en-US"/>
              </w:rPr>
              <w:t>Teleosaurus megarhinus.</w:t>
            </w:r>
          </w:p>
          <w:p w14:paraId="52EB7020" w14:textId="77777777" w:rsidR="006E44D9" w:rsidRDefault="006E44D9" w:rsidP="006E44D9">
            <w:pPr>
              <w:autoSpaceDE w:val="0"/>
              <w:autoSpaceDN w:val="0"/>
              <w:adjustRightInd w:val="0"/>
              <w:rPr>
                <w:sz w:val="20"/>
                <w:szCs w:val="20"/>
                <w:lang w:eastAsia="en-US"/>
              </w:rPr>
            </w:pPr>
            <w:r>
              <w:rPr>
                <w:sz w:val="20"/>
                <w:szCs w:val="20"/>
                <w:lang w:eastAsia="en-US"/>
              </w:rPr>
              <w:t>0. orientated anteriorly, anterodorsally, or anterolaterally</w:t>
            </w:r>
          </w:p>
          <w:p w14:paraId="2D395C36" w14:textId="77777777" w:rsidR="006E44D9" w:rsidRDefault="006E44D9" w:rsidP="006E44D9">
            <w:pPr>
              <w:rPr>
                <w:sz w:val="20"/>
                <w:szCs w:val="20"/>
                <w:lang w:eastAsia="en-US"/>
              </w:rPr>
            </w:pPr>
            <w:r>
              <w:rPr>
                <w:sz w:val="20"/>
                <w:szCs w:val="20"/>
                <w:lang w:eastAsia="en-US"/>
              </w:rPr>
              <w:t>1. orientated mainly dorsally, or dorsolaterally</w:t>
            </w:r>
          </w:p>
        </w:tc>
      </w:tr>
      <w:tr w:rsidR="006E44D9" w14:paraId="6261F6CD" w14:textId="77777777" w:rsidTr="005000E5">
        <w:trPr>
          <w:trHeight w:val="2670"/>
        </w:trPr>
        <w:tc>
          <w:tcPr>
            <w:tcW w:w="0" w:type="auto"/>
            <w:tcBorders>
              <w:top w:val="single" w:sz="4" w:space="0" w:color="auto"/>
              <w:left w:val="single" w:sz="4" w:space="0" w:color="auto"/>
              <w:bottom w:val="single" w:sz="4" w:space="0" w:color="auto"/>
              <w:right w:val="single" w:sz="4" w:space="0" w:color="auto"/>
            </w:tcBorders>
          </w:tcPr>
          <w:p w14:paraId="077BBC79" w14:textId="26478DDF" w:rsidR="006E44D9" w:rsidRPr="00170147" w:rsidRDefault="006E44D9" w:rsidP="006E44D9">
            <w:pPr>
              <w:rPr>
                <w:sz w:val="20"/>
                <w:szCs w:val="20"/>
                <w:lang w:eastAsia="en-US"/>
              </w:rPr>
            </w:pPr>
            <w:r w:rsidRPr="00170147">
              <w:rPr>
                <w:color w:val="000000"/>
                <w:sz w:val="20"/>
                <w:szCs w:val="20"/>
                <w:lang w:eastAsia="en-US"/>
              </w:rPr>
              <w:t>30</w:t>
            </w:r>
          </w:p>
        </w:tc>
        <w:tc>
          <w:tcPr>
            <w:tcW w:w="0" w:type="auto"/>
            <w:tcBorders>
              <w:top w:val="single" w:sz="4" w:space="0" w:color="auto"/>
              <w:left w:val="single" w:sz="4" w:space="0" w:color="auto"/>
              <w:bottom w:val="single" w:sz="4" w:space="0" w:color="auto"/>
              <w:right w:val="single" w:sz="4" w:space="0" w:color="auto"/>
            </w:tcBorders>
            <w:vAlign w:val="bottom"/>
            <w:hideMark/>
          </w:tcPr>
          <w:p w14:paraId="30FA112D" w14:textId="77777777" w:rsidR="006E44D9" w:rsidRPr="00170147" w:rsidRDefault="006E44D9" w:rsidP="006E44D9">
            <w:pPr>
              <w:rPr>
                <w:b/>
                <w:color w:val="000000"/>
                <w:sz w:val="20"/>
                <w:szCs w:val="20"/>
                <w:lang w:eastAsia="en-US"/>
              </w:rPr>
            </w:pPr>
            <w:r w:rsidRPr="00170147">
              <w:rPr>
                <w:b/>
                <w:color w:val="000000"/>
                <w:sz w:val="20"/>
                <w:szCs w:val="20"/>
                <w:lang w:eastAsia="en-US"/>
              </w:rPr>
              <w:t>External nares, shape in dorsal view:</w:t>
            </w:r>
          </w:p>
          <w:p w14:paraId="0471AD10" w14:textId="1FA27585" w:rsidR="006E44D9" w:rsidRPr="00170147" w:rsidRDefault="006E44D9" w:rsidP="006E44D9">
            <w:pPr>
              <w:autoSpaceDE w:val="0"/>
              <w:autoSpaceDN w:val="0"/>
              <w:adjustRightInd w:val="0"/>
              <w:rPr>
                <w:i/>
                <w:sz w:val="20"/>
                <w:szCs w:val="20"/>
                <w:lang w:eastAsia="en-US"/>
              </w:rPr>
            </w:pPr>
            <w:r w:rsidRPr="00170147">
              <w:rPr>
                <w:i/>
                <w:sz w:val="20"/>
                <w:szCs w:val="20"/>
                <w:lang w:eastAsia="en-US"/>
              </w:rPr>
              <w:t xml:space="preserve">Young (2006, ch. 6 modified); Wilkinson et al. (2008, ch. 23 modified); Young &amp; Andrade (2009, ch. 23 modified); </w:t>
            </w:r>
            <w:r w:rsidRPr="00170147">
              <w:rPr>
                <w:bCs/>
                <w:i/>
                <w:color w:val="000000"/>
                <w:sz w:val="20"/>
                <w:szCs w:val="20"/>
                <w:lang w:eastAsia="en-US"/>
              </w:rPr>
              <w:t>Young et al. (2011, ch. 23 modified); Young et al. (2013a, ch. 4 modified);</w:t>
            </w:r>
            <w:r w:rsidRPr="00170147">
              <w:rPr>
                <w:i/>
                <w:sz w:val="20"/>
                <w:szCs w:val="20"/>
                <w:lang w:eastAsia="en-US"/>
              </w:rPr>
              <w:t xml:space="preserve"> Young et al. (2012, ch. 6 modified); Young (2014, ch. 6 modified); Young et al. (2016, ds 2, ch. 9), Ristevski et al. (2018, ds 2, ch. 15); Smith et al. (in review, ds 1, ch. 16); </w:t>
            </w:r>
            <w:r w:rsidRPr="00170147">
              <w:rPr>
                <w:i/>
                <w:sz w:val="20"/>
                <w:szCs w:val="20"/>
              </w:rPr>
              <w:t>Ősi et al. (in review, ds 1, ch. 25)</w:t>
            </w:r>
            <w:r w:rsidRPr="00170147">
              <w:rPr>
                <w:i/>
                <w:sz w:val="20"/>
                <w:szCs w:val="20"/>
                <w:lang w:eastAsia="en-US"/>
              </w:rPr>
              <w:t>.</w:t>
            </w:r>
          </w:p>
          <w:p w14:paraId="1808FDC1" w14:textId="77777777" w:rsidR="006E44D9" w:rsidRPr="00170147" w:rsidRDefault="006E44D9" w:rsidP="006E44D9">
            <w:pPr>
              <w:rPr>
                <w:i/>
                <w:color w:val="000000"/>
                <w:sz w:val="20"/>
                <w:szCs w:val="20"/>
                <w:lang w:eastAsia="en-US"/>
              </w:rPr>
            </w:pPr>
            <w:r w:rsidRPr="00170147">
              <w:rPr>
                <w:i/>
                <w:color w:val="000000"/>
                <w:sz w:val="20"/>
                <w:szCs w:val="20"/>
                <w:lang w:eastAsia="en-US"/>
              </w:rPr>
              <w:t>State (4) is a putative apomorphy of Susisuchidae.</w:t>
            </w:r>
          </w:p>
          <w:p w14:paraId="2BFB9EC5" w14:textId="77777777" w:rsidR="006E44D9" w:rsidRPr="00170147" w:rsidRDefault="006E44D9" w:rsidP="006E44D9">
            <w:pPr>
              <w:rPr>
                <w:color w:val="000000"/>
                <w:sz w:val="20"/>
                <w:szCs w:val="20"/>
                <w:lang w:eastAsia="en-US"/>
              </w:rPr>
            </w:pPr>
            <w:r w:rsidRPr="00170147">
              <w:rPr>
                <w:color w:val="000000"/>
                <w:sz w:val="20"/>
                <w:szCs w:val="20"/>
                <w:lang w:eastAsia="en-US"/>
              </w:rPr>
              <w:t>0. subcircular (diameter in any direction does not vary by more than ± 10%)</w:t>
            </w:r>
          </w:p>
          <w:p w14:paraId="6F06B43F" w14:textId="77777777" w:rsidR="006E44D9" w:rsidRPr="00170147" w:rsidRDefault="006E44D9" w:rsidP="006E44D9">
            <w:pPr>
              <w:rPr>
                <w:color w:val="000000"/>
                <w:sz w:val="20"/>
                <w:szCs w:val="20"/>
                <w:lang w:eastAsia="en-US"/>
              </w:rPr>
            </w:pPr>
            <w:r w:rsidRPr="00170147">
              <w:rPr>
                <w:color w:val="000000"/>
                <w:sz w:val="20"/>
                <w:szCs w:val="20"/>
                <w:lang w:eastAsia="en-US"/>
              </w:rPr>
              <w:t>1. oval (dorsal width &gt;10% longer than anteroposterior length)</w:t>
            </w:r>
          </w:p>
          <w:p w14:paraId="6F3DB611" w14:textId="77777777" w:rsidR="006E44D9" w:rsidRPr="00170147" w:rsidRDefault="006E44D9" w:rsidP="006E44D9">
            <w:pPr>
              <w:rPr>
                <w:color w:val="000000"/>
                <w:sz w:val="20"/>
                <w:szCs w:val="20"/>
                <w:lang w:eastAsia="en-US"/>
              </w:rPr>
            </w:pPr>
            <w:r w:rsidRPr="00170147">
              <w:rPr>
                <w:color w:val="000000"/>
                <w:sz w:val="20"/>
                <w:szCs w:val="20"/>
                <w:lang w:eastAsia="en-US"/>
              </w:rPr>
              <w:t>2. ‘D-shaped’, with posterior edge straight</w:t>
            </w:r>
          </w:p>
          <w:p w14:paraId="2D7E9AA5" w14:textId="77777777" w:rsidR="006E44D9" w:rsidRPr="00170147" w:rsidRDefault="006E44D9" w:rsidP="006E44D9">
            <w:pPr>
              <w:rPr>
                <w:color w:val="000000"/>
                <w:sz w:val="20"/>
                <w:szCs w:val="20"/>
                <w:lang w:eastAsia="en-US"/>
              </w:rPr>
            </w:pPr>
            <w:r w:rsidRPr="00170147">
              <w:rPr>
                <w:color w:val="000000"/>
                <w:sz w:val="20"/>
                <w:szCs w:val="20"/>
                <w:lang w:eastAsia="en-US"/>
              </w:rPr>
              <w:t>3. spoon-shaped elongate ellipse (dorsal width &lt;40% of anteroposterior length)</w:t>
            </w:r>
          </w:p>
          <w:p w14:paraId="6CFF7824" w14:textId="77777777" w:rsidR="006E44D9" w:rsidRPr="00170147" w:rsidRDefault="006E44D9" w:rsidP="006E44D9">
            <w:pPr>
              <w:rPr>
                <w:color w:val="000000"/>
                <w:sz w:val="20"/>
                <w:szCs w:val="20"/>
                <w:lang w:eastAsia="en-US"/>
              </w:rPr>
            </w:pPr>
            <w:r w:rsidRPr="00170147">
              <w:rPr>
                <w:color w:val="000000"/>
                <w:sz w:val="20"/>
                <w:szCs w:val="20"/>
                <w:lang w:eastAsia="en-US"/>
              </w:rPr>
              <w:t>4. pear-shaped</w:t>
            </w:r>
          </w:p>
          <w:p w14:paraId="1FB0F2DE" w14:textId="77777777" w:rsidR="006E44D9" w:rsidRPr="00170147" w:rsidRDefault="006E44D9" w:rsidP="006E44D9">
            <w:pPr>
              <w:rPr>
                <w:sz w:val="20"/>
                <w:szCs w:val="20"/>
                <w:lang w:eastAsia="en-US"/>
              </w:rPr>
            </w:pPr>
            <w:r w:rsidRPr="00170147">
              <w:rPr>
                <w:color w:val="000000"/>
                <w:sz w:val="20"/>
                <w:szCs w:val="20"/>
                <w:lang w:eastAsia="en-US"/>
              </w:rPr>
              <w:t>5. external nares not exposed in dorsal view</w:t>
            </w:r>
          </w:p>
        </w:tc>
      </w:tr>
      <w:tr w:rsidR="005000E5" w14:paraId="54FC61AA" w14:textId="77777777" w:rsidTr="006E44D9">
        <w:trPr>
          <w:trHeight w:val="84"/>
        </w:trPr>
        <w:tc>
          <w:tcPr>
            <w:tcW w:w="0" w:type="auto"/>
            <w:tcBorders>
              <w:top w:val="single" w:sz="4" w:space="0" w:color="auto"/>
              <w:left w:val="single" w:sz="4" w:space="0" w:color="auto"/>
              <w:bottom w:val="single" w:sz="4" w:space="0" w:color="auto"/>
              <w:right w:val="single" w:sz="4" w:space="0" w:color="auto"/>
            </w:tcBorders>
          </w:tcPr>
          <w:p w14:paraId="16724650" w14:textId="5FAEB441" w:rsidR="005000E5" w:rsidRPr="00170147" w:rsidRDefault="005000E5" w:rsidP="006E44D9">
            <w:pPr>
              <w:rPr>
                <w:color w:val="000000"/>
                <w:sz w:val="20"/>
                <w:szCs w:val="20"/>
                <w:lang w:eastAsia="en-US"/>
              </w:rPr>
            </w:pPr>
            <w:r w:rsidRPr="00170147">
              <w:rPr>
                <w:color w:val="000000"/>
                <w:sz w:val="20"/>
                <w:szCs w:val="20"/>
                <w:lang w:eastAsia="en-US"/>
              </w:rPr>
              <w:t>31</w:t>
            </w:r>
          </w:p>
        </w:tc>
        <w:tc>
          <w:tcPr>
            <w:tcW w:w="0" w:type="auto"/>
            <w:tcBorders>
              <w:top w:val="single" w:sz="4" w:space="0" w:color="auto"/>
              <w:left w:val="single" w:sz="4" w:space="0" w:color="auto"/>
              <w:bottom w:val="single" w:sz="4" w:space="0" w:color="auto"/>
              <w:right w:val="single" w:sz="4" w:space="0" w:color="auto"/>
            </w:tcBorders>
            <w:vAlign w:val="bottom"/>
          </w:tcPr>
          <w:p w14:paraId="1A2C3710" w14:textId="77777777" w:rsidR="005000E5" w:rsidRPr="00170147" w:rsidRDefault="005000E5" w:rsidP="006E44D9">
            <w:pPr>
              <w:rPr>
                <w:b/>
                <w:color w:val="000000"/>
                <w:sz w:val="20"/>
                <w:szCs w:val="20"/>
                <w:lang w:eastAsia="en-US"/>
              </w:rPr>
            </w:pPr>
            <w:r w:rsidRPr="00170147">
              <w:rPr>
                <w:b/>
                <w:color w:val="000000"/>
                <w:sz w:val="20"/>
                <w:szCs w:val="20"/>
                <w:lang w:eastAsia="en-US"/>
              </w:rPr>
              <w:t>External nares, shape in anterior view: (NEW)</w:t>
            </w:r>
          </w:p>
          <w:p w14:paraId="6A0884DC" w14:textId="729BFCC9" w:rsidR="005000E5" w:rsidRPr="00170147" w:rsidRDefault="005000E5" w:rsidP="006E44D9">
            <w:pPr>
              <w:rPr>
                <w:color w:val="000000"/>
                <w:sz w:val="20"/>
                <w:szCs w:val="20"/>
                <w:lang w:eastAsia="en-US"/>
              </w:rPr>
            </w:pPr>
            <w:r w:rsidRPr="00170147">
              <w:rPr>
                <w:i/>
                <w:color w:val="000000"/>
                <w:sz w:val="20"/>
                <w:szCs w:val="20"/>
                <w:lang w:eastAsia="en-US"/>
              </w:rPr>
              <w:t xml:space="preserve">State (1) occurs in </w:t>
            </w:r>
            <w:r w:rsidR="00DD029B" w:rsidRPr="00170147">
              <w:rPr>
                <w:color w:val="000000"/>
                <w:sz w:val="20"/>
                <w:szCs w:val="20"/>
                <w:lang w:eastAsia="en-US"/>
              </w:rPr>
              <w:t>Aeolodon priscus</w:t>
            </w:r>
            <w:r w:rsidR="00DD029B" w:rsidRPr="00170147">
              <w:rPr>
                <w:i/>
                <w:color w:val="000000"/>
                <w:sz w:val="20"/>
                <w:szCs w:val="20"/>
                <w:lang w:eastAsia="en-US"/>
              </w:rPr>
              <w:t>,</w:t>
            </w:r>
            <w:r w:rsidR="00DD029B" w:rsidRPr="00170147">
              <w:rPr>
                <w:color w:val="000000"/>
                <w:sz w:val="20"/>
                <w:szCs w:val="20"/>
                <w:lang w:eastAsia="en-US"/>
              </w:rPr>
              <w:t xml:space="preserve"> </w:t>
            </w:r>
            <w:r w:rsidRPr="00170147">
              <w:rPr>
                <w:color w:val="000000"/>
                <w:sz w:val="20"/>
                <w:szCs w:val="20"/>
                <w:lang w:eastAsia="en-US"/>
              </w:rPr>
              <w:t>Bathysuchus</w:t>
            </w:r>
            <w:r w:rsidR="00DD029B" w:rsidRPr="00170147">
              <w:rPr>
                <w:color w:val="000000"/>
                <w:sz w:val="20"/>
                <w:szCs w:val="20"/>
                <w:lang w:eastAsia="en-US"/>
              </w:rPr>
              <w:t xml:space="preserve"> megarhinus</w:t>
            </w:r>
            <w:r w:rsidRPr="00170147">
              <w:rPr>
                <w:i/>
                <w:color w:val="000000"/>
                <w:sz w:val="20"/>
                <w:szCs w:val="20"/>
                <w:lang w:eastAsia="en-US"/>
              </w:rPr>
              <w:t xml:space="preserve">, </w:t>
            </w:r>
            <w:r w:rsidRPr="00170147">
              <w:rPr>
                <w:color w:val="000000"/>
                <w:sz w:val="20"/>
                <w:szCs w:val="20"/>
                <w:lang w:eastAsia="en-US"/>
              </w:rPr>
              <w:t>Stene</w:t>
            </w:r>
            <w:r w:rsidR="00D37C9C" w:rsidRPr="00170147">
              <w:rPr>
                <w:color w:val="000000"/>
                <w:sz w:val="20"/>
                <w:szCs w:val="20"/>
                <w:lang w:eastAsia="en-US"/>
              </w:rPr>
              <w:t>osaurus brevior</w:t>
            </w:r>
            <w:r w:rsidR="00D37C9C" w:rsidRPr="00170147">
              <w:rPr>
                <w:i/>
                <w:color w:val="000000"/>
                <w:sz w:val="20"/>
                <w:szCs w:val="20"/>
                <w:lang w:eastAsia="en-US"/>
              </w:rPr>
              <w:t>, and the Chinese teleosauroid.</w:t>
            </w:r>
            <w:r w:rsidRPr="00170147">
              <w:rPr>
                <w:i/>
                <w:color w:val="000000"/>
                <w:sz w:val="20"/>
                <w:szCs w:val="20"/>
                <w:lang w:eastAsia="en-US"/>
              </w:rPr>
              <w:t xml:space="preserve"> </w:t>
            </w:r>
          </w:p>
          <w:p w14:paraId="1583BF1C" w14:textId="7FDF635B" w:rsidR="005000E5" w:rsidRPr="00170147" w:rsidRDefault="005000E5" w:rsidP="005000E5">
            <w:pPr>
              <w:rPr>
                <w:color w:val="000000"/>
                <w:sz w:val="20"/>
                <w:szCs w:val="20"/>
              </w:rPr>
            </w:pPr>
            <w:r w:rsidRPr="00170147">
              <w:rPr>
                <w:color w:val="000000"/>
                <w:sz w:val="20"/>
                <w:szCs w:val="20"/>
                <w:lang w:eastAsia="en-US"/>
              </w:rPr>
              <w:lastRenderedPageBreak/>
              <w:t>0.</w:t>
            </w:r>
            <w:r w:rsidRPr="00170147">
              <w:rPr>
                <w:color w:val="000000"/>
                <w:sz w:val="20"/>
                <w:szCs w:val="20"/>
              </w:rPr>
              <w:t xml:space="preserve"> </w:t>
            </w:r>
            <w:r w:rsidR="00154E7D" w:rsidRPr="00170147">
              <w:rPr>
                <w:color w:val="000000"/>
                <w:sz w:val="20"/>
                <w:szCs w:val="20"/>
              </w:rPr>
              <w:t>subcircular or ‘</w:t>
            </w:r>
            <w:r w:rsidR="00DD029B" w:rsidRPr="00170147">
              <w:rPr>
                <w:color w:val="000000"/>
                <w:sz w:val="20"/>
                <w:szCs w:val="20"/>
              </w:rPr>
              <w:t>B</w:t>
            </w:r>
            <w:r w:rsidR="00154E7D" w:rsidRPr="00170147">
              <w:rPr>
                <w:color w:val="000000"/>
                <w:sz w:val="20"/>
                <w:szCs w:val="20"/>
              </w:rPr>
              <w:t>-shaped’</w:t>
            </w:r>
            <w:r w:rsidR="00DD029B" w:rsidRPr="00170147">
              <w:rPr>
                <w:color w:val="000000"/>
                <w:sz w:val="20"/>
                <w:szCs w:val="20"/>
              </w:rPr>
              <w:t xml:space="preserve"> (the anterior margin is </w:t>
            </w:r>
            <w:r w:rsidR="001629F6" w:rsidRPr="00170147">
              <w:rPr>
                <w:color w:val="000000"/>
                <w:sz w:val="20"/>
                <w:szCs w:val="20"/>
              </w:rPr>
              <w:t xml:space="preserve">relatively </w:t>
            </w:r>
            <w:r w:rsidR="00DD029B" w:rsidRPr="00170147">
              <w:rPr>
                <w:color w:val="000000"/>
                <w:sz w:val="20"/>
                <w:szCs w:val="20"/>
              </w:rPr>
              <w:t>straight)</w:t>
            </w:r>
          </w:p>
          <w:p w14:paraId="390020F0" w14:textId="1639AE56" w:rsidR="005000E5" w:rsidRPr="00170147" w:rsidRDefault="005000E5" w:rsidP="005000E5">
            <w:pPr>
              <w:rPr>
                <w:color w:val="000000"/>
                <w:sz w:val="20"/>
                <w:szCs w:val="20"/>
              </w:rPr>
            </w:pPr>
            <w:r w:rsidRPr="00170147">
              <w:rPr>
                <w:color w:val="000000"/>
                <w:sz w:val="20"/>
                <w:szCs w:val="20"/>
              </w:rPr>
              <w:t xml:space="preserve">1. </w:t>
            </w:r>
            <w:r w:rsidR="00DD029B" w:rsidRPr="00170147">
              <w:rPr>
                <w:color w:val="000000"/>
                <w:sz w:val="20"/>
                <w:szCs w:val="20"/>
              </w:rPr>
              <w:t xml:space="preserve">noticabely </w:t>
            </w:r>
            <w:r w:rsidR="00B05173" w:rsidRPr="00170147">
              <w:rPr>
                <w:color w:val="000000"/>
                <w:sz w:val="20"/>
                <w:szCs w:val="20"/>
              </w:rPr>
              <w:t>‘8-shaped’</w:t>
            </w:r>
          </w:p>
        </w:tc>
      </w:tr>
      <w:tr w:rsidR="006E44D9" w14:paraId="25ACBAC0" w14:textId="77777777" w:rsidTr="006E44D9">
        <w:tc>
          <w:tcPr>
            <w:tcW w:w="0" w:type="auto"/>
            <w:tcBorders>
              <w:top w:val="single" w:sz="4" w:space="0" w:color="auto"/>
              <w:left w:val="single" w:sz="4" w:space="0" w:color="auto"/>
              <w:bottom w:val="single" w:sz="4" w:space="0" w:color="auto"/>
              <w:right w:val="single" w:sz="4" w:space="0" w:color="auto"/>
            </w:tcBorders>
          </w:tcPr>
          <w:p w14:paraId="6346139A" w14:textId="10810574" w:rsidR="006E44D9" w:rsidRDefault="005000E5" w:rsidP="006E44D9">
            <w:pPr>
              <w:rPr>
                <w:color w:val="000000"/>
                <w:sz w:val="20"/>
                <w:szCs w:val="20"/>
                <w:lang w:eastAsia="en-US"/>
              </w:rPr>
            </w:pPr>
            <w:r>
              <w:rPr>
                <w:color w:val="000000"/>
                <w:sz w:val="20"/>
                <w:szCs w:val="20"/>
                <w:lang w:eastAsia="en-US"/>
              </w:rPr>
              <w:lastRenderedPageBreak/>
              <w:t>32</w:t>
            </w:r>
          </w:p>
        </w:tc>
        <w:tc>
          <w:tcPr>
            <w:tcW w:w="0" w:type="auto"/>
            <w:tcBorders>
              <w:top w:val="single" w:sz="4" w:space="0" w:color="auto"/>
              <w:left w:val="single" w:sz="4" w:space="0" w:color="auto"/>
              <w:bottom w:val="single" w:sz="4" w:space="0" w:color="auto"/>
              <w:right w:val="single" w:sz="4" w:space="0" w:color="auto"/>
            </w:tcBorders>
            <w:hideMark/>
          </w:tcPr>
          <w:p w14:paraId="126AE1D3" w14:textId="77777777" w:rsidR="006E44D9" w:rsidRDefault="006E44D9" w:rsidP="006E44D9">
            <w:pPr>
              <w:rPr>
                <w:b/>
                <w:sz w:val="20"/>
                <w:szCs w:val="20"/>
                <w:lang w:eastAsia="en-US"/>
              </w:rPr>
            </w:pPr>
            <w:r>
              <w:rPr>
                <w:b/>
                <w:sz w:val="20"/>
                <w:szCs w:val="20"/>
                <w:lang w:eastAsia="en-US"/>
              </w:rPr>
              <w:t>Medial tubercles of external nares on the posterior margin:</w:t>
            </w:r>
          </w:p>
          <w:p w14:paraId="29661E31" w14:textId="723245C3" w:rsidR="006E44D9" w:rsidRDefault="006E44D9" w:rsidP="006E44D9">
            <w:pPr>
              <w:rPr>
                <w:bCs/>
                <w:i/>
                <w:sz w:val="20"/>
                <w:szCs w:val="20"/>
                <w:lang w:eastAsia="en-US"/>
              </w:rPr>
            </w:pPr>
            <w:r>
              <w:rPr>
                <w:bCs/>
                <w:i/>
                <w:sz w:val="20"/>
                <w:szCs w:val="20"/>
                <w:lang w:eastAsia="en-US"/>
              </w:rPr>
              <w:t xml:space="preserve">Hastings et al. (2010, ch. 2 modified), </w:t>
            </w:r>
            <w:r>
              <w:rPr>
                <w:i/>
                <w:sz w:val="20"/>
                <w:szCs w:val="20"/>
                <w:lang w:eastAsia="en-US"/>
              </w:rPr>
              <w:t xml:space="preserve">Ristevski et al. (2018, ds 2, ch. 16); Smith et al. (in review, ds 1, ch. 17); </w:t>
            </w:r>
            <w:r>
              <w:rPr>
                <w:i/>
                <w:sz w:val="20"/>
                <w:szCs w:val="20"/>
              </w:rPr>
              <w:t>Ősi et al. (in review, ds 1, ch. 26)</w:t>
            </w:r>
            <w:r>
              <w:rPr>
                <w:bCs/>
                <w:i/>
                <w:sz w:val="20"/>
                <w:szCs w:val="20"/>
                <w:lang w:eastAsia="en-US"/>
              </w:rPr>
              <w:t>.</w:t>
            </w:r>
          </w:p>
          <w:p w14:paraId="4DA0FCAA" w14:textId="77777777" w:rsidR="006E44D9" w:rsidRDefault="006E44D9" w:rsidP="006E44D9">
            <w:pPr>
              <w:rPr>
                <w:i/>
                <w:sz w:val="20"/>
                <w:szCs w:val="20"/>
                <w:lang w:eastAsia="en-US"/>
              </w:rPr>
            </w:pPr>
            <w:r>
              <w:rPr>
                <w:bCs/>
                <w:i/>
                <w:sz w:val="20"/>
                <w:szCs w:val="20"/>
                <w:lang w:eastAsia="en-US"/>
              </w:rPr>
              <w:t>States (1+2) are putative apomorphies of Dyrosauridae.</w:t>
            </w:r>
          </w:p>
          <w:p w14:paraId="3409EECF" w14:textId="77777777" w:rsidR="006E44D9" w:rsidRDefault="006E44D9" w:rsidP="006E44D9">
            <w:pPr>
              <w:rPr>
                <w:sz w:val="20"/>
                <w:szCs w:val="20"/>
                <w:lang w:eastAsia="en-US"/>
              </w:rPr>
            </w:pPr>
            <w:r>
              <w:rPr>
                <w:sz w:val="20"/>
                <w:szCs w:val="20"/>
                <w:lang w:eastAsia="en-US"/>
              </w:rPr>
              <w:t>0. absent</w:t>
            </w:r>
          </w:p>
          <w:p w14:paraId="7C1B47FF" w14:textId="77777777" w:rsidR="006E44D9" w:rsidRDefault="006E44D9" w:rsidP="006E44D9">
            <w:pPr>
              <w:rPr>
                <w:sz w:val="20"/>
                <w:szCs w:val="20"/>
                <w:lang w:eastAsia="en-US"/>
              </w:rPr>
            </w:pPr>
            <w:r>
              <w:rPr>
                <w:sz w:val="20"/>
                <w:szCs w:val="20"/>
                <w:lang w:eastAsia="en-US"/>
              </w:rPr>
              <w:t>1. dorsal</w:t>
            </w:r>
          </w:p>
          <w:p w14:paraId="3DA608CF" w14:textId="77777777" w:rsidR="006E44D9" w:rsidRDefault="006E44D9" w:rsidP="006E44D9">
            <w:pPr>
              <w:rPr>
                <w:sz w:val="20"/>
                <w:szCs w:val="20"/>
                <w:lang w:eastAsia="en-US"/>
              </w:rPr>
            </w:pPr>
            <w:r>
              <w:rPr>
                <w:sz w:val="20"/>
                <w:szCs w:val="20"/>
                <w:lang w:eastAsia="en-US"/>
              </w:rPr>
              <w:t>2. ventral</w:t>
            </w:r>
          </w:p>
        </w:tc>
      </w:tr>
      <w:tr w:rsidR="006E44D9" w14:paraId="6B47E54D" w14:textId="77777777" w:rsidTr="006E44D9">
        <w:tc>
          <w:tcPr>
            <w:tcW w:w="0" w:type="auto"/>
            <w:tcBorders>
              <w:top w:val="single" w:sz="4" w:space="0" w:color="auto"/>
              <w:left w:val="single" w:sz="4" w:space="0" w:color="auto"/>
              <w:bottom w:val="single" w:sz="4" w:space="0" w:color="auto"/>
              <w:right w:val="single" w:sz="4" w:space="0" w:color="auto"/>
            </w:tcBorders>
          </w:tcPr>
          <w:p w14:paraId="6E853183" w14:textId="407922BF" w:rsidR="006E44D9" w:rsidRDefault="005000E5" w:rsidP="006E44D9">
            <w:pPr>
              <w:rPr>
                <w:color w:val="000000"/>
                <w:sz w:val="20"/>
                <w:szCs w:val="20"/>
                <w:lang w:eastAsia="en-US"/>
              </w:rPr>
            </w:pPr>
            <w:r>
              <w:rPr>
                <w:color w:val="000000"/>
                <w:sz w:val="20"/>
                <w:szCs w:val="20"/>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14:paraId="06C95FA9" w14:textId="77777777" w:rsidR="006E44D9" w:rsidRDefault="006E44D9" w:rsidP="006E44D9">
            <w:pPr>
              <w:rPr>
                <w:b/>
                <w:sz w:val="20"/>
                <w:szCs w:val="20"/>
                <w:lang w:eastAsia="en-US"/>
              </w:rPr>
            </w:pPr>
            <w:r>
              <w:rPr>
                <w:b/>
                <w:sz w:val="20"/>
                <w:szCs w:val="20"/>
                <w:lang w:eastAsia="en-US"/>
              </w:rPr>
              <w:t>Thickness of the anterior margin of the external nares: (*)</w:t>
            </w:r>
          </w:p>
          <w:p w14:paraId="76678D9D" w14:textId="26E0F22C" w:rsidR="006E44D9" w:rsidRDefault="006E44D9" w:rsidP="006E44D9">
            <w:pPr>
              <w:rPr>
                <w:bCs/>
                <w:i/>
                <w:sz w:val="20"/>
                <w:szCs w:val="20"/>
                <w:lang w:eastAsia="en-US"/>
              </w:rPr>
            </w:pPr>
            <w:r>
              <w:rPr>
                <w:bCs/>
                <w:i/>
                <w:sz w:val="20"/>
                <w:szCs w:val="20"/>
                <w:lang w:eastAsia="en-US"/>
              </w:rPr>
              <w:t xml:space="preserve">Hastings et al. (2010, ch. 3 modified), </w:t>
            </w:r>
            <w:r>
              <w:rPr>
                <w:i/>
                <w:sz w:val="20"/>
                <w:szCs w:val="20"/>
                <w:lang w:eastAsia="en-US"/>
              </w:rPr>
              <w:t xml:space="preserve">Ristevski et al. (2018, ds 2, ch. 17); Smith et al. (in review, ds 1, ch. 18); </w:t>
            </w:r>
            <w:r>
              <w:rPr>
                <w:i/>
                <w:sz w:val="20"/>
                <w:szCs w:val="20"/>
              </w:rPr>
              <w:t>Ősi et al. (in review, ds 1, ch. 27)</w:t>
            </w:r>
            <w:r>
              <w:rPr>
                <w:bCs/>
                <w:i/>
                <w:sz w:val="20"/>
                <w:szCs w:val="20"/>
                <w:lang w:eastAsia="en-US"/>
              </w:rPr>
              <w:t>.</w:t>
            </w:r>
          </w:p>
          <w:p w14:paraId="7DB0BB37" w14:textId="77777777" w:rsidR="006E44D9" w:rsidRDefault="006E44D9" w:rsidP="006E44D9">
            <w:pPr>
              <w:rPr>
                <w:bCs/>
                <w:i/>
                <w:sz w:val="20"/>
                <w:szCs w:val="20"/>
                <w:lang w:eastAsia="en-US"/>
              </w:rPr>
            </w:pPr>
            <w:r>
              <w:rPr>
                <w:bCs/>
                <w:i/>
                <w:sz w:val="20"/>
                <w:szCs w:val="20"/>
                <w:lang w:eastAsia="en-US"/>
              </w:rPr>
              <w:t>State (1) occurs in basal dyrosaurids.</w:t>
            </w:r>
          </w:p>
          <w:p w14:paraId="000B1E80" w14:textId="77777777" w:rsidR="006E44D9" w:rsidRDefault="006E44D9" w:rsidP="006E44D9">
            <w:pPr>
              <w:rPr>
                <w:i/>
                <w:sz w:val="20"/>
                <w:szCs w:val="20"/>
                <w:lang w:eastAsia="en-US"/>
              </w:rPr>
            </w:pPr>
            <w:r>
              <w:rPr>
                <w:bCs/>
                <w:i/>
                <w:sz w:val="20"/>
                <w:szCs w:val="20"/>
                <w:lang w:eastAsia="en-US"/>
              </w:rPr>
              <w:t>This character is not applicable for taxa that have posterodorsally retracted external nares (i.e. rhacheosaurin metriorhynchids).</w:t>
            </w:r>
          </w:p>
          <w:p w14:paraId="459DCF2B" w14:textId="77777777" w:rsidR="006E44D9" w:rsidRDefault="006E44D9" w:rsidP="006E44D9">
            <w:pPr>
              <w:rPr>
                <w:sz w:val="20"/>
                <w:szCs w:val="20"/>
                <w:lang w:eastAsia="en-US"/>
              </w:rPr>
            </w:pPr>
            <w:r>
              <w:rPr>
                <w:sz w:val="20"/>
                <w:szCs w:val="20"/>
                <w:lang w:eastAsia="en-US"/>
              </w:rPr>
              <w:t>0. less than half anteroposterior length</w:t>
            </w:r>
          </w:p>
          <w:p w14:paraId="52218714" w14:textId="77777777" w:rsidR="006E44D9" w:rsidRDefault="006E44D9" w:rsidP="006E44D9">
            <w:pPr>
              <w:rPr>
                <w:b/>
                <w:sz w:val="20"/>
                <w:szCs w:val="20"/>
                <w:lang w:eastAsia="en-US"/>
              </w:rPr>
            </w:pPr>
            <w:r>
              <w:rPr>
                <w:sz w:val="20"/>
                <w:szCs w:val="20"/>
                <w:lang w:eastAsia="en-US"/>
              </w:rPr>
              <w:t>1. greater than half anteroposterior length, or in species with a broad snout the anterior premaxilla is noticeably thick with the external nares posterior to the P1 alveoli</w:t>
            </w:r>
          </w:p>
        </w:tc>
      </w:tr>
      <w:tr w:rsidR="006E44D9" w14:paraId="702104DA" w14:textId="77777777" w:rsidTr="00696DD0">
        <w:trPr>
          <w:trHeight w:val="3132"/>
        </w:trPr>
        <w:tc>
          <w:tcPr>
            <w:tcW w:w="0" w:type="auto"/>
            <w:tcBorders>
              <w:top w:val="single" w:sz="4" w:space="0" w:color="auto"/>
              <w:left w:val="single" w:sz="4" w:space="0" w:color="auto"/>
              <w:bottom w:val="single" w:sz="4" w:space="0" w:color="auto"/>
              <w:right w:val="single" w:sz="4" w:space="0" w:color="auto"/>
            </w:tcBorders>
          </w:tcPr>
          <w:p w14:paraId="4034AF69" w14:textId="1179EFC6" w:rsidR="006E44D9" w:rsidRDefault="005000E5" w:rsidP="006E44D9">
            <w:pPr>
              <w:rPr>
                <w:color w:val="000000"/>
                <w:sz w:val="20"/>
                <w:szCs w:val="20"/>
                <w:lang w:eastAsia="en-US"/>
              </w:rPr>
            </w:pPr>
            <w:r>
              <w:rPr>
                <w:color w:val="000000"/>
                <w:sz w:val="20"/>
                <w:szCs w:val="20"/>
                <w:lang w:eastAsia="en-US"/>
              </w:rPr>
              <w:t>34</w:t>
            </w:r>
          </w:p>
        </w:tc>
        <w:tc>
          <w:tcPr>
            <w:tcW w:w="0" w:type="auto"/>
            <w:tcBorders>
              <w:top w:val="single" w:sz="4" w:space="0" w:color="auto"/>
              <w:left w:val="single" w:sz="4" w:space="0" w:color="auto"/>
              <w:bottom w:val="single" w:sz="4" w:space="0" w:color="auto"/>
              <w:right w:val="single" w:sz="4" w:space="0" w:color="auto"/>
            </w:tcBorders>
            <w:vAlign w:val="bottom"/>
            <w:hideMark/>
          </w:tcPr>
          <w:p w14:paraId="403A3379" w14:textId="77777777" w:rsidR="006E44D9" w:rsidRDefault="006E44D9" w:rsidP="006E44D9">
            <w:pPr>
              <w:rPr>
                <w:b/>
                <w:color w:val="000000"/>
                <w:sz w:val="20"/>
                <w:szCs w:val="20"/>
                <w:lang w:eastAsia="en-US"/>
              </w:rPr>
            </w:pPr>
            <w:r>
              <w:rPr>
                <w:b/>
                <w:color w:val="000000"/>
                <w:sz w:val="20"/>
                <w:szCs w:val="20"/>
                <w:lang w:eastAsia="en-US"/>
              </w:rPr>
              <w:t>External nares, posterodorsal retraction in relation to the tooth-row: (ORDERED)</w:t>
            </w:r>
          </w:p>
          <w:p w14:paraId="13D58B1E" w14:textId="3112B2C2" w:rsidR="006E44D9" w:rsidRDefault="006E44D9" w:rsidP="006E44D9">
            <w:pPr>
              <w:autoSpaceDE w:val="0"/>
              <w:autoSpaceDN w:val="0"/>
              <w:adjustRightInd w:val="0"/>
              <w:rPr>
                <w:i/>
                <w:sz w:val="20"/>
                <w:szCs w:val="20"/>
                <w:lang w:eastAsia="en-US"/>
              </w:rPr>
            </w:pPr>
            <w:r>
              <w:rPr>
                <w:i/>
                <w:sz w:val="20"/>
                <w:szCs w:val="20"/>
                <w:lang w:eastAsia="en-US"/>
              </w:rPr>
              <w:t xml:space="preserve">Young (2006, ch. 16 modified); Wilkinson et al. (2008, ch. 38 modified); Young &amp; Andrade (2009, ch. 38 modified); </w:t>
            </w:r>
            <w:r>
              <w:rPr>
                <w:bCs/>
                <w:i/>
                <w:color w:val="000000"/>
                <w:sz w:val="20"/>
                <w:szCs w:val="20"/>
                <w:lang w:eastAsia="en-US"/>
              </w:rPr>
              <w:t>Young et al. (2011, ch. 38 modified); Young et al. (2013a, ch. 5 modified);</w:t>
            </w:r>
            <w:r>
              <w:rPr>
                <w:i/>
                <w:sz w:val="20"/>
                <w:szCs w:val="20"/>
                <w:lang w:eastAsia="en-US"/>
              </w:rPr>
              <w:t xml:space="preserve"> Young et al. (2012, ch. 7 modified); Young (2014, ch. 7 modified); Young et al. (2016, ds 2, ch. 10), Ristevski et al. (2018, ds 2, ch. 18); Smith et al. (in review, ds1, ch. 19); </w:t>
            </w:r>
            <w:r>
              <w:rPr>
                <w:i/>
                <w:sz w:val="20"/>
                <w:szCs w:val="20"/>
              </w:rPr>
              <w:t>Ősi et al. (in review, ds 1, ch. 28)</w:t>
            </w:r>
            <w:r>
              <w:rPr>
                <w:i/>
                <w:sz w:val="20"/>
                <w:szCs w:val="20"/>
                <w:lang w:eastAsia="en-US"/>
              </w:rPr>
              <w:t>.</w:t>
            </w:r>
          </w:p>
          <w:p w14:paraId="0246AF6E" w14:textId="77777777" w:rsidR="006E44D9" w:rsidRDefault="006E44D9" w:rsidP="006E44D9">
            <w:pPr>
              <w:rPr>
                <w:i/>
                <w:color w:val="000000"/>
                <w:sz w:val="20"/>
                <w:szCs w:val="20"/>
                <w:lang w:eastAsia="en-US"/>
              </w:rPr>
            </w:pPr>
            <w:r>
              <w:rPr>
                <w:i/>
                <w:color w:val="000000"/>
                <w:sz w:val="20"/>
                <w:szCs w:val="20"/>
                <w:lang w:eastAsia="en-US"/>
              </w:rPr>
              <w:t>This character was designed to quantify the degree of posterodorsal retraction of the external nares in Metriorhynchidae. Its level relative to the tooth-row is used in this regard.</w:t>
            </w:r>
          </w:p>
          <w:p w14:paraId="6CC4C4E8" w14:textId="77777777" w:rsidR="006E44D9" w:rsidRDefault="006E44D9" w:rsidP="006E44D9">
            <w:pPr>
              <w:rPr>
                <w:i/>
                <w:color w:val="000000"/>
                <w:sz w:val="20"/>
                <w:szCs w:val="20"/>
                <w:lang w:eastAsia="en-US"/>
              </w:rPr>
            </w:pPr>
            <w:r>
              <w:rPr>
                <w:i/>
                <w:color w:val="000000"/>
                <w:sz w:val="20"/>
                <w:szCs w:val="20"/>
                <w:lang w:eastAsia="en-US"/>
              </w:rPr>
              <w:t>Previous states (4–6) of this character were removed by Young et al. (2016) as the maxillary tooth count is too variable.</w:t>
            </w:r>
          </w:p>
          <w:p w14:paraId="53C2F018" w14:textId="77777777" w:rsidR="006E44D9" w:rsidRDefault="006E44D9" w:rsidP="006E44D9">
            <w:pPr>
              <w:rPr>
                <w:color w:val="000000"/>
                <w:sz w:val="20"/>
                <w:szCs w:val="20"/>
                <w:lang w:eastAsia="en-US"/>
              </w:rPr>
            </w:pPr>
            <w:r>
              <w:rPr>
                <w:color w:val="000000"/>
                <w:sz w:val="20"/>
                <w:szCs w:val="20"/>
                <w:lang w:eastAsia="en-US"/>
              </w:rPr>
              <w:t>0. at the tip of the snout, with its posterior-margin not exceeding the first premaxillary alveolus</w:t>
            </w:r>
          </w:p>
          <w:p w14:paraId="7881A434" w14:textId="77777777" w:rsidR="006E44D9" w:rsidRDefault="006E44D9" w:rsidP="006E44D9">
            <w:pPr>
              <w:rPr>
                <w:color w:val="000000"/>
                <w:sz w:val="20"/>
                <w:szCs w:val="20"/>
                <w:lang w:eastAsia="en-US"/>
              </w:rPr>
            </w:pPr>
            <w:r>
              <w:rPr>
                <w:color w:val="000000"/>
                <w:sz w:val="20"/>
                <w:szCs w:val="20"/>
                <w:lang w:eastAsia="en-US"/>
              </w:rPr>
              <w:t>1. at the tip of the snout, but its posterior-margin does exceed the last premaxillary alveolus</w:t>
            </w:r>
          </w:p>
          <w:p w14:paraId="208556C7" w14:textId="77777777" w:rsidR="006E44D9" w:rsidRDefault="006E44D9" w:rsidP="006E44D9">
            <w:pPr>
              <w:rPr>
                <w:color w:val="000000"/>
                <w:sz w:val="20"/>
                <w:szCs w:val="20"/>
                <w:lang w:eastAsia="en-US"/>
              </w:rPr>
            </w:pPr>
            <w:r>
              <w:rPr>
                <w:color w:val="000000"/>
                <w:sz w:val="20"/>
                <w:szCs w:val="20"/>
                <w:lang w:eastAsia="en-US"/>
              </w:rPr>
              <w:t>2. the posterior-margin reaches to the beginning of the 1st maxillary alveolus</w:t>
            </w:r>
          </w:p>
          <w:p w14:paraId="365EDBBF" w14:textId="77777777" w:rsidR="006E44D9" w:rsidRDefault="006E44D9" w:rsidP="006E44D9">
            <w:pPr>
              <w:rPr>
                <w:color w:val="000000"/>
                <w:sz w:val="20"/>
                <w:szCs w:val="20"/>
                <w:lang w:eastAsia="en-US"/>
              </w:rPr>
            </w:pPr>
            <w:r>
              <w:rPr>
                <w:color w:val="000000"/>
                <w:sz w:val="20"/>
                <w:szCs w:val="20"/>
                <w:lang w:eastAsia="en-US"/>
              </w:rPr>
              <w:t>3. posterodorsally displaced, anterior-margin begins posterior to the 1st premaxillary alveolus while the posterior-margin exceeds the beginning of the 1st maxillary alveolus</w:t>
            </w:r>
          </w:p>
        </w:tc>
      </w:tr>
      <w:tr w:rsidR="006E44D9" w14:paraId="3BD49D88" w14:textId="77777777" w:rsidTr="006E44D9">
        <w:tc>
          <w:tcPr>
            <w:tcW w:w="0" w:type="auto"/>
            <w:tcBorders>
              <w:top w:val="single" w:sz="4" w:space="0" w:color="auto"/>
              <w:left w:val="single" w:sz="4" w:space="0" w:color="auto"/>
              <w:bottom w:val="single" w:sz="4" w:space="0" w:color="auto"/>
              <w:right w:val="single" w:sz="4" w:space="0" w:color="auto"/>
            </w:tcBorders>
          </w:tcPr>
          <w:p w14:paraId="3DC41090" w14:textId="35888A04" w:rsidR="006E44D9" w:rsidRDefault="005000E5" w:rsidP="006E44D9">
            <w:pPr>
              <w:rPr>
                <w:color w:val="000000"/>
                <w:sz w:val="20"/>
                <w:szCs w:val="20"/>
                <w:lang w:eastAsia="en-US"/>
              </w:rPr>
            </w:pPr>
            <w:r>
              <w:rPr>
                <w:color w:val="000000"/>
                <w:sz w:val="20"/>
                <w:szCs w:val="20"/>
                <w:lang w:eastAsia="en-US"/>
              </w:rPr>
              <w:t>35</w:t>
            </w:r>
          </w:p>
        </w:tc>
        <w:tc>
          <w:tcPr>
            <w:tcW w:w="0" w:type="auto"/>
            <w:tcBorders>
              <w:top w:val="single" w:sz="4" w:space="0" w:color="auto"/>
              <w:left w:val="single" w:sz="4" w:space="0" w:color="auto"/>
              <w:bottom w:val="single" w:sz="4" w:space="0" w:color="auto"/>
              <w:right w:val="single" w:sz="4" w:space="0" w:color="auto"/>
            </w:tcBorders>
            <w:vAlign w:val="bottom"/>
            <w:hideMark/>
          </w:tcPr>
          <w:p w14:paraId="25BC3769"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Perinarial crests, presence and morphology:</w:t>
            </w:r>
          </w:p>
          <w:p w14:paraId="40A67B7B" w14:textId="753C5241"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 xml:space="preserve">Andrade et al. (2011, ch. 29), </w:t>
            </w:r>
            <w:r>
              <w:rPr>
                <w:i/>
                <w:sz w:val="20"/>
                <w:szCs w:val="20"/>
                <w:lang w:eastAsia="en-US"/>
              </w:rPr>
              <w:t xml:space="preserve">Ristevski et al. (2018, ds 2, ch. 19); Smith et al. (in review, ds 1, ch. 20); </w:t>
            </w:r>
            <w:r>
              <w:rPr>
                <w:i/>
                <w:sz w:val="20"/>
                <w:szCs w:val="20"/>
              </w:rPr>
              <w:t>Ősi et al. (in review, ds 1, ch. 29)</w:t>
            </w:r>
            <w:r>
              <w:rPr>
                <w:i/>
                <w:iCs/>
                <w:color w:val="000000"/>
                <w:sz w:val="20"/>
                <w:szCs w:val="20"/>
                <w:lang w:eastAsia="en-US"/>
              </w:rPr>
              <w:t>.</w:t>
            </w:r>
          </w:p>
          <w:p w14:paraId="4DDBEA56"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present within Goniopholididae (</w:t>
            </w:r>
            <w:r>
              <w:rPr>
                <w:iCs/>
                <w:color w:val="000000"/>
                <w:sz w:val="20"/>
                <w:szCs w:val="20"/>
                <w:lang w:eastAsia="en-US"/>
              </w:rPr>
              <w:t xml:space="preserve">Anteophthalmosuchus, Goniopholis </w:t>
            </w:r>
            <w:r>
              <w:rPr>
                <w:i/>
                <w:iCs/>
                <w:color w:val="000000"/>
                <w:sz w:val="20"/>
                <w:szCs w:val="20"/>
                <w:lang w:eastAsia="en-US"/>
              </w:rPr>
              <w:t>and</w:t>
            </w:r>
            <w:r>
              <w:rPr>
                <w:iCs/>
                <w:color w:val="000000"/>
                <w:sz w:val="20"/>
                <w:szCs w:val="20"/>
                <w:lang w:eastAsia="en-US"/>
              </w:rPr>
              <w:t xml:space="preserve"> Amphicotylus</w:t>
            </w:r>
            <w:r>
              <w:rPr>
                <w:i/>
                <w:iCs/>
                <w:color w:val="000000"/>
                <w:sz w:val="20"/>
                <w:szCs w:val="20"/>
                <w:lang w:eastAsia="en-US"/>
              </w:rPr>
              <w:t>).</w:t>
            </w:r>
          </w:p>
          <w:p w14:paraId="08B9B81E"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absent, surface even or bearing a perinarial fossa</w:t>
            </w:r>
          </w:p>
          <w:p w14:paraId="57D90654" w14:textId="77777777" w:rsidR="006E44D9" w:rsidRDefault="006E44D9" w:rsidP="006E44D9">
            <w:pPr>
              <w:autoSpaceDE w:val="0"/>
              <w:autoSpaceDN w:val="0"/>
              <w:adjustRightInd w:val="0"/>
              <w:rPr>
                <w:rFonts w:ascii="TimesNewRoman" w:hAnsi="TimesNewRoman" w:cs="TimesNewRoman"/>
                <w:color w:val="000000"/>
                <w:lang w:eastAsia="en-US"/>
              </w:rPr>
            </w:pPr>
            <w:r>
              <w:rPr>
                <w:color w:val="000000"/>
                <w:sz w:val="20"/>
                <w:szCs w:val="20"/>
                <w:lang w:eastAsia="en-US"/>
              </w:rPr>
              <w:t>1. present as well defined and distinct ridges, cornering the lateral to posterior borders of the naris</w:t>
            </w:r>
          </w:p>
        </w:tc>
      </w:tr>
      <w:tr w:rsidR="006E44D9" w14:paraId="361328CA" w14:textId="77777777" w:rsidTr="006E44D9">
        <w:tc>
          <w:tcPr>
            <w:tcW w:w="0" w:type="auto"/>
            <w:tcBorders>
              <w:top w:val="single" w:sz="4" w:space="0" w:color="auto"/>
              <w:left w:val="single" w:sz="4" w:space="0" w:color="auto"/>
              <w:bottom w:val="single" w:sz="4" w:space="0" w:color="auto"/>
              <w:right w:val="single" w:sz="4" w:space="0" w:color="auto"/>
            </w:tcBorders>
          </w:tcPr>
          <w:p w14:paraId="66AC3C27" w14:textId="17DBCF82" w:rsidR="006E44D9" w:rsidRDefault="005000E5" w:rsidP="006E44D9">
            <w:pPr>
              <w:rPr>
                <w:color w:val="000000"/>
                <w:sz w:val="20"/>
                <w:szCs w:val="20"/>
                <w:lang w:eastAsia="en-US"/>
              </w:rPr>
            </w:pPr>
            <w:r>
              <w:rPr>
                <w:color w:val="000000"/>
                <w:sz w:val="20"/>
                <w:szCs w:val="20"/>
                <w:lang w:eastAsia="en-US"/>
              </w:rPr>
              <w:t>36</w:t>
            </w:r>
          </w:p>
        </w:tc>
        <w:tc>
          <w:tcPr>
            <w:tcW w:w="0" w:type="auto"/>
            <w:tcBorders>
              <w:top w:val="single" w:sz="4" w:space="0" w:color="auto"/>
              <w:left w:val="single" w:sz="4" w:space="0" w:color="auto"/>
              <w:bottom w:val="single" w:sz="4" w:space="0" w:color="auto"/>
              <w:right w:val="single" w:sz="4" w:space="0" w:color="auto"/>
            </w:tcBorders>
            <w:vAlign w:val="bottom"/>
            <w:hideMark/>
          </w:tcPr>
          <w:p w14:paraId="788C8486"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Intranarial fossa, presence at the lateral walls, inside narial cavity, at the vestibulum:</w:t>
            </w:r>
          </w:p>
          <w:p w14:paraId="41C4F926" w14:textId="6732C94A" w:rsidR="006E44D9" w:rsidRDefault="006E44D9" w:rsidP="006E44D9">
            <w:pPr>
              <w:autoSpaceDE w:val="0"/>
              <w:autoSpaceDN w:val="0"/>
              <w:adjustRightInd w:val="0"/>
              <w:rPr>
                <w:i/>
                <w:iCs/>
                <w:color w:val="000000"/>
                <w:sz w:val="20"/>
                <w:szCs w:val="20"/>
                <w:lang w:eastAsia="en-US"/>
              </w:rPr>
            </w:pPr>
            <w:r>
              <w:rPr>
                <w:bCs/>
                <w:i/>
                <w:color w:val="000000"/>
                <w:sz w:val="20"/>
                <w:lang w:eastAsia="en-US"/>
              </w:rPr>
              <w:t xml:space="preserve">Andrade et al. (2011, ch. 42), </w:t>
            </w:r>
            <w:r>
              <w:rPr>
                <w:i/>
                <w:sz w:val="20"/>
                <w:szCs w:val="20"/>
                <w:lang w:eastAsia="en-US"/>
              </w:rPr>
              <w:t xml:space="preserve">Ristevski et al. (2018, ds 2, ch. 20); Smith et al. (in review, ds 1, ch. 21); </w:t>
            </w:r>
            <w:r>
              <w:rPr>
                <w:i/>
                <w:sz w:val="20"/>
                <w:szCs w:val="20"/>
              </w:rPr>
              <w:t>Ősi et al. (in review, ds 1, ch. 30)</w:t>
            </w:r>
            <w:r>
              <w:rPr>
                <w:bCs/>
                <w:i/>
                <w:color w:val="000000"/>
                <w:sz w:val="20"/>
                <w:lang w:eastAsia="en-US"/>
              </w:rPr>
              <w:t>.</w:t>
            </w:r>
          </w:p>
          <w:p w14:paraId="3C96F302"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05F56328"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The internarial fossa is an additional chamber that creates an internal border of the external naris; must not be mistaken with the naso-oral fossa, or with the perinarial fossa.</w:t>
            </w:r>
          </w:p>
          <w:p w14:paraId="31E99753" w14:textId="74E59F31"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Note, unlike Andrade et al. (2011), we consider this to present in all thalattosuchians. A distinct fossa within the nasal cavity is seen in all teleosaur</w:t>
            </w:r>
            <w:r w:rsidR="00007246">
              <w:rPr>
                <w:i/>
                <w:iCs/>
                <w:color w:val="000000"/>
                <w:sz w:val="20"/>
                <w:szCs w:val="20"/>
                <w:lang w:eastAsia="en-US"/>
              </w:rPr>
              <w:t>o</w:t>
            </w:r>
            <w:r>
              <w:rPr>
                <w:i/>
                <w:iCs/>
                <w:color w:val="000000"/>
                <w:sz w:val="20"/>
                <w:szCs w:val="20"/>
                <w:lang w:eastAsia="en-US"/>
              </w:rPr>
              <w:t xml:space="preserve">ids and </w:t>
            </w:r>
            <w:r>
              <w:rPr>
                <w:iCs/>
                <w:color w:val="000000"/>
                <w:sz w:val="20"/>
                <w:szCs w:val="20"/>
                <w:lang w:eastAsia="en-US"/>
              </w:rPr>
              <w:t>Pelagosaurus typus</w:t>
            </w:r>
            <w:r>
              <w:rPr>
                <w:i/>
                <w:iCs/>
                <w:color w:val="000000"/>
                <w:sz w:val="20"/>
                <w:szCs w:val="20"/>
                <w:lang w:eastAsia="en-US"/>
              </w:rPr>
              <w:t>, however due to dorsoventral crushing the fossa can be obscured.</w:t>
            </w:r>
          </w:p>
          <w:p w14:paraId="695F21EB"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absent</w:t>
            </w:r>
          </w:p>
          <w:p w14:paraId="01A51B40" w14:textId="77777777" w:rsidR="006E44D9" w:rsidRDefault="006E44D9" w:rsidP="006E44D9">
            <w:pPr>
              <w:autoSpaceDE w:val="0"/>
              <w:autoSpaceDN w:val="0"/>
              <w:adjustRightInd w:val="0"/>
              <w:rPr>
                <w:b/>
                <w:bCs/>
                <w:color w:val="000000"/>
                <w:sz w:val="20"/>
                <w:szCs w:val="20"/>
                <w:lang w:eastAsia="en-US"/>
              </w:rPr>
            </w:pPr>
            <w:r>
              <w:rPr>
                <w:color w:val="000000"/>
                <w:sz w:val="20"/>
                <w:szCs w:val="20"/>
                <w:lang w:eastAsia="en-US"/>
              </w:rPr>
              <w:t>1. present</w:t>
            </w:r>
          </w:p>
        </w:tc>
      </w:tr>
      <w:tr w:rsidR="006E44D9" w14:paraId="09DE71F9" w14:textId="77777777" w:rsidTr="006E44D9">
        <w:tc>
          <w:tcPr>
            <w:tcW w:w="0" w:type="auto"/>
            <w:tcBorders>
              <w:top w:val="single" w:sz="4" w:space="0" w:color="auto"/>
              <w:left w:val="single" w:sz="4" w:space="0" w:color="auto"/>
              <w:bottom w:val="single" w:sz="4" w:space="0" w:color="auto"/>
              <w:right w:val="single" w:sz="4" w:space="0" w:color="auto"/>
            </w:tcBorders>
          </w:tcPr>
          <w:p w14:paraId="18108C40" w14:textId="1CFD2F93" w:rsidR="006E44D9" w:rsidRDefault="005000E5" w:rsidP="006E44D9">
            <w:pPr>
              <w:rPr>
                <w:color w:val="000000"/>
                <w:sz w:val="20"/>
                <w:szCs w:val="20"/>
                <w:lang w:eastAsia="en-US"/>
              </w:rPr>
            </w:pPr>
            <w:r>
              <w:rPr>
                <w:color w:val="000000"/>
                <w:sz w:val="20"/>
                <w:szCs w:val="20"/>
                <w:lang w:eastAsia="en-US"/>
              </w:rPr>
              <w:t>37</w:t>
            </w:r>
          </w:p>
        </w:tc>
        <w:tc>
          <w:tcPr>
            <w:tcW w:w="0" w:type="auto"/>
            <w:tcBorders>
              <w:top w:val="single" w:sz="4" w:space="0" w:color="auto"/>
              <w:left w:val="single" w:sz="4" w:space="0" w:color="auto"/>
              <w:bottom w:val="single" w:sz="4" w:space="0" w:color="auto"/>
              <w:right w:val="single" w:sz="4" w:space="0" w:color="auto"/>
            </w:tcBorders>
            <w:vAlign w:val="bottom"/>
            <w:hideMark/>
          </w:tcPr>
          <w:p w14:paraId="4DE14166" w14:textId="77777777" w:rsidR="006E44D9" w:rsidRDefault="006E44D9" w:rsidP="006E44D9">
            <w:pPr>
              <w:autoSpaceDE w:val="0"/>
              <w:autoSpaceDN w:val="0"/>
              <w:adjustRightInd w:val="0"/>
              <w:rPr>
                <w:b/>
                <w:sz w:val="20"/>
                <w:szCs w:val="20"/>
                <w:lang w:eastAsia="en-US"/>
              </w:rPr>
            </w:pPr>
            <w:r>
              <w:rPr>
                <w:b/>
                <w:sz w:val="20"/>
                <w:szCs w:val="20"/>
                <w:lang w:eastAsia="en-US"/>
              </w:rPr>
              <w:t>Premaxilla, dorsal/anterodorsal projection of the anterodorsal margin (anterior to the external nares):</w:t>
            </w:r>
          </w:p>
          <w:p w14:paraId="5596D133" w14:textId="1F2BFC6F" w:rsidR="006E44D9" w:rsidRDefault="006E44D9" w:rsidP="006E44D9">
            <w:pPr>
              <w:autoSpaceDE w:val="0"/>
              <w:autoSpaceDN w:val="0"/>
              <w:adjustRightInd w:val="0"/>
              <w:rPr>
                <w:i/>
                <w:sz w:val="20"/>
                <w:szCs w:val="20"/>
                <w:lang w:eastAsia="en-US"/>
              </w:rPr>
            </w:pPr>
            <w:r>
              <w:rPr>
                <w:i/>
                <w:sz w:val="20"/>
                <w:szCs w:val="20"/>
                <w:lang w:eastAsia="en-US"/>
              </w:rPr>
              <w:t xml:space="preserve">Young et al. (2016, ds 2, ch. 11), Ristevski et al. (2018, ds 2, ch. 21); Smith et al. (in review, ds 1, ch. 22); </w:t>
            </w:r>
            <w:r>
              <w:rPr>
                <w:i/>
                <w:sz w:val="20"/>
                <w:szCs w:val="20"/>
              </w:rPr>
              <w:t>Ősi et al. (in review, ds 1, ch. 31)</w:t>
            </w:r>
            <w:r>
              <w:rPr>
                <w:i/>
                <w:sz w:val="20"/>
                <w:szCs w:val="20"/>
                <w:lang w:eastAsia="en-US"/>
              </w:rPr>
              <w:t>.</w:t>
            </w:r>
          </w:p>
          <w:p w14:paraId="15E487FE" w14:textId="77777777" w:rsidR="006E44D9" w:rsidRDefault="006E44D9" w:rsidP="006E44D9">
            <w:pPr>
              <w:autoSpaceDE w:val="0"/>
              <w:autoSpaceDN w:val="0"/>
              <w:adjustRightInd w:val="0"/>
              <w:rPr>
                <w:i/>
                <w:sz w:val="20"/>
                <w:szCs w:val="20"/>
                <w:lang w:eastAsia="en-US"/>
              </w:rPr>
            </w:pPr>
            <w:r>
              <w:rPr>
                <w:i/>
                <w:sz w:val="20"/>
                <w:szCs w:val="20"/>
                <w:lang w:eastAsia="en-US"/>
              </w:rPr>
              <w:t>State (1) occurs in derived pholidosaurids</w:t>
            </w:r>
            <w:r>
              <w:rPr>
                <w:sz w:val="20"/>
                <w:szCs w:val="20"/>
                <w:lang w:eastAsia="en-US"/>
              </w:rPr>
              <w:t xml:space="preserve">, </w:t>
            </w:r>
            <w:r>
              <w:rPr>
                <w:i/>
                <w:sz w:val="20"/>
                <w:szCs w:val="20"/>
                <w:lang w:eastAsia="en-US"/>
              </w:rPr>
              <w:t>as well as</w:t>
            </w:r>
            <w:r>
              <w:rPr>
                <w:sz w:val="20"/>
                <w:szCs w:val="20"/>
                <w:lang w:eastAsia="en-US"/>
              </w:rPr>
              <w:t xml:space="preserve"> </w:t>
            </w:r>
            <w:r>
              <w:rPr>
                <w:i/>
                <w:sz w:val="20"/>
                <w:szCs w:val="20"/>
                <w:lang w:eastAsia="en-US"/>
              </w:rPr>
              <w:t>in eusuchians.</w:t>
            </w:r>
          </w:p>
          <w:p w14:paraId="7B41D56A" w14:textId="77777777" w:rsidR="006E44D9" w:rsidRDefault="006E44D9" w:rsidP="006E44D9">
            <w:pPr>
              <w:autoSpaceDE w:val="0"/>
              <w:autoSpaceDN w:val="0"/>
              <w:adjustRightInd w:val="0"/>
              <w:rPr>
                <w:sz w:val="20"/>
                <w:szCs w:val="20"/>
                <w:lang w:eastAsia="en-US"/>
              </w:rPr>
            </w:pPr>
            <w:r>
              <w:rPr>
                <w:sz w:val="20"/>
                <w:szCs w:val="20"/>
                <w:lang w:eastAsia="en-US"/>
              </w:rPr>
              <w:t>0. present</w:t>
            </w:r>
          </w:p>
          <w:p w14:paraId="27A541EA" w14:textId="77777777" w:rsidR="006E44D9" w:rsidRDefault="006E44D9" w:rsidP="006E44D9">
            <w:pPr>
              <w:rPr>
                <w:b/>
                <w:color w:val="000000"/>
                <w:sz w:val="20"/>
                <w:szCs w:val="20"/>
                <w:lang w:eastAsia="en-US"/>
              </w:rPr>
            </w:pPr>
            <w:r>
              <w:rPr>
                <w:sz w:val="20"/>
                <w:szCs w:val="20"/>
                <w:lang w:eastAsia="en-US"/>
              </w:rPr>
              <w:t>1. absent</w:t>
            </w:r>
          </w:p>
        </w:tc>
      </w:tr>
      <w:tr w:rsidR="006E44D9" w14:paraId="37AC4F2A" w14:textId="77777777" w:rsidTr="006E44D9">
        <w:tc>
          <w:tcPr>
            <w:tcW w:w="0" w:type="auto"/>
            <w:tcBorders>
              <w:top w:val="single" w:sz="4" w:space="0" w:color="auto"/>
              <w:left w:val="single" w:sz="4" w:space="0" w:color="auto"/>
              <w:bottom w:val="single" w:sz="4" w:space="0" w:color="auto"/>
              <w:right w:val="single" w:sz="4" w:space="0" w:color="auto"/>
            </w:tcBorders>
          </w:tcPr>
          <w:p w14:paraId="3522780C" w14:textId="01A996E8" w:rsidR="006E44D9" w:rsidRDefault="006E44D9" w:rsidP="006E44D9">
            <w:pPr>
              <w:rPr>
                <w:color w:val="000000"/>
                <w:sz w:val="20"/>
                <w:szCs w:val="20"/>
                <w:lang w:eastAsia="en-US"/>
              </w:rPr>
            </w:pPr>
            <w:r>
              <w:rPr>
                <w:color w:val="000000"/>
                <w:sz w:val="20"/>
                <w:szCs w:val="20"/>
                <w:lang w:eastAsia="en-US"/>
              </w:rPr>
              <w:t>38</w:t>
            </w:r>
          </w:p>
        </w:tc>
        <w:tc>
          <w:tcPr>
            <w:tcW w:w="0" w:type="auto"/>
            <w:tcBorders>
              <w:top w:val="single" w:sz="4" w:space="0" w:color="auto"/>
              <w:left w:val="single" w:sz="4" w:space="0" w:color="auto"/>
              <w:bottom w:val="single" w:sz="4" w:space="0" w:color="auto"/>
              <w:right w:val="single" w:sz="4" w:space="0" w:color="auto"/>
            </w:tcBorders>
            <w:vAlign w:val="bottom"/>
            <w:hideMark/>
          </w:tcPr>
          <w:p w14:paraId="06644013" w14:textId="77777777" w:rsidR="006E44D9" w:rsidRDefault="006E44D9" w:rsidP="006E44D9">
            <w:pPr>
              <w:rPr>
                <w:b/>
                <w:sz w:val="20"/>
                <w:szCs w:val="20"/>
                <w:lang w:eastAsia="en-US"/>
              </w:rPr>
            </w:pPr>
            <w:r>
              <w:rPr>
                <w:b/>
                <w:sz w:val="20"/>
                <w:szCs w:val="20"/>
                <w:lang w:eastAsia="en-US"/>
              </w:rPr>
              <w:t>Premaxilla, lateral expansion anterior to the premaxilla-maxilla suture due to the enlargement of the P3 alveoli, with a constriction immediately posterior to the expansion:</w:t>
            </w:r>
          </w:p>
          <w:p w14:paraId="4EFAD8F7" w14:textId="27F1037F" w:rsidR="006E44D9" w:rsidRDefault="006E44D9" w:rsidP="006E44D9">
            <w:pPr>
              <w:rPr>
                <w:i/>
                <w:sz w:val="20"/>
                <w:szCs w:val="20"/>
                <w:lang w:eastAsia="en-US"/>
              </w:rPr>
            </w:pPr>
            <w:r>
              <w:rPr>
                <w:bCs/>
                <w:i/>
                <w:sz w:val="20"/>
                <w:szCs w:val="20"/>
                <w:lang w:eastAsia="en-US"/>
              </w:rPr>
              <w:t xml:space="preserve">Hastings et al. (2010, ch. 14 modified), </w:t>
            </w:r>
            <w:r>
              <w:rPr>
                <w:i/>
                <w:sz w:val="20"/>
                <w:szCs w:val="20"/>
                <w:lang w:eastAsia="en-US"/>
              </w:rPr>
              <w:t xml:space="preserve">Ristevski et al. (2018, ds 2, ch. 22); Smith et al. (in review, ds 1, ch. 23); </w:t>
            </w:r>
            <w:r>
              <w:rPr>
                <w:i/>
                <w:sz w:val="20"/>
                <w:szCs w:val="20"/>
              </w:rPr>
              <w:t>Ősi et al. (in review, ds 1, ch. 33)</w:t>
            </w:r>
            <w:r>
              <w:rPr>
                <w:bCs/>
                <w:i/>
                <w:sz w:val="20"/>
                <w:szCs w:val="20"/>
                <w:lang w:eastAsia="en-US"/>
              </w:rPr>
              <w:t>.</w:t>
            </w:r>
          </w:p>
          <w:p w14:paraId="08626130" w14:textId="77777777" w:rsidR="006E44D9" w:rsidRDefault="006E44D9" w:rsidP="006E44D9">
            <w:pPr>
              <w:rPr>
                <w:i/>
                <w:sz w:val="20"/>
                <w:szCs w:val="20"/>
                <w:lang w:eastAsia="en-US"/>
              </w:rPr>
            </w:pPr>
            <w:r>
              <w:rPr>
                <w:i/>
                <w:sz w:val="20"/>
                <w:szCs w:val="20"/>
                <w:lang w:eastAsia="en-US"/>
              </w:rPr>
              <w:lastRenderedPageBreak/>
              <w:t>State (1) occurs in basal dyrosaurids.</w:t>
            </w:r>
          </w:p>
          <w:p w14:paraId="41371FAA" w14:textId="77777777" w:rsidR="006E44D9" w:rsidRDefault="006E44D9" w:rsidP="006E44D9">
            <w:pPr>
              <w:rPr>
                <w:i/>
                <w:sz w:val="20"/>
                <w:szCs w:val="20"/>
                <w:lang w:eastAsia="en-US"/>
              </w:rPr>
            </w:pPr>
            <w:r>
              <w:rPr>
                <w:i/>
                <w:sz w:val="20"/>
                <w:szCs w:val="20"/>
                <w:lang w:eastAsia="en-US"/>
              </w:rPr>
              <w:t>Note that unlike other lateral expansions of the premaxilla, this does not correlate with a lateral expansion of the dentary.</w:t>
            </w:r>
          </w:p>
          <w:p w14:paraId="7AC6A38E" w14:textId="77777777" w:rsidR="006E44D9" w:rsidRDefault="006E44D9" w:rsidP="006E44D9">
            <w:pPr>
              <w:rPr>
                <w:sz w:val="20"/>
                <w:szCs w:val="20"/>
                <w:lang w:eastAsia="en-US"/>
              </w:rPr>
            </w:pPr>
            <w:r>
              <w:rPr>
                <w:sz w:val="20"/>
                <w:szCs w:val="20"/>
                <w:lang w:eastAsia="en-US"/>
              </w:rPr>
              <w:t>0. absent</w:t>
            </w:r>
          </w:p>
          <w:p w14:paraId="317D86E2" w14:textId="77777777" w:rsidR="006E44D9" w:rsidRDefault="006E44D9" w:rsidP="006E44D9">
            <w:pPr>
              <w:autoSpaceDE w:val="0"/>
              <w:autoSpaceDN w:val="0"/>
              <w:adjustRightInd w:val="0"/>
              <w:rPr>
                <w:b/>
                <w:sz w:val="20"/>
                <w:szCs w:val="20"/>
                <w:lang w:eastAsia="en-US"/>
              </w:rPr>
            </w:pPr>
            <w:r>
              <w:rPr>
                <w:sz w:val="20"/>
                <w:szCs w:val="20"/>
                <w:lang w:eastAsia="en-US"/>
              </w:rPr>
              <w:t>1. present</w:t>
            </w:r>
          </w:p>
        </w:tc>
      </w:tr>
      <w:tr w:rsidR="006E44D9" w14:paraId="576352E2" w14:textId="77777777" w:rsidTr="006E44D9">
        <w:tc>
          <w:tcPr>
            <w:tcW w:w="0" w:type="auto"/>
            <w:tcBorders>
              <w:top w:val="single" w:sz="4" w:space="0" w:color="auto"/>
              <w:left w:val="single" w:sz="4" w:space="0" w:color="auto"/>
              <w:bottom w:val="single" w:sz="4" w:space="0" w:color="auto"/>
              <w:right w:val="single" w:sz="4" w:space="0" w:color="auto"/>
            </w:tcBorders>
          </w:tcPr>
          <w:p w14:paraId="6865C789" w14:textId="620F00C5" w:rsidR="006E44D9" w:rsidRDefault="006E44D9" w:rsidP="006E44D9">
            <w:pPr>
              <w:rPr>
                <w:color w:val="000000"/>
                <w:sz w:val="20"/>
                <w:szCs w:val="20"/>
                <w:lang w:eastAsia="en-US"/>
              </w:rPr>
            </w:pPr>
            <w:r>
              <w:rPr>
                <w:color w:val="000000"/>
                <w:sz w:val="20"/>
                <w:szCs w:val="20"/>
                <w:lang w:eastAsia="en-US"/>
              </w:rPr>
              <w:lastRenderedPageBreak/>
              <w:t>39</w:t>
            </w:r>
          </w:p>
        </w:tc>
        <w:tc>
          <w:tcPr>
            <w:tcW w:w="0" w:type="auto"/>
            <w:tcBorders>
              <w:top w:val="single" w:sz="4" w:space="0" w:color="auto"/>
              <w:left w:val="single" w:sz="4" w:space="0" w:color="auto"/>
              <w:bottom w:val="single" w:sz="4" w:space="0" w:color="auto"/>
              <w:right w:val="single" w:sz="4" w:space="0" w:color="auto"/>
            </w:tcBorders>
            <w:hideMark/>
          </w:tcPr>
          <w:p w14:paraId="23A4C556" w14:textId="77777777" w:rsidR="006E44D9" w:rsidRDefault="006E44D9" w:rsidP="006E44D9">
            <w:pPr>
              <w:rPr>
                <w:b/>
                <w:sz w:val="20"/>
                <w:szCs w:val="20"/>
                <w:lang w:eastAsia="en-US"/>
              </w:rPr>
            </w:pPr>
            <w:r>
              <w:rPr>
                <w:b/>
                <w:sz w:val="20"/>
                <w:szCs w:val="20"/>
                <w:lang w:eastAsia="en-US"/>
              </w:rPr>
              <w:t>Premaxilla, length compared to width: (*)</w:t>
            </w:r>
          </w:p>
          <w:p w14:paraId="033343AC" w14:textId="6A284916" w:rsidR="006E44D9" w:rsidRDefault="006E44D9" w:rsidP="006E44D9">
            <w:pPr>
              <w:rPr>
                <w:i/>
                <w:sz w:val="20"/>
                <w:szCs w:val="20"/>
                <w:lang w:eastAsia="en-US"/>
              </w:rPr>
            </w:pPr>
            <w:r>
              <w:rPr>
                <w:i/>
                <w:sz w:val="20"/>
                <w:szCs w:val="20"/>
                <w:lang w:eastAsia="en-US"/>
              </w:rPr>
              <w:t xml:space="preserve">Jouve et al. (2008, ch. </w:t>
            </w:r>
            <w:r>
              <w:rPr>
                <w:bCs/>
                <w:i/>
                <w:sz w:val="20"/>
                <w:szCs w:val="20"/>
                <w:lang w:eastAsia="en-US"/>
              </w:rPr>
              <w:t xml:space="preserve">41 modified); Hastings et al. (2010, ch. 22 modified), </w:t>
            </w:r>
            <w:r>
              <w:rPr>
                <w:i/>
                <w:sz w:val="20"/>
                <w:szCs w:val="20"/>
                <w:lang w:eastAsia="en-US"/>
              </w:rPr>
              <w:t xml:space="preserve">Ristevski et al. (2018, ds 2, ch. 23); Smith et al. (in review, ds 1, ch. 24); </w:t>
            </w:r>
            <w:r>
              <w:rPr>
                <w:i/>
                <w:sz w:val="20"/>
                <w:szCs w:val="20"/>
              </w:rPr>
              <w:t>Ősi et al. (in review, ds 1, ch. 34)</w:t>
            </w:r>
            <w:r>
              <w:rPr>
                <w:i/>
                <w:sz w:val="20"/>
                <w:szCs w:val="20"/>
                <w:lang w:eastAsia="en-US"/>
              </w:rPr>
              <w:t>.</w:t>
            </w:r>
          </w:p>
          <w:p w14:paraId="60B7BF46" w14:textId="77777777" w:rsidR="006E44D9" w:rsidRDefault="006E44D9" w:rsidP="006E44D9">
            <w:pPr>
              <w:rPr>
                <w:i/>
                <w:sz w:val="20"/>
                <w:szCs w:val="20"/>
                <w:lang w:eastAsia="en-US"/>
              </w:rPr>
            </w:pPr>
            <w:r>
              <w:rPr>
                <w:i/>
                <w:sz w:val="20"/>
                <w:szCs w:val="20"/>
                <w:lang w:eastAsia="en-US"/>
              </w:rPr>
              <w:t>State (1) occurs in derived dyrosaurids.</w:t>
            </w:r>
          </w:p>
          <w:p w14:paraId="0431DD91" w14:textId="77777777" w:rsidR="006E44D9" w:rsidRDefault="006E44D9" w:rsidP="006E44D9">
            <w:pPr>
              <w:rPr>
                <w:i/>
                <w:sz w:val="20"/>
                <w:szCs w:val="20"/>
                <w:lang w:eastAsia="en-US"/>
              </w:rPr>
            </w:pPr>
            <w:r>
              <w:rPr>
                <w:bCs/>
                <w:i/>
                <w:sz w:val="20"/>
                <w:szCs w:val="20"/>
                <w:lang w:eastAsia="en-US"/>
              </w:rPr>
              <w:t>This character is not applicable for taxa that have posterodorsally retracted external nares.</w:t>
            </w:r>
          </w:p>
          <w:p w14:paraId="080DB4D5" w14:textId="77777777" w:rsidR="006E44D9" w:rsidRDefault="006E44D9" w:rsidP="006E44D9">
            <w:pPr>
              <w:rPr>
                <w:sz w:val="20"/>
                <w:szCs w:val="20"/>
                <w:lang w:eastAsia="en-US"/>
              </w:rPr>
            </w:pPr>
            <w:r>
              <w:rPr>
                <w:sz w:val="20"/>
                <w:szCs w:val="20"/>
                <w:lang w:eastAsia="en-US"/>
              </w:rPr>
              <w:t>0. slightly longer than wide</w:t>
            </w:r>
          </w:p>
          <w:p w14:paraId="10DF08DA" w14:textId="77777777" w:rsidR="006E44D9" w:rsidRDefault="006E44D9" w:rsidP="006E44D9">
            <w:pPr>
              <w:rPr>
                <w:sz w:val="20"/>
                <w:szCs w:val="20"/>
                <w:lang w:eastAsia="en-US"/>
              </w:rPr>
            </w:pPr>
            <w:r>
              <w:rPr>
                <w:sz w:val="20"/>
                <w:szCs w:val="20"/>
                <w:lang w:eastAsia="en-US"/>
              </w:rPr>
              <w:t xml:space="preserve">1. nearly three times longer than wide, or more than three times longer than wide </w:t>
            </w:r>
          </w:p>
        </w:tc>
      </w:tr>
      <w:tr w:rsidR="006E44D9" w14:paraId="6877E23E" w14:textId="77777777" w:rsidTr="006E44D9">
        <w:tc>
          <w:tcPr>
            <w:tcW w:w="0" w:type="auto"/>
            <w:tcBorders>
              <w:top w:val="single" w:sz="4" w:space="0" w:color="auto"/>
              <w:left w:val="single" w:sz="4" w:space="0" w:color="auto"/>
              <w:bottom w:val="single" w:sz="4" w:space="0" w:color="auto"/>
              <w:right w:val="single" w:sz="4" w:space="0" w:color="auto"/>
            </w:tcBorders>
          </w:tcPr>
          <w:p w14:paraId="186F9114" w14:textId="749D7223" w:rsidR="006E44D9" w:rsidRDefault="006E44D9" w:rsidP="006E44D9">
            <w:pPr>
              <w:rPr>
                <w:color w:val="000000"/>
                <w:sz w:val="20"/>
                <w:szCs w:val="20"/>
                <w:lang w:eastAsia="en-US"/>
              </w:rPr>
            </w:pPr>
            <w:r>
              <w:rPr>
                <w:color w:val="000000"/>
                <w:sz w:val="20"/>
                <w:szCs w:val="20"/>
                <w:lang w:eastAsia="en-US"/>
              </w:rPr>
              <w:t>40</w:t>
            </w:r>
          </w:p>
        </w:tc>
        <w:tc>
          <w:tcPr>
            <w:tcW w:w="0" w:type="auto"/>
            <w:tcBorders>
              <w:top w:val="single" w:sz="4" w:space="0" w:color="auto"/>
              <w:left w:val="single" w:sz="4" w:space="0" w:color="auto"/>
              <w:bottom w:val="single" w:sz="4" w:space="0" w:color="auto"/>
              <w:right w:val="single" w:sz="4" w:space="0" w:color="auto"/>
            </w:tcBorders>
            <w:vAlign w:val="bottom"/>
            <w:hideMark/>
          </w:tcPr>
          <w:p w14:paraId="0B1D721A" w14:textId="77777777" w:rsidR="006E44D9" w:rsidRDefault="006E44D9" w:rsidP="006E44D9">
            <w:pPr>
              <w:autoSpaceDE w:val="0"/>
              <w:autoSpaceDN w:val="0"/>
              <w:adjustRightInd w:val="0"/>
              <w:rPr>
                <w:b/>
                <w:sz w:val="20"/>
                <w:szCs w:val="20"/>
                <w:lang w:eastAsia="en-US"/>
              </w:rPr>
            </w:pPr>
            <w:r>
              <w:rPr>
                <w:b/>
                <w:sz w:val="20"/>
                <w:szCs w:val="20"/>
                <w:lang w:eastAsia="en-US"/>
              </w:rPr>
              <w:t>Premaxilla, ventral surface, presence of large depressions/notches for reception of the D1 teeth:</w:t>
            </w:r>
          </w:p>
          <w:p w14:paraId="03AF0E04" w14:textId="38D6D54E" w:rsidR="006E44D9" w:rsidRDefault="006E44D9" w:rsidP="006E44D9">
            <w:pPr>
              <w:autoSpaceDE w:val="0"/>
              <w:autoSpaceDN w:val="0"/>
              <w:adjustRightInd w:val="0"/>
              <w:rPr>
                <w:i/>
                <w:sz w:val="20"/>
                <w:szCs w:val="20"/>
                <w:lang w:eastAsia="en-US"/>
              </w:rPr>
            </w:pPr>
            <w:r>
              <w:rPr>
                <w:i/>
                <w:sz w:val="20"/>
                <w:szCs w:val="20"/>
                <w:lang w:eastAsia="en-US"/>
              </w:rPr>
              <w:t xml:space="preserve">Ristevski et al. (2018, ds 2, ch. 24); Smith et al. (in review, ds 1, ch. 25); </w:t>
            </w:r>
            <w:r>
              <w:rPr>
                <w:i/>
                <w:sz w:val="20"/>
                <w:szCs w:val="20"/>
              </w:rPr>
              <w:t>Ősi et al. (in review, ds 1, ch. 35)</w:t>
            </w:r>
            <w:r>
              <w:rPr>
                <w:i/>
                <w:sz w:val="20"/>
                <w:szCs w:val="20"/>
                <w:lang w:eastAsia="en-US"/>
              </w:rPr>
              <w:t>.</w:t>
            </w:r>
          </w:p>
          <w:p w14:paraId="6DB95643" w14:textId="77777777" w:rsidR="006E44D9" w:rsidRDefault="006E44D9" w:rsidP="006E44D9">
            <w:pPr>
              <w:autoSpaceDE w:val="0"/>
              <w:autoSpaceDN w:val="0"/>
              <w:adjustRightInd w:val="0"/>
              <w:rPr>
                <w:sz w:val="20"/>
                <w:szCs w:val="20"/>
                <w:lang w:eastAsia="en-US"/>
              </w:rPr>
            </w:pPr>
            <w:r>
              <w:rPr>
                <w:i/>
                <w:sz w:val="20"/>
                <w:szCs w:val="20"/>
                <w:lang w:eastAsia="en-US"/>
              </w:rPr>
              <w:t>State (1)</w:t>
            </w:r>
            <w:r>
              <w:rPr>
                <w:sz w:val="20"/>
                <w:szCs w:val="20"/>
                <w:lang w:eastAsia="en-US"/>
              </w:rPr>
              <w:t xml:space="preserve"> </w:t>
            </w:r>
            <w:r>
              <w:rPr>
                <w:i/>
                <w:sz w:val="20"/>
                <w:szCs w:val="20"/>
                <w:lang w:eastAsia="en-US"/>
              </w:rPr>
              <w:t>occurs in the pholidosaurids</w:t>
            </w:r>
            <w:r>
              <w:rPr>
                <w:sz w:val="20"/>
                <w:szCs w:val="20"/>
                <w:lang w:eastAsia="en-US"/>
              </w:rPr>
              <w:t xml:space="preserve"> Terminonaris, Meridiosaurus, Sarcosuchus </w:t>
            </w:r>
            <w:r>
              <w:rPr>
                <w:i/>
                <w:sz w:val="20"/>
                <w:szCs w:val="20"/>
                <w:lang w:eastAsia="en-US"/>
              </w:rPr>
              <w:t xml:space="preserve">and </w:t>
            </w:r>
            <w:r>
              <w:rPr>
                <w:sz w:val="20"/>
                <w:szCs w:val="20"/>
                <w:lang w:eastAsia="en-US"/>
              </w:rPr>
              <w:t xml:space="preserve">Oceanosuchus, </w:t>
            </w:r>
            <w:r>
              <w:rPr>
                <w:i/>
                <w:sz w:val="20"/>
                <w:szCs w:val="20"/>
                <w:lang w:eastAsia="en-US"/>
              </w:rPr>
              <w:t xml:space="preserve">goniopholididids </w:t>
            </w:r>
            <w:r>
              <w:rPr>
                <w:sz w:val="20"/>
                <w:szCs w:val="20"/>
                <w:lang w:eastAsia="en-US"/>
              </w:rPr>
              <w:t xml:space="preserve">Anteophthalmosuchus sp., Amphicotylus stovalli </w:t>
            </w:r>
            <w:r>
              <w:rPr>
                <w:i/>
                <w:sz w:val="20"/>
                <w:szCs w:val="20"/>
                <w:lang w:eastAsia="en-US"/>
              </w:rPr>
              <w:t>and</w:t>
            </w:r>
            <w:r>
              <w:rPr>
                <w:sz w:val="20"/>
                <w:szCs w:val="20"/>
                <w:lang w:eastAsia="en-US"/>
              </w:rPr>
              <w:t xml:space="preserve"> Calsoyasuchus, </w:t>
            </w:r>
            <w:r>
              <w:rPr>
                <w:i/>
                <w:sz w:val="20"/>
                <w:szCs w:val="20"/>
                <w:lang w:eastAsia="en-US"/>
              </w:rPr>
              <w:t>and</w:t>
            </w:r>
            <w:r>
              <w:rPr>
                <w:sz w:val="20"/>
                <w:szCs w:val="20"/>
                <w:lang w:eastAsia="en-US"/>
              </w:rPr>
              <w:t xml:space="preserve"> </w:t>
            </w:r>
            <w:r>
              <w:rPr>
                <w:i/>
                <w:sz w:val="20"/>
                <w:szCs w:val="20"/>
                <w:lang w:eastAsia="en-US"/>
              </w:rPr>
              <w:t>basal</w:t>
            </w:r>
            <w:r>
              <w:rPr>
                <w:sz w:val="20"/>
                <w:szCs w:val="20"/>
                <w:lang w:eastAsia="en-US"/>
              </w:rPr>
              <w:t xml:space="preserve"> </w:t>
            </w:r>
            <w:r>
              <w:rPr>
                <w:i/>
                <w:sz w:val="20"/>
                <w:szCs w:val="20"/>
                <w:lang w:eastAsia="en-US"/>
              </w:rPr>
              <w:t>dyrosaurids</w:t>
            </w:r>
            <w:r>
              <w:rPr>
                <w:sz w:val="20"/>
                <w:szCs w:val="20"/>
                <w:lang w:eastAsia="en-US"/>
              </w:rPr>
              <w:t xml:space="preserve"> (e.g. Cerrejonisuchus).</w:t>
            </w:r>
          </w:p>
          <w:p w14:paraId="7A2F4BFC" w14:textId="77777777" w:rsidR="006E44D9" w:rsidRDefault="006E44D9" w:rsidP="006E44D9">
            <w:pPr>
              <w:autoSpaceDE w:val="0"/>
              <w:autoSpaceDN w:val="0"/>
              <w:adjustRightInd w:val="0"/>
              <w:rPr>
                <w:sz w:val="20"/>
                <w:szCs w:val="20"/>
                <w:lang w:eastAsia="en-US"/>
              </w:rPr>
            </w:pPr>
            <w:r>
              <w:rPr>
                <w:i/>
                <w:sz w:val="20"/>
                <w:szCs w:val="20"/>
                <w:lang w:eastAsia="en-US"/>
              </w:rPr>
              <w:t>State (2) occurs in</w:t>
            </w:r>
            <w:r>
              <w:rPr>
                <w:sz w:val="20"/>
                <w:szCs w:val="20"/>
                <w:lang w:eastAsia="en-US"/>
              </w:rPr>
              <w:t xml:space="preserve"> Elosuchus cherifiensis </w:t>
            </w:r>
            <w:r>
              <w:rPr>
                <w:i/>
                <w:sz w:val="20"/>
                <w:szCs w:val="20"/>
                <w:lang w:eastAsia="en-US"/>
              </w:rPr>
              <w:t>and</w:t>
            </w:r>
            <w:r>
              <w:rPr>
                <w:sz w:val="20"/>
                <w:szCs w:val="20"/>
                <w:lang w:eastAsia="en-US"/>
              </w:rPr>
              <w:t xml:space="preserve"> E. broinae.</w:t>
            </w:r>
          </w:p>
          <w:p w14:paraId="0383084C" w14:textId="77777777" w:rsidR="006E44D9" w:rsidRDefault="006E44D9" w:rsidP="006E44D9">
            <w:pPr>
              <w:autoSpaceDE w:val="0"/>
              <w:autoSpaceDN w:val="0"/>
              <w:adjustRightInd w:val="0"/>
              <w:rPr>
                <w:sz w:val="20"/>
                <w:szCs w:val="20"/>
                <w:lang w:eastAsia="en-US"/>
              </w:rPr>
            </w:pPr>
            <w:r>
              <w:rPr>
                <w:sz w:val="20"/>
                <w:szCs w:val="20"/>
                <w:lang w:eastAsia="en-US"/>
              </w:rPr>
              <w:t>0. absent</w:t>
            </w:r>
          </w:p>
          <w:p w14:paraId="54E207ED" w14:textId="77777777" w:rsidR="006E44D9" w:rsidRDefault="006E44D9" w:rsidP="006E44D9">
            <w:pPr>
              <w:autoSpaceDE w:val="0"/>
              <w:autoSpaceDN w:val="0"/>
              <w:adjustRightInd w:val="0"/>
              <w:rPr>
                <w:sz w:val="20"/>
                <w:szCs w:val="20"/>
                <w:lang w:eastAsia="en-US"/>
              </w:rPr>
            </w:pPr>
            <w:r>
              <w:rPr>
                <w:sz w:val="20"/>
                <w:szCs w:val="20"/>
                <w:lang w:eastAsia="en-US"/>
              </w:rPr>
              <w:t>1.</w:t>
            </w:r>
            <w:r>
              <w:rPr>
                <w:b/>
                <w:sz w:val="20"/>
                <w:szCs w:val="20"/>
                <w:lang w:eastAsia="en-US"/>
              </w:rPr>
              <w:t xml:space="preserve"> </w:t>
            </w:r>
            <w:r>
              <w:rPr>
                <w:sz w:val="20"/>
                <w:szCs w:val="20"/>
                <w:lang w:eastAsia="en-US"/>
              </w:rPr>
              <w:t>occurs posterior to either the P1–P2 (or just the P2) alveoli, and are ventral to the external nares</w:t>
            </w:r>
          </w:p>
          <w:p w14:paraId="7E56F166" w14:textId="77777777" w:rsidR="006E44D9" w:rsidRDefault="006E44D9" w:rsidP="006E44D9">
            <w:pPr>
              <w:autoSpaceDE w:val="0"/>
              <w:autoSpaceDN w:val="0"/>
              <w:adjustRightInd w:val="0"/>
              <w:rPr>
                <w:b/>
                <w:sz w:val="20"/>
                <w:szCs w:val="20"/>
                <w:lang w:eastAsia="en-US"/>
              </w:rPr>
            </w:pPr>
            <w:r>
              <w:rPr>
                <w:sz w:val="20"/>
                <w:szCs w:val="20"/>
                <w:lang w:eastAsia="en-US"/>
              </w:rPr>
              <w:t>2. occurs between, and separates, the P1–P2 alveoli from the P3–P4 alveoli</w:t>
            </w:r>
          </w:p>
        </w:tc>
      </w:tr>
      <w:tr w:rsidR="006E44D9" w14:paraId="7F4E3F5D" w14:textId="77777777" w:rsidTr="006E44D9">
        <w:tc>
          <w:tcPr>
            <w:tcW w:w="0" w:type="auto"/>
            <w:tcBorders>
              <w:top w:val="single" w:sz="4" w:space="0" w:color="auto"/>
              <w:left w:val="single" w:sz="4" w:space="0" w:color="auto"/>
              <w:bottom w:val="single" w:sz="4" w:space="0" w:color="auto"/>
              <w:right w:val="single" w:sz="4" w:space="0" w:color="auto"/>
            </w:tcBorders>
          </w:tcPr>
          <w:p w14:paraId="5A2F5F08" w14:textId="57309596" w:rsidR="006E44D9" w:rsidRDefault="006E44D9" w:rsidP="006E44D9">
            <w:pPr>
              <w:rPr>
                <w:color w:val="000000"/>
                <w:sz w:val="20"/>
                <w:szCs w:val="20"/>
                <w:lang w:eastAsia="en-US"/>
              </w:rPr>
            </w:pPr>
            <w:r>
              <w:rPr>
                <w:color w:val="000000"/>
                <w:sz w:val="20"/>
                <w:szCs w:val="20"/>
                <w:lang w:eastAsia="en-US"/>
              </w:rPr>
              <w:t>41</w:t>
            </w:r>
          </w:p>
        </w:tc>
        <w:tc>
          <w:tcPr>
            <w:tcW w:w="0" w:type="auto"/>
            <w:tcBorders>
              <w:top w:val="single" w:sz="4" w:space="0" w:color="auto"/>
              <w:left w:val="single" w:sz="4" w:space="0" w:color="auto"/>
              <w:bottom w:val="single" w:sz="4" w:space="0" w:color="auto"/>
              <w:right w:val="single" w:sz="4" w:space="0" w:color="auto"/>
            </w:tcBorders>
            <w:vAlign w:val="bottom"/>
            <w:hideMark/>
          </w:tcPr>
          <w:p w14:paraId="665D8F12" w14:textId="77777777" w:rsidR="006E44D9" w:rsidRDefault="006E44D9" w:rsidP="006E44D9">
            <w:pPr>
              <w:autoSpaceDE w:val="0"/>
              <w:autoSpaceDN w:val="0"/>
              <w:adjustRightInd w:val="0"/>
              <w:rPr>
                <w:b/>
                <w:sz w:val="20"/>
                <w:szCs w:val="20"/>
                <w:lang w:eastAsia="en-US"/>
              </w:rPr>
            </w:pPr>
            <w:r>
              <w:rPr>
                <w:b/>
                <w:sz w:val="20"/>
                <w:szCs w:val="20"/>
                <w:lang w:eastAsia="en-US"/>
              </w:rPr>
              <w:t>Premaxilla, when seen in lateral view: (ORDERED)</w:t>
            </w:r>
          </w:p>
          <w:p w14:paraId="2E468539" w14:textId="3457DCAB" w:rsidR="006E44D9" w:rsidRDefault="006E44D9" w:rsidP="006E44D9">
            <w:pPr>
              <w:autoSpaceDE w:val="0"/>
              <w:autoSpaceDN w:val="0"/>
              <w:adjustRightInd w:val="0"/>
              <w:rPr>
                <w:i/>
                <w:sz w:val="20"/>
                <w:szCs w:val="20"/>
                <w:lang w:eastAsia="en-US"/>
              </w:rPr>
            </w:pPr>
            <w:r>
              <w:rPr>
                <w:i/>
                <w:sz w:val="20"/>
                <w:szCs w:val="20"/>
                <w:lang w:eastAsia="en-US"/>
              </w:rPr>
              <w:t xml:space="preserve">Young et al. (2016, ds 2, ch. 13 modified), Ristevski et al. (2018, ds 2, ch. 26); Smith et al. (in review, ds 1, ch. 27); </w:t>
            </w:r>
            <w:r>
              <w:rPr>
                <w:i/>
                <w:sz w:val="20"/>
                <w:szCs w:val="20"/>
              </w:rPr>
              <w:t>Ősi et al. (in review, ds 1, ch. 36)</w:t>
            </w:r>
            <w:r>
              <w:rPr>
                <w:i/>
                <w:sz w:val="20"/>
                <w:szCs w:val="20"/>
                <w:lang w:eastAsia="en-US"/>
              </w:rPr>
              <w:t>.</w:t>
            </w:r>
          </w:p>
          <w:p w14:paraId="6271B3D2" w14:textId="5E308366" w:rsidR="006E44D9" w:rsidRDefault="006E44D9" w:rsidP="006E44D9">
            <w:pPr>
              <w:autoSpaceDE w:val="0"/>
              <w:autoSpaceDN w:val="0"/>
              <w:adjustRightInd w:val="0"/>
              <w:rPr>
                <w:i/>
                <w:sz w:val="20"/>
                <w:szCs w:val="20"/>
                <w:lang w:eastAsia="en-US"/>
              </w:rPr>
            </w:pPr>
            <w:r>
              <w:rPr>
                <w:i/>
                <w:sz w:val="20"/>
                <w:szCs w:val="20"/>
                <w:lang w:eastAsia="en-US"/>
              </w:rPr>
              <w:t xml:space="preserve">This character scores the ‘pholidosaurid beak’. However, </w:t>
            </w:r>
            <w:r>
              <w:rPr>
                <w:sz w:val="20"/>
                <w:szCs w:val="20"/>
                <w:lang w:eastAsia="en-US"/>
              </w:rPr>
              <w:t xml:space="preserve">Meridiosaurus </w:t>
            </w:r>
            <w:r>
              <w:rPr>
                <w:i/>
                <w:sz w:val="20"/>
                <w:szCs w:val="20"/>
                <w:lang w:eastAsia="en-US"/>
              </w:rPr>
              <w:t>does not have a fully sub-vertical ‘beak’, but do have an intermediate morphology. This morphology is herein considered homologous to the ventral alveolar row of goniopholidids and basal dyrosaurids.</w:t>
            </w:r>
          </w:p>
          <w:p w14:paraId="062DC97C" w14:textId="070A1E8C" w:rsidR="006C28EB" w:rsidRDefault="006C28EB" w:rsidP="006E44D9">
            <w:pPr>
              <w:autoSpaceDE w:val="0"/>
              <w:autoSpaceDN w:val="0"/>
              <w:adjustRightInd w:val="0"/>
              <w:rPr>
                <w:i/>
                <w:sz w:val="20"/>
                <w:szCs w:val="20"/>
                <w:lang w:eastAsia="en-US"/>
              </w:rPr>
            </w:pPr>
            <w:r>
              <w:rPr>
                <w:i/>
                <w:sz w:val="20"/>
                <w:szCs w:val="20"/>
                <w:lang w:eastAsia="en-US"/>
              </w:rPr>
              <w:t>This character is not applicable for th</w:t>
            </w:r>
            <w:r w:rsidR="001C3945">
              <w:rPr>
                <w:i/>
                <w:sz w:val="20"/>
                <w:szCs w:val="20"/>
                <w:lang w:eastAsia="en-US"/>
              </w:rPr>
              <w:t xml:space="preserve">ose with a </w:t>
            </w:r>
            <w:r w:rsidRPr="006C28EB">
              <w:rPr>
                <w:i/>
                <w:sz w:val="20"/>
                <w:szCs w:val="20"/>
                <w:lang w:eastAsia="en-US"/>
              </w:rPr>
              <w:t>str</w:t>
            </w:r>
            <w:r>
              <w:rPr>
                <w:i/>
                <w:sz w:val="20"/>
                <w:szCs w:val="20"/>
                <w:lang w:eastAsia="en-US"/>
              </w:rPr>
              <w:t xml:space="preserve">ongly orientated anteroventral premaxilla </w:t>
            </w:r>
            <w:r w:rsidR="001C3945">
              <w:rPr>
                <w:i/>
                <w:sz w:val="20"/>
                <w:szCs w:val="20"/>
                <w:lang w:eastAsia="en-US"/>
              </w:rPr>
              <w:t xml:space="preserve">(e.g. </w:t>
            </w:r>
            <w:r>
              <w:rPr>
                <w:i/>
                <w:sz w:val="20"/>
                <w:szCs w:val="20"/>
                <w:lang w:eastAsia="en-US"/>
              </w:rPr>
              <w:t>in teleosauroids</w:t>
            </w:r>
            <w:r w:rsidR="001C3945">
              <w:rPr>
                <w:i/>
                <w:sz w:val="20"/>
                <w:szCs w:val="20"/>
                <w:lang w:eastAsia="en-US"/>
              </w:rPr>
              <w:t>)</w:t>
            </w:r>
            <w:r>
              <w:rPr>
                <w:i/>
                <w:sz w:val="20"/>
                <w:szCs w:val="20"/>
                <w:lang w:eastAsia="en-US"/>
              </w:rPr>
              <w:t xml:space="preserve">. </w:t>
            </w:r>
          </w:p>
          <w:p w14:paraId="3F0C7082" w14:textId="77777777" w:rsidR="006E44D9" w:rsidRDefault="006E44D9" w:rsidP="006E44D9">
            <w:pPr>
              <w:autoSpaceDE w:val="0"/>
              <w:autoSpaceDN w:val="0"/>
              <w:adjustRightInd w:val="0"/>
              <w:rPr>
                <w:sz w:val="20"/>
                <w:szCs w:val="20"/>
                <w:lang w:eastAsia="en-US"/>
              </w:rPr>
            </w:pPr>
            <w:r>
              <w:rPr>
                <w:i/>
                <w:sz w:val="20"/>
                <w:szCs w:val="20"/>
                <w:lang w:eastAsia="en-US"/>
              </w:rPr>
              <w:t xml:space="preserve">State (1) occurs in </w:t>
            </w:r>
            <w:r>
              <w:rPr>
                <w:sz w:val="20"/>
                <w:szCs w:val="20"/>
                <w:lang w:eastAsia="en-US"/>
              </w:rPr>
              <w:t>Meridiosaurus,</w:t>
            </w:r>
            <w:r>
              <w:rPr>
                <w:i/>
                <w:sz w:val="20"/>
                <w:szCs w:val="20"/>
                <w:lang w:eastAsia="en-US"/>
              </w:rPr>
              <w:t xml:space="preserve"> </w:t>
            </w:r>
            <w:r>
              <w:rPr>
                <w:sz w:val="20"/>
                <w:szCs w:val="20"/>
                <w:lang w:eastAsia="en-US"/>
              </w:rPr>
              <w:t xml:space="preserve">Elosuchus, </w:t>
            </w:r>
            <w:r>
              <w:rPr>
                <w:i/>
                <w:sz w:val="20"/>
                <w:szCs w:val="20"/>
                <w:lang w:eastAsia="en-US"/>
              </w:rPr>
              <w:t xml:space="preserve">and the French </w:t>
            </w:r>
            <w:r>
              <w:rPr>
                <w:sz w:val="20"/>
                <w:szCs w:val="20"/>
                <w:lang w:eastAsia="en-US"/>
              </w:rPr>
              <w:t xml:space="preserve">Pholidosaurus, </w:t>
            </w:r>
            <w:r>
              <w:rPr>
                <w:i/>
                <w:sz w:val="20"/>
                <w:szCs w:val="20"/>
                <w:lang w:eastAsia="en-US"/>
              </w:rPr>
              <w:t>and in the goniopholidids</w:t>
            </w:r>
            <w:r>
              <w:rPr>
                <w:sz w:val="20"/>
                <w:szCs w:val="20"/>
                <w:lang w:eastAsia="en-US"/>
              </w:rPr>
              <w:t xml:space="preserve"> Anteophthalmosuchus sp., Amphicotylus stovalli </w:t>
            </w:r>
            <w:r>
              <w:rPr>
                <w:i/>
                <w:sz w:val="20"/>
                <w:szCs w:val="20"/>
                <w:lang w:eastAsia="en-US"/>
              </w:rPr>
              <w:t>and</w:t>
            </w:r>
            <w:r>
              <w:rPr>
                <w:sz w:val="20"/>
                <w:szCs w:val="20"/>
                <w:lang w:eastAsia="en-US"/>
              </w:rPr>
              <w:t xml:space="preserve"> Goniopholis kiplingi, </w:t>
            </w:r>
            <w:r>
              <w:rPr>
                <w:i/>
                <w:sz w:val="20"/>
                <w:szCs w:val="20"/>
                <w:lang w:eastAsia="en-US"/>
              </w:rPr>
              <w:t>and the basal dyrosaurid</w:t>
            </w:r>
            <w:r>
              <w:rPr>
                <w:sz w:val="20"/>
                <w:szCs w:val="20"/>
                <w:lang w:eastAsia="en-US"/>
              </w:rPr>
              <w:t xml:space="preserve"> Cerrejonisuchus.</w:t>
            </w:r>
          </w:p>
          <w:p w14:paraId="5B44F04F" w14:textId="77777777" w:rsidR="006E44D9" w:rsidRDefault="006E44D9" w:rsidP="006E44D9">
            <w:pPr>
              <w:autoSpaceDE w:val="0"/>
              <w:autoSpaceDN w:val="0"/>
              <w:adjustRightInd w:val="0"/>
              <w:rPr>
                <w:i/>
                <w:sz w:val="20"/>
                <w:szCs w:val="20"/>
                <w:lang w:eastAsia="en-US"/>
              </w:rPr>
            </w:pPr>
            <w:r>
              <w:rPr>
                <w:i/>
                <w:sz w:val="20"/>
                <w:szCs w:val="20"/>
                <w:lang w:eastAsia="en-US"/>
              </w:rPr>
              <w:t xml:space="preserve">State (2) occurs in the pholidosaurids </w:t>
            </w:r>
            <w:r>
              <w:rPr>
                <w:sz w:val="20"/>
                <w:szCs w:val="20"/>
                <w:lang w:eastAsia="en-US"/>
              </w:rPr>
              <w:t xml:space="preserve">Chalawan, Sarcosuchus, Terminonaris </w:t>
            </w:r>
            <w:r>
              <w:rPr>
                <w:i/>
                <w:sz w:val="20"/>
                <w:szCs w:val="20"/>
                <w:lang w:eastAsia="en-US"/>
              </w:rPr>
              <w:t xml:space="preserve">and </w:t>
            </w:r>
            <w:r>
              <w:rPr>
                <w:sz w:val="20"/>
                <w:szCs w:val="20"/>
                <w:lang w:eastAsia="en-US"/>
              </w:rPr>
              <w:t xml:space="preserve">Oceanosuchus, </w:t>
            </w:r>
          </w:p>
          <w:p w14:paraId="7EC3F2AB" w14:textId="77777777" w:rsidR="006E44D9" w:rsidRDefault="006E44D9" w:rsidP="006E44D9">
            <w:pPr>
              <w:autoSpaceDE w:val="0"/>
              <w:autoSpaceDN w:val="0"/>
              <w:adjustRightInd w:val="0"/>
              <w:rPr>
                <w:sz w:val="20"/>
                <w:szCs w:val="20"/>
                <w:lang w:eastAsia="en-US"/>
              </w:rPr>
            </w:pPr>
            <w:r>
              <w:rPr>
                <w:sz w:val="20"/>
                <w:szCs w:val="20"/>
                <w:lang w:eastAsia="en-US"/>
              </w:rPr>
              <w:t>0. the anterior and anterolateral margins are not sub-vertical, and do not extend ventrally when compared to the rest of the premaxilla (i.e. the dentigerous margins)</w:t>
            </w:r>
          </w:p>
          <w:p w14:paraId="3E418082" w14:textId="77777777" w:rsidR="006E44D9" w:rsidRDefault="006E44D9" w:rsidP="006E44D9">
            <w:pPr>
              <w:autoSpaceDE w:val="0"/>
              <w:autoSpaceDN w:val="0"/>
              <w:adjustRightInd w:val="0"/>
              <w:rPr>
                <w:sz w:val="20"/>
                <w:szCs w:val="20"/>
                <w:lang w:eastAsia="en-US"/>
              </w:rPr>
            </w:pPr>
            <w:r>
              <w:rPr>
                <w:sz w:val="20"/>
                <w:szCs w:val="20"/>
                <w:lang w:eastAsia="en-US"/>
              </w:rPr>
              <w:t>1. the anterior and anterolateral margins are slightly sub-vertical, and slightly extend ventrally to the rest of the element</w:t>
            </w:r>
          </w:p>
          <w:p w14:paraId="71EBD4C3" w14:textId="77777777" w:rsidR="006E44D9" w:rsidRDefault="006E44D9" w:rsidP="006E44D9">
            <w:pPr>
              <w:rPr>
                <w:b/>
                <w:color w:val="000000"/>
                <w:sz w:val="20"/>
                <w:szCs w:val="20"/>
                <w:lang w:eastAsia="en-US"/>
              </w:rPr>
            </w:pPr>
            <w:r>
              <w:rPr>
                <w:sz w:val="20"/>
                <w:szCs w:val="20"/>
                <w:lang w:eastAsia="en-US"/>
              </w:rPr>
              <w:t>2.  the anterior and anterolateral margins are fully sub-vertical and extend ventrally to the rest of the element</w:t>
            </w:r>
          </w:p>
        </w:tc>
      </w:tr>
      <w:tr w:rsidR="006E44D9" w14:paraId="4AB40ADF" w14:textId="77777777" w:rsidTr="006E44D9">
        <w:tc>
          <w:tcPr>
            <w:tcW w:w="0" w:type="auto"/>
            <w:tcBorders>
              <w:top w:val="single" w:sz="4" w:space="0" w:color="auto"/>
              <w:left w:val="single" w:sz="4" w:space="0" w:color="auto"/>
              <w:bottom w:val="single" w:sz="4" w:space="0" w:color="auto"/>
              <w:right w:val="single" w:sz="4" w:space="0" w:color="auto"/>
            </w:tcBorders>
          </w:tcPr>
          <w:p w14:paraId="77E1BCCE" w14:textId="7DE7727B" w:rsidR="006E44D9" w:rsidRDefault="006E44D9" w:rsidP="006E44D9">
            <w:pPr>
              <w:rPr>
                <w:color w:val="000000"/>
                <w:sz w:val="20"/>
                <w:szCs w:val="20"/>
                <w:lang w:eastAsia="en-US"/>
              </w:rPr>
            </w:pPr>
            <w:r>
              <w:rPr>
                <w:color w:val="000000"/>
                <w:sz w:val="20"/>
                <w:szCs w:val="20"/>
                <w:lang w:eastAsia="en-US"/>
              </w:rPr>
              <w:t>42</w:t>
            </w:r>
          </w:p>
        </w:tc>
        <w:tc>
          <w:tcPr>
            <w:tcW w:w="0" w:type="auto"/>
            <w:tcBorders>
              <w:top w:val="single" w:sz="4" w:space="0" w:color="auto"/>
              <w:left w:val="single" w:sz="4" w:space="0" w:color="auto"/>
              <w:bottom w:val="single" w:sz="4" w:space="0" w:color="auto"/>
              <w:right w:val="single" w:sz="4" w:space="0" w:color="auto"/>
            </w:tcBorders>
            <w:vAlign w:val="bottom"/>
            <w:hideMark/>
          </w:tcPr>
          <w:p w14:paraId="2A152BF0" w14:textId="77777777" w:rsidR="006E44D9" w:rsidRDefault="006E44D9" w:rsidP="006E44D9">
            <w:pPr>
              <w:autoSpaceDE w:val="0"/>
              <w:autoSpaceDN w:val="0"/>
              <w:adjustRightInd w:val="0"/>
              <w:rPr>
                <w:b/>
                <w:sz w:val="20"/>
                <w:szCs w:val="20"/>
                <w:lang w:eastAsia="en-US"/>
              </w:rPr>
            </w:pPr>
            <w:r>
              <w:rPr>
                <w:b/>
                <w:sz w:val="20"/>
                <w:szCs w:val="20"/>
                <w:lang w:eastAsia="en-US"/>
              </w:rPr>
              <w:t>Premaxilla, when seen in lateral view:</w:t>
            </w:r>
          </w:p>
          <w:p w14:paraId="09436ED5" w14:textId="5833C97F" w:rsidR="006E44D9" w:rsidRDefault="006E44D9" w:rsidP="006E44D9">
            <w:pPr>
              <w:rPr>
                <w:i/>
                <w:sz w:val="20"/>
                <w:szCs w:val="20"/>
                <w:lang w:eastAsia="en-US"/>
              </w:rPr>
            </w:pPr>
            <w:r>
              <w:rPr>
                <w:i/>
                <w:sz w:val="20"/>
                <w:szCs w:val="20"/>
                <w:lang w:eastAsia="en-US"/>
              </w:rPr>
              <w:t xml:space="preserve">Ristevski et al. (2018, ds 2, ch. 27); Smith et al. (in review, ds 1, ch. 28); </w:t>
            </w:r>
            <w:r>
              <w:rPr>
                <w:i/>
                <w:sz w:val="20"/>
                <w:szCs w:val="20"/>
              </w:rPr>
              <w:t>Ősi et al. (in review, ds 1, ch. 37)</w:t>
            </w:r>
            <w:r>
              <w:rPr>
                <w:i/>
                <w:sz w:val="20"/>
                <w:szCs w:val="20"/>
                <w:lang w:eastAsia="en-US"/>
              </w:rPr>
              <w:t>.</w:t>
            </w:r>
          </w:p>
          <w:p w14:paraId="7AFF9048" w14:textId="3C7F50DC" w:rsidR="006E44D9" w:rsidRDefault="006E44D9" w:rsidP="006E44D9">
            <w:pPr>
              <w:rPr>
                <w:sz w:val="20"/>
                <w:szCs w:val="20"/>
                <w:lang w:eastAsia="en-US"/>
              </w:rPr>
            </w:pPr>
            <w:r>
              <w:rPr>
                <w:i/>
                <w:sz w:val="20"/>
                <w:szCs w:val="20"/>
                <w:lang w:eastAsia="en-US"/>
              </w:rPr>
              <w:t>State (1) occurs in the teleosaur</w:t>
            </w:r>
            <w:r w:rsidR="00007246">
              <w:rPr>
                <w:i/>
                <w:sz w:val="20"/>
                <w:szCs w:val="20"/>
                <w:lang w:eastAsia="en-US"/>
              </w:rPr>
              <w:t>o</w:t>
            </w:r>
            <w:r>
              <w:rPr>
                <w:i/>
                <w:sz w:val="20"/>
                <w:szCs w:val="20"/>
                <w:lang w:eastAsia="en-US"/>
              </w:rPr>
              <w:t>ids</w:t>
            </w:r>
            <w:r>
              <w:rPr>
                <w:sz w:val="20"/>
                <w:szCs w:val="20"/>
                <w:lang w:eastAsia="en-US"/>
              </w:rPr>
              <w:t xml:space="preserve"> Mycterosuchus nasutus, </w:t>
            </w:r>
            <w:r>
              <w:rPr>
                <w:i/>
                <w:sz w:val="20"/>
                <w:szCs w:val="20"/>
                <w:lang w:eastAsia="en-US"/>
              </w:rPr>
              <w:t>the Chinese teleosaur</w:t>
            </w:r>
            <w:r w:rsidR="00007246">
              <w:rPr>
                <w:i/>
                <w:sz w:val="20"/>
                <w:szCs w:val="20"/>
                <w:lang w:eastAsia="en-US"/>
              </w:rPr>
              <w:t>o</w:t>
            </w:r>
            <w:r>
              <w:rPr>
                <w:i/>
                <w:sz w:val="20"/>
                <w:szCs w:val="20"/>
                <w:lang w:eastAsia="en-US"/>
              </w:rPr>
              <w:t xml:space="preserve">id referred to </w:t>
            </w:r>
            <w:r>
              <w:rPr>
                <w:sz w:val="20"/>
                <w:szCs w:val="20"/>
                <w:lang w:eastAsia="en-US"/>
              </w:rPr>
              <w:t>Peipehsuchus teleorhinus</w:t>
            </w:r>
            <w:r>
              <w:rPr>
                <w:i/>
                <w:sz w:val="20"/>
                <w:szCs w:val="20"/>
                <w:lang w:eastAsia="en-US"/>
              </w:rPr>
              <w:t xml:space="preserve">, </w:t>
            </w:r>
            <w:r>
              <w:rPr>
                <w:sz w:val="20"/>
                <w:szCs w:val="20"/>
                <w:lang w:eastAsia="en-US"/>
              </w:rPr>
              <w:t>Platysuchus multiscrobiculatus</w:t>
            </w:r>
            <w:r>
              <w:rPr>
                <w:i/>
                <w:sz w:val="20"/>
                <w:szCs w:val="20"/>
                <w:lang w:eastAsia="en-US"/>
              </w:rPr>
              <w:t xml:space="preserve">, </w:t>
            </w:r>
            <w:r>
              <w:rPr>
                <w:sz w:val="20"/>
                <w:szCs w:val="20"/>
                <w:lang w:eastAsia="en-US"/>
              </w:rPr>
              <w:t>Steneosaurus</w:t>
            </w:r>
            <w:r>
              <w:rPr>
                <w:i/>
                <w:sz w:val="20"/>
                <w:szCs w:val="20"/>
                <w:lang w:eastAsia="en-US"/>
              </w:rPr>
              <w:t xml:space="preserve"> </w:t>
            </w:r>
            <w:r>
              <w:rPr>
                <w:sz w:val="20"/>
                <w:szCs w:val="20"/>
                <w:lang w:eastAsia="en-US"/>
              </w:rPr>
              <w:t xml:space="preserve">brevior </w:t>
            </w:r>
            <w:r>
              <w:rPr>
                <w:i/>
                <w:sz w:val="20"/>
                <w:szCs w:val="20"/>
                <w:lang w:eastAsia="en-US"/>
              </w:rPr>
              <w:t xml:space="preserve">and </w:t>
            </w:r>
            <w:r>
              <w:rPr>
                <w:sz w:val="20"/>
                <w:szCs w:val="20"/>
                <w:lang w:eastAsia="en-US"/>
              </w:rPr>
              <w:t>Teleosaurus megarhinus.</w:t>
            </w:r>
            <w:r>
              <w:rPr>
                <w:i/>
                <w:sz w:val="20"/>
                <w:szCs w:val="20"/>
                <w:lang w:eastAsia="en-US"/>
              </w:rPr>
              <w:t xml:space="preserve"> </w:t>
            </w:r>
          </w:p>
          <w:p w14:paraId="394F0F1F" w14:textId="7B4DED12" w:rsidR="006E44D9" w:rsidRDefault="006E44D9" w:rsidP="006E44D9">
            <w:pPr>
              <w:rPr>
                <w:i/>
                <w:sz w:val="20"/>
                <w:szCs w:val="20"/>
                <w:lang w:eastAsia="en-US"/>
              </w:rPr>
            </w:pPr>
            <w:r>
              <w:rPr>
                <w:i/>
                <w:sz w:val="20"/>
                <w:szCs w:val="20"/>
                <w:lang w:eastAsia="en-US"/>
              </w:rPr>
              <w:t>This character is not homologous to the pholidosaurid ventral verticalisation of the premaxilla, as in this sub-set of teleosaur</w:t>
            </w:r>
            <w:r w:rsidR="00007246">
              <w:rPr>
                <w:i/>
                <w:sz w:val="20"/>
                <w:szCs w:val="20"/>
                <w:lang w:eastAsia="en-US"/>
              </w:rPr>
              <w:t>o</w:t>
            </w:r>
            <w:r>
              <w:rPr>
                <w:i/>
                <w:sz w:val="20"/>
                <w:szCs w:val="20"/>
                <w:lang w:eastAsia="en-US"/>
              </w:rPr>
              <w:t>ids the premaxilla is strongly orientated anteroventrally in lateral view.</w:t>
            </w:r>
          </w:p>
          <w:p w14:paraId="4F612224" w14:textId="5C03C75A" w:rsidR="006C28EB" w:rsidRDefault="006C28EB" w:rsidP="006E44D9">
            <w:pPr>
              <w:rPr>
                <w:i/>
                <w:sz w:val="20"/>
                <w:szCs w:val="20"/>
                <w:lang w:eastAsia="en-US"/>
              </w:rPr>
            </w:pPr>
            <w:r>
              <w:rPr>
                <w:i/>
                <w:sz w:val="20"/>
                <w:szCs w:val="20"/>
                <w:lang w:eastAsia="en-US"/>
              </w:rPr>
              <w:t xml:space="preserve">This character is not applicable for </w:t>
            </w:r>
            <w:r w:rsidR="00AA4161">
              <w:rPr>
                <w:i/>
                <w:sz w:val="20"/>
                <w:szCs w:val="20"/>
                <w:lang w:eastAsia="en-US"/>
              </w:rPr>
              <w:t xml:space="preserve">those with </w:t>
            </w:r>
            <w:r>
              <w:rPr>
                <w:i/>
                <w:sz w:val="20"/>
                <w:szCs w:val="20"/>
                <w:lang w:eastAsia="en-US"/>
              </w:rPr>
              <w:t>the</w:t>
            </w:r>
            <w:r w:rsidRPr="006C28EB">
              <w:rPr>
                <w:i/>
                <w:sz w:val="20"/>
                <w:szCs w:val="20"/>
                <w:lang w:eastAsia="en-US"/>
              </w:rPr>
              <w:t xml:space="preserve"> ventral v</w:t>
            </w:r>
            <w:r w:rsidR="001C3945">
              <w:rPr>
                <w:i/>
                <w:sz w:val="20"/>
                <w:szCs w:val="20"/>
                <w:lang w:eastAsia="en-US"/>
              </w:rPr>
              <w:t xml:space="preserve">erticalisation of the premaxilla (e.g. </w:t>
            </w:r>
            <w:r>
              <w:rPr>
                <w:i/>
                <w:sz w:val="20"/>
                <w:szCs w:val="20"/>
                <w:lang w:eastAsia="en-US"/>
              </w:rPr>
              <w:t>in pholidosaurids</w:t>
            </w:r>
            <w:r w:rsidR="001C3945">
              <w:rPr>
                <w:i/>
                <w:sz w:val="20"/>
                <w:szCs w:val="20"/>
                <w:lang w:eastAsia="en-US"/>
              </w:rPr>
              <w:t>)</w:t>
            </w:r>
            <w:r>
              <w:rPr>
                <w:i/>
                <w:sz w:val="20"/>
                <w:szCs w:val="20"/>
                <w:lang w:eastAsia="en-US"/>
              </w:rPr>
              <w:t xml:space="preserve">. </w:t>
            </w:r>
          </w:p>
          <w:p w14:paraId="2903E092" w14:textId="77777777" w:rsidR="006E44D9" w:rsidRDefault="006E44D9" w:rsidP="006E44D9">
            <w:pPr>
              <w:autoSpaceDE w:val="0"/>
              <w:autoSpaceDN w:val="0"/>
              <w:adjustRightInd w:val="0"/>
              <w:rPr>
                <w:sz w:val="20"/>
                <w:szCs w:val="20"/>
                <w:lang w:eastAsia="en-US"/>
              </w:rPr>
            </w:pPr>
            <w:r>
              <w:rPr>
                <w:sz w:val="20"/>
                <w:szCs w:val="20"/>
                <w:lang w:eastAsia="en-US"/>
              </w:rPr>
              <w:t>0. the anterior and anterolateral margins are either not sub-vertical, or do not extend ventrally when compared to the rest of the premaxilla (i.e. the dentigerous margins)</w:t>
            </w:r>
          </w:p>
          <w:p w14:paraId="14CAFF62" w14:textId="77777777" w:rsidR="006E44D9" w:rsidRDefault="006E44D9" w:rsidP="006E44D9">
            <w:pPr>
              <w:autoSpaceDE w:val="0"/>
              <w:autoSpaceDN w:val="0"/>
              <w:adjustRightInd w:val="0"/>
              <w:rPr>
                <w:b/>
                <w:sz w:val="20"/>
                <w:szCs w:val="20"/>
                <w:lang w:eastAsia="en-US"/>
              </w:rPr>
            </w:pPr>
            <w:r>
              <w:rPr>
                <w:sz w:val="20"/>
                <w:szCs w:val="20"/>
                <w:lang w:eastAsia="en-US"/>
              </w:rPr>
              <w:t>1.</w:t>
            </w:r>
            <w:r>
              <w:rPr>
                <w:b/>
                <w:sz w:val="20"/>
                <w:szCs w:val="20"/>
                <w:lang w:eastAsia="en-US"/>
              </w:rPr>
              <w:t xml:space="preserve"> </w:t>
            </w:r>
            <w:r>
              <w:rPr>
                <w:sz w:val="20"/>
                <w:szCs w:val="20"/>
                <w:lang w:eastAsia="en-US"/>
              </w:rPr>
              <w:t>the anterior and anterolateral margins are orientated anteroventrally and extend ventrally to the rest of the element.</w:t>
            </w:r>
          </w:p>
        </w:tc>
      </w:tr>
      <w:tr w:rsidR="006E44D9" w14:paraId="36FCECB6" w14:textId="77777777" w:rsidTr="006E44D9">
        <w:tc>
          <w:tcPr>
            <w:tcW w:w="0" w:type="auto"/>
            <w:tcBorders>
              <w:top w:val="single" w:sz="4" w:space="0" w:color="auto"/>
              <w:left w:val="single" w:sz="4" w:space="0" w:color="auto"/>
              <w:bottom w:val="single" w:sz="4" w:space="0" w:color="auto"/>
              <w:right w:val="single" w:sz="4" w:space="0" w:color="auto"/>
            </w:tcBorders>
          </w:tcPr>
          <w:p w14:paraId="7811F6A8" w14:textId="09103A1F" w:rsidR="006E44D9" w:rsidRDefault="006E44D9" w:rsidP="006E44D9">
            <w:pPr>
              <w:rPr>
                <w:color w:val="000000"/>
                <w:sz w:val="20"/>
                <w:szCs w:val="20"/>
                <w:lang w:eastAsia="en-US"/>
              </w:rPr>
            </w:pPr>
            <w:r>
              <w:rPr>
                <w:color w:val="000000"/>
                <w:sz w:val="20"/>
                <w:szCs w:val="20"/>
                <w:lang w:eastAsia="en-US"/>
              </w:rPr>
              <w:t>43</w:t>
            </w:r>
          </w:p>
        </w:tc>
        <w:tc>
          <w:tcPr>
            <w:tcW w:w="0" w:type="auto"/>
            <w:tcBorders>
              <w:top w:val="single" w:sz="4" w:space="0" w:color="auto"/>
              <w:left w:val="single" w:sz="4" w:space="0" w:color="auto"/>
              <w:bottom w:val="single" w:sz="4" w:space="0" w:color="auto"/>
              <w:right w:val="single" w:sz="4" w:space="0" w:color="auto"/>
            </w:tcBorders>
            <w:vAlign w:val="bottom"/>
            <w:hideMark/>
          </w:tcPr>
          <w:p w14:paraId="64308F94" w14:textId="77777777" w:rsidR="006E44D9" w:rsidRDefault="006E44D9" w:rsidP="006E44D9">
            <w:pPr>
              <w:rPr>
                <w:b/>
                <w:color w:val="000000"/>
                <w:sz w:val="20"/>
                <w:szCs w:val="20"/>
                <w:lang w:eastAsia="en-US"/>
              </w:rPr>
            </w:pPr>
            <w:r>
              <w:rPr>
                <w:b/>
                <w:color w:val="000000"/>
                <w:sz w:val="20"/>
                <w:szCs w:val="20"/>
                <w:lang w:eastAsia="en-US"/>
              </w:rPr>
              <w:t>Premaxilla, proportion of total length posterior to the external nares:</w:t>
            </w:r>
          </w:p>
          <w:p w14:paraId="3601070B" w14:textId="0C12A702" w:rsidR="006E44D9" w:rsidRDefault="006E44D9" w:rsidP="006E44D9">
            <w:pPr>
              <w:rPr>
                <w:i/>
                <w:sz w:val="20"/>
                <w:szCs w:val="20"/>
                <w:lang w:eastAsia="en-US"/>
              </w:rPr>
            </w:pPr>
            <w:r>
              <w:rPr>
                <w:i/>
                <w:sz w:val="20"/>
                <w:szCs w:val="20"/>
                <w:lang w:eastAsia="en-US"/>
              </w:rPr>
              <w:t xml:space="preserve">Wilkinson et al. (2008, ch. 21); Young &amp; Andrade (2009, ch. 21); </w:t>
            </w:r>
            <w:r>
              <w:rPr>
                <w:bCs/>
                <w:i/>
                <w:color w:val="000000"/>
                <w:sz w:val="20"/>
                <w:szCs w:val="20"/>
                <w:lang w:eastAsia="en-US"/>
              </w:rPr>
              <w:t>Young et al. (2011, ch. 21); Young et al. (2013a, ch. 6);</w:t>
            </w:r>
            <w:r>
              <w:rPr>
                <w:i/>
                <w:sz w:val="20"/>
                <w:szCs w:val="20"/>
                <w:lang w:eastAsia="en-US"/>
              </w:rPr>
              <w:t xml:space="preserve"> Young et al. (2012, ch. 8); Young (2014, ch. 8); Young et al. (2016, ds 2, ch. 14) Ristevski et al. (2018, ds 2, ch. 28); Smith et al. (in review, ds 1, ch. 29); </w:t>
            </w:r>
            <w:r>
              <w:rPr>
                <w:i/>
                <w:sz w:val="20"/>
                <w:szCs w:val="20"/>
              </w:rPr>
              <w:t>Ősi et al. (in review, ds 1, ch. 38)</w:t>
            </w:r>
            <w:r>
              <w:rPr>
                <w:i/>
                <w:sz w:val="20"/>
                <w:szCs w:val="20"/>
                <w:lang w:eastAsia="en-US"/>
              </w:rPr>
              <w:t>.</w:t>
            </w:r>
          </w:p>
          <w:p w14:paraId="60780883" w14:textId="77777777" w:rsidR="006E44D9" w:rsidRDefault="006E44D9" w:rsidP="006E44D9">
            <w:pPr>
              <w:rPr>
                <w:color w:val="000000"/>
                <w:sz w:val="20"/>
                <w:szCs w:val="20"/>
                <w:lang w:eastAsia="en-US"/>
              </w:rPr>
            </w:pPr>
            <w:r>
              <w:rPr>
                <w:color w:val="000000"/>
                <w:sz w:val="20"/>
                <w:szCs w:val="20"/>
                <w:lang w:eastAsia="en-US"/>
              </w:rPr>
              <w:t>0. greater than 67% of premaxilla total length is posterior to the external nares</w:t>
            </w:r>
          </w:p>
          <w:p w14:paraId="77EB696C" w14:textId="77777777" w:rsidR="006E44D9" w:rsidRDefault="006E44D9" w:rsidP="006E44D9">
            <w:pPr>
              <w:rPr>
                <w:color w:val="000000"/>
                <w:sz w:val="20"/>
                <w:szCs w:val="20"/>
                <w:lang w:eastAsia="en-US"/>
              </w:rPr>
            </w:pPr>
            <w:r>
              <w:rPr>
                <w:color w:val="000000"/>
                <w:sz w:val="20"/>
                <w:szCs w:val="20"/>
                <w:lang w:eastAsia="en-US"/>
              </w:rPr>
              <w:t>1. between 50–65%</w:t>
            </w:r>
          </w:p>
          <w:p w14:paraId="1D383A4A" w14:textId="77777777" w:rsidR="006E44D9" w:rsidRDefault="006E44D9" w:rsidP="006E44D9">
            <w:pPr>
              <w:rPr>
                <w:color w:val="000000"/>
                <w:sz w:val="20"/>
                <w:szCs w:val="20"/>
                <w:lang w:eastAsia="en-US"/>
              </w:rPr>
            </w:pPr>
            <w:r>
              <w:rPr>
                <w:color w:val="000000"/>
                <w:sz w:val="20"/>
                <w:szCs w:val="20"/>
                <w:lang w:eastAsia="en-US"/>
              </w:rPr>
              <w:t>2. between 36–45%</w:t>
            </w:r>
          </w:p>
          <w:p w14:paraId="1120EBA6" w14:textId="77777777" w:rsidR="006E44D9" w:rsidRDefault="006E44D9" w:rsidP="006E44D9">
            <w:pPr>
              <w:rPr>
                <w:color w:val="000000"/>
                <w:sz w:val="20"/>
                <w:szCs w:val="20"/>
                <w:lang w:eastAsia="en-US"/>
              </w:rPr>
            </w:pPr>
            <w:r>
              <w:rPr>
                <w:color w:val="000000"/>
                <w:sz w:val="20"/>
                <w:szCs w:val="20"/>
                <w:lang w:eastAsia="en-US"/>
              </w:rPr>
              <w:t>3. 28% or less</w:t>
            </w:r>
          </w:p>
        </w:tc>
      </w:tr>
      <w:tr w:rsidR="006E44D9" w14:paraId="7432ECF8" w14:textId="77777777" w:rsidTr="006E44D9">
        <w:tc>
          <w:tcPr>
            <w:tcW w:w="0" w:type="auto"/>
            <w:tcBorders>
              <w:top w:val="single" w:sz="4" w:space="0" w:color="auto"/>
              <w:left w:val="single" w:sz="4" w:space="0" w:color="auto"/>
              <w:bottom w:val="single" w:sz="4" w:space="0" w:color="auto"/>
              <w:right w:val="single" w:sz="4" w:space="0" w:color="auto"/>
            </w:tcBorders>
          </w:tcPr>
          <w:p w14:paraId="2011DECE" w14:textId="4E927F6B" w:rsidR="006E44D9" w:rsidRDefault="006E44D9" w:rsidP="006E44D9">
            <w:pPr>
              <w:rPr>
                <w:color w:val="000000"/>
                <w:sz w:val="20"/>
                <w:szCs w:val="20"/>
                <w:lang w:eastAsia="en-US"/>
              </w:rPr>
            </w:pPr>
            <w:r>
              <w:rPr>
                <w:color w:val="000000"/>
                <w:sz w:val="20"/>
                <w:szCs w:val="20"/>
                <w:lang w:eastAsia="en-US"/>
              </w:rPr>
              <w:lastRenderedPageBreak/>
              <w:t>44</w:t>
            </w:r>
          </w:p>
        </w:tc>
        <w:tc>
          <w:tcPr>
            <w:tcW w:w="0" w:type="auto"/>
            <w:tcBorders>
              <w:top w:val="single" w:sz="4" w:space="0" w:color="auto"/>
              <w:left w:val="single" w:sz="4" w:space="0" w:color="auto"/>
              <w:bottom w:val="single" w:sz="4" w:space="0" w:color="auto"/>
              <w:right w:val="single" w:sz="4" w:space="0" w:color="auto"/>
            </w:tcBorders>
            <w:vAlign w:val="bottom"/>
            <w:hideMark/>
          </w:tcPr>
          <w:p w14:paraId="689D52C2" w14:textId="77777777" w:rsidR="006E44D9" w:rsidRDefault="006E44D9" w:rsidP="006E44D9">
            <w:pPr>
              <w:autoSpaceDE w:val="0"/>
              <w:autoSpaceDN w:val="0"/>
              <w:adjustRightInd w:val="0"/>
              <w:rPr>
                <w:rFonts w:eastAsiaTheme="minorHAnsi"/>
                <w:b/>
                <w:sz w:val="20"/>
                <w:szCs w:val="18"/>
                <w:lang w:eastAsia="en-US"/>
              </w:rPr>
            </w:pPr>
            <w:r>
              <w:rPr>
                <w:rFonts w:eastAsiaTheme="minorHAnsi"/>
                <w:b/>
                <w:sz w:val="20"/>
                <w:szCs w:val="18"/>
                <w:lang w:eastAsia="en-US"/>
              </w:rPr>
              <w:t xml:space="preserve">Premaxilla, posterodorsal (= maxillary, = subnarial) process, termination: </w:t>
            </w:r>
          </w:p>
          <w:p w14:paraId="767CD914" w14:textId="349B9014" w:rsidR="006E44D9" w:rsidRDefault="006E44D9" w:rsidP="006E44D9">
            <w:pPr>
              <w:rPr>
                <w:rFonts w:eastAsiaTheme="minorHAnsi"/>
                <w:i/>
                <w:sz w:val="20"/>
                <w:szCs w:val="18"/>
                <w:lang w:eastAsia="en-US"/>
              </w:rPr>
            </w:pPr>
            <w:r>
              <w:rPr>
                <w:rFonts w:eastAsiaTheme="minorHAnsi"/>
                <w:i/>
                <w:sz w:val="20"/>
                <w:szCs w:val="18"/>
                <w:lang w:eastAsia="en-US"/>
              </w:rPr>
              <w:t xml:space="preserve">Nesbitt &amp; Desojo (2017, ch. 415); </w:t>
            </w:r>
            <w:r>
              <w:rPr>
                <w:i/>
                <w:sz w:val="20"/>
                <w:szCs w:val="20"/>
              </w:rPr>
              <w:t>Ősi et al. (in review, ds 1, ch. 39)</w:t>
            </w:r>
            <w:r>
              <w:rPr>
                <w:rFonts w:eastAsiaTheme="minorHAnsi"/>
                <w:i/>
                <w:sz w:val="20"/>
                <w:szCs w:val="18"/>
                <w:lang w:eastAsia="en-US"/>
              </w:rPr>
              <w:t>.</w:t>
            </w:r>
          </w:p>
          <w:p w14:paraId="2EA0D718" w14:textId="77777777" w:rsidR="006E44D9" w:rsidRDefault="006E44D9" w:rsidP="006E44D9">
            <w:pPr>
              <w:rPr>
                <w:rFonts w:eastAsiaTheme="minorHAnsi"/>
                <w:i/>
                <w:sz w:val="20"/>
                <w:szCs w:val="18"/>
                <w:lang w:eastAsia="en-US"/>
              </w:rPr>
            </w:pPr>
            <w:r>
              <w:rPr>
                <w:rFonts w:eastAsiaTheme="minorHAnsi"/>
                <w:i/>
                <w:sz w:val="20"/>
                <w:szCs w:val="18"/>
                <w:lang w:eastAsia="en-US"/>
              </w:rPr>
              <w:t>State (1) occurs in Crocodylomorpha.</w:t>
            </w:r>
          </w:p>
          <w:p w14:paraId="6B686CE3" w14:textId="77777777" w:rsidR="006E44D9" w:rsidRDefault="006E44D9" w:rsidP="006E44D9">
            <w:pPr>
              <w:rPr>
                <w:rFonts w:eastAsiaTheme="minorHAnsi"/>
                <w:sz w:val="20"/>
                <w:szCs w:val="18"/>
                <w:lang w:eastAsia="en-US"/>
              </w:rPr>
            </w:pPr>
            <w:r>
              <w:rPr>
                <w:rFonts w:eastAsiaTheme="minorHAnsi"/>
                <w:sz w:val="20"/>
                <w:szCs w:val="18"/>
                <w:lang w:eastAsia="en-US"/>
              </w:rPr>
              <w:t>0. anterior to or at the posterior end of the external naris</w:t>
            </w:r>
          </w:p>
          <w:p w14:paraId="20263102" w14:textId="77777777" w:rsidR="006E44D9" w:rsidRDefault="006E44D9" w:rsidP="006E44D9">
            <w:pPr>
              <w:rPr>
                <w:b/>
                <w:color w:val="000000"/>
                <w:sz w:val="20"/>
                <w:szCs w:val="20"/>
                <w:lang w:eastAsia="en-US"/>
              </w:rPr>
            </w:pPr>
            <w:r>
              <w:rPr>
                <w:rFonts w:eastAsiaTheme="minorHAnsi"/>
                <w:sz w:val="20"/>
                <w:szCs w:val="18"/>
                <w:lang w:eastAsia="en-US"/>
              </w:rPr>
              <w:t>1. posterior of the posterior extension of the external naris</w:t>
            </w:r>
          </w:p>
        </w:tc>
      </w:tr>
      <w:tr w:rsidR="006E44D9" w14:paraId="523BCCB7" w14:textId="77777777" w:rsidTr="006E44D9">
        <w:tc>
          <w:tcPr>
            <w:tcW w:w="0" w:type="auto"/>
            <w:tcBorders>
              <w:top w:val="single" w:sz="4" w:space="0" w:color="auto"/>
              <w:left w:val="single" w:sz="4" w:space="0" w:color="auto"/>
              <w:bottom w:val="single" w:sz="4" w:space="0" w:color="auto"/>
              <w:right w:val="single" w:sz="4" w:space="0" w:color="auto"/>
            </w:tcBorders>
          </w:tcPr>
          <w:p w14:paraId="60B9DEBA" w14:textId="652F02A3" w:rsidR="006E44D9" w:rsidRDefault="006E44D9" w:rsidP="006E44D9">
            <w:pPr>
              <w:rPr>
                <w:color w:val="000000"/>
                <w:sz w:val="20"/>
                <w:szCs w:val="20"/>
                <w:lang w:eastAsia="en-US"/>
              </w:rPr>
            </w:pPr>
            <w:r>
              <w:rPr>
                <w:color w:val="000000"/>
                <w:sz w:val="20"/>
                <w:szCs w:val="20"/>
                <w:lang w:eastAsia="en-US"/>
              </w:rPr>
              <w:t>45</w:t>
            </w:r>
          </w:p>
        </w:tc>
        <w:tc>
          <w:tcPr>
            <w:tcW w:w="0" w:type="auto"/>
            <w:tcBorders>
              <w:top w:val="single" w:sz="4" w:space="0" w:color="auto"/>
              <w:left w:val="single" w:sz="4" w:space="0" w:color="auto"/>
              <w:bottom w:val="single" w:sz="4" w:space="0" w:color="auto"/>
              <w:right w:val="single" w:sz="4" w:space="0" w:color="auto"/>
            </w:tcBorders>
            <w:vAlign w:val="bottom"/>
            <w:hideMark/>
          </w:tcPr>
          <w:p w14:paraId="55A2707E" w14:textId="77777777" w:rsidR="006E44D9" w:rsidRDefault="006E44D9" w:rsidP="006E44D9">
            <w:pPr>
              <w:rPr>
                <w:b/>
                <w:sz w:val="20"/>
                <w:szCs w:val="20"/>
                <w:lang w:eastAsia="en-US"/>
              </w:rPr>
            </w:pPr>
            <w:r>
              <w:rPr>
                <w:b/>
                <w:sz w:val="20"/>
                <w:szCs w:val="20"/>
                <w:lang w:eastAsia="en-US"/>
              </w:rPr>
              <w:t>Premaxilla, posterodorsal process: (*)</w:t>
            </w:r>
          </w:p>
          <w:p w14:paraId="53C27354" w14:textId="4F22A953" w:rsidR="006E44D9" w:rsidRDefault="006E44D9" w:rsidP="006E44D9">
            <w:pPr>
              <w:autoSpaceDE w:val="0"/>
              <w:autoSpaceDN w:val="0"/>
              <w:adjustRightInd w:val="0"/>
              <w:rPr>
                <w:i/>
                <w:sz w:val="20"/>
                <w:szCs w:val="20"/>
                <w:lang w:eastAsia="en-US"/>
              </w:rPr>
            </w:pPr>
            <w:r>
              <w:rPr>
                <w:i/>
                <w:sz w:val="20"/>
                <w:szCs w:val="20"/>
                <w:lang w:eastAsia="en-US"/>
              </w:rPr>
              <w:t xml:space="preserve">Young (2014, ch. 9); Young et al. (2016, ds 2, ch. 15); Ristevski et al. (2018, ds 2, ch. 29); Smith et al. (in review, ds 1, ch. 30); </w:t>
            </w:r>
            <w:r>
              <w:rPr>
                <w:i/>
                <w:sz w:val="20"/>
                <w:szCs w:val="20"/>
              </w:rPr>
              <w:t>Ősi et al. (in review, ds 1, ch. 40)</w:t>
            </w:r>
            <w:r>
              <w:rPr>
                <w:i/>
                <w:sz w:val="20"/>
                <w:szCs w:val="20"/>
                <w:lang w:eastAsia="en-US"/>
              </w:rPr>
              <w:t>.</w:t>
            </w:r>
          </w:p>
          <w:p w14:paraId="65CF4A62" w14:textId="77777777" w:rsidR="006E44D9" w:rsidRDefault="006E44D9" w:rsidP="006E44D9">
            <w:pPr>
              <w:rPr>
                <w:i/>
                <w:sz w:val="20"/>
                <w:szCs w:val="20"/>
                <w:lang w:eastAsia="en-US"/>
              </w:rPr>
            </w:pPr>
            <w:r>
              <w:rPr>
                <w:i/>
                <w:sz w:val="20"/>
                <w:szCs w:val="20"/>
                <w:lang w:eastAsia="en-US"/>
              </w:rPr>
              <w:t xml:space="preserve">State (1) occurs in </w:t>
            </w:r>
            <w:r>
              <w:rPr>
                <w:sz w:val="20"/>
                <w:szCs w:val="20"/>
                <w:lang w:eastAsia="en-US"/>
              </w:rPr>
              <w:t xml:space="preserve">Tyrannoneustes lythrodectikos, Torvoneustes, 'Metriorhynchus' hastifer </w:t>
            </w:r>
            <w:r>
              <w:rPr>
                <w:i/>
                <w:sz w:val="20"/>
                <w:szCs w:val="20"/>
                <w:lang w:eastAsia="en-US"/>
              </w:rPr>
              <w:t>and</w:t>
            </w:r>
            <w:r>
              <w:rPr>
                <w:sz w:val="20"/>
                <w:szCs w:val="20"/>
                <w:lang w:eastAsia="en-US"/>
              </w:rPr>
              <w:t xml:space="preserve"> </w:t>
            </w:r>
            <w:r>
              <w:rPr>
                <w:i/>
                <w:sz w:val="20"/>
                <w:szCs w:val="20"/>
                <w:lang w:eastAsia="en-US"/>
              </w:rPr>
              <w:t>Mr Passmore's specimen.</w:t>
            </w:r>
          </w:p>
          <w:p w14:paraId="5C658EE1" w14:textId="77777777" w:rsidR="006E44D9" w:rsidRDefault="006E44D9" w:rsidP="006E44D9">
            <w:pPr>
              <w:rPr>
                <w:i/>
                <w:sz w:val="20"/>
                <w:szCs w:val="20"/>
                <w:lang w:eastAsia="en-US"/>
              </w:rPr>
            </w:pPr>
            <w:r>
              <w:rPr>
                <w:i/>
                <w:sz w:val="20"/>
                <w:szCs w:val="20"/>
                <w:lang w:eastAsia="en-US"/>
              </w:rPr>
              <w:t>This character is not applicable for taxa that retract their external nares (i.e. rhacheosaurin metriorhynchids).</w:t>
            </w:r>
          </w:p>
          <w:p w14:paraId="3F27428D" w14:textId="77777777" w:rsidR="006E44D9" w:rsidRDefault="006E44D9" w:rsidP="006E44D9">
            <w:pPr>
              <w:rPr>
                <w:sz w:val="20"/>
                <w:szCs w:val="20"/>
                <w:lang w:eastAsia="en-US"/>
              </w:rPr>
            </w:pPr>
            <w:r>
              <w:rPr>
                <w:sz w:val="20"/>
                <w:szCs w:val="20"/>
                <w:lang w:eastAsia="en-US"/>
              </w:rPr>
              <w:t>0. short, terminates level to the fourth maxillary alveolus, or more anteriorly</w:t>
            </w:r>
          </w:p>
          <w:p w14:paraId="6030FBE1" w14:textId="77777777" w:rsidR="006E44D9" w:rsidRDefault="006E44D9" w:rsidP="006E44D9">
            <w:pPr>
              <w:rPr>
                <w:b/>
                <w:color w:val="000000"/>
                <w:sz w:val="20"/>
                <w:szCs w:val="20"/>
                <w:lang w:eastAsia="en-US"/>
              </w:rPr>
            </w:pPr>
            <w:r>
              <w:rPr>
                <w:sz w:val="20"/>
                <w:szCs w:val="20"/>
                <w:lang w:eastAsia="en-US"/>
              </w:rPr>
              <w:t>1. long, terminates level to the end of the fourth maxillary alveolus, or more posteriorly</w:t>
            </w:r>
          </w:p>
        </w:tc>
      </w:tr>
      <w:tr w:rsidR="006E44D9" w14:paraId="387D5A24" w14:textId="77777777" w:rsidTr="006E44D9">
        <w:tc>
          <w:tcPr>
            <w:tcW w:w="0" w:type="auto"/>
            <w:tcBorders>
              <w:top w:val="single" w:sz="4" w:space="0" w:color="auto"/>
              <w:left w:val="single" w:sz="4" w:space="0" w:color="auto"/>
              <w:bottom w:val="single" w:sz="4" w:space="0" w:color="auto"/>
              <w:right w:val="single" w:sz="4" w:space="0" w:color="auto"/>
            </w:tcBorders>
          </w:tcPr>
          <w:p w14:paraId="5B296A7C" w14:textId="57850E17" w:rsidR="006E44D9" w:rsidRDefault="006E44D9" w:rsidP="006E44D9">
            <w:pPr>
              <w:rPr>
                <w:color w:val="000000"/>
                <w:sz w:val="20"/>
                <w:szCs w:val="20"/>
                <w:lang w:eastAsia="en-US"/>
              </w:rPr>
            </w:pPr>
            <w:r>
              <w:rPr>
                <w:color w:val="000000"/>
                <w:sz w:val="20"/>
                <w:szCs w:val="20"/>
                <w:lang w:eastAsia="en-US"/>
              </w:rPr>
              <w:t>46</w:t>
            </w:r>
          </w:p>
        </w:tc>
        <w:tc>
          <w:tcPr>
            <w:tcW w:w="0" w:type="auto"/>
            <w:tcBorders>
              <w:top w:val="single" w:sz="4" w:space="0" w:color="auto"/>
              <w:left w:val="single" w:sz="4" w:space="0" w:color="auto"/>
              <w:bottom w:val="single" w:sz="4" w:space="0" w:color="auto"/>
              <w:right w:val="single" w:sz="4" w:space="0" w:color="auto"/>
            </w:tcBorders>
            <w:vAlign w:val="bottom"/>
            <w:hideMark/>
          </w:tcPr>
          <w:p w14:paraId="5EE7075D" w14:textId="77777777" w:rsidR="006E44D9" w:rsidRDefault="006E44D9" w:rsidP="006E44D9">
            <w:pPr>
              <w:rPr>
                <w:b/>
                <w:color w:val="000000"/>
                <w:sz w:val="20"/>
                <w:szCs w:val="20"/>
                <w:lang w:eastAsia="en-US"/>
              </w:rPr>
            </w:pPr>
            <w:r>
              <w:rPr>
                <w:b/>
                <w:color w:val="000000"/>
                <w:sz w:val="20"/>
                <w:szCs w:val="20"/>
                <w:lang w:eastAsia="en-US"/>
              </w:rPr>
              <w:t>Premaxilla, development of premaxillary septum:</w:t>
            </w:r>
          </w:p>
          <w:p w14:paraId="60125F56" w14:textId="550C2F49" w:rsidR="006E44D9" w:rsidRDefault="006E44D9" w:rsidP="006E44D9">
            <w:pPr>
              <w:autoSpaceDE w:val="0"/>
              <w:autoSpaceDN w:val="0"/>
              <w:adjustRightInd w:val="0"/>
              <w:rPr>
                <w:i/>
                <w:sz w:val="20"/>
                <w:szCs w:val="20"/>
                <w:lang w:eastAsia="en-US"/>
              </w:rPr>
            </w:pPr>
            <w:r>
              <w:rPr>
                <w:i/>
                <w:sz w:val="20"/>
                <w:szCs w:val="20"/>
                <w:lang w:eastAsia="en-US"/>
              </w:rPr>
              <w:t xml:space="preserve">Young (2006, ch. 7 modified); Wilkinson et al. (2008, ch. 24 modified); Young &amp; Andrade (2009, ch. 24 modified); </w:t>
            </w:r>
            <w:r>
              <w:rPr>
                <w:bCs/>
                <w:i/>
                <w:color w:val="000000"/>
                <w:sz w:val="20"/>
                <w:szCs w:val="20"/>
                <w:lang w:eastAsia="en-US"/>
              </w:rPr>
              <w:t>Young et al. (2011, ch. 24 modified); Young et al. (2013a, ch. 7);</w:t>
            </w:r>
            <w:r>
              <w:rPr>
                <w:i/>
                <w:sz w:val="20"/>
                <w:szCs w:val="20"/>
                <w:lang w:eastAsia="en-US"/>
              </w:rPr>
              <w:t xml:space="preserve"> Young et al. (2012, ch. 9); Young (2014, ch. 10); Young et al. (2016, ds 2, ch. 16); Ristevski et al. (2018, ds 2, ch. 30); Smith et al. (in review, ds 1, ch. 31); </w:t>
            </w:r>
            <w:r>
              <w:rPr>
                <w:i/>
                <w:sz w:val="20"/>
                <w:szCs w:val="20"/>
              </w:rPr>
              <w:t>Ősi et al. (in review, ds 1, ch. 41)</w:t>
            </w:r>
            <w:r>
              <w:rPr>
                <w:i/>
                <w:sz w:val="20"/>
                <w:szCs w:val="20"/>
                <w:lang w:eastAsia="en-US"/>
              </w:rPr>
              <w:t>.</w:t>
            </w:r>
          </w:p>
          <w:p w14:paraId="3BE05D4E" w14:textId="77777777" w:rsidR="006E44D9" w:rsidRDefault="006E44D9" w:rsidP="006E44D9">
            <w:pPr>
              <w:rPr>
                <w:i/>
                <w:color w:val="000000"/>
                <w:sz w:val="20"/>
                <w:szCs w:val="20"/>
                <w:lang w:eastAsia="en-US"/>
              </w:rPr>
            </w:pPr>
            <w:r>
              <w:rPr>
                <w:i/>
                <w:color w:val="000000"/>
                <w:sz w:val="20"/>
                <w:szCs w:val="20"/>
                <w:lang w:eastAsia="en-US"/>
              </w:rPr>
              <w:t>State (1) scores the premaxillary septum of Metriorhynchidae.</w:t>
            </w:r>
          </w:p>
          <w:p w14:paraId="296844DE" w14:textId="77777777" w:rsidR="006E44D9" w:rsidRDefault="006E44D9" w:rsidP="006E44D9">
            <w:pPr>
              <w:rPr>
                <w:i/>
                <w:color w:val="000000"/>
                <w:sz w:val="20"/>
                <w:szCs w:val="20"/>
                <w:lang w:eastAsia="en-US"/>
              </w:rPr>
            </w:pPr>
            <w:r>
              <w:rPr>
                <w:i/>
                <w:color w:val="000000"/>
                <w:sz w:val="20"/>
                <w:szCs w:val="20"/>
                <w:lang w:eastAsia="en-US"/>
              </w:rPr>
              <w:t>Terminonaris currently scored as ‘?’, as it is unclear whether there was also a separating septum present.</w:t>
            </w:r>
          </w:p>
          <w:p w14:paraId="2026AFB9" w14:textId="77777777" w:rsidR="006E44D9" w:rsidRDefault="006E44D9" w:rsidP="006E44D9">
            <w:pPr>
              <w:rPr>
                <w:i/>
                <w:color w:val="000000"/>
                <w:sz w:val="20"/>
                <w:szCs w:val="20"/>
                <w:lang w:eastAsia="en-US"/>
              </w:rPr>
            </w:pPr>
            <w:r>
              <w:rPr>
                <w:i/>
                <w:color w:val="000000"/>
                <w:sz w:val="20"/>
                <w:szCs w:val="20"/>
                <w:lang w:eastAsia="en-US"/>
              </w:rPr>
              <w:t>Young et al. (2013a) changed this character from a multi-state to its present binary form.</w:t>
            </w:r>
          </w:p>
          <w:p w14:paraId="07301318" w14:textId="77777777" w:rsidR="006E44D9" w:rsidRDefault="006E44D9" w:rsidP="006E44D9">
            <w:pPr>
              <w:rPr>
                <w:i/>
                <w:color w:val="000000"/>
                <w:sz w:val="20"/>
                <w:szCs w:val="20"/>
                <w:lang w:eastAsia="en-US"/>
              </w:rPr>
            </w:pPr>
            <w:r>
              <w:rPr>
                <w:i/>
                <w:color w:val="000000"/>
                <w:sz w:val="20"/>
                <w:szCs w:val="20"/>
                <w:lang w:eastAsia="en-US"/>
              </w:rPr>
              <w:t xml:space="preserve">Currently, only Rhacheosaurini metriorhynchids are definitively known to have had a full premaxillary septum, however specimens of </w:t>
            </w:r>
            <w:r>
              <w:rPr>
                <w:color w:val="000000"/>
                <w:sz w:val="20"/>
                <w:szCs w:val="20"/>
                <w:lang w:eastAsia="en-US"/>
              </w:rPr>
              <w:t>Metriorhynchus superciliosus</w:t>
            </w:r>
            <w:r>
              <w:rPr>
                <w:i/>
                <w:color w:val="000000"/>
                <w:sz w:val="20"/>
                <w:szCs w:val="20"/>
                <w:lang w:eastAsia="en-US"/>
              </w:rPr>
              <w:t>, ‘</w:t>
            </w:r>
            <w:r>
              <w:rPr>
                <w:color w:val="000000"/>
                <w:sz w:val="20"/>
                <w:szCs w:val="20"/>
                <w:lang w:eastAsia="en-US"/>
              </w:rPr>
              <w:t>M</w:t>
            </w:r>
            <w:r>
              <w:rPr>
                <w:i/>
                <w:color w:val="000000"/>
                <w:sz w:val="20"/>
                <w:szCs w:val="20"/>
                <w:lang w:eastAsia="en-US"/>
              </w:rPr>
              <w:t xml:space="preserve">.’ </w:t>
            </w:r>
            <w:r>
              <w:rPr>
                <w:color w:val="000000"/>
                <w:sz w:val="20"/>
                <w:szCs w:val="20"/>
                <w:lang w:eastAsia="en-US"/>
              </w:rPr>
              <w:t>brachyrhynchus,</w:t>
            </w:r>
            <w:r>
              <w:rPr>
                <w:i/>
                <w:color w:val="000000"/>
                <w:sz w:val="20"/>
                <w:szCs w:val="20"/>
                <w:lang w:eastAsia="en-US"/>
              </w:rPr>
              <w:t xml:space="preserve"> Mr Passmore’s Specimen and </w:t>
            </w:r>
            <w:r>
              <w:rPr>
                <w:color w:val="000000"/>
                <w:sz w:val="20"/>
                <w:szCs w:val="20"/>
                <w:lang w:eastAsia="en-US"/>
              </w:rPr>
              <w:t>Tyrannoneustes lythrodectikos</w:t>
            </w:r>
            <w:r>
              <w:rPr>
                <w:i/>
                <w:color w:val="000000"/>
                <w:sz w:val="20"/>
                <w:szCs w:val="20"/>
                <w:lang w:eastAsia="en-US"/>
              </w:rPr>
              <w:t xml:space="preserve"> have preserved: the proximal end of the bar, and the raised distal articulation region on the premaxilla associated with the anterior end of the bar in Rhacheosaurini.Thus, they have been scored as (1). It is possible that only Rhacheosaurini has a fully ossified premaxillary bar, or the incomplete bar could be due to post-mortem damage.</w:t>
            </w:r>
          </w:p>
          <w:p w14:paraId="5A592CC0" w14:textId="77777777" w:rsidR="006E44D9" w:rsidRDefault="006E44D9" w:rsidP="006E44D9">
            <w:pPr>
              <w:rPr>
                <w:i/>
                <w:color w:val="000000"/>
                <w:sz w:val="20"/>
                <w:szCs w:val="20"/>
                <w:lang w:eastAsia="en-US"/>
              </w:rPr>
            </w:pPr>
            <w:r>
              <w:rPr>
                <w:i/>
                <w:color w:val="000000"/>
                <w:sz w:val="20"/>
                <w:szCs w:val="20"/>
                <w:lang w:eastAsia="en-US"/>
              </w:rPr>
              <w:t>It is not homologous with other crocodylomorph septa, which are either partially formed by the nasals, or do not originate on the external surface of the premaxilla immediately anterior to the nasal fossa.</w:t>
            </w:r>
          </w:p>
          <w:p w14:paraId="2A16A1F6" w14:textId="77777777" w:rsidR="006E44D9" w:rsidRDefault="006E44D9" w:rsidP="006E44D9">
            <w:pPr>
              <w:rPr>
                <w:color w:val="000000"/>
                <w:sz w:val="20"/>
                <w:szCs w:val="20"/>
                <w:lang w:eastAsia="en-US"/>
              </w:rPr>
            </w:pPr>
            <w:r>
              <w:rPr>
                <w:color w:val="000000"/>
                <w:sz w:val="20"/>
                <w:szCs w:val="20"/>
                <w:lang w:eastAsia="en-US"/>
              </w:rPr>
              <w:t xml:space="preserve">0. no septum, with a single undivided external naris, or a divided external naris not formed solely by a premaxillary septum </w:t>
            </w:r>
          </w:p>
          <w:p w14:paraId="41501689" w14:textId="77777777" w:rsidR="006E44D9" w:rsidRDefault="006E44D9" w:rsidP="006E44D9">
            <w:pPr>
              <w:rPr>
                <w:color w:val="000000"/>
                <w:sz w:val="20"/>
                <w:szCs w:val="20"/>
                <w:lang w:eastAsia="en-US"/>
              </w:rPr>
            </w:pPr>
            <w:r>
              <w:rPr>
                <w:color w:val="000000"/>
                <w:sz w:val="20"/>
                <w:szCs w:val="20"/>
                <w:lang w:eastAsia="en-US"/>
              </w:rPr>
              <w:t>1. external nares dorsally divided by a midline premaxillary septum</w:t>
            </w:r>
          </w:p>
        </w:tc>
      </w:tr>
      <w:tr w:rsidR="006E44D9" w14:paraId="6C4DFE5D" w14:textId="77777777" w:rsidTr="006E44D9">
        <w:tc>
          <w:tcPr>
            <w:tcW w:w="0" w:type="auto"/>
            <w:tcBorders>
              <w:top w:val="single" w:sz="4" w:space="0" w:color="auto"/>
              <w:left w:val="single" w:sz="4" w:space="0" w:color="auto"/>
              <w:bottom w:val="single" w:sz="4" w:space="0" w:color="auto"/>
              <w:right w:val="single" w:sz="4" w:space="0" w:color="auto"/>
            </w:tcBorders>
          </w:tcPr>
          <w:p w14:paraId="3BF7DEC9" w14:textId="267A7142" w:rsidR="006E44D9" w:rsidRDefault="006E44D9" w:rsidP="006E44D9">
            <w:pPr>
              <w:rPr>
                <w:color w:val="000000"/>
                <w:sz w:val="20"/>
                <w:szCs w:val="20"/>
                <w:lang w:eastAsia="en-US"/>
              </w:rPr>
            </w:pPr>
            <w:r>
              <w:rPr>
                <w:color w:val="000000"/>
                <w:sz w:val="20"/>
                <w:szCs w:val="20"/>
                <w:lang w:eastAsia="en-US"/>
              </w:rPr>
              <w:t>47</w:t>
            </w:r>
          </w:p>
        </w:tc>
        <w:tc>
          <w:tcPr>
            <w:tcW w:w="0" w:type="auto"/>
            <w:tcBorders>
              <w:top w:val="single" w:sz="4" w:space="0" w:color="auto"/>
              <w:left w:val="single" w:sz="4" w:space="0" w:color="auto"/>
              <w:bottom w:val="single" w:sz="4" w:space="0" w:color="auto"/>
              <w:right w:val="single" w:sz="4" w:space="0" w:color="auto"/>
            </w:tcBorders>
            <w:vAlign w:val="bottom"/>
            <w:hideMark/>
          </w:tcPr>
          <w:p w14:paraId="2F2A9857"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Rostrum, morphology of the external surface of premaxilla and maxilla:</w:t>
            </w:r>
          </w:p>
          <w:p w14:paraId="10231AD9" w14:textId="1E9DC80F"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 xml:space="preserve">based on Pol (1999, ch. 153); </w:t>
            </w:r>
            <w:r>
              <w:rPr>
                <w:bCs/>
                <w:i/>
                <w:color w:val="000000"/>
                <w:sz w:val="20"/>
                <w:lang w:eastAsia="en-US"/>
              </w:rPr>
              <w:t xml:space="preserve">Andrade et al. (2011, ch. 55); </w:t>
            </w:r>
            <w:r>
              <w:rPr>
                <w:i/>
                <w:sz w:val="20"/>
                <w:szCs w:val="20"/>
                <w:lang w:eastAsia="en-US"/>
              </w:rPr>
              <w:t xml:space="preserve">Ristevski et al. (2018, ds 2, ch. 31); Smith et al. (in review, ds 1, ch. 32); </w:t>
            </w:r>
            <w:r>
              <w:rPr>
                <w:i/>
                <w:sz w:val="20"/>
                <w:szCs w:val="20"/>
              </w:rPr>
              <w:t>Ősi et al. (in review, ds 1, ch. 42)</w:t>
            </w:r>
            <w:r>
              <w:rPr>
                <w:bCs/>
                <w:i/>
                <w:color w:val="000000"/>
                <w:sz w:val="20"/>
                <w:lang w:eastAsia="en-US"/>
              </w:rPr>
              <w:t>.</w:t>
            </w:r>
          </w:p>
          <w:p w14:paraId="2DC9B71F"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putative apomorphy of Notosuchidae + Sphagesauridae.</w:t>
            </w:r>
          </w:p>
          <w:p w14:paraId="2E82F442"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Most commonly in state (1), the ventral plane will face laterally and slightly ventrally; the dorsal plane will face laterodorsally.</w:t>
            </w:r>
          </w:p>
          <w:p w14:paraId="70E15334"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rostrum with a continuous surface, either convex or plain</w:t>
            </w:r>
          </w:p>
          <w:p w14:paraId="0F41D9D2" w14:textId="77777777" w:rsidR="006E44D9" w:rsidRDefault="006E44D9" w:rsidP="006E44D9">
            <w:pPr>
              <w:rPr>
                <w:b/>
                <w:color w:val="000000"/>
                <w:sz w:val="20"/>
                <w:szCs w:val="20"/>
                <w:lang w:eastAsia="en-US"/>
              </w:rPr>
            </w:pPr>
            <w:r>
              <w:rPr>
                <w:color w:val="000000"/>
                <w:sz w:val="20"/>
                <w:szCs w:val="20"/>
                <w:lang w:eastAsia="en-US"/>
              </w:rPr>
              <w:t>1. rostrum with distinct ventral and dorsal surfaces, plain and separated by a somewhat distinct anteroposterior ridge or edge</w:t>
            </w:r>
          </w:p>
        </w:tc>
      </w:tr>
      <w:tr w:rsidR="006E44D9" w14:paraId="3ABADF03" w14:textId="77777777" w:rsidTr="006E44D9">
        <w:tc>
          <w:tcPr>
            <w:tcW w:w="0" w:type="auto"/>
            <w:tcBorders>
              <w:top w:val="single" w:sz="4" w:space="0" w:color="auto"/>
              <w:left w:val="single" w:sz="4" w:space="0" w:color="auto"/>
              <w:bottom w:val="single" w:sz="4" w:space="0" w:color="auto"/>
              <w:right w:val="single" w:sz="4" w:space="0" w:color="auto"/>
            </w:tcBorders>
          </w:tcPr>
          <w:p w14:paraId="07243504" w14:textId="4257AFD7" w:rsidR="006E44D9" w:rsidRPr="0019696F" w:rsidRDefault="006E44D9" w:rsidP="006E44D9">
            <w:pPr>
              <w:rPr>
                <w:color w:val="000000"/>
                <w:sz w:val="20"/>
                <w:szCs w:val="20"/>
                <w:lang w:eastAsia="en-US"/>
              </w:rPr>
            </w:pPr>
            <w:r w:rsidRPr="0019696F">
              <w:rPr>
                <w:color w:val="000000"/>
                <w:sz w:val="20"/>
                <w:szCs w:val="20"/>
                <w:lang w:eastAsia="en-US"/>
              </w:rPr>
              <w:t>48</w:t>
            </w:r>
          </w:p>
        </w:tc>
        <w:tc>
          <w:tcPr>
            <w:tcW w:w="0" w:type="auto"/>
            <w:tcBorders>
              <w:top w:val="single" w:sz="4" w:space="0" w:color="auto"/>
              <w:left w:val="single" w:sz="4" w:space="0" w:color="auto"/>
              <w:bottom w:val="single" w:sz="4" w:space="0" w:color="auto"/>
              <w:right w:val="single" w:sz="4" w:space="0" w:color="auto"/>
            </w:tcBorders>
            <w:vAlign w:val="bottom"/>
            <w:hideMark/>
          </w:tcPr>
          <w:p w14:paraId="13129E6B" w14:textId="77777777" w:rsidR="006E44D9" w:rsidRPr="0019696F" w:rsidRDefault="006E44D9" w:rsidP="006E44D9">
            <w:pPr>
              <w:autoSpaceDE w:val="0"/>
              <w:autoSpaceDN w:val="0"/>
              <w:adjustRightInd w:val="0"/>
              <w:rPr>
                <w:b/>
                <w:bCs/>
                <w:color w:val="000000"/>
                <w:sz w:val="20"/>
                <w:szCs w:val="20"/>
                <w:lang w:eastAsia="en-US"/>
              </w:rPr>
            </w:pPr>
            <w:r w:rsidRPr="0019696F">
              <w:rPr>
                <w:b/>
                <w:bCs/>
                <w:color w:val="000000"/>
                <w:sz w:val="20"/>
                <w:szCs w:val="20"/>
                <w:lang w:eastAsia="en-US"/>
              </w:rPr>
              <w:t>Rostrum, type of contriction at the premaxilla-maxilla suture:</w:t>
            </w:r>
          </w:p>
          <w:p w14:paraId="4C5418AE" w14:textId="65D74925" w:rsidR="006E44D9" w:rsidRPr="0019696F" w:rsidRDefault="006E44D9" w:rsidP="006E44D9">
            <w:pPr>
              <w:autoSpaceDE w:val="0"/>
              <w:autoSpaceDN w:val="0"/>
              <w:adjustRightInd w:val="0"/>
              <w:rPr>
                <w:b/>
                <w:bCs/>
                <w:color w:val="000000"/>
                <w:sz w:val="20"/>
                <w:szCs w:val="20"/>
                <w:lang w:eastAsia="en-US"/>
              </w:rPr>
            </w:pPr>
            <w:r w:rsidRPr="0019696F">
              <w:rPr>
                <w:bCs/>
                <w:i/>
                <w:color w:val="000000"/>
                <w:sz w:val="20"/>
                <w:szCs w:val="20"/>
                <w:lang w:eastAsia="en-US"/>
              </w:rPr>
              <w:t>Clark (1994, ch. 9 modified);</w:t>
            </w:r>
            <w:r w:rsidRPr="0019696F">
              <w:rPr>
                <w:b/>
                <w:bCs/>
                <w:color w:val="000000"/>
                <w:sz w:val="20"/>
                <w:szCs w:val="20"/>
                <w:lang w:eastAsia="en-US"/>
              </w:rPr>
              <w:t xml:space="preserve"> </w:t>
            </w:r>
            <w:r w:rsidRPr="0019696F">
              <w:rPr>
                <w:i/>
                <w:sz w:val="20"/>
                <w:szCs w:val="20"/>
                <w:lang w:eastAsia="en-US"/>
              </w:rPr>
              <w:t xml:space="preserve">Wilkinson et al. (2008, ch. 20 modified); Young &amp; Andrade (2009, ch. 20 modified); </w:t>
            </w:r>
            <w:r w:rsidRPr="0019696F">
              <w:rPr>
                <w:bCs/>
                <w:i/>
                <w:color w:val="000000"/>
                <w:sz w:val="20"/>
                <w:lang w:eastAsia="en-US"/>
              </w:rPr>
              <w:t xml:space="preserve">Andrade et al. (2011, ch. 57); </w:t>
            </w:r>
            <w:r w:rsidRPr="0019696F">
              <w:rPr>
                <w:bCs/>
                <w:i/>
                <w:color w:val="000000"/>
                <w:sz w:val="20"/>
                <w:szCs w:val="20"/>
                <w:lang w:eastAsia="en-US"/>
              </w:rPr>
              <w:t>Young et al. (2011, ch. 20 modified); Young et al. (2013a, ch. 75 modified);</w:t>
            </w:r>
            <w:r w:rsidRPr="0019696F">
              <w:rPr>
                <w:i/>
                <w:sz w:val="20"/>
                <w:szCs w:val="20"/>
                <w:lang w:eastAsia="en-US"/>
              </w:rPr>
              <w:t xml:space="preserve"> Young et al. (2012, ch. 88 modified); Young (2014, ch. 90 modified); Young et al. (2016, ds 2, ch. 108 modified); Ristevski et al. (2018, ds 2, ch. 32); Smith et al. (in review, ds 1, ch. 33); </w:t>
            </w:r>
            <w:r w:rsidRPr="0019696F">
              <w:rPr>
                <w:i/>
                <w:sz w:val="20"/>
                <w:szCs w:val="20"/>
              </w:rPr>
              <w:t>Ősi et al. (in review, ds 1, ch. 43)</w:t>
            </w:r>
            <w:r w:rsidRPr="0019696F">
              <w:rPr>
                <w:bCs/>
                <w:i/>
                <w:color w:val="000000"/>
                <w:sz w:val="20"/>
                <w:lang w:eastAsia="en-US"/>
              </w:rPr>
              <w:t>.</w:t>
            </w:r>
          </w:p>
          <w:p w14:paraId="5143B2B0" w14:textId="77777777" w:rsidR="006E44D9" w:rsidRPr="0019696F" w:rsidRDefault="006E44D9" w:rsidP="006E44D9">
            <w:pPr>
              <w:autoSpaceDE w:val="0"/>
              <w:autoSpaceDN w:val="0"/>
              <w:adjustRightInd w:val="0"/>
              <w:rPr>
                <w:i/>
                <w:iCs/>
                <w:color w:val="000000"/>
                <w:sz w:val="20"/>
                <w:szCs w:val="20"/>
                <w:lang w:eastAsia="en-US"/>
              </w:rPr>
            </w:pPr>
            <w:r w:rsidRPr="0019696F">
              <w:rPr>
                <w:i/>
                <w:iCs/>
                <w:color w:val="000000"/>
                <w:sz w:val="20"/>
                <w:szCs w:val="20"/>
                <w:lang w:eastAsia="en-US"/>
              </w:rPr>
              <w:t xml:space="preserve">State (0) is a putative apomorphy of </w:t>
            </w:r>
            <w:r w:rsidRPr="0019696F">
              <w:rPr>
                <w:color w:val="000000"/>
                <w:sz w:val="20"/>
                <w:szCs w:val="20"/>
                <w:lang w:eastAsia="en-US"/>
              </w:rPr>
              <w:t>Araripesuchus</w:t>
            </w:r>
            <w:r w:rsidRPr="0019696F">
              <w:rPr>
                <w:i/>
                <w:iCs/>
                <w:color w:val="000000"/>
                <w:sz w:val="20"/>
                <w:szCs w:val="20"/>
                <w:lang w:eastAsia="en-US"/>
              </w:rPr>
              <w:t>.</w:t>
            </w:r>
          </w:p>
          <w:p w14:paraId="2D2ADDDC" w14:textId="77777777" w:rsidR="006E44D9" w:rsidRPr="0019696F" w:rsidRDefault="006E44D9" w:rsidP="006E44D9">
            <w:pPr>
              <w:autoSpaceDE w:val="0"/>
              <w:autoSpaceDN w:val="0"/>
              <w:adjustRightInd w:val="0"/>
              <w:rPr>
                <w:i/>
                <w:iCs/>
                <w:color w:val="000000"/>
                <w:sz w:val="20"/>
                <w:szCs w:val="20"/>
                <w:lang w:eastAsia="en-US"/>
              </w:rPr>
            </w:pPr>
            <w:r w:rsidRPr="0019696F">
              <w:rPr>
                <w:i/>
                <w:iCs/>
                <w:color w:val="000000"/>
                <w:sz w:val="20"/>
                <w:szCs w:val="20"/>
                <w:lang w:eastAsia="en-US"/>
              </w:rPr>
              <w:t>The vast majority of crocodylomorphs can be considered as (1), but highly predaceous forms will show a well-defined notch at the premaxilla-maxilla suture (2).</w:t>
            </w:r>
          </w:p>
          <w:p w14:paraId="608E052E" w14:textId="77777777" w:rsidR="006E44D9" w:rsidRPr="0019696F" w:rsidRDefault="006E44D9" w:rsidP="006E44D9">
            <w:pPr>
              <w:autoSpaceDE w:val="0"/>
              <w:autoSpaceDN w:val="0"/>
              <w:adjustRightInd w:val="0"/>
              <w:rPr>
                <w:color w:val="000000"/>
                <w:sz w:val="20"/>
                <w:szCs w:val="20"/>
                <w:lang w:eastAsia="en-US"/>
              </w:rPr>
            </w:pPr>
            <w:r w:rsidRPr="0019696F">
              <w:rPr>
                <w:color w:val="000000"/>
                <w:sz w:val="20"/>
                <w:szCs w:val="20"/>
                <w:lang w:eastAsia="en-US"/>
              </w:rPr>
              <w:t>0. narrow slit</w:t>
            </w:r>
          </w:p>
          <w:p w14:paraId="4369A1C2" w14:textId="77777777" w:rsidR="006E44D9" w:rsidRPr="0019696F" w:rsidRDefault="006E44D9" w:rsidP="006E44D9">
            <w:pPr>
              <w:autoSpaceDE w:val="0"/>
              <w:autoSpaceDN w:val="0"/>
              <w:adjustRightInd w:val="0"/>
              <w:rPr>
                <w:color w:val="000000"/>
                <w:sz w:val="20"/>
                <w:szCs w:val="20"/>
                <w:lang w:eastAsia="en-US"/>
              </w:rPr>
            </w:pPr>
            <w:r w:rsidRPr="0019696F">
              <w:rPr>
                <w:color w:val="000000"/>
                <w:sz w:val="20"/>
                <w:szCs w:val="20"/>
                <w:lang w:eastAsia="en-US"/>
              </w:rPr>
              <w:t>1. wide, poorly-defined concavity, or not constricted at all</w:t>
            </w:r>
          </w:p>
          <w:p w14:paraId="466F6678" w14:textId="77777777" w:rsidR="006E44D9" w:rsidRPr="0019696F" w:rsidRDefault="006E44D9" w:rsidP="006E44D9">
            <w:pPr>
              <w:autoSpaceDE w:val="0"/>
              <w:autoSpaceDN w:val="0"/>
              <w:adjustRightInd w:val="0"/>
              <w:rPr>
                <w:b/>
                <w:bCs/>
                <w:color w:val="000000"/>
                <w:sz w:val="20"/>
                <w:szCs w:val="20"/>
                <w:lang w:eastAsia="en-US"/>
              </w:rPr>
            </w:pPr>
            <w:r w:rsidRPr="0019696F">
              <w:rPr>
                <w:color w:val="000000"/>
                <w:sz w:val="20"/>
                <w:szCs w:val="20"/>
                <w:lang w:eastAsia="en-US"/>
              </w:rPr>
              <w:t>2. well-defined notch</w:t>
            </w:r>
          </w:p>
        </w:tc>
      </w:tr>
      <w:tr w:rsidR="006E44D9" w14:paraId="1EC909B3" w14:textId="77777777" w:rsidTr="006E44D9">
        <w:tc>
          <w:tcPr>
            <w:tcW w:w="0" w:type="auto"/>
            <w:tcBorders>
              <w:top w:val="single" w:sz="4" w:space="0" w:color="auto"/>
              <w:left w:val="single" w:sz="4" w:space="0" w:color="auto"/>
              <w:bottom w:val="single" w:sz="4" w:space="0" w:color="auto"/>
              <w:right w:val="single" w:sz="4" w:space="0" w:color="auto"/>
            </w:tcBorders>
          </w:tcPr>
          <w:p w14:paraId="2E0A52A1" w14:textId="3901B428" w:rsidR="006E44D9" w:rsidRPr="0019696F" w:rsidRDefault="006E44D9" w:rsidP="006E44D9">
            <w:pPr>
              <w:rPr>
                <w:color w:val="000000"/>
                <w:sz w:val="20"/>
                <w:szCs w:val="20"/>
                <w:lang w:eastAsia="en-US"/>
              </w:rPr>
            </w:pPr>
            <w:r w:rsidRPr="0019696F">
              <w:rPr>
                <w:color w:val="000000"/>
                <w:sz w:val="20"/>
                <w:szCs w:val="20"/>
                <w:lang w:eastAsia="en-US"/>
              </w:rPr>
              <w:t>49</w:t>
            </w:r>
          </w:p>
        </w:tc>
        <w:tc>
          <w:tcPr>
            <w:tcW w:w="0" w:type="auto"/>
            <w:tcBorders>
              <w:top w:val="single" w:sz="4" w:space="0" w:color="auto"/>
              <w:left w:val="single" w:sz="4" w:space="0" w:color="auto"/>
              <w:bottom w:val="single" w:sz="4" w:space="0" w:color="auto"/>
              <w:right w:val="single" w:sz="4" w:space="0" w:color="auto"/>
            </w:tcBorders>
            <w:vAlign w:val="bottom"/>
            <w:hideMark/>
          </w:tcPr>
          <w:p w14:paraId="5D10AA7A" w14:textId="77777777" w:rsidR="006E44D9" w:rsidRPr="0019696F" w:rsidRDefault="006E44D9" w:rsidP="006E44D9">
            <w:pPr>
              <w:autoSpaceDE w:val="0"/>
              <w:autoSpaceDN w:val="0"/>
              <w:adjustRightInd w:val="0"/>
              <w:rPr>
                <w:b/>
                <w:bCs/>
                <w:color w:val="000000"/>
                <w:sz w:val="20"/>
                <w:szCs w:val="20"/>
                <w:lang w:eastAsia="en-US"/>
              </w:rPr>
            </w:pPr>
            <w:r w:rsidRPr="0019696F">
              <w:rPr>
                <w:b/>
                <w:bCs/>
                <w:color w:val="000000"/>
                <w:sz w:val="20"/>
                <w:szCs w:val="20"/>
                <w:lang w:eastAsia="en-US"/>
              </w:rPr>
              <w:t>Premaxillae anterior to naris, morphology:</w:t>
            </w:r>
          </w:p>
          <w:p w14:paraId="6368E8CE" w14:textId="52AC555E" w:rsidR="006E44D9" w:rsidRPr="0019696F" w:rsidRDefault="006E44D9" w:rsidP="006E44D9">
            <w:pPr>
              <w:autoSpaceDE w:val="0"/>
              <w:autoSpaceDN w:val="0"/>
              <w:adjustRightInd w:val="0"/>
              <w:rPr>
                <w:b/>
                <w:bCs/>
                <w:color w:val="000000"/>
                <w:sz w:val="20"/>
                <w:szCs w:val="20"/>
                <w:lang w:eastAsia="en-US"/>
              </w:rPr>
            </w:pPr>
            <w:r w:rsidRPr="0019696F">
              <w:rPr>
                <w:bCs/>
                <w:i/>
                <w:color w:val="000000"/>
                <w:sz w:val="20"/>
                <w:szCs w:val="20"/>
                <w:lang w:eastAsia="en-US"/>
              </w:rPr>
              <w:t>Clark (1995, ch. 5 modified);</w:t>
            </w:r>
            <w:r w:rsidRPr="0019696F">
              <w:rPr>
                <w:b/>
                <w:bCs/>
                <w:color w:val="000000"/>
                <w:sz w:val="20"/>
                <w:szCs w:val="20"/>
                <w:lang w:eastAsia="en-US"/>
              </w:rPr>
              <w:t xml:space="preserve"> </w:t>
            </w:r>
            <w:r w:rsidRPr="0019696F">
              <w:rPr>
                <w:bCs/>
                <w:i/>
                <w:color w:val="000000"/>
                <w:sz w:val="20"/>
                <w:lang w:eastAsia="en-US"/>
              </w:rPr>
              <w:t xml:space="preserve">Andrade et al. (2011, ch. 62); </w:t>
            </w:r>
            <w:r w:rsidRPr="0019696F">
              <w:rPr>
                <w:i/>
                <w:sz w:val="20"/>
                <w:szCs w:val="20"/>
                <w:lang w:eastAsia="en-US"/>
              </w:rPr>
              <w:t xml:space="preserve">Ristevski et al. (2018, ds 2, ch. 33); Smith et al. (in review, ds 1, ch. 34); </w:t>
            </w:r>
            <w:r w:rsidRPr="0019696F">
              <w:rPr>
                <w:i/>
                <w:sz w:val="20"/>
                <w:szCs w:val="20"/>
              </w:rPr>
              <w:t>Ősi et al. (in review, ds 1, ch. 44)</w:t>
            </w:r>
            <w:r w:rsidRPr="0019696F">
              <w:rPr>
                <w:bCs/>
                <w:i/>
                <w:color w:val="000000"/>
                <w:sz w:val="20"/>
                <w:lang w:eastAsia="en-US"/>
              </w:rPr>
              <w:t>.</w:t>
            </w:r>
          </w:p>
          <w:p w14:paraId="4AB8028C" w14:textId="77777777" w:rsidR="006E44D9" w:rsidRPr="0019696F" w:rsidRDefault="006E44D9" w:rsidP="006E44D9">
            <w:pPr>
              <w:autoSpaceDE w:val="0"/>
              <w:autoSpaceDN w:val="0"/>
              <w:adjustRightInd w:val="0"/>
              <w:rPr>
                <w:i/>
                <w:iCs/>
                <w:color w:val="000000"/>
                <w:sz w:val="20"/>
                <w:szCs w:val="20"/>
                <w:lang w:eastAsia="en-US"/>
              </w:rPr>
            </w:pPr>
            <w:r w:rsidRPr="0019696F">
              <w:rPr>
                <w:i/>
                <w:iCs/>
                <w:color w:val="000000"/>
                <w:sz w:val="20"/>
                <w:szCs w:val="20"/>
                <w:lang w:eastAsia="en-US"/>
              </w:rPr>
              <w:t>State (0) is putative apomorphy of Notosuchidae + Sphagesauridae.</w:t>
            </w:r>
          </w:p>
          <w:p w14:paraId="10469B4A" w14:textId="77777777" w:rsidR="006E44D9" w:rsidRPr="0019696F" w:rsidRDefault="006E44D9" w:rsidP="006E44D9">
            <w:pPr>
              <w:autoSpaceDE w:val="0"/>
              <w:autoSpaceDN w:val="0"/>
              <w:adjustRightInd w:val="0"/>
              <w:rPr>
                <w:i/>
                <w:iCs/>
                <w:color w:val="000000"/>
                <w:sz w:val="20"/>
                <w:szCs w:val="20"/>
                <w:lang w:eastAsia="en-US"/>
              </w:rPr>
            </w:pPr>
            <w:r w:rsidRPr="0019696F">
              <w:rPr>
                <w:i/>
                <w:iCs/>
                <w:color w:val="000000"/>
                <w:sz w:val="20"/>
                <w:szCs w:val="20"/>
                <w:lang w:eastAsia="en-US"/>
              </w:rPr>
              <w:t xml:space="preserve">State (1) is a putative apomorphy of </w:t>
            </w:r>
            <w:r w:rsidRPr="0019696F">
              <w:rPr>
                <w:color w:val="000000"/>
                <w:sz w:val="20"/>
                <w:szCs w:val="20"/>
                <w:lang w:eastAsia="en-US"/>
              </w:rPr>
              <w:t xml:space="preserve">Araripesuchus </w:t>
            </w:r>
            <w:r w:rsidRPr="0019696F">
              <w:rPr>
                <w:i/>
                <w:iCs/>
                <w:color w:val="000000"/>
                <w:sz w:val="20"/>
                <w:szCs w:val="20"/>
                <w:lang w:eastAsia="en-US"/>
              </w:rPr>
              <w:t xml:space="preserve">+ </w:t>
            </w:r>
            <w:r w:rsidRPr="0019696F">
              <w:rPr>
                <w:color w:val="000000"/>
                <w:sz w:val="20"/>
                <w:szCs w:val="20"/>
                <w:lang w:eastAsia="en-US"/>
              </w:rPr>
              <w:t>Libycosuchus</w:t>
            </w:r>
            <w:r w:rsidRPr="0019696F">
              <w:rPr>
                <w:i/>
                <w:iCs/>
                <w:color w:val="000000"/>
                <w:sz w:val="20"/>
                <w:szCs w:val="20"/>
                <w:lang w:eastAsia="en-US"/>
              </w:rPr>
              <w:t>.</w:t>
            </w:r>
          </w:p>
          <w:p w14:paraId="7FC024F8" w14:textId="77777777" w:rsidR="006E44D9" w:rsidRPr="0019696F" w:rsidRDefault="006E44D9" w:rsidP="006E44D9">
            <w:pPr>
              <w:autoSpaceDE w:val="0"/>
              <w:autoSpaceDN w:val="0"/>
              <w:adjustRightInd w:val="0"/>
              <w:rPr>
                <w:color w:val="000000"/>
                <w:sz w:val="20"/>
                <w:szCs w:val="20"/>
                <w:lang w:eastAsia="en-US"/>
              </w:rPr>
            </w:pPr>
            <w:r w:rsidRPr="0019696F">
              <w:rPr>
                <w:color w:val="000000"/>
                <w:sz w:val="20"/>
                <w:szCs w:val="20"/>
                <w:lang w:eastAsia="en-US"/>
              </w:rPr>
              <w:lastRenderedPageBreak/>
              <w:t>0. anterior rami of premaxillae do not meet medially, anterior/ventral to naris, with both premaxillae in contact only through palatine rami</w:t>
            </w:r>
          </w:p>
          <w:p w14:paraId="09573C0D" w14:textId="77777777" w:rsidR="006E44D9" w:rsidRPr="0019696F" w:rsidRDefault="006E44D9" w:rsidP="006E44D9">
            <w:pPr>
              <w:autoSpaceDE w:val="0"/>
              <w:autoSpaceDN w:val="0"/>
              <w:adjustRightInd w:val="0"/>
              <w:rPr>
                <w:color w:val="000000"/>
                <w:sz w:val="20"/>
                <w:szCs w:val="20"/>
                <w:lang w:eastAsia="en-US"/>
              </w:rPr>
            </w:pPr>
            <w:r w:rsidRPr="0019696F">
              <w:rPr>
                <w:color w:val="000000"/>
                <w:sz w:val="20"/>
                <w:szCs w:val="20"/>
                <w:lang w:eastAsia="en-US"/>
              </w:rPr>
              <w:t>1. anterior rami of premaxillae meet anterior to naris, through a very narrow band, but not projecting vertically</w:t>
            </w:r>
          </w:p>
          <w:p w14:paraId="72A77F3C" w14:textId="77777777" w:rsidR="006E44D9" w:rsidRPr="0019696F" w:rsidRDefault="006E44D9" w:rsidP="006E44D9">
            <w:pPr>
              <w:rPr>
                <w:b/>
                <w:color w:val="000000"/>
                <w:sz w:val="20"/>
                <w:szCs w:val="20"/>
                <w:lang w:eastAsia="en-US"/>
              </w:rPr>
            </w:pPr>
            <w:r w:rsidRPr="0019696F">
              <w:rPr>
                <w:color w:val="000000"/>
                <w:sz w:val="20"/>
                <w:szCs w:val="20"/>
                <w:lang w:eastAsia="en-US"/>
              </w:rPr>
              <w:t>2. anterior rami of premaxillae broadly meet anterior to naris, forming a vertical wall, which may be straight or slightly convex</w:t>
            </w:r>
          </w:p>
        </w:tc>
      </w:tr>
      <w:tr w:rsidR="006E44D9" w14:paraId="4193CF52" w14:textId="77777777" w:rsidTr="006E44D9">
        <w:tc>
          <w:tcPr>
            <w:tcW w:w="0" w:type="auto"/>
            <w:tcBorders>
              <w:top w:val="single" w:sz="4" w:space="0" w:color="auto"/>
              <w:left w:val="single" w:sz="4" w:space="0" w:color="auto"/>
              <w:bottom w:val="single" w:sz="4" w:space="0" w:color="auto"/>
              <w:right w:val="single" w:sz="4" w:space="0" w:color="auto"/>
            </w:tcBorders>
          </w:tcPr>
          <w:p w14:paraId="2185D6E5" w14:textId="11692F56" w:rsidR="006E44D9" w:rsidRDefault="006E44D9" w:rsidP="006E44D9">
            <w:pPr>
              <w:rPr>
                <w:color w:val="000000"/>
                <w:sz w:val="20"/>
                <w:szCs w:val="20"/>
                <w:lang w:eastAsia="en-US"/>
              </w:rPr>
            </w:pPr>
            <w:r>
              <w:rPr>
                <w:color w:val="000000"/>
                <w:sz w:val="20"/>
                <w:szCs w:val="20"/>
                <w:lang w:eastAsia="en-US"/>
              </w:rPr>
              <w:lastRenderedPageBreak/>
              <w:t>50</w:t>
            </w:r>
          </w:p>
        </w:tc>
        <w:tc>
          <w:tcPr>
            <w:tcW w:w="0" w:type="auto"/>
            <w:tcBorders>
              <w:top w:val="single" w:sz="4" w:space="0" w:color="auto"/>
              <w:left w:val="single" w:sz="4" w:space="0" w:color="auto"/>
              <w:bottom w:val="single" w:sz="4" w:space="0" w:color="auto"/>
              <w:right w:val="single" w:sz="4" w:space="0" w:color="auto"/>
            </w:tcBorders>
            <w:vAlign w:val="bottom"/>
            <w:hideMark/>
          </w:tcPr>
          <w:p w14:paraId="2691D1E1"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Premaxilla, type of contact with maxilla:</w:t>
            </w:r>
          </w:p>
          <w:p w14:paraId="432D718A" w14:textId="408AF6DC" w:rsidR="006E44D9" w:rsidRDefault="006E44D9" w:rsidP="006E44D9">
            <w:pPr>
              <w:autoSpaceDE w:val="0"/>
              <w:autoSpaceDN w:val="0"/>
              <w:adjustRightInd w:val="0"/>
              <w:rPr>
                <w:b/>
                <w:bCs/>
                <w:color w:val="000000"/>
                <w:sz w:val="20"/>
                <w:szCs w:val="20"/>
                <w:lang w:eastAsia="en-US"/>
              </w:rPr>
            </w:pPr>
            <w:r>
              <w:rPr>
                <w:bCs/>
                <w:i/>
                <w:color w:val="000000"/>
                <w:sz w:val="20"/>
                <w:szCs w:val="20"/>
                <w:lang w:eastAsia="en-US"/>
              </w:rPr>
              <w:t xml:space="preserve">Clark (1994, ch. 8); </w:t>
            </w:r>
            <w:r>
              <w:rPr>
                <w:bCs/>
                <w:i/>
                <w:color w:val="000000"/>
                <w:sz w:val="20"/>
                <w:lang w:eastAsia="en-US"/>
              </w:rPr>
              <w:t xml:space="preserve">Andrade et al. (2011, ch. 63); </w:t>
            </w:r>
            <w:r>
              <w:rPr>
                <w:i/>
                <w:sz w:val="20"/>
                <w:szCs w:val="20"/>
                <w:lang w:eastAsia="en-US"/>
              </w:rPr>
              <w:t xml:space="preserve">Ristevski et al. (2018, ds 2, ch. 34); Smith et al. (in review, ds 1, ch. 35); </w:t>
            </w:r>
            <w:r>
              <w:rPr>
                <w:i/>
                <w:sz w:val="20"/>
                <w:szCs w:val="20"/>
              </w:rPr>
              <w:t>Ősi et al. (in review, ds 1, ch. 45)</w:t>
            </w:r>
            <w:r>
              <w:rPr>
                <w:bCs/>
                <w:i/>
                <w:color w:val="000000"/>
                <w:sz w:val="20"/>
                <w:lang w:eastAsia="en-US"/>
              </w:rPr>
              <w:t>.</w:t>
            </w:r>
          </w:p>
          <w:p w14:paraId="41699BF1"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a putative apomorphy of Crocodyliformes.</w:t>
            </w:r>
          </w:p>
          <w:p w14:paraId="0B903A1B"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premaxilla loosely overlies maxilla on face</w:t>
            </w:r>
          </w:p>
          <w:p w14:paraId="3711D136" w14:textId="77777777" w:rsidR="006E44D9" w:rsidRDefault="006E44D9" w:rsidP="006E44D9">
            <w:pPr>
              <w:rPr>
                <w:b/>
                <w:color w:val="000000"/>
                <w:sz w:val="20"/>
                <w:szCs w:val="20"/>
                <w:lang w:eastAsia="en-US"/>
              </w:rPr>
            </w:pPr>
            <w:r>
              <w:rPr>
                <w:color w:val="000000"/>
                <w:sz w:val="20"/>
                <w:szCs w:val="20"/>
                <w:lang w:eastAsia="en-US"/>
              </w:rPr>
              <w:t>1. premaxilla and maxilla suture together along butt joint</w:t>
            </w:r>
          </w:p>
        </w:tc>
      </w:tr>
      <w:tr w:rsidR="006E44D9" w14:paraId="16057DAA" w14:textId="77777777" w:rsidTr="006E44D9">
        <w:tc>
          <w:tcPr>
            <w:tcW w:w="0" w:type="auto"/>
            <w:tcBorders>
              <w:top w:val="single" w:sz="4" w:space="0" w:color="auto"/>
              <w:left w:val="single" w:sz="4" w:space="0" w:color="auto"/>
              <w:bottom w:val="single" w:sz="4" w:space="0" w:color="auto"/>
              <w:right w:val="single" w:sz="4" w:space="0" w:color="auto"/>
            </w:tcBorders>
          </w:tcPr>
          <w:p w14:paraId="5E855A4C" w14:textId="0B49B0B1" w:rsidR="006E44D9" w:rsidRDefault="006E44D9" w:rsidP="006E44D9">
            <w:pPr>
              <w:rPr>
                <w:color w:val="000000"/>
                <w:sz w:val="20"/>
                <w:szCs w:val="20"/>
                <w:lang w:eastAsia="en-US"/>
              </w:rPr>
            </w:pPr>
            <w:r>
              <w:rPr>
                <w:color w:val="000000"/>
                <w:sz w:val="20"/>
                <w:szCs w:val="20"/>
                <w:lang w:eastAsia="en-US"/>
              </w:rPr>
              <w:t>51</w:t>
            </w:r>
          </w:p>
        </w:tc>
        <w:tc>
          <w:tcPr>
            <w:tcW w:w="0" w:type="auto"/>
            <w:tcBorders>
              <w:top w:val="single" w:sz="4" w:space="0" w:color="auto"/>
              <w:left w:val="single" w:sz="4" w:space="0" w:color="auto"/>
              <w:bottom w:val="single" w:sz="4" w:space="0" w:color="auto"/>
              <w:right w:val="single" w:sz="4" w:space="0" w:color="auto"/>
            </w:tcBorders>
            <w:vAlign w:val="bottom"/>
            <w:hideMark/>
          </w:tcPr>
          <w:p w14:paraId="3CE609D3" w14:textId="77777777" w:rsidR="006E44D9" w:rsidRDefault="006E44D9" w:rsidP="006E44D9">
            <w:pPr>
              <w:rPr>
                <w:b/>
                <w:color w:val="000000"/>
                <w:sz w:val="20"/>
                <w:szCs w:val="20"/>
                <w:lang w:eastAsia="en-US"/>
              </w:rPr>
            </w:pPr>
            <w:r>
              <w:rPr>
                <w:b/>
                <w:color w:val="000000"/>
                <w:sz w:val="20"/>
                <w:szCs w:val="20"/>
                <w:lang w:eastAsia="en-US"/>
              </w:rPr>
              <w:t>Distance between premaxilla and nasal:</w:t>
            </w:r>
          </w:p>
          <w:p w14:paraId="6013B2ED" w14:textId="49E588A6" w:rsidR="006E44D9" w:rsidRDefault="006E44D9" w:rsidP="006E44D9">
            <w:pPr>
              <w:autoSpaceDE w:val="0"/>
              <w:autoSpaceDN w:val="0"/>
              <w:adjustRightInd w:val="0"/>
              <w:rPr>
                <w:i/>
                <w:sz w:val="20"/>
                <w:szCs w:val="20"/>
                <w:lang w:eastAsia="en-US"/>
              </w:rPr>
            </w:pPr>
            <w:r>
              <w:rPr>
                <w:i/>
                <w:sz w:val="20"/>
                <w:szCs w:val="20"/>
                <w:lang w:eastAsia="en-US"/>
              </w:rPr>
              <w:t xml:space="preserve">Young (2006, ch. 5 modified); Wilkinson et al. (2008, ch. 22 modified); Young &amp; Andrade (2009, ch. 22 modified); </w:t>
            </w:r>
            <w:r>
              <w:rPr>
                <w:bCs/>
                <w:i/>
                <w:color w:val="000000"/>
                <w:sz w:val="20"/>
                <w:szCs w:val="20"/>
                <w:lang w:eastAsia="en-US"/>
              </w:rPr>
              <w:t>Young et al. (2011, ch. 22 modified); Young et al. (2013a, ch. 8 modified);</w:t>
            </w:r>
            <w:r>
              <w:rPr>
                <w:i/>
                <w:sz w:val="20"/>
                <w:szCs w:val="20"/>
                <w:lang w:eastAsia="en-US"/>
              </w:rPr>
              <w:t xml:space="preserve"> Young et al. (2012, ch. 10); Young (2014, ch. 11); Young et al. (2016, ds 2, ch. 17); Ristevski et al. (2018, ds 2, ch. 35); Smith et al. (in review, ds 1, ch. 36); </w:t>
            </w:r>
            <w:r>
              <w:rPr>
                <w:i/>
                <w:sz w:val="20"/>
                <w:szCs w:val="20"/>
              </w:rPr>
              <w:t>Ősi et al. (in review, ds 1, ch. 46)</w:t>
            </w:r>
            <w:r>
              <w:rPr>
                <w:i/>
                <w:sz w:val="20"/>
                <w:szCs w:val="20"/>
                <w:lang w:eastAsia="en-US"/>
              </w:rPr>
              <w:t>.</w:t>
            </w:r>
          </w:p>
          <w:p w14:paraId="6EC40EAD" w14:textId="77777777" w:rsidR="006E44D9" w:rsidRDefault="006E44D9" w:rsidP="006E44D9">
            <w:pPr>
              <w:autoSpaceDE w:val="0"/>
              <w:autoSpaceDN w:val="0"/>
              <w:adjustRightInd w:val="0"/>
              <w:rPr>
                <w:sz w:val="20"/>
                <w:szCs w:val="20"/>
                <w:lang w:eastAsia="en-US"/>
              </w:rPr>
            </w:pPr>
            <w:r>
              <w:rPr>
                <w:i/>
                <w:sz w:val="20"/>
                <w:szCs w:val="20"/>
                <w:lang w:eastAsia="en-US"/>
              </w:rPr>
              <w:t xml:space="preserve">State (2) occurs in </w:t>
            </w:r>
            <w:r>
              <w:rPr>
                <w:sz w:val="20"/>
                <w:szCs w:val="20"/>
                <w:lang w:eastAsia="en-US"/>
              </w:rPr>
              <w:t xml:space="preserve">Meridiosaurus </w:t>
            </w:r>
            <w:r>
              <w:rPr>
                <w:i/>
                <w:sz w:val="20"/>
                <w:szCs w:val="20"/>
                <w:lang w:eastAsia="en-US"/>
              </w:rPr>
              <w:t xml:space="preserve">and </w:t>
            </w:r>
            <w:r>
              <w:rPr>
                <w:sz w:val="20"/>
                <w:szCs w:val="20"/>
                <w:lang w:eastAsia="en-US"/>
              </w:rPr>
              <w:t>Gavialis.</w:t>
            </w:r>
          </w:p>
          <w:p w14:paraId="72740838" w14:textId="77777777" w:rsidR="006E44D9" w:rsidRDefault="006E44D9" w:rsidP="006E44D9">
            <w:pPr>
              <w:autoSpaceDE w:val="0"/>
              <w:autoSpaceDN w:val="0"/>
              <w:adjustRightInd w:val="0"/>
              <w:rPr>
                <w:i/>
                <w:sz w:val="20"/>
                <w:szCs w:val="20"/>
                <w:lang w:eastAsia="en-US"/>
              </w:rPr>
            </w:pPr>
            <w:r>
              <w:rPr>
                <w:i/>
                <w:sz w:val="20"/>
                <w:szCs w:val="20"/>
                <w:lang w:eastAsia="en-US"/>
              </w:rPr>
              <w:t xml:space="preserve">States (1+2) are putative apomorphies of Thalattosuchia. But with reversals, some specimens of </w:t>
            </w:r>
            <w:r>
              <w:rPr>
                <w:sz w:val="20"/>
                <w:szCs w:val="20"/>
                <w:lang w:eastAsia="en-US"/>
              </w:rPr>
              <w:t>‘Metriorhynchus’ brachyrhynchus</w:t>
            </w:r>
            <w:r>
              <w:rPr>
                <w:i/>
                <w:sz w:val="20"/>
                <w:szCs w:val="20"/>
                <w:lang w:eastAsia="en-US"/>
              </w:rPr>
              <w:t xml:space="preserve"> have contact between these elements, and the posterodorsal retraction of the external nares in </w:t>
            </w:r>
            <w:r>
              <w:rPr>
                <w:sz w:val="20"/>
                <w:szCs w:val="20"/>
                <w:lang w:eastAsia="en-US"/>
              </w:rPr>
              <w:t xml:space="preserve">‘Cricosaurus’ macrospondylus </w:t>
            </w:r>
            <w:r>
              <w:rPr>
                <w:i/>
                <w:sz w:val="20"/>
                <w:szCs w:val="20"/>
                <w:lang w:eastAsia="en-US"/>
              </w:rPr>
              <w:t>results in contact between these elements.</w:t>
            </w:r>
          </w:p>
          <w:p w14:paraId="686C3278" w14:textId="77777777" w:rsidR="006E44D9" w:rsidRDefault="006E44D9" w:rsidP="006E44D9">
            <w:pPr>
              <w:rPr>
                <w:color w:val="000000"/>
                <w:sz w:val="20"/>
                <w:szCs w:val="20"/>
                <w:lang w:eastAsia="en-US"/>
              </w:rPr>
            </w:pPr>
            <w:r>
              <w:rPr>
                <w:color w:val="000000"/>
                <w:sz w:val="20"/>
                <w:szCs w:val="20"/>
                <w:lang w:eastAsia="en-US"/>
              </w:rPr>
              <w:t>0. none, premaxilla and nasal contact</w:t>
            </w:r>
          </w:p>
          <w:p w14:paraId="19D9159D" w14:textId="77777777" w:rsidR="006E44D9" w:rsidRDefault="006E44D9" w:rsidP="006E44D9">
            <w:pPr>
              <w:rPr>
                <w:color w:val="000000"/>
                <w:sz w:val="20"/>
                <w:szCs w:val="20"/>
                <w:lang w:eastAsia="en-US"/>
              </w:rPr>
            </w:pPr>
            <w:r>
              <w:rPr>
                <w:color w:val="000000"/>
                <w:sz w:val="20"/>
                <w:szCs w:val="20"/>
                <w:lang w:eastAsia="en-US"/>
              </w:rPr>
              <w:t>1. small, less than half the midline length of the premaxilla</w:t>
            </w:r>
          </w:p>
          <w:p w14:paraId="381EF0B7" w14:textId="77777777" w:rsidR="006E44D9" w:rsidRDefault="006E44D9" w:rsidP="006E44D9">
            <w:pPr>
              <w:rPr>
                <w:b/>
                <w:color w:val="000000"/>
                <w:sz w:val="20"/>
                <w:szCs w:val="20"/>
                <w:lang w:eastAsia="en-US"/>
              </w:rPr>
            </w:pPr>
            <w:r>
              <w:rPr>
                <w:color w:val="000000"/>
                <w:sz w:val="20"/>
                <w:szCs w:val="20"/>
                <w:lang w:eastAsia="en-US"/>
              </w:rPr>
              <w:t>2. large, approximately 80% to more than 100% of the midline length of the premaxilla</w:t>
            </w:r>
          </w:p>
        </w:tc>
      </w:tr>
      <w:tr w:rsidR="006E44D9" w14:paraId="345615AB" w14:textId="77777777" w:rsidTr="006E44D9">
        <w:tc>
          <w:tcPr>
            <w:tcW w:w="0" w:type="auto"/>
            <w:tcBorders>
              <w:top w:val="single" w:sz="4" w:space="0" w:color="auto"/>
              <w:left w:val="single" w:sz="4" w:space="0" w:color="auto"/>
              <w:bottom w:val="single" w:sz="4" w:space="0" w:color="auto"/>
              <w:right w:val="single" w:sz="4" w:space="0" w:color="auto"/>
            </w:tcBorders>
          </w:tcPr>
          <w:p w14:paraId="6BB2ACC9" w14:textId="250C1D7E" w:rsidR="006E44D9" w:rsidRDefault="006E44D9" w:rsidP="006E44D9">
            <w:pPr>
              <w:rPr>
                <w:color w:val="000000"/>
                <w:sz w:val="20"/>
                <w:szCs w:val="20"/>
                <w:lang w:eastAsia="en-US"/>
              </w:rPr>
            </w:pPr>
            <w:r>
              <w:rPr>
                <w:color w:val="000000"/>
                <w:sz w:val="20"/>
                <w:szCs w:val="20"/>
                <w:lang w:eastAsia="en-US"/>
              </w:rPr>
              <w:t>52</w:t>
            </w:r>
          </w:p>
        </w:tc>
        <w:tc>
          <w:tcPr>
            <w:tcW w:w="0" w:type="auto"/>
            <w:tcBorders>
              <w:top w:val="single" w:sz="4" w:space="0" w:color="auto"/>
              <w:left w:val="single" w:sz="4" w:space="0" w:color="auto"/>
              <w:bottom w:val="single" w:sz="4" w:space="0" w:color="auto"/>
              <w:right w:val="single" w:sz="4" w:space="0" w:color="auto"/>
            </w:tcBorders>
            <w:vAlign w:val="bottom"/>
            <w:hideMark/>
          </w:tcPr>
          <w:p w14:paraId="409B868B" w14:textId="77777777" w:rsidR="006E44D9" w:rsidRDefault="006E44D9" w:rsidP="006E44D9">
            <w:pPr>
              <w:rPr>
                <w:b/>
                <w:color w:val="000000"/>
                <w:sz w:val="20"/>
                <w:szCs w:val="20"/>
                <w:lang w:eastAsia="en-US"/>
              </w:rPr>
            </w:pPr>
            <w:r>
              <w:rPr>
                <w:b/>
                <w:color w:val="000000"/>
                <w:sz w:val="20"/>
                <w:szCs w:val="20"/>
                <w:lang w:eastAsia="en-US"/>
              </w:rPr>
              <w:t>Nasal contribution to the margin of the external nares:</w:t>
            </w:r>
          </w:p>
          <w:p w14:paraId="29854F26" w14:textId="0AF5B208" w:rsidR="006E44D9" w:rsidRDefault="006E44D9" w:rsidP="006E44D9">
            <w:pPr>
              <w:autoSpaceDE w:val="0"/>
              <w:autoSpaceDN w:val="0"/>
              <w:adjustRightInd w:val="0"/>
              <w:rPr>
                <w:i/>
                <w:sz w:val="20"/>
                <w:szCs w:val="20"/>
                <w:lang w:eastAsia="en-US"/>
              </w:rPr>
            </w:pPr>
            <w:r>
              <w:rPr>
                <w:i/>
                <w:sz w:val="20"/>
                <w:szCs w:val="20"/>
                <w:lang w:eastAsia="en-US"/>
              </w:rPr>
              <w:t xml:space="preserve">Young et al. (2012, ch. 11); Young (2014, ch. 12); Young et al. (2016, ds 2, ch. 18); Ristevski et al. (2018, ds 2, ch. 36); Smith et al. (in review, ds 1, ch. 37); </w:t>
            </w:r>
            <w:r>
              <w:rPr>
                <w:i/>
                <w:sz w:val="20"/>
                <w:szCs w:val="20"/>
              </w:rPr>
              <w:t>Ősi et al. (in review, ds 1, ch. 47)</w:t>
            </w:r>
            <w:r>
              <w:rPr>
                <w:i/>
                <w:sz w:val="20"/>
                <w:szCs w:val="20"/>
                <w:lang w:eastAsia="en-US"/>
              </w:rPr>
              <w:t>.</w:t>
            </w:r>
          </w:p>
          <w:p w14:paraId="7A3A37AC" w14:textId="77777777" w:rsidR="006E44D9" w:rsidRDefault="006E44D9" w:rsidP="006E44D9">
            <w:pPr>
              <w:rPr>
                <w:color w:val="000000"/>
                <w:sz w:val="20"/>
                <w:szCs w:val="20"/>
                <w:lang w:eastAsia="en-US"/>
              </w:rPr>
            </w:pPr>
            <w:r>
              <w:rPr>
                <w:color w:val="000000"/>
                <w:sz w:val="20"/>
                <w:szCs w:val="20"/>
                <w:lang w:eastAsia="en-US"/>
              </w:rPr>
              <w:t>0. present</w:t>
            </w:r>
          </w:p>
          <w:p w14:paraId="2676BDA4" w14:textId="77777777" w:rsidR="006E44D9" w:rsidRDefault="006E44D9" w:rsidP="006E44D9">
            <w:pPr>
              <w:rPr>
                <w:color w:val="000000"/>
                <w:sz w:val="20"/>
                <w:szCs w:val="20"/>
                <w:lang w:eastAsia="en-US"/>
              </w:rPr>
            </w:pPr>
            <w:r>
              <w:rPr>
                <w:color w:val="000000"/>
                <w:sz w:val="20"/>
                <w:szCs w:val="20"/>
                <w:lang w:eastAsia="en-US"/>
              </w:rPr>
              <w:t>1. absent</w:t>
            </w:r>
          </w:p>
        </w:tc>
      </w:tr>
      <w:tr w:rsidR="006E44D9" w14:paraId="24272F5A" w14:textId="77777777" w:rsidTr="006E44D9">
        <w:tc>
          <w:tcPr>
            <w:tcW w:w="0" w:type="auto"/>
            <w:tcBorders>
              <w:top w:val="single" w:sz="4" w:space="0" w:color="auto"/>
              <w:left w:val="single" w:sz="4" w:space="0" w:color="auto"/>
              <w:bottom w:val="single" w:sz="4" w:space="0" w:color="auto"/>
              <w:right w:val="single" w:sz="4" w:space="0" w:color="auto"/>
            </w:tcBorders>
          </w:tcPr>
          <w:p w14:paraId="658A19D6" w14:textId="5CD41E2C" w:rsidR="006E44D9" w:rsidRDefault="006E44D9" w:rsidP="006E44D9">
            <w:pPr>
              <w:rPr>
                <w:color w:val="000000"/>
                <w:sz w:val="20"/>
                <w:szCs w:val="20"/>
                <w:lang w:eastAsia="en-US"/>
              </w:rPr>
            </w:pPr>
            <w:r>
              <w:rPr>
                <w:color w:val="000000"/>
                <w:sz w:val="20"/>
                <w:szCs w:val="20"/>
                <w:lang w:eastAsia="en-US"/>
              </w:rPr>
              <w:t>53</w:t>
            </w:r>
          </w:p>
        </w:tc>
        <w:tc>
          <w:tcPr>
            <w:tcW w:w="0" w:type="auto"/>
            <w:tcBorders>
              <w:top w:val="single" w:sz="4" w:space="0" w:color="auto"/>
              <w:left w:val="single" w:sz="4" w:space="0" w:color="auto"/>
              <w:bottom w:val="single" w:sz="4" w:space="0" w:color="auto"/>
              <w:right w:val="single" w:sz="4" w:space="0" w:color="auto"/>
            </w:tcBorders>
            <w:vAlign w:val="bottom"/>
            <w:hideMark/>
          </w:tcPr>
          <w:p w14:paraId="7E0E02FA" w14:textId="77777777" w:rsidR="006E44D9" w:rsidRDefault="006E44D9" w:rsidP="006E44D9">
            <w:pPr>
              <w:rPr>
                <w:b/>
                <w:sz w:val="20"/>
                <w:szCs w:val="20"/>
                <w:lang w:eastAsia="en-US"/>
              </w:rPr>
            </w:pPr>
            <w:r>
              <w:rPr>
                <w:b/>
                <w:sz w:val="20"/>
                <w:szCs w:val="20"/>
                <w:lang w:eastAsia="en-US"/>
              </w:rPr>
              <w:t>Anterior process of the nasals, anterior margin relative to the first maxillary alveoli: (*)</w:t>
            </w:r>
          </w:p>
          <w:p w14:paraId="7A9521A9" w14:textId="7FD1E6E2" w:rsidR="006E44D9" w:rsidRDefault="006E44D9" w:rsidP="006E44D9">
            <w:pPr>
              <w:rPr>
                <w:i/>
                <w:sz w:val="20"/>
                <w:szCs w:val="20"/>
                <w:lang w:eastAsia="en-US"/>
              </w:rPr>
            </w:pPr>
            <w:r>
              <w:rPr>
                <w:i/>
                <w:sz w:val="20"/>
                <w:szCs w:val="20"/>
                <w:lang w:eastAsia="en-US"/>
              </w:rPr>
              <w:t xml:space="preserve">Jouve et al. (2008, ch. </w:t>
            </w:r>
            <w:r>
              <w:rPr>
                <w:bCs/>
                <w:i/>
                <w:sz w:val="20"/>
                <w:szCs w:val="20"/>
                <w:lang w:eastAsia="en-US"/>
              </w:rPr>
              <w:t xml:space="preserve">42 modified); </w:t>
            </w:r>
            <w:r>
              <w:rPr>
                <w:i/>
                <w:sz w:val="20"/>
                <w:szCs w:val="20"/>
                <w:lang w:eastAsia="en-US"/>
              </w:rPr>
              <w:t xml:space="preserve">Hastings et al. (2010, ch. 33 modified); Ristevski et al. (2018, ds 2, ch. 37); Smith et al. (in review, ds 1, ch. 38); </w:t>
            </w:r>
            <w:r>
              <w:rPr>
                <w:i/>
                <w:sz w:val="20"/>
                <w:szCs w:val="20"/>
              </w:rPr>
              <w:t>Ősi et al. (in review, ds 1, ch. 48)</w:t>
            </w:r>
            <w:r>
              <w:rPr>
                <w:i/>
                <w:sz w:val="20"/>
                <w:szCs w:val="20"/>
                <w:lang w:eastAsia="en-US"/>
              </w:rPr>
              <w:t>.</w:t>
            </w:r>
          </w:p>
          <w:p w14:paraId="46393F83" w14:textId="77777777" w:rsidR="006E44D9" w:rsidRDefault="006E44D9" w:rsidP="006E44D9">
            <w:pPr>
              <w:rPr>
                <w:i/>
                <w:sz w:val="20"/>
                <w:szCs w:val="20"/>
                <w:lang w:eastAsia="en-US"/>
              </w:rPr>
            </w:pPr>
            <w:r>
              <w:rPr>
                <w:i/>
                <w:sz w:val="20"/>
                <w:szCs w:val="20"/>
                <w:lang w:eastAsia="en-US"/>
              </w:rPr>
              <w:t>State (0) occurs in pholidosaurids and derived dyrosaurids.</w:t>
            </w:r>
          </w:p>
          <w:p w14:paraId="1D466CD1" w14:textId="77777777" w:rsidR="006E44D9" w:rsidRDefault="006E44D9" w:rsidP="006E44D9">
            <w:pPr>
              <w:rPr>
                <w:i/>
                <w:sz w:val="20"/>
                <w:szCs w:val="20"/>
                <w:lang w:eastAsia="en-US"/>
              </w:rPr>
            </w:pPr>
            <w:r>
              <w:rPr>
                <w:i/>
                <w:sz w:val="20"/>
                <w:szCs w:val="20"/>
                <w:lang w:eastAsia="en-US"/>
              </w:rPr>
              <w:t>Note that this character scores the posterior-ward position of the anterior margin of the nasal anterior process, due to the elongation of the premaxillary posterior process only.</w:t>
            </w:r>
          </w:p>
          <w:p w14:paraId="31C95ACE" w14:textId="77777777" w:rsidR="006E44D9" w:rsidRDefault="006E44D9" w:rsidP="006E44D9">
            <w:pPr>
              <w:rPr>
                <w:i/>
                <w:sz w:val="20"/>
                <w:szCs w:val="20"/>
                <w:lang w:eastAsia="en-US"/>
              </w:rPr>
            </w:pPr>
            <w:r>
              <w:rPr>
                <w:i/>
                <w:sz w:val="20"/>
                <w:szCs w:val="20"/>
                <w:lang w:eastAsia="en-US"/>
              </w:rPr>
              <w:t xml:space="preserve">This character is not applicable for taxa that: 1) have posterodorsally retracted external nares (e.g. Rhacheosaurini), 2) lack a midline premaxillary posterior process (e.g. </w:t>
            </w:r>
            <w:r>
              <w:rPr>
                <w:sz w:val="20"/>
                <w:szCs w:val="20"/>
                <w:lang w:eastAsia="en-US"/>
              </w:rPr>
              <w:t>Iharkutosuchus</w:t>
            </w:r>
            <w:r>
              <w:rPr>
                <w:i/>
                <w:sz w:val="20"/>
                <w:szCs w:val="20"/>
                <w:lang w:eastAsia="en-US"/>
              </w:rPr>
              <w:t>) or 3) have the maxillae elongated and contacting along their midline (e.g. Thalattosuchia).</w:t>
            </w:r>
          </w:p>
          <w:p w14:paraId="14AD5240" w14:textId="77777777" w:rsidR="006E44D9" w:rsidRDefault="006E44D9" w:rsidP="006E44D9">
            <w:pPr>
              <w:rPr>
                <w:sz w:val="20"/>
                <w:szCs w:val="20"/>
                <w:lang w:eastAsia="en-US"/>
              </w:rPr>
            </w:pPr>
            <w:r>
              <w:rPr>
                <w:sz w:val="20"/>
                <w:szCs w:val="20"/>
                <w:lang w:eastAsia="en-US"/>
              </w:rPr>
              <w:t>0. posterior</w:t>
            </w:r>
          </w:p>
          <w:p w14:paraId="58392AAE" w14:textId="77777777" w:rsidR="006E44D9" w:rsidRDefault="006E44D9" w:rsidP="006E44D9">
            <w:pPr>
              <w:rPr>
                <w:b/>
                <w:color w:val="000000"/>
                <w:sz w:val="20"/>
                <w:szCs w:val="20"/>
                <w:lang w:eastAsia="en-US"/>
              </w:rPr>
            </w:pPr>
            <w:r>
              <w:rPr>
                <w:sz w:val="20"/>
                <w:szCs w:val="20"/>
                <w:lang w:eastAsia="en-US"/>
              </w:rPr>
              <w:t>1. anterior</w:t>
            </w:r>
          </w:p>
        </w:tc>
      </w:tr>
      <w:tr w:rsidR="006E44D9" w14:paraId="5CEE37EC" w14:textId="77777777" w:rsidTr="006E44D9">
        <w:tc>
          <w:tcPr>
            <w:tcW w:w="0" w:type="auto"/>
            <w:tcBorders>
              <w:top w:val="single" w:sz="4" w:space="0" w:color="auto"/>
              <w:left w:val="single" w:sz="4" w:space="0" w:color="auto"/>
              <w:bottom w:val="single" w:sz="4" w:space="0" w:color="auto"/>
              <w:right w:val="single" w:sz="4" w:space="0" w:color="auto"/>
            </w:tcBorders>
          </w:tcPr>
          <w:p w14:paraId="0E5056E1" w14:textId="50966F0D" w:rsidR="006E44D9" w:rsidRDefault="006E44D9" w:rsidP="006E44D9">
            <w:pPr>
              <w:rPr>
                <w:color w:val="000000"/>
                <w:sz w:val="20"/>
                <w:szCs w:val="20"/>
                <w:lang w:eastAsia="en-US"/>
              </w:rPr>
            </w:pPr>
            <w:r>
              <w:rPr>
                <w:color w:val="000000"/>
                <w:sz w:val="20"/>
                <w:szCs w:val="20"/>
                <w:lang w:eastAsia="en-US"/>
              </w:rPr>
              <w:t>54</w:t>
            </w:r>
          </w:p>
        </w:tc>
        <w:tc>
          <w:tcPr>
            <w:tcW w:w="0" w:type="auto"/>
            <w:tcBorders>
              <w:top w:val="single" w:sz="4" w:space="0" w:color="auto"/>
              <w:left w:val="single" w:sz="4" w:space="0" w:color="auto"/>
              <w:bottom w:val="single" w:sz="4" w:space="0" w:color="auto"/>
              <w:right w:val="single" w:sz="4" w:space="0" w:color="auto"/>
            </w:tcBorders>
            <w:vAlign w:val="bottom"/>
            <w:hideMark/>
          </w:tcPr>
          <w:p w14:paraId="3B21BEA5"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Nasals, morphology in dorsal view: (ORDERED)</w:t>
            </w:r>
          </w:p>
          <w:p w14:paraId="189B8FAB" w14:textId="3780A48A" w:rsidR="006E44D9" w:rsidRDefault="006E44D9" w:rsidP="006E44D9">
            <w:pPr>
              <w:autoSpaceDE w:val="0"/>
              <w:autoSpaceDN w:val="0"/>
              <w:adjustRightInd w:val="0"/>
              <w:rPr>
                <w:bCs/>
                <w:i/>
                <w:color w:val="000000"/>
                <w:sz w:val="20"/>
                <w:lang w:eastAsia="en-US"/>
              </w:rPr>
            </w:pPr>
            <w:r>
              <w:rPr>
                <w:bCs/>
                <w:i/>
                <w:color w:val="000000"/>
                <w:sz w:val="20"/>
                <w:szCs w:val="20"/>
                <w:lang w:eastAsia="en-US"/>
              </w:rPr>
              <w:t>Andrade &amp; Bertini (2008a, ch. 21); Young &amp; Andrade (2009, ch. 160 modified);</w:t>
            </w:r>
            <w:r>
              <w:rPr>
                <w:b/>
                <w:bCs/>
                <w:color w:val="000000"/>
                <w:sz w:val="20"/>
                <w:szCs w:val="20"/>
                <w:lang w:eastAsia="en-US"/>
              </w:rPr>
              <w:t xml:space="preserve"> </w:t>
            </w:r>
            <w:r>
              <w:rPr>
                <w:bCs/>
                <w:i/>
                <w:color w:val="000000"/>
                <w:sz w:val="20"/>
                <w:lang w:eastAsia="en-US"/>
              </w:rPr>
              <w:t xml:space="preserve">Andrade et al. (2011, ch. 73); </w:t>
            </w:r>
            <w:r>
              <w:rPr>
                <w:bCs/>
                <w:i/>
                <w:color w:val="000000"/>
                <w:sz w:val="20"/>
                <w:szCs w:val="20"/>
                <w:lang w:eastAsia="en-US"/>
              </w:rPr>
              <w:t>Young et al. (2011, ch. 160 modified); Young et al. (2013a, ch. 9 modified);</w:t>
            </w:r>
            <w:r>
              <w:rPr>
                <w:i/>
                <w:sz w:val="20"/>
                <w:szCs w:val="20"/>
                <w:lang w:eastAsia="en-US"/>
              </w:rPr>
              <w:t xml:space="preserve"> </w:t>
            </w:r>
            <w:r>
              <w:rPr>
                <w:bCs/>
                <w:i/>
                <w:color w:val="000000"/>
                <w:sz w:val="20"/>
                <w:lang w:eastAsia="en-US"/>
              </w:rPr>
              <w:t xml:space="preserve">Young et al. (2012, ch. 12 modified); Young (2014, ch. 13 modified); Young et al. (2016, ds 2, ch. 19 modified); </w:t>
            </w:r>
            <w:r>
              <w:rPr>
                <w:i/>
                <w:sz w:val="20"/>
                <w:szCs w:val="20"/>
                <w:lang w:eastAsia="en-US"/>
              </w:rPr>
              <w:t xml:space="preserve">Ristevski et al. (2018, ds 2, ch. 38); Smith et al. (in review, ds 1, ch. 39); </w:t>
            </w:r>
            <w:r>
              <w:rPr>
                <w:i/>
                <w:sz w:val="20"/>
                <w:szCs w:val="20"/>
              </w:rPr>
              <w:t>Ősi et al. (in review, ds 1, ch. 49)</w:t>
            </w:r>
            <w:r>
              <w:rPr>
                <w:bCs/>
                <w:i/>
                <w:color w:val="000000"/>
                <w:sz w:val="20"/>
                <w:lang w:eastAsia="en-US"/>
              </w:rPr>
              <w:t>.</w:t>
            </w:r>
          </w:p>
          <w:p w14:paraId="22E350CA" w14:textId="77777777" w:rsidR="006E44D9" w:rsidRDefault="006E44D9" w:rsidP="006E44D9">
            <w:pPr>
              <w:autoSpaceDE w:val="0"/>
              <w:autoSpaceDN w:val="0"/>
              <w:adjustRightInd w:val="0"/>
              <w:rPr>
                <w:b/>
                <w:bCs/>
                <w:color w:val="000000"/>
                <w:sz w:val="20"/>
                <w:szCs w:val="20"/>
                <w:lang w:eastAsia="en-US"/>
              </w:rPr>
            </w:pPr>
            <w:r>
              <w:rPr>
                <w:bCs/>
                <w:i/>
                <w:color w:val="000000"/>
                <w:sz w:val="20"/>
                <w:lang w:eastAsia="en-US"/>
              </w:rPr>
              <w:t xml:space="preserve">State (0) is a putative apomorphy of both </w:t>
            </w:r>
            <w:r>
              <w:rPr>
                <w:i/>
                <w:color w:val="000000"/>
                <w:sz w:val="20"/>
                <w:szCs w:val="20"/>
                <w:lang w:eastAsia="en-US"/>
              </w:rPr>
              <w:t>Thalattosuchia and Notosuchia.</w:t>
            </w:r>
          </w:p>
          <w:p w14:paraId="059F1BAB"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 xml:space="preserve">State (2) is present in </w:t>
            </w:r>
            <w:r>
              <w:rPr>
                <w:color w:val="000000"/>
                <w:sz w:val="20"/>
                <w:szCs w:val="20"/>
                <w:lang w:eastAsia="en-US"/>
              </w:rPr>
              <w:t>Simosuchus</w:t>
            </w:r>
            <w:r>
              <w:rPr>
                <w:i/>
                <w:iCs/>
                <w:color w:val="000000"/>
                <w:sz w:val="20"/>
                <w:szCs w:val="20"/>
                <w:lang w:eastAsia="en-US"/>
              </w:rPr>
              <w:t>.</w:t>
            </w:r>
          </w:p>
          <w:p w14:paraId="43F53122"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triangular, lateral margins strongly confluent anteriorly</w:t>
            </w:r>
          </w:p>
          <w:p w14:paraId="306AC02A"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1. rectangular or subrectangular, lateral margins mostly parallel, or lateral margins poorly confluent anteriorly</w:t>
            </w:r>
          </w:p>
          <w:p w14:paraId="0A5AEACC" w14:textId="77777777" w:rsidR="006E44D9" w:rsidRDefault="006E44D9" w:rsidP="006E44D9">
            <w:pPr>
              <w:rPr>
                <w:color w:val="000000"/>
                <w:sz w:val="20"/>
                <w:szCs w:val="20"/>
                <w:lang w:eastAsia="en-US"/>
              </w:rPr>
            </w:pPr>
            <w:r>
              <w:rPr>
                <w:color w:val="000000"/>
                <w:sz w:val="20"/>
                <w:szCs w:val="20"/>
                <w:lang w:eastAsia="en-US"/>
              </w:rPr>
              <w:t>2. triangular, lateral margins diverging anteriorly</w:t>
            </w:r>
          </w:p>
        </w:tc>
      </w:tr>
      <w:tr w:rsidR="006E44D9" w14:paraId="159ABE04" w14:textId="77777777" w:rsidTr="006E44D9">
        <w:tc>
          <w:tcPr>
            <w:tcW w:w="0" w:type="auto"/>
            <w:tcBorders>
              <w:top w:val="single" w:sz="4" w:space="0" w:color="auto"/>
              <w:left w:val="single" w:sz="4" w:space="0" w:color="auto"/>
              <w:bottom w:val="single" w:sz="4" w:space="0" w:color="auto"/>
              <w:right w:val="single" w:sz="4" w:space="0" w:color="auto"/>
            </w:tcBorders>
          </w:tcPr>
          <w:p w14:paraId="39E45232" w14:textId="362F233C" w:rsidR="006E44D9" w:rsidRDefault="006E44D9" w:rsidP="006E44D9">
            <w:pPr>
              <w:rPr>
                <w:color w:val="000000"/>
                <w:sz w:val="20"/>
                <w:szCs w:val="20"/>
                <w:lang w:eastAsia="en-US"/>
              </w:rPr>
            </w:pPr>
            <w:r>
              <w:rPr>
                <w:color w:val="000000"/>
                <w:sz w:val="20"/>
                <w:szCs w:val="20"/>
                <w:lang w:eastAsia="en-US"/>
              </w:rPr>
              <w:t>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7320C81" w14:textId="77777777" w:rsidR="006E44D9" w:rsidRDefault="006E44D9" w:rsidP="006E44D9">
            <w:pPr>
              <w:rPr>
                <w:b/>
                <w:sz w:val="20"/>
                <w:szCs w:val="20"/>
                <w:lang w:eastAsia="en-US"/>
              </w:rPr>
            </w:pPr>
            <w:r>
              <w:rPr>
                <w:b/>
                <w:sz w:val="20"/>
                <w:szCs w:val="20"/>
                <w:lang w:eastAsia="en-US"/>
              </w:rPr>
              <w:t>Nasal, lateroposterior</w:t>
            </w:r>
            <w:r>
              <w:rPr>
                <w:lang w:eastAsia="en-US"/>
              </w:rPr>
              <w:t xml:space="preserve"> </w:t>
            </w:r>
            <w:r>
              <w:rPr>
                <w:b/>
                <w:sz w:val="20"/>
                <w:szCs w:val="20"/>
                <w:lang w:eastAsia="en-US"/>
              </w:rPr>
              <w:t>processes:</w:t>
            </w:r>
          </w:p>
          <w:p w14:paraId="26165727" w14:textId="3BD02CCD" w:rsidR="006E44D9" w:rsidRDefault="006E44D9" w:rsidP="006E44D9">
            <w:pPr>
              <w:autoSpaceDE w:val="0"/>
              <w:autoSpaceDN w:val="0"/>
              <w:adjustRightInd w:val="0"/>
              <w:rPr>
                <w:i/>
                <w:sz w:val="20"/>
                <w:szCs w:val="20"/>
                <w:lang w:eastAsia="en-US"/>
              </w:rPr>
            </w:pPr>
            <w:r>
              <w:rPr>
                <w:i/>
                <w:sz w:val="20"/>
                <w:szCs w:val="20"/>
                <w:lang w:eastAsia="en-US"/>
              </w:rPr>
              <w:t xml:space="preserve">Young (2014, ch. 14); Young et al. (2016, ds 2, ch. 20); Ristevski et al. (2018, ds 2, ch. 39); Smith et al. (in review, ds 1, ch. 40); </w:t>
            </w:r>
            <w:r>
              <w:rPr>
                <w:i/>
                <w:sz w:val="20"/>
                <w:szCs w:val="20"/>
              </w:rPr>
              <w:t>Ősi et al. (in review, ds 1, ch. 50)</w:t>
            </w:r>
            <w:r>
              <w:rPr>
                <w:i/>
                <w:sz w:val="20"/>
                <w:szCs w:val="20"/>
                <w:lang w:eastAsia="en-US"/>
              </w:rPr>
              <w:t>.</w:t>
            </w:r>
          </w:p>
          <w:p w14:paraId="421A460A" w14:textId="77777777" w:rsidR="006E44D9" w:rsidRDefault="006E44D9" w:rsidP="006E44D9">
            <w:pPr>
              <w:rPr>
                <w:i/>
                <w:sz w:val="20"/>
                <w:szCs w:val="20"/>
                <w:lang w:eastAsia="en-US"/>
              </w:rPr>
            </w:pPr>
            <w:r>
              <w:rPr>
                <w:i/>
                <w:sz w:val="20"/>
                <w:szCs w:val="20"/>
                <w:lang w:eastAsia="en-US"/>
              </w:rPr>
              <w:t>State (1) is a putative apomorphy of Metriorhynchidae.</w:t>
            </w:r>
          </w:p>
          <w:p w14:paraId="04FDC36E" w14:textId="77777777" w:rsidR="006E44D9" w:rsidRDefault="006E44D9" w:rsidP="006E44D9">
            <w:pPr>
              <w:rPr>
                <w:i/>
                <w:sz w:val="20"/>
                <w:szCs w:val="20"/>
                <w:lang w:eastAsia="en-US"/>
              </w:rPr>
            </w:pPr>
            <w:r>
              <w:rPr>
                <w:i/>
                <w:sz w:val="20"/>
                <w:szCs w:val="20"/>
                <w:lang w:eastAsia="en-US"/>
              </w:rPr>
              <w:t>These processes suture with the anteroventral and anterior margin of the prefrontal, and the posterodorsal margin of the lachrymal.</w:t>
            </w:r>
          </w:p>
          <w:p w14:paraId="163F059E" w14:textId="77777777" w:rsidR="006E44D9" w:rsidRDefault="006E44D9" w:rsidP="006E44D9">
            <w:pPr>
              <w:rPr>
                <w:sz w:val="20"/>
                <w:szCs w:val="20"/>
                <w:lang w:eastAsia="en-US"/>
              </w:rPr>
            </w:pPr>
            <w:r>
              <w:rPr>
                <w:sz w:val="20"/>
                <w:szCs w:val="20"/>
                <w:lang w:eastAsia="en-US"/>
              </w:rPr>
              <w:t>0. absent</w:t>
            </w:r>
          </w:p>
          <w:p w14:paraId="0AC729C9" w14:textId="77777777" w:rsidR="006E44D9" w:rsidRDefault="006E44D9" w:rsidP="006E44D9">
            <w:pPr>
              <w:rPr>
                <w:b/>
                <w:color w:val="000000"/>
                <w:sz w:val="20"/>
                <w:szCs w:val="20"/>
                <w:lang w:eastAsia="en-US"/>
              </w:rPr>
            </w:pPr>
            <w:r>
              <w:rPr>
                <w:sz w:val="20"/>
                <w:szCs w:val="20"/>
                <w:lang w:eastAsia="en-US"/>
              </w:rPr>
              <w:t>1. present</w:t>
            </w:r>
          </w:p>
        </w:tc>
      </w:tr>
      <w:tr w:rsidR="006E44D9" w14:paraId="34EDE046" w14:textId="77777777" w:rsidTr="006E44D9">
        <w:tc>
          <w:tcPr>
            <w:tcW w:w="0" w:type="auto"/>
            <w:tcBorders>
              <w:top w:val="single" w:sz="4" w:space="0" w:color="auto"/>
              <w:left w:val="single" w:sz="4" w:space="0" w:color="auto"/>
              <w:bottom w:val="single" w:sz="4" w:space="0" w:color="auto"/>
              <w:right w:val="single" w:sz="4" w:space="0" w:color="auto"/>
            </w:tcBorders>
          </w:tcPr>
          <w:p w14:paraId="6C78698E" w14:textId="496782A6" w:rsidR="006E44D9" w:rsidRDefault="006E44D9" w:rsidP="006E44D9">
            <w:pPr>
              <w:rPr>
                <w:color w:val="000000"/>
                <w:sz w:val="20"/>
                <w:szCs w:val="20"/>
                <w:lang w:eastAsia="en-US"/>
              </w:rPr>
            </w:pPr>
            <w:r>
              <w:rPr>
                <w:color w:val="000000"/>
                <w:sz w:val="20"/>
                <w:szCs w:val="20"/>
                <w:lang w:eastAsia="en-US"/>
              </w:rPr>
              <w:t>56</w:t>
            </w:r>
          </w:p>
        </w:tc>
        <w:tc>
          <w:tcPr>
            <w:tcW w:w="0" w:type="auto"/>
            <w:tcBorders>
              <w:top w:val="single" w:sz="4" w:space="0" w:color="auto"/>
              <w:left w:val="single" w:sz="4" w:space="0" w:color="auto"/>
              <w:bottom w:val="single" w:sz="4" w:space="0" w:color="auto"/>
              <w:right w:val="single" w:sz="4" w:space="0" w:color="auto"/>
            </w:tcBorders>
            <w:vAlign w:val="bottom"/>
            <w:hideMark/>
          </w:tcPr>
          <w:p w14:paraId="62765F13"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Nasals, fusion at maturity:</w:t>
            </w:r>
          </w:p>
          <w:p w14:paraId="722A4AB8" w14:textId="77777777" w:rsidR="006E44D9" w:rsidRDefault="006E44D9" w:rsidP="006E44D9">
            <w:pPr>
              <w:rPr>
                <w:i/>
                <w:sz w:val="20"/>
                <w:szCs w:val="20"/>
                <w:lang w:eastAsia="en-US"/>
              </w:rPr>
            </w:pPr>
            <w:r>
              <w:rPr>
                <w:bCs/>
                <w:i/>
                <w:color w:val="000000"/>
                <w:sz w:val="20"/>
                <w:szCs w:val="20"/>
                <w:lang w:eastAsia="en-US"/>
              </w:rPr>
              <w:lastRenderedPageBreak/>
              <w:t xml:space="preserve">Gasparini </w:t>
            </w:r>
            <w:r>
              <w:rPr>
                <w:bCs/>
                <w:i/>
                <w:iCs/>
                <w:color w:val="000000"/>
                <w:sz w:val="20"/>
                <w:szCs w:val="20"/>
                <w:lang w:eastAsia="en-US"/>
              </w:rPr>
              <w:t>et al. (</w:t>
            </w:r>
            <w:r>
              <w:rPr>
                <w:bCs/>
                <w:i/>
                <w:color w:val="000000"/>
                <w:sz w:val="20"/>
                <w:szCs w:val="20"/>
                <w:lang w:eastAsia="en-US"/>
              </w:rPr>
              <w:t>2006, ch. 257); Sereno &amp; Larsson (2009, ch. 10);</w:t>
            </w:r>
            <w:r>
              <w:rPr>
                <w:b/>
                <w:bCs/>
                <w:color w:val="000000"/>
                <w:sz w:val="20"/>
                <w:szCs w:val="20"/>
                <w:lang w:eastAsia="en-US"/>
              </w:rPr>
              <w:t xml:space="preserve"> </w:t>
            </w:r>
            <w:r>
              <w:rPr>
                <w:i/>
                <w:sz w:val="20"/>
                <w:szCs w:val="20"/>
                <w:lang w:eastAsia="en-US"/>
              </w:rPr>
              <w:t>Hastings et al. (2010, ch. 32 modified);</w:t>
            </w:r>
          </w:p>
          <w:p w14:paraId="5B81677C" w14:textId="399CA9A4" w:rsidR="006E44D9" w:rsidRDefault="006E44D9" w:rsidP="006E44D9">
            <w:pPr>
              <w:autoSpaceDE w:val="0"/>
              <w:autoSpaceDN w:val="0"/>
              <w:adjustRightInd w:val="0"/>
              <w:rPr>
                <w:b/>
                <w:bCs/>
                <w:color w:val="000000"/>
                <w:sz w:val="20"/>
                <w:szCs w:val="20"/>
                <w:lang w:eastAsia="en-US"/>
              </w:rPr>
            </w:pPr>
            <w:r>
              <w:rPr>
                <w:bCs/>
                <w:i/>
                <w:color w:val="000000"/>
                <w:sz w:val="20"/>
                <w:lang w:eastAsia="en-US"/>
              </w:rPr>
              <w:t>Andrade et al. (2011, ch. 77);</w:t>
            </w:r>
            <w:r>
              <w:rPr>
                <w:i/>
                <w:sz w:val="20"/>
                <w:szCs w:val="20"/>
                <w:lang w:eastAsia="en-US"/>
              </w:rPr>
              <w:t xml:space="preserve"> Tennant et al. (2016, ch. 65); Ristevski et al. (2018, ds 2, ch. 40); Smith et al. (in review, ds 1, ch. 41); </w:t>
            </w:r>
            <w:r>
              <w:rPr>
                <w:i/>
                <w:sz w:val="20"/>
                <w:szCs w:val="20"/>
              </w:rPr>
              <w:t>Ősi et al. (in review, ds 1, ch. 51)</w:t>
            </w:r>
            <w:r>
              <w:rPr>
                <w:i/>
                <w:sz w:val="20"/>
                <w:szCs w:val="20"/>
                <w:lang w:eastAsia="en-US"/>
              </w:rPr>
              <w:t>.</w:t>
            </w:r>
          </w:p>
          <w:p w14:paraId="0E6BD698" w14:textId="77777777" w:rsidR="006E44D9" w:rsidRDefault="006E44D9" w:rsidP="006E44D9">
            <w:pPr>
              <w:autoSpaceDE w:val="0"/>
              <w:autoSpaceDN w:val="0"/>
              <w:adjustRightInd w:val="0"/>
              <w:rPr>
                <w:i/>
                <w:sz w:val="20"/>
                <w:szCs w:val="20"/>
                <w:lang w:eastAsia="en-US"/>
              </w:rPr>
            </w:pPr>
            <w:r>
              <w:rPr>
                <w:i/>
                <w:iCs/>
                <w:color w:val="000000"/>
                <w:sz w:val="20"/>
                <w:szCs w:val="20"/>
                <w:lang w:eastAsia="en-US"/>
              </w:rPr>
              <w:t xml:space="preserve">State (1) is putative apomorphy of Dyrosauridae, but </w:t>
            </w:r>
            <w:r>
              <w:rPr>
                <w:i/>
                <w:sz w:val="20"/>
                <w:szCs w:val="20"/>
                <w:lang w:eastAsia="en-US"/>
              </w:rPr>
              <w:t>with some species having individuals with fused and unfused nasals, and some specimens with only the anterior nasals fused. Due to this variability, the character from Hastings et al. (2010) has been changed from an ordered multistate into the current binary character.</w:t>
            </w:r>
          </w:p>
          <w:p w14:paraId="5A1430D3" w14:textId="77777777" w:rsidR="006E44D9" w:rsidRDefault="006E44D9" w:rsidP="006E44D9">
            <w:pPr>
              <w:autoSpaceDE w:val="0"/>
              <w:autoSpaceDN w:val="0"/>
              <w:adjustRightInd w:val="0"/>
              <w:rPr>
                <w:i/>
                <w:iCs/>
                <w:color w:val="000000"/>
                <w:sz w:val="20"/>
                <w:szCs w:val="20"/>
                <w:lang w:eastAsia="en-US"/>
              </w:rPr>
            </w:pPr>
            <w:r>
              <w:rPr>
                <w:i/>
                <w:sz w:val="20"/>
                <w:szCs w:val="20"/>
                <w:lang w:eastAsia="en-US"/>
              </w:rPr>
              <w:t xml:space="preserve">In Thalattosuchia state (1) also occurs in </w:t>
            </w:r>
            <w:r>
              <w:rPr>
                <w:sz w:val="20"/>
                <w:szCs w:val="20"/>
                <w:lang w:eastAsia="en-US"/>
              </w:rPr>
              <w:t>Lemmysuchus</w:t>
            </w:r>
            <w:r>
              <w:rPr>
                <w:i/>
                <w:sz w:val="20"/>
                <w:szCs w:val="20"/>
                <w:lang w:eastAsia="en-US"/>
              </w:rPr>
              <w:t xml:space="preserve"> </w:t>
            </w:r>
            <w:r>
              <w:rPr>
                <w:sz w:val="20"/>
                <w:szCs w:val="20"/>
                <w:lang w:eastAsia="en-US"/>
              </w:rPr>
              <w:t>obtusidens</w:t>
            </w:r>
            <w:r>
              <w:rPr>
                <w:i/>
                <w:sz w:val="20"/>
                <w:szCs w:val="20"/>
                <w:lang w:eastAsia="en-US"/>
              </w:rPr>
              <w:t>. As in Dyrosauridae, some individuals have fused nasals, while specimens have partially fused nasals. It is currently unclear whether the variation is ontogenetic or individual.</w:t>
            </w:r>
          </w:p>
          <w:p w14:paraId="53A203EA"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also present in Mahajangasuchidae.</w:t>
            </w:r>
          </w:p>
          <w:p w14:paraId="097D0C1E"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absent, nasals unfused</w:t>
            </w:r>
          </w:p>
          <w:p w14:paraId="1D4681CA" w14:textId="77777777" w:rsidR="006E44D9" w:rsidRDefault="006E44D9" w:rsidP="006E44D9">
            <w:pPr>
              <w:rPr>
                <w:b/>
                <w:sz w:val="20"/>
                <w:szCs w:val="20"/>
                <w:lang w:eastAsia="en-US"/>
              </w:rPr>
            </w:pPr>
            <w:r>
              <w:rPr>
                <w:color w:val="000000"/>
                <w:sz w:val="20"/>
                <w:szCs w:val="20"/>
                <w:lang w:eastAsia="en-US"/>
              </w:rPr>
              <w:t>1. present, nasals at least partially fused (</w:t>
            </w:r>
            <w:r>
              <w:rPr>
                <w:sz w:val="20"/>
                <w:szCs w:val="20"/>
                <w:lang w:eastAsia="en-US"/>
              </w:rPr>
              <w:t>note that some species have variability in this character, such as in dyrosaurids</w:t>
            </w:r>
            <w:r>
              <w:rPr>
                <w:color w:val="000000"/>
                <w:sz w:val="20"/>
                <w:szCs w:val="20"/>
                <w:lang w:eastAsia="en-US"/>
              </w:rPr>
              <w:t>)</w:t>
            </w:r>
          </w:p>
        </w:tc>
      </w:tr>
      <w:tr w:rsidR="006E44D9" w14:paraId="4706672F" w14:textId="77777777" w:rsidTr="006E44D9">
        <w:tc>
          <w:tcPr>
            <w:tcW w:w="0" w:type="auto"/>
            <w:tcBorders>
              <w:top w:val="single" w:sz="4" w:space="0" w:color="auto"/>
              <w:left w:val="single" w:sz="4" w:space="0" w:color="auto"/>
              <w:bottom w:val="single" w:sz="4" w:space="0" w:color="auto"/>
              <w:right w:val="single" w:sz="4" w:space="0" w:color="auto"/>
            </w:tcBorders>
          </w:tcPr>
          <w:p w14:paraId="24C1B89F" w14:textId="230BE995" w:rsidR="006E44D9" w:rsidRDefault="006E44D9" w:rsidP="006E44D9">
            <w:pPr>
              <w:rPr>
                <w:color w:val="000000"/>
                <w:sz w:val="20"/>
                <w:szCs w:val="20"/>
                <w:lang w:eastAsia="en-US"/>
              </w:rPr>
            </w:pPr>
            <w:r>
              <w:rPr>
                <w:color w:val="000000"/>
                <w:sz w:val="20"/>
                <w:szCs w:val="20"/>
                <w:lang w:eastAsia="en-US"/>
              </w:rPr>
              <w:lastRenderedPageBreak/>
              <w:t>57</w:t>
            </w:r>
          </w:p>
        </w:tc>
        <w:tc>
          <w:tcPr>
            <w:tcW w:w="0" w:type="auto"/>
            <w:tcBorders>
              <w:top w:val="single" w:sz="4" w:space="0" w:color="auto"/>
              <w:left w:val="single" w:sz="4" w:space="0" w:color="auto"/>
              <w:bottom w:val="single" w:sz="4" w:space="0" w:color="auto"/>
              <w:right w:val="single" w:sz="4" w:space="0" w:color="auto"/>
            </w:tcBorders>
            <w:vAlign w:val="bottom"/>
            <w:hideMark/>
          </w:tcPr>
          <w:p w14:paraId="36D46169" w14:textId="77777777" w:rsidR="006E44D9" w:rsidRDefault="006E44D9" w:rsidP="006E44D9">
            <w:pPr>
              <w:autoSpaceDE w:val="0"/>
              <w:autoSpaceDN w:val="0"/>
              <w:adjustRightInd w:val="0"/>
              <w:rPr>
                <w:b/>
                <w:sz w:val="20"/>
                <w:szCs w:val="20"/>
                <w:lang w:eastAsia="en-US"/>
              </w:rPr>
            </w:pPr>
            <w:r>
              <w:rPr>
                <w:b/>
                <w:sz w:val="20"/>
                <w:szCs w:val="20"/>
                <w:lang w:eastAsia="en-US"/>
              </w:rPr>
              <w:t>Nasals, posterior portion at the midline:</w:t>
            </w:r>
          </w:p>
          <w:p w14:paraId="0CA9D516" w14:textId="4CF4BA02" w:rsidR="006E44D9" w:rsidRDefault="006E44D9" w:rsidP="006E44D9">
            <w:pPr>
              <w:autoSpaceDE w:val="0"/>
              <w:autoSpaceDN w:val="0"/>
              <w:adjustRightInd w:val="0"/>
              <w:rPr>
                <w:i/>
                <w:sz w:val="20"/>
                <w:szCs w:val="20"/>
                <w:lang w:eastAsia="en-US"/>
              </w:rPr>
            </w:pPr>
            <w:r>
              <w:rPr>
                <w:i/>
                <w:sz w:val="20"/>
                <w:szCs w:val="20"/>
                <w:lang w:eastAsia="en-US"/>
              </w:rPr>
              <w:t xml:space="preserve">Nesbitt (2011, ch. 34); </w:t>
            </w:r>
            <w:r>
              <w:rPr>
                <w:bCs/>
                <w:i/>
                <w:color w:val="000000"/>
                <w:sz w:val="20"/>
                <w:szCs w:val="20"/>
                <w:lang w:eastAsia="en-US"/>
              </w:rPr>
              <w:t>Young et al. (2013a, ch. 10 modified);</w:t>
            </w:r>
            <w:r>
              <w:rPr>
                <w:i/>
                <w:sz w:val="20"/>
                <w:szCs w:val="20"/>
                <w:lang w:eastAsia="en-US"/>
              </w:rPr>
              <w:t xml:space="preserve"> Young et al. (2012, ch. 13 modified); Young (2014, ch. 15 modified); Young et al. (2016, ds 2, ch. 21); Ristevski et al. (2018, ds 2, ch. 41); Smith et al. (in review, ds 1, ch. 42); </w:t>
            </w:r>
            <w:r>
              <w:rPr>
                <w:i/>
                <w:sz w:val="20"/>
                <w:szCs w:val="20"/>
              </w:rPr>
              <w:t>Ősi et al. (in review, ds 1, ch. 52)</w:t>
            </w:r>
            <w:r>
              <w:rPr>
                <w:i/>
                <w:sz w:val="20"/>
                <w:szCs w:val="20"/>
                <w:lang w:eastAsia="en-US"/>
              </w:rPr>
              <w:t>.</w:t>
            </w:r>
          </w:p>
          <w:p w14:paraId="6A605B98" w14:textId="77777777" w:rsidR="006E44D9" w:rsidRDefault="006E44D9" w:rsidP="006E44D9">
            <w:pPr>
              <w:autoSpaceDE w:val="0"/>
              <w:autoSpaceDN w:val="0"/>
              <w:adjustRightInd w:val="0"/>
              <w:rPr>
                <w:i/>
                <w:sz w:val="20"/>
                <w:szCs w:val="20"/>
                <w:lang w:eastAsia="en-US"/>
              </w:rPr>
            </w:pPr>
            <w:r>
              <w:rPr>
                <w:i/>
                <w:sz w:val="20"/>
                <w:szCs w:val="20"/>
                <w:lang w:eastAsia="en-US"/>
              </w:rPr>
              <w:t>This character tests the homology of the metriorhynchoid and (most) teleosauroid "midline trench" and "depression" features, with a similar depression (state 1) seen in "rauisuchians" and "sphenosuchians".</w:t>
            </w:r>
          </w:p>
          <w:p w14:paraId="0DA6D5AD" w14:textId="77777777" w:rsidR="006E44D9" w:rsidRDefault="006E44D9" w:rsidP="006E44D9">
            <w:pPr>
              <w:autoSpaceDE w:val="0"/>
              <w:autoSpaceDN w:val="0"/>
              <w:adjustRightInd w:val="0"/>
              <w:rPr>
                <w:i/>
                <w:sz w:val="20"/>
                <w:szCs w:val="20"/>
                <w:lang w:eastAsia="en-US"/>
              </w:rPr>
            </w:pPr>
            <w:r>
              <w:rPr>
                <w:i/>
                <w:sz w:val="20"/>
                <w:szCs w:val="20"/>
                <w:lang w:eastAsia="en-US"/>
              </w:rPr>
              <w:t xml:space="preserve">The morphology of </w:t>
            </w:r>
            <w:r>
              <w:rPr>
                <w:sz w:val="20"/>
                <w:szCs w:val="20"/>
                <w:lang w:eastAsia="en-US"/>
              </w:rPr>
              <w:t>Calsoyasuchus</w:t>
            </w:r>
            <w:r>
              <w:rPr>
                <w:i/>
                <w:sz w:val="20"/>
                <w:szCs w:val="20"/>
                <w:lang w:eastAsia="en-US"/>
              </w:rPr>
              <w:t xml:space="preserve"> might be distinct, as it has two raised ridges running parallel, at either side of the midline depression, beginning on the frontal.</w:t>
            </w:r>
          </w:p>
          <w:p w14:paraId="54600033" w14:textId="77777777" w:rsidR="006E44D9" w:rsidRDefault="006E44D9" w:rsidP="006E44D9">
            <w:pPr>
              <w:autoSpaceDE w:val="0"/>
              <w:autoSpaceDN w:val="0"/>
              <w:adjustRightInd w:val="0"/>
              <w:rPr>
                <w:i/>
                <w:sz w:val="20"/>
                <w:szCs w:val="20"/>
                <w:lang w:eastAsia="en-US"/>
              </w:rPr>
            </w:pPr>
            <w:r>
              <w:rPr>
                <w:i/>
                <w:sz w:val="20"/>
                <w:szCs w:val="20"/>
                <w:lang w:eastAsia="en-US"/>
              </w:rPr>
              <w:t xml:space="preserve">Note that in some ‘sphenosuchians’ (i.e. </w:t>
            </w:r>
            <w:r>
              <w:rPr>
                <w:sz w:val="20"/>
                <w:szCs w:val="20"/>
                <w:lang w:eastAsia="en-US"/>
              </w:rPr>
              <w:t xml:space="preserve">Sphenosuchus </w:t>
            </w:r>
            <w:r>
              <w:rPr>
                <w:i/>
                <w:sz w:val="20"/>
                <w:szCs w:val="20"/>
                <w:lang w:eastAsia="en-US"/>
              </w:rPr>
              <w:t xml:space="preserve">and </w:t>
            </w:r>
            <w:r>
              <w:rPr>
                <w:sz w:val="20"/>
                <w:szCs w:val="20"/>
                <w:lang w:eastAsia="en-US"/>
              </w:rPr>
              <w:t>Junggarsuchus</w:t>
            </w:r>
            <w:r>
              <w:rPr>
                <w:i/>
                <w:sz w:val="20"/>
                <w:szCs w:val="20"/>
                <w:lang w:eastAsia="en-US"/>
              </w:rPr>
              <w:t>) the raised frontal ridge can continue onto the posterior nasal, and result in this depression forming around it.</w:t>
            </w:r>
          </w:p>
          <w:p w14:paraId="01F480C5" w14:textId="77777777" w:rsidR="006E44D9" w:rsidRDefault="006E44D9" w:rsidP="006E44D9">
            <w:pPr>
              <w:autoSpaceDE w:val="0"/>
              <w:autoSpaceDN w:val="0"/>
              <w:adjustRightInd w:val="0"/>
              <w:rPr>
                <w:sz w:val="20"/>
                <w:szCs w:val="20"/>
                <w:lang w:eastAsia="en-US"/>
              </w:rPr>
            </w:pPr>
            <w:r>
              <w:rPr>
                <w:sz w:val="20"/>
                <w:szCs w:val="20"/>
                <w:lang w:eastAsia="en-US"/>
              </w:rPr>
              <w:t>0. lacks a midline concavity or 'midline trench' - nasals are flat or convex</w:t>
            </w:r>
          </w:p>
          <w:p w14:paraId="1BFCA9AF" w14:textId="77777777" w:rsidR="006E44D9" w:rsidRDefault="006E44D9" w:rsidP="006E44D9">
            <w:pPr>
              <w:autoSpaceDE w:val="0"/>
              <w:autoSpaceDN w:val="0"/>
              <w:adjustRightInd w:val="0"/>
              <w:rPr>
                <w:sz w:val="20"/>
                <w:szCs w:val="20"/>
                <w:lang w:eastAsia="en-US"/>
              </w:rPr>
            </w:pPr>
            <w:r>
              <w:rPr>
                <w:sz w:val="20"/>
                <w:szCs w:val="20"/>
                <w:lang w:eastAsia="en-US"/>
              </w:rPr>
              <w:t>1. has a concavity at the midline, or a 'midline trench'</w:t>
            </w:r>
          </w:p>
        </w:tc>
      </w:tr>
      <w:tr w:rsidR="006E44D9" w14:paraId="61E5D8FB" w14:textId="77777777" w:rsidTr="006E44D9">
        <w:tc>
          <w:tcPr>
            <w:tcW w:w="0" w:type="auto"/>
            <w:tcBorders>
              <w:top w:val="single" w:sz="4" w:space="0" w:color="auto"/>
              <w:left w:val="single" w:sz="4" w:space="0" w:color="auto"/>
              <w:bottom w:val="single" w:sz="4" w:space="0" w:color="auto"/>
              <w:right w:val="single" w:sz="4" w:space="0" w:color="auto"/>
            </w:tcBorders>
          </w:tcPr>
          <w:p w14:paraId="5BB140ED" w14:textId="1B0CB35A" w:rsidR="006E44D9" w:rsidRDefault="006E44D9" w:rsidP="006E44D9">
            <w:pPr>
              <w:rPr>
                <w:color w:val="000000"/>
                <w:sz w:val="20"/>
                <w:szCs w:val="20"/>
                <w:lang w:eastAsia="en-US"/>
              </w:rPr>
            </w:pPr>
            <w:r>
              <w:rPr>
                <w:color w:val="000000"/>
                <w:sz w:val="20"/>
                <w:szCs w:val="20"/>
                <w:lang w:eastAsia="en-US"/>
              </w:rPr>
              <w:t>58</w:t>
            </w:r>
          </w:p>
        </w:tc>
        <w:tc>
          <w:tcPr>
            <w:tcW w:w="0" w:type="auto"/>
            <w:tcBorders>
              <w:top w:val="single" w:sz="4" w:space="0" w:color="auto"/>
              <w:left w:val="single" w:sz="4" w:space="0" w:color="auto"/>
              <w:bottom w:val="single" w:sz="4" w:space="0" w:color="auto"/>
              <w:right w:val="single" w:sz="4" w:space="0" w:color="auto"/>
            </w:tcBorders>
            <w:vAlign w:val="bottom"/>
            <w:hideMark/>
          </w:tcPr>
          <w:p w14:paraId="3A14AF8C" w14:textId="77777777" w:rsidR="006E44D9" w:rsidRDefault="006E44D9" w:rsidP="006E44D9">
            <w:pPr>
              <w:rPr>
                <w:b/>
                <w:color w:val="000000"/>
                <w:sz w:val="20"/>
                <w:szCs w:val="20"/>
                <w:lang w:eastAsia="en-US"/>
              </w:rPr>
            </w:pPr>
            <w:r>
              <w:rPr>
                <w:b/>
                <w:color w:val="000000"/>
                <w:sz w:val="20"/>
                <w:szCs w:val="20"/>
                <w:lang w:eastAsia="en-US"/>
              </w:rPr>
              <w:t>Nasal contact with the prefrontal, in dorsal view: (*)</w:t>
            </w:r>
          </w:p>
          <w:p w14:paraId="469F5378" w14:textId="0739E068"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92); </w:t>
            </w:r>
            <w:r>
              <w:rPr>
                <w:bCs/>
                <w:i/>
                <w:color w:val="000000"/>
                <w:sz w:val="20"/>
                <w:szCs w:val="20"/>
                <w:lang w:eastAsia="en-US"/>
              </w:rPr>
              <w:t>Young et al. (2011, ch. 92); Young et al. (2013a, ch. 11);</w:t>
            </w:r>
            <w:r>
              <w:rPr>
                <w:i/>
                <w:sz w:val="20"/>
                <w:szCs w:val="20"/>
                <w:lang w:eastAsia="en-US"/>
              </w:rPr>
              <w:t xml:space="preserve"> Young et al. (2012, ch. 14); Young (2014, ch. 16); Young et al. (2016, ds 2, ch. 22); Ristevski et al. (2018, ds 2, ch. 42); Smith et al. (in review, ds 1, ch. 43); </w:t>
            </w:r>
            <w:r>
              <w:rPr>
                <w:i/>
                <w:sz w:val="20"/>
                <w:szCs w:val="20"/>
              </w:rPr>
              <w:t>Ősi et al. (in review, ds 1, ch. 53)</w:t>
            </w:r>
            <w:r>
              <w:rPr>
                <w:i/>
                <w:sz w:val="20"/>
                <w:szCs w:val="20"/>
                <w:lang w:eastAsia="en-US"/>
              </w:rPr>
              <w:t>.</w:t>
            </w:r>
          </w:p>
          <w:p w14:paraId="6951F29D" w14:textId="77777777" w:rsidR="006E44D9" w:rsidRDefault="006E44D9" w:rsidP="006E44D9">
            <w:pPr>
              <w:rPr>
                <w:i/>
                <w:sz w:val="20"/>
                <w:szCs w:val="20"/>
                <w:lang w:eastAsia="en-US"/>
              </w:rPr>
            </w:pPr>
            <w:r>
              <w:rPr>
                <w:i/>
                <w:sz w:val="20"/>
                <w:szCs w:val="20"/>
                <w:lang w:eastAsia="en-US"/>
              </w:rPr>
              <w:t>This character is not applicable for taxa that lack a sutural contact between the nasals and the prefrontals.</w:t>
            </w:r>
          </w:p>
          <w:p w14:paraId="07D570F1" w14:textId="77777777" w:rsidR="006E44D9" w:rsidRDefault="006E44D9" w:rsidP="006E44D9">
            <w:pPr>
              <w:rPr>
                <w:i/>
                <w:color w:val="000000"/>
                <w:sz w:val="20"/>
                <w:szCs w:val="20"/>
                <w:lang w:eastAsia="en-US"/>
              </w:rPr>
            </w:pPr>
            <w:r>
              <w:rPr>
                <w:i/>
                <w:color w:val="000000"/>
                <w:sz w:val="20"/>
                <w:szCs w:val="20"/>
                <w:lang w:eastAsia="en-US"/>
              </w:rPr>
              <w:t xml:space="preserve">State (1) is a putative apomorphy of the </w:t>
            </w:r>
            <w:r>
              <w:rPr>
                <w:color w:val="000000"/>
                <w:sz w:val="20"/>
                <w:szCs w:val="20"/>
                <w:lang w:eastAsia="en-US"/>
              </w:rPr>
              <w:t>Cricosaurus araucanensis</w:t>
            </w:r>
            <w:r>
              <w:rPr>
                <w:i/>
                <w:color w:val="000000"/>
                <w:sz w:val="20"/>
                <w:szCs w:val="20"/>
                <w:lang w:eastAsia="en-US"/>
              </w:rPr>
              <w:t>.</w:t>
            </w:r>
          </w:p>
          <w:p w14:paraId="225A835A" w14:textId="77777777" w:rsidR="006E44D9" w:rsidRDefault="006E44D9" w:rsidP="006E44D9">
            <w:pPr>
              <w:rPr>
                <w:color w:val="000000"/>
                <w:sz w:val="20"/>
                <w:szCs w:val="20"/>
                <w:lang w:eastAsia="en-US"/>
              </w:rPr>
            </w:pPr>
            <w:r>
              <w:rPr>
                <w:color w:val="000000"/>
                <w:sz w:val="20"/>
                <w:szCs w:val="20"/>
                <w:lang w:eastAsia="en-US"/>
              </w:rPr>
              <w:t>0. irregular</w:t>
            </w:r>
          </w:p>
          <w:p w14:paraId="056DD736" w14:textId="77777777" w:rsidR="006E44D9" w:rsidRDefault="006E44D9" w:rsidP="006E44D9">
            <w:pPr>
              <w:rPr>
                <w:color w:val="000000"/>
                <w:sz w:val="20"/>
                <w:szCs w:val="20"/>
                <w:lang w:eastAsia="en-US"/>
              </w:rPr>
            </w:pPr>
            <w:r>
              <w:rPr>
                <w:color w:val="000000"/>
                <w:sz w:val="20"/>
                <w:szCs w:val="20"/>
                <w:lang w:eastAsia="en-US"/>
              </w:rPr>
              <w:t>1. smooth curve with a concavity directed posterolaterally</w:t>
            </w:r>
          </w:p>
        </w:tc>
      </w:tr>
      <w:tr w:rsidR="006E44D9" w14:paraId="68163FD4" w14:textId="77777777" w:rsidTr="006E44D9">
        <w:tc>
          <w:tcPr>
            <w:tcW w:w="0" w:type="auto"/>
            <w:tcBorders>
              <w:top w:val="single" w:sz="4" w:space="0" w:color="auto"/>
              <w:left w:val="single" w:sz="4" w:space="0" w:color="auto"/>
              <w:bottom w:val="single" w:sz="4" w:space="0" w:color="auto"/>
              <w:right w:val="single" w:sz="4" w:space="0" w:color="auto"/>
            </w:tcBorders>
          </w:tcPr>
          <w:p w14:paraId="49C1EF06" w14:textId="51493C57" w:rsidR="006E44D9" w:rsidRDefault="006E44D9" w:rsidP="006E44D9">
            <w:pPr>
              <w:rPr>
                <w:color w:val="000000"/>
                <w:sz w:val="20"/>
                <w:szCs w:val="20"/>
                <w:lang w:eastAsia="en-US"/>
              </w:rPr>
            </w:pPr>
            <w:r>
              <w:rPr>
                <w:color w:val="000000"/>
                <w:sz w:val="20"/>
                <w:szCs w:val="20"/>
                <w:lang w:eastAsia="en-US"/>
              </w:rPr>
              <w:t>59</w:t>
            </w:r>
          </w:p>
        </w:tc>
        <w:tc>
          <w:tcPr>
            <w:tcW w:w="0" w:type="auto"/>
            <w:tcBorders>
              <w:top w:val="single" w:sz="4" w:space="0" w:color="auto"/>
              <w:left w:val="single" w:sz="4" w:space="0" w:color="auto"/>
              <w:bottom w:val="single" w:sz="4" w:space="0" w:color="auto"/>
              <w:right w:val="single" w:sz="4" w:space="0" w:color="auto"/>
            </w:tcBorders>
            <w:vAlign w:val="bottom"/>
            <w:hideMark/>
          </w:tcPr>
          <w:p w14:paraId="2FFB8ADA" w14:textId="77777777" w:rsidR="006E44D9" w:rsidRDefault="006E44D9" w:rsidP="006E44D9">
            <w:pPr>
              <w:rPr>
                <w:b/>
                <w:color w:val="000000"/>
                <w:sz w:val="20"/>
                <w:szCs w:val="20"/>
                <w:lang w:eastAsia="en-US"/>
              </w:rPr>
            </w:pPr>
            <w:r>
              <w:rPr>
                <w:b/>
                <w:color w:val="000000"/>
                <w:sz w:val="20"/>
                <w:szCs w:val="20"/>
                <w:lang w:eastAsia="en-US"/>
              </w:rPr>
              <w:t>Nasal-prefrontal contact:</w:t>
            </w:r>
          </w:p>
          <w:p w14:paraId="600AA695" w14:textId="723A1344" w:rsidR="006E44D9" w:rsidRDefault="006E44D9" w:rsidP="006E44D9">
            <w:pPr>
              <w:autoSpaceDE w:val="0"/>
              <w:autoSpaceDN w:val="0"/>
              <w:adjustRightInd w:val="0"/>
              <w:rPr>
                <w:i/>
                <w:sz w:val="20"/>
                <w:szCs w:val="20"/>
                <w:lang w:eastAsia="en-US"/>
              </w:rPr>
            </w:pPr>
            <w:r>
              <w:rPr>
                <w:i/>
                <w:sz w:val="20"/>
                <w:szCs w:val="20"/>
                <w:lang w:eastAsia="en-US"/>
              </w:rPr>
              <w:t xml:space="preserve">Young et al. (2012, ch. 15); Young (2014, ch. 17); Young et al. (2016, ds 2, ch. 23); Ristevski et al. (2018, ds 2, ch. 43); Smith et al. (in review, ds 1, ch. 44); </w:t>
            </w:r>
            <w:r>
              <w:rPr>
                <w:i/>
                <w:sz w:val="20"/>
                <w:szCs w:val="20"/>
              </w:rPr>
              <w:t>Ősi et al. (in review, ds 1, ch. 54)</w:t>
            </w:r>
            <w:r>
              <w:rPr>
                <w:i/>
                <w:sz w:val="20"/>
                <w:szCs w:val="20"/>
                <w:lang w:eastAsia="en-US"/>
              </w:rPr>
              <w:t>.</w:t>
            </w:r>
          </w:p>
          <w:p w14:paraId="13A596B8" w14:textId="77777777" w:rsidR="006E44D9" w:rsidRDefault="006E44D9" w:rsidP="006E44D9">
            <w:pPr>
              <w:autoSpaceDE w:val="0"/>
              <w:autoSpaceDN w:val="0"/>
              <w:adjustRightInd w:val="0"/>
              <w:rPr>
                <w:i/>
                <w:sz w:val="20"/>
                <w:szCs w:val="20"/>
                <w:lang w:eastAsia="en-US"/>
              </w:rPr>
            </w:pPr>
            <w:r>
              <w:rPr>
                <w:i/>
                <w:sz w:val="20"/>
                <w:szCs w:val="20"/>
                <w:lang w:eastAsia="en-US"/>
              </w:rPr>
              <w:t>State (1) occurs in crocodylomorphs.</w:t>
            </w:r>
          </w:p>
          <w:p w14:paraId="5293DC98" w14:textId="77777777" w:rsidR="006E44D9" w:rsidRDefault="006E44D9" w:rsidP="006E44D9">
            <w:pPr>
              <w:rPr>
                <w:color w:val="000000"/>
                <w:sz w:val="20"/>
                <w:szCs w:val="20"/>
                <w:lang w:eastAsia="en-US"/>
              </w:rPr>
            </w:pPr>
            <w:r>
              <w:rPr>
                <w:color w:val="000000"/>
                <w:sz w:val="20"/>
                <w:szCs w:val="20"/>
                <w:lang w:eastAsia="en-US"/>
              </w:rPr>
              <w:t>0. absent</w:t>
            </w:r>
          </w:p>
          <w:p w14:paraId="0D82A590" w14:textId="77777777" w:rsidR="006E44D9" w:rsidRDefault="006E44D9" w:rsidP="006E44D9">
            <w:pPr>
              <w:rPr>
                <w:color w:val="000000"/>
                <w:sz w:val="20"/>
                <w:szCs w:val="20"/>
                <w:lang w:eastAsia="en-US"/>
              </w:rPr>
            </w:pPr>
            <w:r>
              <w:rPr>
                <w:color w:val="000000"/>
                <w:sz w:val="20"/>
                <w:szCs w:val="20"/>
                <w:lang w:eastAsia="en-US"/>
              </w:rPr>
              <w:t>1. present</w:t>
            </w:r>
          </w:p>
        </w:tc>
      </w:tr>
      <w:tr w:rsidR="006E44D9" w14:paraId="0EB3427F" w14:textId="77777777" w:rsidTr="006E44D9">
        <w:tc>
          <w:tcPr>
            <w:tcW w:w="0" w:type="auto"/>
            <w:tcBorders>
              <w:top w:val="single" w:sz="4" w:space="0" w:color="auto"/>
              <w:left w:val="single" w:sz="4" w:space="0" w:color="auto"/>
              <w:bottom w:val="single" w:sz="4" w:space="0" w:color="auto"/>
              <w:right w:val="single" w:sz="4" w:space="0" w:color="auto"/>
            </w:tcBorders>
          </w:tcPr>
          <w:p w14:paraId="389BA2E6" w14:textId="019CBBBD" w:rsidR="006E44D9" w:rsidRDefault="006E44D9" w:rsidP="006E44D9">
            <w:pPr>
              <w:rPr>
                <w:color w:val="000000"/>
                <w:sz w:val="20"/>
                <w:szCs w:val="20"/>
                <w:lang w:eastAsia="en-US"/>
              </w:rPr>
            </w:pPr>
            <w:r>
              <w:rPr>
                <w:color w:val="000000"/>
                <w:sz w:val="20"/>
                <w:szCs w:val="20"/>
                <w:lang w:eastAsia="en-US"/>
              </w:rPr>
              <w:t>60</w:t>
            </w:r>
          </w:p>
        </w:tc>
        <w:tc>
          <w:tcPr>
            <w:tcW w:w="0" w:type="auto"/>
            <w:tcBorders>
              <w:top w:val="single" w:sz="4" w:space="0" w:color="auto"/>
              <w:left w:val="single" w:sz="4" w:space="0" w:color="auto"/>
              <w:bottom w:val="single" w:sz="4" w:space="0" w:color="auto"/>
              <w:right w:val="single" w:sz="4" w:space="0" w:color="auto"/>
            </w:tcBorders>
            <w:vAlign w:val="bottom"/>
            <w:hideMark/>
          </w:tcPr>
          <w:p w14:paraId="45C52733" w14:textId="77777777" w:rsidR="006E44D9" w:rsidRDefault="006E44D9" w:rsidP="006E44D9">
            <w:pPr>
              <w:rPr>
                <w:b/>
                <w:color w:val="000000"/>
                <w:sz w:val="20"/>
                <w:szCs w:val="20"/>
                <w:lang w:eastAsia="en-US"/>
              </w:rPr>
            </w:pPr>
            <w:r>
              <w:rPr>
                <w:b/>
                <w:color w:val="000000"/>
                <w:sz w:val="20"/>
                <w:szCs w:val="20"/>
                <w:lang w:eastAsia="en-US"/>
              </w:rPr>
              <w:t>Premaxilla–maxilla lateral fossa excavating alveolus of last premaxillary tooth:</w:t>
            </w:r>
          </w:p>
          <w:p w14:paraId="377D9A9B" w14:textId="17858C1D"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163); </w:t>
            </w:r>
            <w:r>
              <w:rPr>
                <w:bCs/>
                <w:i/>
                <w:color w:val="000000"/>
                <w:sz w:val="20"/>
                <w:szCs w:val="20"/>
                <w:lang w:eastAsia="en-US"/>
              </w:rPr>
              <w:t>Young et al. (2011, ch. 163); Young et al. (2013a, ch. 12);</w:t>
            </w:r>
            <w:r>
              <w:rPr>
                <w:i/>
                <w:sz w:val="20"/>
                <w:szCs w:val="20"/>
                <w:lang w:eastAsia="en-US"/>
              </w:rPr>
              <w:t xml:space="preserve"> Young et al. (2012, ch. 16); Young (2014, ch. 18); Young et al. (2016, ds 2, ch. 24); Ristevski et al. (2018, ds 2, ch. 44); Smith et al. (in review, ds 1, ch. 45); </w:t>
            </w:r>
            <w:r>
              <w:rPr>
                <w:i/>
                <w:sz w:val="20"/>
                <w:szCs w:val="20"/>
              </w:rPr>
              <w:t>Ősi et al. (in review, ds 1, ch. 55)</w:t>
            </w:r>
            <w:r>
              <w:rPr>
                <w:i/>
                <w:sz w:val="20"/>
                <w:szCs w:val="20"/>
                <w:lang w:eastAsia="en-US"/>
              </w:rPr>
              <w:t>.</w:t>
            </w:r>
          </w:p>
          <w:p w14:paraId="68A1064C" w14:textId="77777777" w:rsidR="006E44D9" w:rsidRDefault="006E44D9" w:rsidP="006E44D9">
            <w:pPr>
              <w:rPr>
                <w:color w:val="000000"/>
                <w:sz w:val="20"/>
                <w:szCs w:val="20"/>
                <w:lang w:eastAsia="en-US"/>
              </w:rPr>
            </w:pPr>
            <w:r>
              <w:rPr>
                <w:color w:val="000000"/>
                <w:sz w:val="20"/>
                <w:szCs w:val="20"/>
                <w:lang w:eastAsia="en-US"/>
              </w:rPr>
              <w:t>0. no</w:t>
            </w:r>
          </w:p>
          <w:p w14:paraId="047B7139" w14:textId="77777777" w:rsidR="006E44D9" w:rsidRDefault="006E44D9" w:rsidP="006E44D9">
            <w:pPr>
              <w:rPr>
                <w:color w:val="000000"/>
                <w:sz w:val="20"/>
                <w:szCs w:val="20"/>
                <w:lang w:eastAsia="en-US"/>
              </w:rPr>
            </w:pPr>
            <w:r>
              <w:rPr>
                <w:color w:val="000000"/>
                <w:sz w:val="20"/>
                <w:szCs w:val="20"/>
                <w:lang w:eastAsia="en-US"/>
              </w:rPr>
              <w:t>1. yes</w:t>
            </w:r>
          </w:p>
        </w:tc>
      </w:tr>
      <w:tr w:rsidR="006E44D9" w14:paraId="7E3E7E2E" w14:textId="77777777" w:rsidTr="006E44D9">
        <w:trPr>
          <w:trHeight w:val="204"/>
        </w:trPr>
        <w:tc>
          <w:tcPr>
            <w:tcW w:w="0" w:type="auto"/>
            <w:tcBorders>
              <w:top w:val="single" w:sz="4" w:space="0" w:color="auto"/>
              <w:left w:val="single" w:sz="4" w:space="0" w:color="auto"/>
              <w:bottom w:val="single" w:sz="4" w:space="0" w:color="auto"/>
              <w:right w:val="single" w:sz="4" w:space="0" w:color="auto"/>
            </w:tcBorders>
          </w:tcPr>
          <w:p w14:paraId="0E0AAAC0" w14:textId="74DAE4E0" w:rsidR="006E44D9" w:rsidRDefault="006E44D9" w:rsidP="006E44D9">
            <w:pPr>
              <w:rPr>
                <w:color w:val="000000"/>
                <w:sz w:val="20"/>
                <w:szCs w:val="20"/>
                <w:lang w:eastAsia="en-US"/>
              </w:rPr>
            </w:pPr>
            <w:r>
              <w:rPr>
                <w:color w:val="000000"/>
                <w:sz w:val="20"/>
                <w:szCs w:val="20"/>
                <w:lang w:eastAsia="en-US"/>
              </w:rPr>
              <w:t>61</w:t>
            </w:r>
          </w:p>
        </w:tc>
        <w:tc>
          <w:tcPr>
            <w:tcW w:w="0" w:type="auto"/>
            <w:tcBorders>
              <w:top w:val="single" w:sz="4" w:space="0" w:color="auto"/>
              <w:left w:val="single" w:sz="4" w:space="0" w:color="auto"/>
              <w:bottom w:val="single" w:sz="4" w:space="0" w:color="auto"/>
              <w:right w:val="single" w:sz="4" w:space="0" w:color="auto"/>
            </w:tcBorders>
            <w:vAlign w:val="bottom"/>
            <w:hideMark/>
          </w:tcPr>
          <w:p w14:paraId="4A454C75" w14:textId="77777777" w:rsidR="006E44D9" w:rsidRDefault="006E44D9" w:rsidP="006E44D9">
            <w:pPr>
              <w:rPr>
                <w:b/>
                <w:color w:val="000000"/>
                <w:sz w:val="20"/>
                <w:szCs w:val="20"/>
                <w:lang w:eastAsia="en-US"/>
              </w:rPr>
            </w:pPr>
            <w:r>
              <w:rPr>
                <w:b/>
                <w:color w:val="000000"/>
                <w:sz w:val="20"/>
                <w:szCs w:val="20"/>
                <w:lang w:eastAsia="en-US"/>
              </w:rPr>
              <w:t>Maxilla, ventrolateral edge:</w:t>
            </w:r>
          </w:p>
          <w:p w14:paraId="5F9313FF" w14:textId="6DB44039"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115); </w:t>
            </w:r>
            <w:r>
              <w:rPr>
                <w:bCs/>
                <w:i/>
                <w:color w:val="000000"/>
                <w:sz w:val="20"/>
                <w:szCs w:val="20"/>
                <w:lang w:eastAsia="en-US"/>
              </w:rPr>
              <w:t>Young et al. (2011, ch. 115); Young et al. (2013a, ch. 13);</w:t>
            </w:r>
            <w:r>
              <w:rPr>
                <w:i/>
                <w:sz w:val="20"/>
                <w:szCs w:val="20"/>
                <w:lang w:eastAsia="en-US"/>
              </w:rPr>
              <w:t xml:space="preserve"> Young et al. (2012, ch. 17); Young (2014, ch. 19); Young et al. (2016, ds 2, ch. 25); Ristevski et al. (2018, ds 2, ch. 45); Smith et al. (in review, ds 1, ch. 46); </w:t>
            </w:r>
            <w:r>
              <w:rPr>
                <w:i/>
                <w:sz w:val="20"/>
                <w:szCs w:val="20"/>
              </w:rPr>
              <w:t>Ősi et al. (in review, ds 1, ch. 56)</w:t>
            </w:r>
            <w:r>
              <w:rPr>
                <w:i/>
                <w:sz w:val="20"/>
                <w:szCs w:val="20"/>
                <w:lang w:eastAsia="en-US"/>
              </w:rPr>
              <w:t>.</w:t>
            </w:r>
          </w:p>
          <w:p w14:paraId="28730244" w14:textId="77777777" w:rsidR="006E44D9" w:rsidRDefault="006E44D9" w:rsidP="006E44D9">
            <w:pPr>
              <w:rPr>
                <w:color w:val="000000"/>
                <w:sz w:val="20"/>
                <w:szCs w:val="20"/>
                <w:lang w:eastAsia="en-US"/>
              </w:rPr>
            </w:pPr>
            <w:r>
              <w:rPr>
                <w:color w:val="000000"/>
                <w:sz w:val="20"/>
                <w:szCs w:val="20"/>
                <w:lang w:eastAsia="en-US"/>
              </w:rPr>
              <w:t>0. straight</w:t>
            </w:r>
          </w:p>
          <w:p w14:paraId="5F2AC25E" w14:textId="77777777" w:rsidR="006E44D9" w:rsidRDefault="006E44D9" w:rsidP="006E44D9">
            <w:pPr>
              <w:rPr>
                <w:color w:val="000000"/>
                <w:sz w:val="20"/>
                <w:szCs w:val="20"/>
                <w:lang w:eastAsia="en-US"/>
              </w:rPr>
            </w:pPr>
            <w:r>
              <w:rPr>
                <w:color w:val="000000"/>
                <w:sz w:val="20"/>
                <w:szCs w:val="20"/>
                <w:lang w:eastAsia="en-US"/>
              </w:rPr>
              <w:t>1. single convexity</w:t>
            </w:r>
          </w:p>
          <w:p w14:paraId="066F7DEC" w14:textId="77777777" w:rsidR="006E44D9" w:rsidRDefault="006E44D9" w:rsidP="006E44D9">
            <w:pPr>
              <w:rPr>
                <w:color w:val="000000"/>
                <w:sz w:val="20"/>
                <w:szCs w:val="20"/>
                <w:lang w:eastAsia="en-US"/>
              </w:rPr>
            </w:pPr>
            <w:r>
              <w:rPr>
                <w:color w:val="000000"/>
                <w:sz w:val="20"/>
                <w:szCs w:val="20"/>
                <w:lang w:eastAsia="en-US"/>
              </w:rPr>
              <w:t>2. double convexity (‘festooned’)</w:t>
            </w:r>
          </w:p>
        </w:tc>
      </w:tr>
      <w:tr w:rsidR="006E44D9" w14:paraId="1193132A" w14:textId="77777777" w:rsidTr="006E44D9">
        <w:trPr>
          <w:trHeight w:val="487"/>
        </w:trPr>
        <w:tc>
          <w:tcPr>
            <w:tcW w:w="0" w:type="auto"/>
            <w:tcBorders>
              <w:top w:val="single" w:sz="4" w:space="0" w:color="auto"/>
              <w:left w:val="single" w:sz="4" w:space="0" w:color="auto"/>
              <w:bottom w:val="single" w:sz="4" w:space="0" w:color="auto"/>
              <w:right w:val="single" w:sz="4" w:space="0" w:color="auto"/>
            </w:tcBorders>
          </w:tcPr>
          <w:p w14:paraId="3E7B946F" w14:textId="0C8B4D74" w:rsidR="006E44D9" w:rsidRDefault="006E44D9" w:rsidP="006E44D9">
            <w:pPr>
              <w:rPr>
                <w:color w:val="000000"/>
                <w:sz w:val="20"/>
                <w:szCs w:val="20"/>
                <w:lang w:eastAsia="en-US"/>
              </w:rPr>
            </w:pPr>
            <w:r>
              <w:rPr>
                <w:color w:val="000000"/>
                <w:sz w:val="20"/>
                <w:szCs w:val="20"/>
                <w:lang w:eastAsia="en-US"/>
              </w:rPr>
              <w:t>62</w:t>
            </w:r>
          </w:p>
        </w:tc>
        <w:tc>
          <w:tcPr>
            <w:tcW w:w="0" w:type="auto"/>
            <w:tcBorders>
              <w:top w:val="single" w:sz="4" w:space="0" w:color="auto"/>
              <w:left w:val="single" w:sz="4" w:space="0" w:color="auto"/>
              <w:bottom w:val="single" w:sz="4" w:space="0" w:color="auto"/>
              <w:right w:val="single" w:sz="4" w:space="0" w:color="auto"/>
            </w:tcBorders>
            <w:hideMark/>
          </w:tcPr>
          <w:p w14:paraId="25FA4B8E" w14:textId="77777777" w:rsidR="006E44D9" w:rsidRDefault="006E44D9" w:rsidP="006E44D9">
            <w:pPr>
              <w:rPr>
                <w:b/>
                <w:sz w:val="20"/>
                <w:szCs w:val="20"/>
                <w:lang w:eastAsia="en-US"/>
              </w:rPr>
            </w:pPr>
            <w:r>
              <w:rPr>
                <w:b/>
                <w:sz w:val="20"/>
                <w:szCs w:val="20"/>
                <w:lang w:eastAsia="en-US"/>
              </w:rPr>
              <w:t>Position of the posterior-most maxillae: (ORDERED)</w:t>
            </w:r>
          </w:p>
          <w:p w14:paraId="0E314947" w14:textId="12EFB42A" w:rsidR="006E44D9" w:rsidRDefault="006E44D9" w:rsidP="006E44D9">
            <w:pPr>
              <w:rPr>
                <w:bCs/>
                <w:i/>
                <w:sz w:val="20"/>
                <w:szCs w:val="20"/>
                <w:lang w:eastAsia="en-US"/>
              </w:rPr>
            </w:pPr>
            <w:r>
              <w:rPr>
                <w:bCs/>
                <w:i/>
                <w:sz w:val="20"/>
                <w:szCs w:val="20"/>
                <w:lang w:eastAsia="en-US"/>
              </w:rPr>
              <w:t xml:space="preserve">Hastings et al. (2010, ch. 29 modified); </w:t>
            </w:r>
            <w:r>
              <w:rPr>
                <w:i/>
                <w:sz w:val="20"/>
                <w:szCs w:val="20"/>
                <w:lang w:eastAsia="en-US"/>
              </w:rPr>
              <w:t xml:space="preserve">Ristevski et al. (2018, ds 2, ch. 46); Smith et al. (in review, ds 1, ch. 47); </w:t>
            </w:r>
            <w:r>
              <w:rPr>
                <w:i/>
                <w:sz w:val="20"/>
                <w:szCs w:val="20"/>
              </w:rPr>
              <w:t>Ősi et al. (in review, ds 1, ch. 57)</w:t>
            </w:r>
            <w:r>
              <w:rPr>
                <w:bCs/>
                <w:i/>
                <w:sz w:val="20"/>
                <w:szCs w:val="20"/>
                <w:lang w:eastAsia="en-US"/>
              </w:rPr>
              <w:t>.</w:t>
            </w:r>
          </w:p>
          <w:p w14:paraId="13D4CF3C" w14:textId="77777777" w:rsidR="006E44D9" w:rsidRDefault="006E44D9" w:rsidP="006E44D9">
            <w:pPr>
              <w:rPr>
                <w:bCs/>
                <w:i/>
                <w:sz w:val="20"/>
                <w:szCs w:val="20"/>
                <w:lang w:eastAsia="en-US"/>
              </w:rPr>
            </w:pPr>
            <w:r>
              <w:rPr>
                <w:bCs/>
                <w:i/>
                <w:sz w:val="20"/>
                <w:szCs w:val="20"/>
                <w:lang w:eastAsia="en-US"/>
              </w:rPr>
              <w:t>State (1+2) are putative apomorphies of Dyrosauridae.</w:t>
            </w:r>
          </w:p>
          <w:p w14:paraId="661EEB3D" w14:textId="77777777" w:rsidR="006E44D9" w:rsidRDefault="006E44D9" w:rsidP="006E44D9">
            <w:pPr>
              <w:rPr>
                <w:b/>
                <w:sz w:val="20"/>
                <w:szCs w:val="20"/>
                <w:lang w:eastAsia="en-US"/>
              </w:rPr>
            </w:pPr>
            <w:r>
              <w:rPr>
                <w:bCs/>
                <w:i/>
                <w:sz w:val="20"/>
                <w:szCs w:val="20"/>
                <w:lang w:eastAsia="en-US"/>
              </w:rPr>
              <w:t xml:space="preserve">State (2) is a putative apomorphy of </w:t>
            </w:r>
            <w:r>
              <w:rPr>
                <w:bCs/>
                <w:sz w:val="20"/>
                <w:szCs w:val="20"/>
                <w:lang w:eastAsia="en-US"/>
              </w:rPr>
              <w:t>Cerrejonisuchus.</w:t>
            </w:r>
          </w:p>
          <w:p w14:paraId="4B337713" w14:textId="77777777" w:rsidR="006E44D9" w:rsidRDefault="006E44D9" w:rsidP="006E44D9">
            <w:pPr>
              <w:rPr>
                <w:sz w:val="20"/>
                <w:szCs w:val="20"/>
                <w:lang w:eastAsia="en-US"/>
              </w:rPr>
            </w:pPr>
            <w:r>
              <w:rPr>
                <w:sz w:val="20"/>
                <w:szCs w:val="20"/>
                <w:lang w:eastAsia="en-US"/>
              </w:rPr>
              <w:t>0. anterior to, or even with, the postorbital bars</w:t>
            </w:r>
          </w:p>
          <w:p w14:paraId="106BEDAB" w14:textId="77777777" w:rsidR="006E44D9" w:rsidRDefault="006E44D9" w:rsidP="006E44D9">
            <w:pPr>
              <w:rPr>
                <w:sz w:val="20"/>
                <w:szCs w:val="20"/>
                <w:lang w:eastAsia="en-US"/>
              </w:rPr>
            </w:pPr>
            <w:r>
              <w:rPr>
                <w:sz w:val="20"/>
                <w:szCs w:val="20"/>
                <w:lang w:eastAsia="en-US"/>
              </w:rPr>
              <w:t>1. even with the anteroposterior midlength of the supratemporal fenestrae</w:t>
            </w:r>
          </w:p>
          <w:p w14:paraId="178983D4" w14:textId="77777777" w:rsidR="006E44D9" w:rsidRDefault="006E44D9" w:rsidP="006E44D9">
            <w:pPr>
              <w:rPr>
                <w:sz w:val="20"/>
                <w:szCs w:val="20"/>
                <w:lang w:eastAsia="en-US"/>
              </w:rPr>
            </w:pPr>
            <w:r>
              <w:rPr>
                <w:sz w:val="20"/>
                <w:szCs w:val="20"/>
                <w:lang w:eastAsia="en-US"/>
              </w:rPr>
              <w:lastRenderedPageBreak/>
              <w:t>2. even with, or posterior to, the posterior margins of the supratemporal fenestrae</w:t>
            </w:r>
          </w:p>
        </w:tc>
      </w:tr>
      <w:tr w:rsidR="006E44D9" w14:paraId="6334B31E" w14:textId="77777777" w:rsidTr="006E44D9">
        <w:trPr>
          <w:trHeight w:val="274"/>
        </w:trPr>
        <w:tc>
          <w:tcPr>
            <w:tcW w:w="0" w:type="auto"/>
            <w:tcBorders>
              <w:top w:val="single" w:sz="4" w:space="0" w:color="auto"/>
              <w:left w:val="single" w:sz="4" w:space="0" w:color="auto"/>
              <w:bottom w:val="single" w:sz="4" w:space="0" w:color="auto"/>
              <w:right w:val="single" w:sz="4" w:space="0" w:color="auto"/>
            </w:tcBorders>
          </w:tcPr>
          <w:p w14:paraId="5253001C" w14:textId="572725B1" w:rsidR="006E44D9" w:rsidRDefault="006E44D9" w:rsidP="006E44D9">
            <w:pPr>
              <w:rPr>
                <w:color w:val="000000"/>
                <w:sz w:val="20"/>
                <w:szCs w:val="20"/>
                <w:lang w:eastAsia="en-US"/>
              </w:rPr>
            </w:pPr>
            <w:r>
              <w:rPr>
                <w:color w:val="000000"/>
                <w:sz w:val="20"/>
                <w:szCs w:val="20"/>
                <w:lang w:eastAsia="en-US"/>
              </w:rPr>
              <w:lastRenderedPageBreak/>
              <w:t>63</w:t>
            </w:r>
          </w:p>
        </w:tc>
        <w:tc>
          <w:tcPr>
            <w:tcW w:w="0" w:type="auto"/>
            <w:tcBorders>
              <w:top w:val="single" w:sz="4" w:space="0" w:color="auto"/>
              <w:left w:val="single" w:sz="4" w:space="0" w:color="auto"/>
              <w:bottom w:val="single" w:sz="4" w:space="0" w:color="auto"/>
              <w:right w:val="single" w:sz="4" w:space="0" w:color="auto"/>
            </w:tcBorders>
            <w:vAlign w:val="bottom"/>
            <w:hideMark/>
          </w:tcPr>
          <w:p w14:paraId="55380172" w14:textId="0733D3FF" w:rsidR="006E44D9" w:rsidRDefault="006E44D9" w:rsidP="006E44D9">
            <w:pPr>
              <w:rPr>
                <w:i/>
                <w:color w:val="000000"/>
                <w:sz w:val="20"/>
                <w:szCs w:val="20"/>
                <w:lang w:eastAsia="en-US"/>
              </w:rPr>
            </w:pPr>
            <w:r>
              <w:rPr>
                <w:rFonts w:eastAsia="Times New Roman"/>
                <w:b/>
                <w:sz w:val="20"/>
                <w:szCs w:val="20"/>
                <w:lang w:eastAsia="en-US"/>
              </w:rPr>
              <w:t>Maxilla/jugal, presence of enlarged foramina and associated fossae on the lateral margin of the posterior maxillae and/or the anterior process of the jugal. These foramina are positioned near the maxillojugal suture. These structures are anteroposteriorly aligned (note that the foramina and associated fossae are not always contiguous):</w:t>
            </w:r>
            <w:r>
              <w:rPr>
                <w:rFonts w:eastAsia="Times New Roman"/>
                <w:sz w:val="20"/>
                <w:szCs w:val="20"/>
                <w:lang w:eastAsia="en-US"/>
              </w:rPr>
              <w:br/>
            </w:r>
            <w:r>
              <w:rPr>
                <w:i/>
                <w:sz w:val="20"/>
                <w:szCs w:val="20"/>
                <w:lang w:eastAsia="en-US"/>
              </w:rPr>
              <w:t xml:space="preserve">Ristevski et al. (2018, ds 2, ch. 47); Smith et al. (in review, ds 1, ch. 48); </w:t>
            </w:r>
            <w:r>
              <w:rPr>
                <w:i/>
                <w:sz w:val="20"/>
                <w:szCs w:val="20"/>
              </w:rPr>
              <w:t>Ősi et al. (in review, ds 1, ch. 58)</w:t>
            </w:r>
            <w:r>
              <w:rPr>
                <w:i/>
                <w:sz w:val="20"/>
                <w:szCs w:val="20"/>
                <w:lang w:eastAsia="en-US"/>
              </w:rPr>
              <w:t>.</w:t>
            </w:r>
          </w:p>
          <w:p w14:paraId="609C52FF" w14:textId="77777777" w:rsidR="006E44D9" w:rsidRDefault="006E44D9" w:rsidP="006E44D9">
            <w:pPr>
              <w:rPr>
                <w:i/>
                <w:color w:val="000000"/>
                <w:sz w:val="20"/>
                <w:szCs w:val="20"/>
                <w:lang w:eastAsia="en-US"/>
              </w:rPr>
            </w:pPr>
            <w:r>
              <w:rPr>
                <w:i/>
                <w:color w:val="000000"/>
                <w:sz w:val="20"/>
                <w:szCs w:val="20"/>
                <w:lang w:eastAsia="en-US"/>
              </w:rPr>
              <w:t xml:space="preserve">State (1) occurs in goniopholidids and most tethysuchians (in dyrosaurids the foramen is only present on the jugal). Note that the anterior position of the ‘maxillary depressions’ in </w:t>
            </w:r>
            <w:r>
              <w:rPr>
                <w:color w:val="000000"/>
                <w:sz w:val="20"/>
                <w:szCs w:val="20"/>
                <w:lang w:eastAsia="en-US"/>
              </w:rPr>
              <w:t>Calsoyasuchus</w:t>
            </w:r>
            <w:r>
              <w:rPr>
                <w:i/>
                <w:color w:val="000000"/>
                <w:sz w:val="20"/>
                <w:szCs w:val="20"/>
                <w:lang w:eastAsia="en-US"/>
              </w:rPr>
              <w:t xml:space="preserve"> are not consistent with this character.</w:t>
            </w:r>
          </w:p>
          <w:p w14:paraId="6828DFA5" w14:textId="77777777" w:rsidR="006E44D9" w:rsidRDefault="006E44D9" w:rsidP="006E44D9">
            <w:pPr>
              <w:rPr>
                <w:color w:val="000000"/>
                <w:sz w:val="20"/>
                <w:szCs w:val="20"/>
                <w:lang w:eastAsia="en-US"/>
              </w:rPr>
            </w:pPr>
            <w:r>
              <w:rPr>
                <w:color w:val="000000"/>
                <w:sz w:val="20"/>
                <w:szCs w:val="20"/>
                <w:lang w:eastAsia="en-US"/>
              </w:rPr>
              <w:t>0. absent</w:t>
            </w:r>
          </w:p>
          <w:p w14:paraId="0318A313" w14:textId="77777777" w:rsidR="006E44D9" w:rsidRDefault="006E44D9" w:rsidP="006E44D9">
            <w:pPr>
              <w:rPr>
                <w:color w:val="000000"/>
                <w:sz w:val="20"/>
                <w:szCs w:val="20"/>
                <w:lang w:eastAsia="en-US"/>
              </w:rPr>
            </w:pPr>
            <w:r>
              <w:rPr>
                <w:color w:val="000000"/>
                <w:sz w:val="20"/>
                <w:szCs w:val="20"/>
                <w:lang w:eastAsia="en-US"/>
              </w:rPr>
              <w:t>1. present</w:t>
            </w:r>
          </w:p>
        </w:tc>
      </w:tr>
      <w:tr w:rsidR="006E44D9" w14:paraId="135F1F6D" w14:textId="77777777" w:rsidTr="006E44D9">
        <w:tc>
          <w:tcPr>
            <w:tcW w:w="0" w:type="auto"/>
            <w:tcBorders>
              <w:top w:val="single" w:sz="4" w:space="0" w:color="auto"/>
              <w:left w:val="single" w:sz="4" w:space="0" w:color="auto"/>
              <w:bottom w:val="single" w:sz="4" w:space="0" w:color="auto"/>
              <w:right w:val="single" w:sz="4" w:space="0" w:color="auto"/>
            </w:tcBorders>
          </w:tcPr>
          <w:p w14:paraId="77C86DF9" w14:textId="13DDED3E" w:rsidR="006E44D9" w:rsidRDefault="006E44D9" w:rsidP="006E44D9">
            <w:pPr>
              <w:rPr>
                <w:color w:val="000000"/>
                <w:sz w:val="20"/>
                <w:szCs w:val="20"/>
                <w:lang w:eastAsia="en-US"/>
              </w:rPr>
            </w:pPr>
            <w:r>
              <w:rPr>
                <w:color w:val="000000"/>
                <w:sz w:val="20"/>
                <w:szCs w:val="20"/>
                <w:lang w:eastAsia="en-US"/>
              </w:rPr>
              <w:t>64</w:t>
            </w:r>
          </w:p>
        </w:tc>
        <w:tc>
          <w:tcPr>
            <w:tcW w:w="0" w:type="auto"/>
            <w:tcBorders>
              <w:top w:val="single" w:sz="4" w:space="0" w:color="auto"/>
              <w:left w:val="single" w:sz="4" w:space="0" w:color="auto"/>
              <w:bottom w:val="single" w:sz="4" w:space="0" w:color="auto"/>
              <w:right w:val="single" w:sz="4" w:space="0" w:color="auto"/>
            </w:tcBorders>
            <w:vAlign w:val="bottom"/>
            <w:hideMark/>
          </w:tcPr>
          <w:p w14:paraId="5F2FE5C3" w14:textId="77777777" w:rsidR="006E44D9" w:rsidRDefault="006E44D9" w:rsidP="006E44D9">
            <w:pPr>
              <w:rPr>
                <w:b/>
                <w:color w:val="000000"/>
                <w:sz w:val="20"/>
                <w:szCs w:val="20"/>
                <w:lang w:eastAsia="en-US"/>
              </w:rPr>
            </w:pPr>
            <w:r>
              <w:rPr>
                <w:b/>
                <w:color w:val="000000"/>
                <w:sz w:val="20"/>
                <w:szCs w:val="20"/>
                <w:lang w:eastAsia="en-US"/>
              </w:rPr>
              <w:t>Posterior maxilla, presence of lateral fossa/fossae next to the alveolar margin, anterior to the jugal and ventral to the lachrymal:</w:t>
            </w:r>
          </w:p>
          <w:p w14:paraId="4B8E50DE" w14:textId="48FCB5DE"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135 modified); </w:t>
            </w:r>
            <w:r>
              <w:rPr>
                <w:i/>
                <w:color w:val="000000"/>
                <w:sz w:val="20"/>
                <w:szCs w:val="20"/>
                <w:lang w:eastAsia="en-US"/>
              </w:rPr>
              <w:t xml:space="preserve">Andrade et al. (2011, ch. 87 modified); </w:t>
            </w:r>
            <w:r>
              <w:rPr>
                <w:bCs/>
                <w:i/>
                <w:color w:val="000000"/>
                <w:sz w:val="20"/>
                <w:szCs w:val="20"/>
                <w:lang w:eastAsia="en-US"/>
              </w:rPr>
              <w:t>Young et al. (2011, ch. 135 modified); Young et al. (2013a, ch. 14 modified);</w:t>
            </w:r>
            <w:r>
              <w:rPr>
                <w:i/>
                <w:sz w:val="20"/>
                <w:szCs w:val="20"/>
                <w:lang w:eastAsia="en-US"/>
              </w:rPr>
              <w:t xml:space="preserve"> </w:t>
            </w:r>
            <w:r>
              <w:rPr>
                <w:i/>
                <w:color w:val="000000"/>
                <w:sz w:val="20"/>
                <w:szCs w:val="20"/>
                <w:lang w:eastAsia="en-US"/>
              </w:rPr>
              <w:t xml:space="preserve">Young et al. (2012, ch. 18 modified); Young (2014, ch. 20 modified); </w:t>
            </w:r>
            <w:r>
              <w:rPr>
                <w:i/>
                <w:sz w:val="20"/>
                <w:szCs w:val="20"/>
                <w:lang w:eastAsia="en-US"/>
              </w:rPr>
              <w:t xml:space="preserve">Young et al. (2016, ds 2, ch. 27); Ristevski et al. (2018, ds 2, ch. 48); Smith et al. (in review, ds 1, ch. 49); </w:t>
            </w:r>
            <w:r>
              <w:rPr>
                <w:i/>
                <w:sz w:val="20"/>
                <w:szCs w:val="20"/>
              </w:rPr>
              <w:t>Ősi et al. (in review, ds 1, ch. 59)</w:t>
            </w:r>
            <w:r>
              <w:rPr>
                <w:i/>
                <w:sz w:val="20"/>
                <w:szCs w:val="20"/>
                <w:lang w:eastAsia="en-US"/>
              </w:rPr>
              <w:t>.</w:t>
            </w:r>
          </w:p>
          <w:p w14:paraId="2DC1251F" w14:textId="77777777" w:rsidR="006E44D9" w:rsidRDefault="006E44D9" w:rsidP="006E44D9">
            <w:pPr>
              <w:rPr>
                <w:i/>
                <w:color w:val="000000"/>
                <w:sz w:val="20"/>
                <w:szCs w:val="20"/>
                <w:lang w:eastAsia="en-US"/>
              </w:rPr>
            </w:pPr>
            <w:r>
              <w:rPr>
                <w:i/>
                <w:color w:val="000000"/>
                <w:sz w:val="20"/>
                <w:szCs w:val="20"/>
                <w:lang w:eastAsia="en-US"/>
              </w:rPr>
              <w:t>This character is a modification of the goniopholidid+tethysuchian enlarged foramina + associated fossae character, in which there are paired depressions on either maxilla, which are anteroposteriorly elongated, dorsoventrally high, complex and entirely supported by the maxilla.</w:t>
            </w:r>
          </w:p>
          <w:p w14:paraId="65B9F33F" w14:textId="77777777" w:rsidR="006E44D9" w:rsidRDefault="006E44D9" w:rsidP="006E44D9">
            <w:pPr>
              <w:rPr>
                <w:i/>
                <w:color w:val="000000"/>
                <w:sz w:val="20"/>
                <w:szCs w:val="20"/>
                <w:lang w:eastAsia="en-US"/>
              </w:rPr>
            </w:pPr>
            <w:r>
              <w:rPr>
                <w:i/>
                <w:color w:val="000000"/>
                <w:sz w:val="20"/>
                <w:szCs w:val="20"/>
                <w:lang w:eastAsia="en-US"/>
              </w:rPr>
              <w:t>State (1) occurs in Goniopholididae.</w:t>
            </w:r>
          </w:p>
          <w:p w14:paraId="29B5A1B0" w14:textId="77777777" w:rsidR="006E44D9" w:rsidRDefault="006E44D9" w:rsidP="006E44D9">
            <w:pPr>
              <w:rPr>
                <w:i/>
                <w:color w:val="000000"/>
                <w:sz w:val="20"/>
                <w:szCs w:val="20"/>
                <w:lang w:eastAsia="en-US"/>
              </w:rPr>
            </w:pPr>
            <w:r>
              <w:rPr>
                <w:i/>
                <w:color w:val="000000"/>
                <w:sz w:val="20"/>
                <w:szCs w:val="20"/>
                <w:lang w:eastAsia="en-US"/>
              </w:rPr>
              <w:t xml:space="preserve">As noted for the maxilla/jugal presence of an enlarged foramina character, the anterior position of the ‘maxillary depressions’ in </w:t>
            </w:r>
            <w:r>
              <w:rPr>
                <w:color w:val="000000"/>
                <w:sz w:val="20"/>
                <w:szCs w:val="20"/>
                <w:lang w:eastAsia="en-US"/>
              </w:rPr>
              <w:t>Calsoyasuchus</w:t>
            </w:r>
            <w:r>
              <w:rPr>
                <w:i/>
                <w:color w:val="000000"/>
                <w:sz w:val="20"/>
                <w:szCs w:val="20"/>
                <w:lang w:eastAsia="en-US"/>
              </w:rPr>
              <w:t xml:space="preserve"> are also not consistent with this character.</w:t>
            </w:r>
          </w:p>
          <w:p w14:paraId="3808A2B2" w14:textId="77777777" w:rsidR="006E44D9" w:rsidRDefault="006E44D9" w:rsidP="006E44D9">
            <w:pPr>
              <w:rPr>
                <w:color w:val="000000"/>
                <w:sz w:val="20"/>
                <w:szCs w:val="20"/>
                <w:lang w:eastAsia="en-US"/>
              </w:rPr>
            </w:pPr>
            <w:r>
              <w:rPr>
                <w:color w:val="000000"/>
                <w:sz w:val="20"/>
                <w:szCs w:val="20"/>
                <w:lang w:eastAsia="en-US"/>
              </w:rPr>
              <w:t>0. absent, maxillary bony surface convex or flat</w:t>
            </w:r>
          </w:p>
          <w:p w14:paraId="3E5664A0" w14:textId="77777777" w:rsidR="006E44D9" w:rsidRDefault="006E44D9" w:rsidP="006E44D9">
            <w:pPr>
              <w:rPr>
                <w:color w:val="000000"/>
                <w:sz w:val="20"/>
                <w:szCs w:val="20"/>
                <w:lang w:eastAsia="en-US"/>
              </w:rPr>
            </w:pPr>
            <w:r>
              <w:rPr>
                <w:color w:val="000000"/>
                <w:sz w:val="20"/>
                <w:szCs w:val="20"/>
                <w:lang w:eastAsia="en-US"/>
              </w:rPr>
              <w:t>1. present</w:t>
            </w:r>
          </w:p>
        </w:tc>
      </w:tr>
      <w:tr w:rsidR="006E44D9" w14:paraId="6B98AC6E" w14:textId="77777777" w:rsidTr="006E44D9">
        <w:tc>
          <w:tcPr>
            <w:tcW w:w="0" w:type="auto"/>
            <w:tcBorders>
              <w:top w:val="single" w:sz="4" w:space="0" w:color="auto"/>
              <w:left w:val="single" w:sz="4" w:space="0" w:color="auto"/>
              <w:bottom w:val="single" w:sz="4" w:space="0" w:color="auto"/>
              <w:right w:val="single" w:sz="4" w:space="0" w:color="auto"/>
            </w:tcBorders>
          </w:tcPr>
          <w:p w14:paraId="43454F25" w14:textId="52837E52" w:rsidR="006E44D9" w:rsidRDefault="006E44D9" w:rsidP="006E44D9">
            <w:pPr>
              <w:rPr>
                <w:color w:val="000000"/>
                <w:sz w:val="20"/>
                <w:szCs w:val="20"/>
                <w:lang w:eastAsia="en-US"/>
              </w:rPr>
            </w:pPr>
            <w:r>
              <w:rPr>
                <w:sz w:val="20"/>
                <w:szCs w:val="20"/>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hideMark/>
          </w:tcPr>
          <w:p w14:paraId="54FA2145" w14:textId="77777777" w:rsidR="006E44D9" w:rsidRDefault="006E44D9" w:rsidP="006E44D9">
            <w:pPr>
              <w:autoSpaceDE w:val="0"/>
              <w:autoSpaceDN w:val="0"/>
              <w:adjustRightInd w:val="0"/>
              <w:rPr>
                <w:b/>
                <w:bCs/>
                <w:sz w:val="20"/>
                <w:szCs w:val="20"/>
                <w:lang w:eastAsia="en-US"/>
              </w:rPr>
            </w:pPr>
            <w:r>
              <w:rPr>
                <w:b/>
                <w:bCs/>
                <w:sz w:val="20"/>
                <w:szCs w:val="20"/>
                <w:lang w:eastAsia="en-US"/>
              </w:rPr>
              <w:t>Maxilla, morphology of anterior border of maxillary depressions:</w:t>
            </w:r>
          </w:p>
          <w:p w14:paraId="1ADB4450" w14:textId="5A46327A"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 xml:space="preserve">Andrade et al. (2011, ch. 90); </w:t>
            </w:r>
            <w:r>
              <w:rPr>
                <w:i/>
                <w:sz w:val="20"/>
                <w:szCs w:val="20"/>
                <w:lang w:eastAsia="en-US"/>
              </w:rPr>
              <w:t xml:space="preserve">Ristevski et al. (2018, ds 2, ch. 49); Smith et al. (in review, ds 1, ch. 50); </w:t>
            </w:r>
            <w:r>
              <w:rPr>
                <w:i/>
                <w:sz w:val="20"/>
                <w:szCs w:val="20"/>
              </w:rPr>
              <w:t>Ősi et al. (in review, ds 1, ch. 60)</w:t>
            </w:r>
            <w:r>
              <w:rPr>
                <w:i/>
                <w:iCs/>
                <w:color w:val="000000"/>
                <w:sz w:val="20"/>
                <w:szCs w:val="20"/>
                <w:lang w:eastAsia="en-US"/>
              </w:rPr>
              <w:t>.</w:t>
            </w:r>
          </w:p>
          <w:p w14:paraId="68D86848"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present within Goniopholididae (</w:t>
            </w:r>
            <w:r>
              <w:rPr>
                <w:iCs/>
                <w:color w:val="000000"/>
                <w:sz w:val="20"/>
                <w:szCs w:val="20"/>
                <w:lang w:eastAsia="en-US"/>
              </w:rPr>
              <w:t xml:space="preserve">Anteophthalmosuchus </w:t>
            </w:r>
            <w:r>
              <w:rPr>
                <w:i/>
                <w:iCs/>
                <w:color w:val="000000"/>
                <w:sz w:val="20"/>
                <w:szCs w:val="20"/>
                <w:lang w:eastAsia="en-US"/>
              </w:rPr>
              <w:t>and</w:t>
            </w:r>
            <w:r>
              <w:rPr>
                <w:iCs/>
                <w:color w:val="000000"/>
                <w:sz w:val="20"/>
                <w:szCs w:val="20"/>
                <w:lang w:eastAsia="en-US"/>
              </w:rPr>
              <w:t xml:space="preserve"> Goniopholis</w:t>
            </w:r>
            <w:r>
              <w:rPr>
                <w:i/>
                <w:iCs/>
                <w:color w:val="000000"/>
                <w:sz w:val="20"/>
                <w:szCs w:val="20"/>
                <w:lang w:eastAsia="en-US"/>
              </w:rPr>
              <w:t>).</w:t>
            </w:r>
          </w:p>
          <w:p w14:paraId="51258D56" w14:textId="77777777" w:rsidR="006E44D9" w:rsidRDefault="006E44D9" w:rsidP="006E44D9">
            <w:pPr>
              <w:autoSpaceDE w:val="0"/>
              <w:autoSpaceDN w:val="0"/>
              <w:adjustRightInd w:val="0"/>
              <w:rPr>
                <w:sz w:val="20"/>
                <w:szCs w:val="20"/>
                <w:lang w:eastAsia="en-US"/>
              </w:rPr>
            </w:pPr>
            <w:r>
              <w:rPr>
                <w:sz w:val="20"/>
                <w:szCs w:val="20"/>
                <w:lang w:eastAsia="en-US"/>
              </w:rPr>
              <w:t>0. shallow, anterior edge of depression usually poorly defined, or maxillary depression is absent</w:t>
            </w:r>
          </w:p>
          <w:p w14:paraId="28AC0DC3" w14:textId="77777777" w:rsidR="006E44D9" w:rsidRDefault="006E44D9" w:rsidP="006E44D9">
            <w:pPr>
              <w:autoSpaceDE w:val="0"/>
              <w:autoSpaceDN w:val="0"/>
              <w:adjustRightInd w:val="0"/>
              <w:rPr>
                <w:rFonts w:ascii="TimesNewRoman" w:hAnsi="TimesNewRoman" w:cs="TimesNewRoman"/>
                <w:lang w:eastAsia="en-US"/>
              </w:rPr>
            </w:pPr>
            <w:r>
              <w:rPr>
                <w:sz w:val="20"/>
                <w:szCs w:val="20"/>
                <w:lang w:eastAsia="en-US"/>
              </w:rPr>
              <w:t>1. deep, anterior border always well-defined relative to dermal surface of maxilla</w:t>
            </w:r>
          </w:p>
        </w:tc>
      </w:tr>
      <w:tr w:rsidR="006E44D9" w14:paraId="358A6B85" w14:textId="77777777" w:rsidTr="006E44D9">
        <w:tc>
          <w:tcPr>
            <w:tcW w:w="0" w:type="auto"/>
            <w:tcBorders>
              <w:top w:val="single" w:sz="4" w:space="0" w:color="auto"/>
              <w:left w:val="single" w:sz="4" w:space="0" w:color="auto"/>
              <w:bottom w:val="single" w:sz="4" w:space="0" w:color="auto"/>
              <w:right w:val="single" w:sz="4" w:space="0" w:color="auto"/>
            </w:tcBorders>
          </w:tcPr>
          <w:p w14:paraId="5B1BF9CF" w14:textId="1991F7CB" w:rsidR="006E44D9" w:rsidRDefault="006E44D9" w:rsidP="006E44D9">
            <w:pPr>
              <w:rPr>
                <w:color w:val="000000"/>
                <w:sz w:val="20"/>
                <w:szCs w:val="20"/>
                <w:lang w:eastAsia="en-US"/>
              </w:rPr>
            </w:pPr>
            <w:r>
              <w:rPr>
                <w:sz w:val="20"/>
                <w:szCs w:val="20"/>
                <w:lang w:eastAsia="en-US"/>
              </w:rPr>
              <w:t>66</w:t>
            </w:r>
          </w:p>
        </w:tc>
        <w:tc>
          <w:tcPr>
            <w:tcW w:w="0" w:type="auto"/>
            <w:tcBorders>
              <w:top w:val="single" w:sz="4" w:space="0" w:color="auto"/>
              <w:left w:val="single" w:sz="4" w:space="0" w:color="auto"/>
              <w:bottom w:val="single" w:sz="4" w:space="0" w:color="auto"/>
              <w:right w:val="single" w:sz="4" w:space="0" w:color="auto"/>
            </w:tcBorders>
            <w:vAlign w:val="bottom"/>
            <w:hideMark/>
          </w:tcPr>
          <w:p w14:paraId="5B4B7228" w14:textId="77777777" w:rsidR="006E44D9" w:rsidRDefault="006E44D9" w:rsidP="006E44D9">
            <w:pPr>
              <w:rPr>
                <w:b/>
                <w:color w:val="000000"/>
                <w:sz w:val="20"/>
                <w:szCs w:val="20"/>
                <w:lang w:eastAsia="en-US"/>
              </w:rPr>
            </w:pPr>
            <w:r>
              <w:rPr>
                <w:b/>
                <w:color w:val="000000"/>
                <w:sz w:val="20"/>
                <w:szCs w:val="20"/>
                <w:lang w:eastAsia="en-US"/>
              </w:rPr>
              <w:t>Posterior maxilla, presence of a lateral fossa/fossae that crosses the maxillojugal suture:</w:t>
            </w:r>
          </w:p>
          <w:p w14:paraId="78676150" w14:textId="060318C1" w:rsidR="006E44D9" w:rsidRDefault="006E44D9" w:rsidP="006E44D9">
            <w:pPr>
              <w:autoSpaceDE w:val="0"/>
              <w:autoSpaceDN w:val="0"/>
              <w:adjustRightInd w:val="0"/>
              <w:rPr>
                <w:i/>
                <w:sz w:val="20"/>
                <w:szCs w:val="20"/>
                <w:lang w:eastAsia="en-US"/>
              </w:rPr>
            </w:pPr>
            <w:r>
              <w:rPr>
                <w:i/>
                <w:sz w:val="20"/>
                <w:szCs w:val="20"/>
                <w:lang w:eastAsia="en-US"/>
              </w:rPr>
              <w:t xml:space="preserve">Young et al. (2016, ds 2, ch. 28 modified); Ristevski et al. (2018, ds 2, ch. 50); Smith et al. (in review, ds 1, ch. 51); </w:t>
            </w:r>
            <w:r>
              <w:rPr>
                <w:i/>
                <w:sz w:val="20"/>
                <w:szCs w:val="20"/>
              </w:rPr>
              <w:t>Ősi et al. (in review, ds 1, ch. 61)</w:t>
            </w:r>
            <w:r>
              <w:rPr>
                <w:i/>
                <w:sz w:val="20"/>
                <w:szCs w:val="20"/>
                <w:lang w:eastAsia="en-US"/>
              </w:rPr>
              <w:t>.</w:t>
            </w:r>
          </w:p>
          <w:p w14:paraId="310D32C6" w14:textId="74E6D829" w:rsidR="006E44D9" w:rsidRDefault="006E44D9" w:rsidP="006E44D9">
            <w:pPr>
              <w:rPr>
                <w:i/>
                <w:color w:val="000000"/>
                <w:sz w:val="20"/>
                <w:szCs w:val="20"/>
                <w:lang w:eastAsia="en-US"/>
              </w:rPr>
            </w:pPr>
            <w:r>
              <w:rPr>
                <w:i/>
                <w:color w:val="000000"/>
                <w:sz w:val="20"/>
                <w:szCs w:val="20"/>
                <w:lang w:eastAsia="en-US"/>
              </w:rPr>
              <w:t>This character is a modification of the goniopholidid + tethysuchian enlarged foramina + associated fossae character, in which there are paired depressions on either maxilla-jugal, which are anteroposteriorly elongated, dorsoventrally narrow, and contiguous on both the maxilla and jugal.</w:t>
            </w:r>
          </w:p>
          <w:p w14:paraId="6261A161" w14:textId="77777777" w:rsidR="006E44D9" w:rsidRDefault="006E44D9" w:rsidP="006E44D9">
            <w:pPr>
              <w:rPr>
                <w:color w:val="000000"/>
                <w:sz w:val="20"/>
                <w:szCs w:val="20"/>
                <w:lang w:eastAsia="en-US"/>
              </w:rPr>
            </w:pPr>
            <w:r>
              <w:rPr>
                <w:i/>
                <w:color w:val="000000"/>
                <w:sz w:val="20"/>
                <w:szCs w:val="20"/>
                <w:lang w:eastAsia="en-US"/>
              </w:rPr>
              <w:t>State (1) occurs in Pholidosauridae</w:t>
            </w:r>
          </w:p>
          <w:p w14:paraId="56790311" w14:textId="77777777" w:rsidR="006E44D9" w:rsidRDefault="006E44D9" w:rsidP="006E44D9">
            <w:pPr>
              <w:rPr>
                <w:color w:val="000000"/>
                <w:sz w:val="20"/>
                <w:szCs w:val="20"/>
                <w:lang w:eastAsia="en-US"/>
              </w:rPr>
            </w:pPr>
            <w:r>
              <w:rPr>
                <w:color w:val="000000"/>
                <w:sz w:val="20"/>
                <w:szCs w:val="20"/>
                <w:lang w:eastAsia="en-US"/>
              </w:rPr>
              <w:t>0. absent, maxillary bony surface convex or flat</w:t>
            </w:r>
          </w:p>
          <w:p w14:paraId="7B77948A" w14:textId="77777777" w:rsidR="006E44D9" w:rsidRDefault="006E44D9" w:rsidP="006E44D9">
            <w:pPr>
              <w:rPr>
                <w:color w:val="000000"/>
                <w:sz w:val="20"/>
                <w:szCs w:val="20"/>
                <w:lang w:eastAsia="en-US"/>
              </w:rPr>
            </w:pPr>
            <w:r>
              <w:rPr>
                <w:color w:val="000000"/>
                <w:sz w:val="20"/>
                <w:szCs w:val="20"/>
                <w:lang w:eastAsia="en-US"/>
              </w:rPr>
              <w:t>1. present</w:t>
            </w:r>
          </w:p>
        </w:tc>
      </w:tr>
      <w:tr w:rsidR="006E44D9" w14:paraId="3A01A075" w14:textId="77777777" w:rsidTr="006E44D9">
        <w:tc>
          <w:tcPr>
            <w:tcW w:w="0" w:type="auto"/>
            <w:tcBorders>
              <w:top w:val="single" w:sz="4" w:space="0" w:color="auto"/>
              <w:left w:val="single" w:sz="4" w:space="0" w:color="auto"/>
              <w:bottom w:val="single" w:sz="4" w:space="0" w:color="auto"/>
              <w:right w:val="single" w:sz="4" w:space="0" w:color="auto"/>
            </w:tcBorders>
          </w:tcPr>
          <w:p w14:paraId="1A4B8AAF" w14:textId="0FDBDEB9" w:rsidR="006E44D9" w:rsidRDefault="006E44D9" w:rsidP="006E44D9">
            <w:pPr>
              <w:rPr>
                <w:color w:val="000000"/>
                <w:sz w:val="20"/>
                <w:szCs w:val="20"/>
                <w:lang w:eastAsia="en-US"/>
              </w:rPr>
            </w:pPr>
            <w:r>
              <w:rPr>
                <w:sz w:val="20"/>
                <w:szCs w:val="20"/>
                <w:lang w:eastAsia="en-US"/>
              </w:rPr>
              <w:t>67</w:t>
            </w:r>
          </w:p>
        </w:tc>
        <w:tc>
          <w:tcPr>
            <w:tcW w:w="0" w:type="auto"/>
            <w:tcBorders>
              <w:top w:val="single" w:sz="4" w:space="0" w:color="auto"/>
              <w:left w:val="single" w:sz="4" w:space="0" w:color="auto"/>
              <w:bottom w:val="single" w:sz="4" w:space="0" w:color="auto"/>
              <w:right w:val="single" w:sz="4" w:space="0" w:color="auto"/>
            </w:tcBorders>
            <w:vAlign w:val="bottom"/>
            <w:hideMark/>
          </w:tcPr>
          <w:p w14:paraId="5F142C58" w14:textId="77777777" w:rsidR="006E44D9" w:rsidRDefault="006E44D9" w:rsidP="006E44D9">
            <w:pPr>
              <w:rPr>
                <w:b/>
                <w:color w:val="000000"/>
                <w:sz w:val="20"/>
                <w:szCs w:val="20"/>
                <w:lang w:eastAsia="en-US"/>
              </w:rPr>
            </w:pPr>
            <w:r>
              <w:rPr>
                <w:b/>
                <w:color w:val="000000"/>
                <w:sz w:val="20"/>
                <w:szCs w:val="20"/>
                <w:lang w:eastAsia="en-US"/>
              </w:rPr>
              <w:t>Maxilla, aligned set of large foramina extending posteroventrally from the antorbital/preorbital fossa:</w:t>
            </w:r>
          </w:p>
          <w:p w14:paraId="23F624D5" w14:textId="37E7632E" w:rsidR="006E44D9" w:rsidRDefault="006E44D9" w:rsidP="006E44D9">
            <w:pPr>
              <w:autoSpaceDE w:val="0"/>
              <w:autoSpaceDN w:val="0"/>
              <w:adjustRightInd w:val="0"/>
              <w:rPr>
                <w:i/>
                <w:sz w:val="20"/>
                <w:szCs w:val="20"/>
                <w:lang w:eastAsia="en-US"/>
              </w:rPr>
            </w:pPr>
            <w:r>
              <w:rPr>
                <w:bCs/>
                <w:i/>
                <w:color w:val="000000"/>
                <w:sz w:val="20"/>
                <w:szCs w:val="20"/>
                <w:lang w:eastAsia="en-US"/>
              </w:rPr>
              <w:t>Young et al. (2013a, ch. 15 modified);</w:t>
            </w:r>
            <w:r>
              <w:rPr>
                <w:i/>
                <w:sz w:val="20"/>
                <w:szCs w:val="20"/>
                <w:lang w:eastAsia="en-US"/>
              </w:rPr>
              <w:t xml:space="preserve"> Young et al. (2012, ch. 19 modified); Young (2014, ch. 21); Young et al. (2016, ds 2, ch. 29); Ristevski et al. (2018, ds 2, ch. 51); Smith et al. (in review, ds 1, ch. 52); </w:t>
            </w:r>
            <w:r>
              <w:rPr>
                <w:i/>
                <w:sz w:val="20"/>
                <w:szCs w:val="20"/>
              </w:rPr>
              <w:t>Ősi et al. (in review, ds 1, ch. 62)</w:t>
            </w:r>
            <w:r>
              <w:rPr>
                <w:i/>
                <w:sz w:val="20"/>
                <w:szCs w:val="20"/>
                <w:lang w:eastAsia="en-US"/>
              </w:rPr>
              <w:t>.</w:t>
            </w:r>
          </w:p>
          <w:p w14:paraId="34EFB255" w14:textId="77777777" w:rsidR="006E44D9" w:rsidRDefault="006E44D9" w:rsidP="006E44D9">
            <w:pPr>
              <w:rPr>
                <w:color w:val="000000"/>
                <w:sz w:val="20"/>
                <w:szCs w:val="20"/>
                <w:lang w:eastAsia="en-US"/>
              </w:rPr>
            </w:pPr>
            <w:r>
              <w:rPr>
                <w:i/>
                <w:color w:val="000000"/>
                <w:sz w:val="20"/>
                <w:szCs w:val="20"/>
                <w:lang w:eastAsia="en-US"/>
              </w:rPr>
              <w:t xml:space="preserve">State (1) is a putative apomorphy of Mr Leeds </w:t>
            </w:r>
            <w:r>
              <w:rPr>
                <w:color w:val="000000"/>
                <w:sz w:val="20"/>
                <w:szCs w:val="20"/>
                <w:lang w:eastAsia="en-US"/>
              </w:rPr>
              <w:t>Dakosaurus</w:t>
            </w:r>
            <w:r>
              <w:rPr>
                <w:i/>
                <w:color w:val="000000"/>
                <w:sz w:val="20"/>
                <w:szCs w:val="20"/>
                <w:lang w:eastAsia="en-US"/>
              </w:rPr>
              <w:t xml:space="preserve"> + </w:t>
            </w:r>
            <w:r>
              <w:rPr>
                <w:color w:val="000000"/>
                <w:sz w:val="20"/>
                <w:szCs w:val="20"/>
                <w:lang w:eastAsia="en-US"/>
              </w:rPr>
              <w:t>Dakosaurus.</w:t>
            </w:r>
          </w:p>
          <w:p w14:paraId="6A992E22" w14:textId="77777777" w:rsidR="006E44D9" w:rsidRDefault="006E44D9" w:rsidP="006E44D9">
            <w:pPr>
              <w:rPr>
                <w:color w:val="000000"/>
                <w:sz w:val="20"/>
                <w:szCs w:val="20"/>
                <w:lang w:eastAsia="en-US"/>
              </w:rPr>
            </w:pPr>
            <w:r>
              <w:rPr>
                <w:color w:val="000000"/>
                <w:sz w:val="20"/>
                <w:szCs w:val="20"/>
                <w:lang w:eastAsia="en-US"/>
              </w:rPr>
              <w:t>0. absent</w:t>
            </w:r>
          </w:p>
          <w:p w14:paraId="118BC497" w14:textId="77777777" w:rsidR="006E44D9" w:rsidRDefault="006E44D9" w:rsidP="006E44D9">
            <w:pPr>
              <w:rPr>
                <w:color w:val="000000"/>
                <w:sz w:val="20"/>
                <w:szCs w:val="20"/>
                <w:lang w:eastAsia="en-US"/>
              </w:rPr>
            </w:pPr>
            <w:r>
              <w:rPr>
                <w:color w:val="000000"/>
                <w:sz w:val="20"/>
                <w:szCs w:val="20"/>
                <w:lang w:eastAsia="en-US"/>
              </w:rPr>
              <w:t>1. present</w:t>
            </w:r>
          </w:p>
        </w:tc>
      </w:tr>
      <w:tr w:rsidR="006E44D9" w14:paraId="4CFAEFFC" w14:textId="77777777" w:rsidTr="006E44D9">
        <w:tc>
          <w:tcPr>
            <w:tcW w:w="0" w:type="auto"/>
            <w:tcBorders>
              <w:top w:val="single" w:sz="4" w:space="0" w:color="auto"/>
              <w:left w:val="single" w:sz="4" w:space="0" w:color="auto"/>
              <w:bottom w:val="single" w:sz="4" w:space="0" w:color="auto"/>
              <w:right w:val="single" w:sz="4" w:space="0" w:color="auto"/>
            </w:tcBorders>
          </w:tcPr>
          <w:p w14:paraId="6B758CE8" w14:textId="00FC06A0" w:rsidR="006E44D9" w:rsidRDefault="006E44D9" w:rsidP="006E44D9">
            <w:pPr>
              <w:rPr>
                <w:color w:val="000000"/>
                <w:sz w:val="20"/>
                <w:szCs w:val="20"/>
                <w:lang w:eastAsia="en-US"/>
              </w:rPr>
            </w:pPr>
            <w:r>
              <w:rPr>
                <w:sz w:val="20"/>
                <w:szCs w:val="20"/>
                <w:lang w:eastAsia="en-US"/>
              </w:rPr>
              <w:t>68</w:t>
            </w:r>
          </w:p>
        </w:tc>
        <w:tc>
          <w:tcPr>
            <w:tcW w:w="0" w:type="auto"/>
            <w:tcBorders>
              <w:top w:val="single" w:sz="4" w:space="0" w:color="auto"/>
              <w:left w:val="single" w:sz="4" w:space="0" w:color="auto"/>
              <w:bottom w:val="single" w:sz="4" w:space="0" w:color="auto"/>
              <w:right w:val="single" w:sz="4" w:space="0" w:color="auto"/>
            </w:tcBorders>
            <w:vAlign w:val="bottom"/>
            <w:hideMark/>
          </w:tcPr>
          <w:p w14:paraId="17AB8969" w14:textId="77777777" w:rsidR="006E44D9" w:rsidRDefault="006E44D9" w:rsidP="006E44D9">
            <w:pPr>
              <w:rPr>
                <w:b/>
                <w:color w:val="000000"/>
                <w:sz w:val="20"/>
                <w:szCs w:val="20"/>
                <w:lang w:eastAsia="en-US"/>
              </w:rPr>
            </w:pPr>
            <w:r>
              <w:rPr>
                <w:b/>
                <w:color w:val="000000"/>
                <w:sz w:val="20"/>
                <w:szCs w:val="20"/>
                <w:lang w:eastAsia="en-US"/>
              </w:rPr>
              <w:t>Maxilla-lachrymal, contact: (*)</w:t>
            </w:r>
          </w:p>
          <w:p w14:paraId="2AC32EA1" w14:textId="7C0B4AC5" w:rsidR="006E44D9" w:rsidRDefault="006E44D9" w:rsidP="006E44D9">
            <w:pPr>
              <w:autoSpaceDE w:val="0"/>
              <w:autoSpaceDN w:val="0"/>
              <w:adjustRightInd w:val="0"/>
              <w:rPr>
                <w:i/>
                <w:sz w:val="20"/>
                <w:szCs w:val="20"/>
                <w:lang w:eastAsia="en-US"/>
              </w:rPr>
            </w:pPr>
            <w:r>
              <w:rPr>
                <w:i/>
                <w:sz w:val="20"/>
                <w:szCs w:val="20"/>
                <w:lang w:eastAsia="en-US"/>
              </w:rPr>
              <w:t xml:space="preserve">Pol (1999, ch. 145); Young &amp; Andrade (2009, ch. 141); </w:t>
            </w:r>
            <w:r>
              <w:rPr>
                <w:bCs/>
                <w:i/>
                <w:color w:val="000000"/>
                <w:sz w:val="20"/>
                <w:szCs w:val="20"/>
                <w:lang w:eastAsia="en-US"/>
              </w:rPr>
              <w:t>Young et al. (2011, ch. 141); Young et al. (2013a, ch. 16);</w:t>
            </w:r>
            <w:r>
              <w:rPr>
                <w:i/>
                <w:sz w:val="20"/>
                <w:szCs w:val="20"/>
                <w:lang w:eastAsia="en-US"/>
              </w:rPr>
              <w:t xml:space="preserve"> Young et al. (2012, ch. 20); Young (2014, ch. 22); Young et al. (2016, ds 2, ch. 30); Ristevski et al. (2018, ds 2, ch. 52); Smith et al. (in review, ds 1, ch. 53); </w:t>
            </w:r>
            <w:r>
              <w:rPr>
                <w:i/>
                <w:sz w:val="20"/>
                <w:szCs w:val="20"/>
              </w:rPr>
              <w:t>Ősi et al. (in review, ds 1, ch. 63)</w:t>
            </w:r>
            <w:r>
              <w:rPr>
                <w:i/>
                <w:sz w:val="20"/>
                <w:szCs w:val="20"/>
                <w:lang w:eastAsia="en-US"/>
              </w:rPr>
              <w:t>.</w:t>
            </w:r>
          </w:p>
          <w:p w14:paraId="1CE093C8" w14:textId="77777777" w:rsidR="006E44D9" w:rsidRDefault="006E44D9" w:rsidP="006E44D9">
            <w:pPr>
              <w:autoSpaceDE w:val="0"/>
              <w:autoSpaceDN w:val="0"/>
              <w:adjustRightInd w:val="0"/>
              <w:rPr>
                <w:i/>
                <w:sz w:val="20"/>
                <w:szCs w:val="20"/>
                <w:lang w:eastAsia="en-US"/>
              </w:rPr>
            </w:pPr>
            <w:r>
              <w:rPr>
                <w:i/>
                <w:sz w:val="20"/>
                <w:szCs w:val="20"/>
                <w:lang w:eastAsia="en-US"/>
              </w:rPr>
              <w:t>This character is not applicable for taxa that lack the antorbital/preorbital fossae.</w:t>
            </w:r>
          </w:p>
          <w:p w14:paraId="6E922975" w14:textId="77777777" w:rsidR="006E44D9" w:rsidRDefault="006E44D9" w:rsidP="006E44D9">
            <w:pPr>
              <w:rPr>
                <w:color w:val="000000"/>
                <w:sz w:val="20"/>
                <w:szCs w:val="20"/>
                <w:lang w:eastAsia="en-US"/>
              </w:rPr>
            </w:pPr>
            <w:r>
              <w:rPr>
                <w:color w:val="000000"/>
                <w:sz w:val="20"/>
                <w:szCs w:val="20"/>
                <w:lang w:eastAsia="en-US"/>
              </w:rPr>
              <w:t>0. partially included in antorbital/preorbital fossa</w:t>
            </w:r>
          </w:p>
          <w:p w14:paraId="784D6A7B" w14:textId="77777777" w:rsidR="006E44D9" w:rsidRDefault="006E44D9" w:rsidP="006E44D9">
            <w:pPr>
              <w:rPr>
                <w:color w:val="000000"/>
                <w:sz w:val="20"/>
                <w:szCs w:val="20"/>
                <w:lang w:eastAsia="en-US"/>
              </w:rPr>
            </w:pPr>
            <w:r>
              <w:rPr>
                <w:color w:val="000000"/>
                <w:sz w:val="20"/>
                <w:szCs w:val="20"/>
                <w:lang w:eastAsia="en-US"/>
              </w:rPr>
              <w:t>1. completely included</w:t>
            </w:r>
          </w:p>
        </w:tc>
      </w:tr>
      <w:tr w:rsidR="006E44D9" w14:paraId="5DB781F9" w14:textId="77777777" w:rsidTr="006E44D9">
        <w:tc>
          <w:tcPr>
            <w:tcW w:w="0" w:type="auto"/>
            <w:tcBorders>
              <w:top w:val="single" w:sz="4" w:space="0" w:color="auto"/>
              <w:left w:val="single" w:sz="4" w:space="0" w:color="auto"/>
              <w:bottom w:val="single" w:sz="4" w:space="0" w:color="auto"/>
              <w:right w:val="single" w:sz="4" w:space="0" w:color="auto"/>
            </w:tcBorders>
          </w:tcPr>
          <w:p w14:paraId="51D587C3" w14:textId="5F96CA11" w:rsidR="006E44D9" w:rsidRDefault="006E44D9" w:rsidP="006E44D9">
            <w:pPr>
              <w:rPr>
                <w:color w:val="000000"/>
                <w:sz w:val="20"/>
                <w:szCs w:val="20"/>
                <w:lang w:eastAsia="en-US"/>
              </w:rPr>
            </w:pPr>
            <w:r>
              <w:rPr>
                <w:color w:val="000000"/>
                <w:sz w:val="20"/>
                <w:szCs w:val="20"/>
                <w:lang w:eastAsia="en-US"/>
              </w:rPr>
              <w:t>69</w:t>
            </w:r>
          </w:p>
        </w:tc>
        <w:tc>
          <w:tcPr>
            <w:tcW w:w="0" w:type="auto"/>
            <w:tcBorders>
              <w:top w:val="single" w:sz="4" w:space="0" w:color="auto"/>
              <w:left w:val="single" w:sz="4" w:space="0" w:color="auto"/>
              <w:bottom w:val="single" w:sz="4" w:space="0" w:color="auto"/>
              <w:right w:val="single" w:sz="4" w:space="0" w:color="auto"/>
            </w:tcBorders>
            <w:vAlign w:val="bottom"/>
            <w:hideMark/>
          </w:tcPr>
          <w:p w14:paraId="07C62F4A" w14:textId="77777777" w:rsidR="006E44D9" w:rsidRDefault="006E44D9" w:rsidP="006E44D9">
            <w:pPr>
              <w:rPr>
                <w:b/>
                <w:color w:val="000000"/>
                <w:sz w:val="20"/>
                <w:szCs w:val="20"/>
                <w:lang w:eastAsia="en-US"/>
              </w:rPr>
            </w:pPr>
            <w:r>
              <w:rPr>
                <w:b/>
                <w:color w:val="000000"/>
                <w:sz w:val="20"/>
                <w:szCs w:val="20"/>
                <w:lang w:eastAsia="en-US"/>
              </w:rPr>
              <w:t>Lachrymal, contact with the nasal:</w:t>
            </w:r>
          </w:p>
          <w:p w14:paraId="5910EF7D" w14:textId="23DADA7C"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97); </w:t>
            </w:r>
            <w:r>
              <w:rPr>
                <w:bCs/>
                <w:i/>
                <w:color w:val="000000"/>
                <w:sz w:val="20"/>
                <w:szCs w:val="20"/>
                <w:lang w:eastAsia="en-US"/>
              </w:rPr>
              <w:t>Young et al. (2011, ch. 97); Young et al. (2013a, ch. 17);</w:t>
            </w:r>
            <w:r>
              <w:rPr>
                <w:i/>
                <w:sz w:val="20"/>
                <w:szCs w:val="20"/>
                <w:lang w:eastAsia="en-US"/>
              </w:rPr>
              <w:t xml:space="preserve"> Young et al. (2012, ch. 21); Young (2014, ch. 23); Young et al. (2016, ds 2, ch. 31); Ristevski et al. (2018, ds 2, ch. 53); Smith et al. (in review, ds 1, ch. 54); </w:t>
            </w:r>
            <w:r>
              <w:rPr>
                <w:i/>
                <w:sz w:val="20"/>
                <w:szCs w:val="20"/>
              </w:rPr>
              <w:t>Ősi et al. (in review, ds 1, ch. 64)</w:t>
            </w:r>
            <w:r>
              <w:rPr>
                <w:i/>
                <w:sz w:val="20"/>
                <w:szCs w:val="20"/>
                <w:lang w:eastAsia="en-US"/>
              </w:rPr>
              <w:t>.</w:t>
            </w:r>
          </w:p>
          <w:p w14:paraId="79C084CB" w14:textId="77777777" w:rsidR="006E44D9" w:rsidRDefault="006E44D9" w:rsidP="006E44D9">
            <w:pPr>
              <w:rPr>
                <w:color w:val="000000"/>
                <w:sz w:val="20"/>
                <w:szCs w:val="20"/>
                <w:lang w:eastAsia="en-US"/>
              </w:rPr>
            </w:pPr>
            <w:r>
              <w:rPr>
                <w:color w:val="000000"/>
                <w:sz w:val="20"/>
                <w:szCs w:val="20"/>
                <w:lang w:eastAsia="en-US"/>
              </w:rPr>
              <w:lastRenderedPageBreak/>
              <w:t>0. nasal only contacts the dorsal margin of the lachrymal</w:t>
            </w:r>
          </w:p>
          <w:p w14:paraId="69B35FA5" w14:textId="77777777" w:rsidR="006E44D9" w:rsidRDefault="006E44D9" w:rsidP="006E44D9">
            <w:pPr>
              <w:rPr>
                <w:color w:val="000000"/>
                <w:sz w:val="20"/>
                <w:szCs w:val="20"/>
                <w:lang w:eastAsia="en-US"/>
              </w:rPr>
            </w:pPr>
            <w:r>
              <w:rPr>
                <w:color w:val="000000"/>
                <w:sz w:val="20"/>
                <w:szCs w:val="20"/>
                <w:lang w:eastAsia="en-US"/>
              </w:rPr>
              <w:t>1. nasal primarily contacts the anterior margin of the lachrymal</w:t>
            </w:r>
          </w:p>
          <w:p w14:paraId="21693F8B" w14:textId="77777777" w:rsidR="006E44D9" w:rsidRDefault="006E44D9" w:rsidP="006E44D9">
            <w:pPr>
              <w:rPr>
                <w:color w:val="000000"/>
                <w:sz w:val="20"/>
                <w:szCs w:val="20"/>
                <w:lang w:eastAsia="en-US"/>
              </w:rPr>
            </w:pPr>
            <w:r>
              <w:rPr>
                <w:color w:val="000000"/>
                <w:sz w:val="20"/>
                <w:szCs w:val="20"/>
                <w:lang w:eastAsia="en-US"/>
              </w:rPr>
              <w:t>2. no contact between the nasals and lachrymals</w:t>
            </w:r>
          </w:p>
        </w:tc>
      </w:tr>
      <w:tr w:rsidR="006E44D9" w14:paraId="1D3D7E15" w14:textId="77777777" w:rsidTr="006E44D9">
        <w:tc>
          <w:tcPr>
            <w:tcW w:w="0" w:type="auto"/>
            <w:tcBorders>
              <w:top w:val="single" w:sz="4" w:space="0" w:color="auto"/>
              <w:left w:val="single" w:sz="4" w:space="0" w:color="auto"/>
              <w:bottom w:val="single" w:sz="4" w:space="0" w:color="auto"/>
              <w:right w:val="single" w:sz="4" w:space="0" w:color="auto"/>
            </w:tcBorders>
          </w:tcPr>
          <w:p w14:paraId="64021C6D" w14:textId="36D2D2E2" w:rsidR="006E44D9" w:rsidRDefault="006E44D9" w:rsidP="006E44D9">
            <w:pPr>
              <w:rPr>
                <w:color w:val="000000"/>
                <w:sz w:val="20"/>
                <w:szCs w:val="20"/>
                <w:lang w:eastAsia="en-US"/>
              </w:rPr>
            </w:pPr>
            <w:r>
              <w:rPr>
                <w:color w:val="000000"/>
                <w:sz w:val="20"/>
                <w:szCs w:val="20"/>
                <w:lang w:eastAsia="en-US"/>
              </w:rPr>
              <w:lastRenderedPageBreak/>
              <w:t>70</w:t>
            </w:r>
          </w:p>
        </w:tc>
        <w:tc>
          <w:tcPr>
            <w:tcW w:w="0" w:type="auto"/>
            <w:tcBorders>
              <w:top w:val="single" w:sz="4" w:space="0" w:color="auto"/>
              <w:left w:val="single" w:sz="4" w:space="0" w:color="auto"/>
              <w:bottom w:val="single" w:sz="4" w:space="0" w:color="auto"/>
              <w:right w:val="single" w:sz="4" w:space="0" w:color="auto"/>
            </w:tcBorders>
            <w:vAlign w:val="bottom"/>
            <w:hideMark/>
          </w:tcPr>
          <w:p w14:paraId="40095BD0" w14:textId="77777777" w:rsidR="006E44D9" w:rsidRDefault="006E44D9" w:rsidP="006E44D9">
            <w:pPr>
              <w:rPr>
                <w:b/>
                <w:color w:val="000000"/>
                <w:sz w:val="20"/>
                <w:szCs w:val="20"/>
                <w:lang w:eastAsia="en-US"/>
              </w:rPr>
            </w:pPr>
            <w:r>
              <w:rPr>
                <w:b/>
                <w:color w:val="000000"/>
                <w:sz w:val="20"/>
                <w:szCs w:val="20"/>
                <w:lang w:eastAsia="en-US"/>
              </w:rPr>
              <w:t>Nasal-lachrymal suture, length compared to nasal-prefrontal suture (in dorsal view): (*)</w:t>
            </w:r>
          </w:p>
          <w:p w14:paraId="421408B7" w14:textId="62886232"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136 modified); </w:t>
            </w:r>
            <w:r>
              <w:rPr>
                <w:bCs/>
                <w:i/>
                <w:color w:val="000000"/>
                <w:sz w:val="20"/>
                <w:szCs w:val="20"/>
                <w:lang w:eastAsia="en-US"/>
              </w:rPr>
              <w:t>Young et al. (2011, ch. 136 modified); Young et al. (2013a, ch. 18 modified);</w:t>
            </w:r>
            <w:r>
              <w:rPr>
                <w:i/>
                <w:sz w:val="20"/>
                <w:szCs w:val="20"/>
                <w:lang w:eastAsia="en-US"/>
              </w:rPr>
              <w:t xml:space="preserve"> Young et al. (2012, ch. 22 modified); Young (2014, ch. 24 modified); Young et al. (2016, ds 2, ch. 32 modified); Ristevski et al. (2018, ds 2, ch. 54); Smith et al. (in review, ds 1, ch. 55); </w:t>
            </w:r>
            <w:r>
              <w:rPr>
                <w:i/>
                <w:sz w:val="20"/>
                <w:szCs w:val="20"/>
              </w:rPr>
              <w:t>Ősi et al. (in review, ds 1, ch. 65)</w:t>
            </w:r>
            <w:r>
              <w:rPr>
                <w:i/>
                <w:sz w:val="20"/>
                <w:szCs w:val="20"/>
                <w:lang w:eastAsia="en-US"/>
              </w:rPr>
              <w:t>.</w:t>
            </w:r>
          </w:p>
          <w:p w14:paraId="159F1944" w14:textId="77777777" w:rsidR="006E44D9" w:rsidRDefault="006E44D9" w:rsidP="006E44D9">
            <w:pPr>
              <w:autoSpaceDE w:val="0"/>
              <w:autoSpaceDN w:val="0"/>
              <w:adjustRightInd w:val="0"/>
              <w:rPr>
                <w:i/>
                <w:sz w:val="20"/>
                <w:szCs w:val="20"/>
                <w:lang w:eastAsia="en-US"/>
              </w:rPr>
            </w:pPr>
            <w:r>
              <w:rPr>
                <w:i/>
                <w:sz w:val="20"/>
                <w:szCs w:val="20"/>
                <w:lang w:eastAsia="en-US"/>
              </w:rPr>
              <w:t>Ristevski et al. (2018) added a new character state.</w:t>
            </w:r>
          </w:p>
          <w:p w14:paraId="139915CE" w14:textId="77777777" w:rsidR="006E44D9" w:rsidRDefault="006E44D9" w:rsidP="006E44D9">
            <w:pPr>
              <w:autoSpaceDE w:val="0"/>
              <w:autoSpaceDN w:val="0"/>
              <w:adjustRightInd w:val="0"/>
              <w:rPr>
                <w:i/>
                <w:sz w:val="20"/>
                <w:szCs w:val="20"/>
                <w:lang w:eastAsia="en-US"/>
              </w:rPr>
            </w:pPr>
            <w:r>
              <w:rPr>
                <w:i/>
                <w:sz w:val="20"/>
                <w:szCs w:val="20"/>
                <w:lang w:eastAsia="en-US"/>
              </w:rPr>
              <w:t>This character is not applicable for taxa that lack the nasal-lachrymal contact.</w:t>
            </w:r>
          </w:p>
          <w:p w14:paraId="72E639FA" w14:textId="77777777" w:rsidR="006E44D9" w:rsidRDefault="006E44D9" w:rsidP="006E44D9">
            <w:pPr>
              <w:rPr>
                <w:color w:val="000000"/>
                <w:sz w:val="20"/>
                <w:szCs w:val="20"/>
                <w:lang w:eastAsia="en-US"/>
              </w:rPr>
            </w:pPr>
            <w:r>
              <w:rPr>
                <w:color w:val="000000"/>
                <w:sz w:val="20"/>
                <w:szCs w:val="20"/>
                <w:lang w:eastAsia="en-US"/>
              </w:rPr>
              <w:t>0. short – nasolachrymal suture is approximately 60% of the nasoprefrontal suture</w:t>
            </w:r>
          </w:p>
          <w:p w14:paraId="054B2A3A" w14:textId="77777777" w:rsidR="006E44D9" w:rsidRDefault="006E44D9" w:rsidP="006E44D9">
            <w:pPr>
              <w:rPr>
                <w:color w:val="000000"/>
                <w:sz w:val="20"/>
                <w:szCs w:val="20"/>
                <w:lang w:eastAsia="en-US"/>
              </w:rPr>
            </w:pPr>
            <w:r>
              <w:rPr>
                <w:color w:val="000000"/>
                <w:sz w:val="20"/>
                <w:szCs w:val="20"/>
                <w:lang w:eastAsia="en-US"/>
              </w:rPr>
              <w:t>1. the two sutures are sub-equal (± 25%)</w:t>
            </w:r>
          </w:p>
          <w:p w14:paraId="2F9FB708" w14:textId="77777777" w:rsidR="006E44D9" w:rsidRDefault="006E44D9" w:rsidP="006E44D9">
            <w:pPr>
              <w:rPr>
                <w:color w:val="000000"/>
                <w:sz w:val="20"/>
                <w:szCs w:val="20"/>
                <w:lang w:eastAsia="en-US"/>
              </w:rPr>
            </w:pPr>
            <w:r>
              <w:rPr>
                <w:color w:val="000000"/>
                <w:sz w:val="20"/>
                <w:szCs w:val="20"/>
                <w:lang w:eastAsia="en-US"/>
              </w:rPr>
              <w:t>2. long – nasolachrymal suture is approximately twice the length of the nasoprefrontal suture (i.e. elongation of the lachrymals)</w:t>
            </w:r>
          </w:p>
        </w:tc>
      </w:tr>
      <w:tr w:rsidR="006E44D9" w14:paraId="39E6A5F9" w14:textId="77777777" w:rsidTr="006E44D9">
        <w:tc>
          <w:tcPr>
            <w:tcW w:w="0" w:type="auto"/>
            <w:tcBorders>
              <w:top w:val="single" w:sz="4" w:space="0" w:color="auto"/>
              <w:left w:val="single" w:sz="4" w:space="0" w:color="auto"/>
              <w:bottom w:val="single" w:sz="4" w:space="0" w:color="auto"/>
              <w:right w:val="single" w:sz="4" w:space="0" w:color="auto"/>
            </w:tcBorders>
          </w:tcPr>
          <w:p w14:paraId="5B1AACBE" w14:textId="50F0EBD6" w:rsidR="006E44D9" w:rsidRDefault="006E44D9" w:rsidP="006E44D9">
            <w:pPr>
              <w:rPr>
                <w:color w:val="000000"/>
                <w:sz w:val="20"/>
                <w:szCs w:val="20"/>
                <w:lang w:eastAsia="en-US"/>
              </w:rPr>
            </w:pPr>
            <w:r>
              <w:rPr>
                <w:color w:val="000000"/>
                <w:sz w:val="20"/>
                <w:szCs w:val="20"/>
                <w:lang w:eastAsia="en-US"/>
              </w:rPr>
              <w:t>71</w:t>
            </w:r>
          </w:p>
        </w:tc>
        <w:tc>
          <w:tcPr>
            <w:tcW w:w="0" w:type="auto"/>
            <w:tcBorders>
              <w:top w:val="single" w:sz="4" w:space="0" w:color="auto"/>
              <w:left w:val="single" w:sz="4" w:space="0" w:color="auto"/>
              <w:bottom w:val="single" w:sz="4" w:space="0" w:color="auto"/>
              <w:right w:val="single" w:sz="4" w:space="0" w:color="auto"/>
            </w:tcBorders>
            <w:vAlign w:val="bottom"/>
            <w:hideMark/>
          </w:tcPr>
          <w:p w14:paraId="2961C8F2" w14:textId="77777777" w:rsidR="006E44D9" w:rsidRDefault="006E44D9" w:rsidP="006E44D9">
            <w:pPr>
              <w:rPr>
                <w:b/>
                <w:color w:val="000000"/>
                <w:sz w:val="20"/>
                <w:szCs w:val="20"/>
                <w:lang w:eastAsia="en-US"/>
              </w:rPr>
            </w:pPr>
            <w:r>
              <w:rPr>
                <w:b/>
                <w:color w:val="000000"/>
                <w:sz w:val="20"/>
                <w:szCs w:val="20"/>
                <w:lang w:eastAsia="en-US"/>
              </w:rPr>
              <w:t>Lachrymal, dorsal exposure:</w:t>
            </w:r>
          </w:p>
          <w:p w14:paraId="2766B02D" w14:textId="57810BF3" w:rsidR="006E44D9" w:rsidRDefault="006E44D9" w:rsidP="006E44D9">
            <w:pPr>
              <w:autoSpaceDE w:val="0"/>
              <w:autoSpaceDN w:val="0"/>
              <w:adjustRightInd w:val="0"/>
              <w:rPr>
                <w:i/>
                <w:sz w:val="20"/>
                <w:szCs w:val="20"/>
                <w:lang w:eastAsia="en-US"/>
              </w:rPr>
            </w:pPr>
            <w:r>
              <w:rPr>
                <w:i/>
                <w:sz w:val="20"/>
                <w:szCs w:val="20"/>
                <w:lang w:eastAsia="en-US"/>
              </w:rPr>
              <w:t xml:space="preserve">Young (2006, ch. 13); Wilkinson et al. (2008, ch. 33); Young &amp; Andrade (2009, ch. 33); </w:t>
            </w:r>
            <w:r>
              <w:rPr>
                <w:bCs/>
                <w:i/>
                <w:color w:val="000000"/>
                <w:sz w:val="20"/>
                <w:szCs w:val="20"/>
                <w:lang w:eastAsia="en-US"/>
              </w:rPr>
              <w:t>Young et al. (2011, ch. 33); Young et al. (2013a, ch. 19);</w:t>
            </w:r>
            <w:r>
              <w:rPr>
                <w:i/>
                <w:sz w:val="20"/>
                <w:szCs w:val="20"/>
                <w:lang w:eastAsia="en-US"/>
              </w:rPr>
              <w:t xml:space="preserve"> Young et al. (2012, ch. 23); Young (2014, ch. 25); Young et al. (2016, ds 2, ch. 33); Ristevski et al. (2018, ds 2, ch. 55); Smith et al. (in review, ds 1, ch. 56); </w:t>
            </w:r>
            <w:r>
              <w:rPr>
                <w:i/>
                <w:sz w:val="20"/>
                <w:szCs w:val="20"/>
              </w:rPr>
              <w:t>Ősi et al. (in review, ds 1, ch. 66)</w:t>
            </w:r>
            <w:r>
              <w:rPr>
                <w:i/>
                <w:sz w:val="20"/>
                <w:szCs w:val="20"/>
                <w:lang w:eastAsia="en-US"/>
              </w:rPr>
              <w:t>.</w:t>
            </w:r>
          </w:p>
          <w:p w14:paraId="29817408" w14:textId="77777777" w:rsidR="006E44D9" w:rsidRDefault="006E44D9" w:rsidP="006E44D9">
            <w:pPr>
              <w:rPr>
                <w:color w:val="000000"/>
                <w:sz w:val="20"/>
                <w:szCs w:val="20"/>
                <w:lang w:eastAsia="en-US"/>
              </w:rPr>
            </w:pPr>
            <w:r>
              <w:rPr>
                <w:color w:val="000000"/>
                <w:sz w:val="20"/>
                <w:szCs w:val="20"/>
                <w:lang w:eastAsia="en-US"/>
              </w:rPr>
              <w:t>0. present, can be observed in both dorsal and lateral view</w:t>
            </w:r>
          </w:p>
          <w:p w14:paraId="664D2DE5" w14:textId="77777777" w:rsidR="006E44D9" w:rsidRDefault="006E44D9" w:rsidP="006E44D9">
            <w:pPr>
              <w:rPr>
                <w:color w:val="000000"/>
                <w:sz w:val="20"/>
                <w:szCs w:val="20"/>
                <w:lang w:eastAsia="en-US"/>
              </w:rPr>
            </w:pPr>
            <w:r>
              <w:rPr>
                <w:color w:val="000000"/>
                <w:sz w:val="20"/>
                <w:szCs w:val="20"/>
                <w:lang w:eastAsia="en-US"/>
              </w:rPr>
              <w:t>1. absent, only visible in lateral view (lachrymal vertically orientated)</w:t>
            </w:r>
          </w:p>
        </w:tc>
      </w:tr>
      <w:tr w:rsidR="006E44D9" w14:paraId="52952FDF" w14:textId="77777777" w:rsidTr="006E44D9">
        <w:tc>
          <w:tcPr>
            <w:tcW w:w="0" w:type="auto"/>
            <w:tcBorders>
              <w:top w:val="single" w:sz="4" w:space="0" w:color="auto"/>
              <w:left w:val="single" w:sz="4" w:space="0" w:color="auto"/>
              <w:bottom w:val="single" w:sz="4" w:space="0" w:color="auto"/>
              <w:right w:val="single" w:sz="4" w:space="0" w:color="auto"/>
            </w:tcBorders>
          </w:tcPr>
          <w:p w14:paraId="607A1DFE" w14:textId="45945260" w:rsidR="006E44D9" w:rsidRDefault="006E44D9" w:rsidP="006E44D9">
            <w:pPr>
              <w:rPr>
                <w:color w:val="000000"/>
                <w:sz w:val="20"/>
                <w:szCs w:val="20"/>
                <w:lang w:eastAsia="en-US"/>
              </w:rPr>
            </w:pPr>
            <w:r>
              <w:rPr>
                <w:color w:val="000000"/>
                <w:sz w:val="20"/>
                <w:szCs w:val="20"/>
                <w:lang w:eastAsia="en-US"/>
              </w:rPr>
              <w:t>72</w:t>
            </w:r>
          </w:p>
        </w:tc>
        <w:tc>
          <w:tcPr>
            <w:tcW w:w="0" w:type="auto"/>
            <w:tcBorders>
              <w:top w:val="single" w:sz="4" w:space="0" w:color="auto"/>
              <w:left w:val="single" w:sz="4" w:space="0" w:color="auto"/>
              <w:bottom w:val="single" w:sz="4" w:space="0" w:color="auto"/>
              <w:right w:val="single" w:sz="4" w:space="0" w:color="auto"/>
            </w:tcBorders>
            <w:vAlign w:val="bottom"/>
            <w:hideMark/>
          </w:tcPr>
          <w:p w14:paraId="47DD7FA0" w14:textId="77777777" w:rsidR="006E44D9" w:rsidRDefault="006E44D9" w:rsidP="006E44D9">
            <w:pPr>
              <w:rPr>
                <w:b/>
                <w:color w:val="000000"/>
                <w:sz w:val="20"/>
                <w:szCs w:val="20"/>
                <w:lang w:eastAsia="en-US"/>
              </w:rPr>
            </w:pPr>
            <w:r>
              <w:rPr>
                <w:b/>
                <w:color w:val="000000"/>
                <w:sz w:val="20"/>
                <w:szCs w:val="20"/>
                <w:lang w:eastAsia="en-US"/>
              </w:rPr>
              <w:t>Lachrymal, dorsal surface lateral development:</w:t>
            </w:r>
          </w:p>
          <w:p w14:paraId="1775FB9D" w14:textId="5DD660A6" w:rsidR="006E44D9" w:rsidRDefault="006E44D9" w:rsidP="006E44D9">
            <w:pPr>
              <w:rPr>
                <w:i/>
                <w:color w:val="000000"/>
                <w:sz w:val="20"/>
                <w:szCs w:val="20"/>
                <w:lang w:eastAsia="en-US"/>
              </w:rPr>
            </w:pPr>
            <w:r>
              <w:rPr>
                <w:i/>
                <w:sz w:val="20"/>
                <w:szCs w:val="20"/>
                <w:lang w:eastAsia="en-US"/>
              </w:rPr>
              <w:t xml:space="preserve">Ristevski et al. (2018, ds 2, ch. 56); Smith et al. (in review, ds 1, ch. 57); </w:t>
            </w:r>
            <w:r>
              <w:rPr>
                <w:i/>
                <w:sz w:val="20"/>
                <w:szCs w:val="20"/>
              </w:rPr>
              <w:t>Ősi et al. (in review, ds 1, ch. 67)</w:t>
            </w:r>
            <w:r>
              <w:rPr>
                <w:i/>
                <w:sz w:val="20"/>
                <w:szCs w:val="20"/>
                <w:lang w:eastAsia="en-US"/>
              </w:rPr>
              <w:t>.</w:t>
            </w:r>
          </w:p>
          <w:p w14:paraId="24426B63" w14:textId="77777777" w:rsidR="006E44D9" w:rsidRDefault="006E44D9" w:rsidP="006E44D9">
            <w:pPr>
              <w:rPr>
                <w:i/>
                <w:color w:val="000000"/>
                <w:sz w:val="20"/>
                <w:szCs w:val="20"/>
                <w:lang w:eastAsia="en-US"/>
              </w:rPr>
            </w:pPr>
            <w:r>
              <w:rPr>
                <w:i/>
                <w:color w:val="000000"/>
                <w:sz w:val="20"/>
                <w:szCs w:val="20"/>
                <w:lang w:eastAsia="en-US"/>
              </w:rPr>
              <w:t>This character scores a slight lachrymal overhang of the orbits. These structures are the anterior palpebral sutural attachements, which are medially positioned.</w:t>
            </w:r>
          </w:p>
          <w:p w14:paraId="231E7508" w14:textId="77777777" w:rsidR="006E44D9" w:rsidRDefault="006E44D9" w:rsidP="006E44D9">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w:t>
            </w:r>
            <w:r>
              <w:rPr>
                <w:i/>
                <w:color w:val="000000"/>
                <w:sz w:val="20"/>
                <w:szCs w:val="20"/>
                <w:lang w:eastAsia="en-US"/>
              </w:rPr>
              <w:t xml:space="preserve">goniopholidids + tethysuchians (except dyrosaurids, </w:t>
            </w:r>
            <w:r>
              <w:rPr>
                <w:color w:val="000000"/>
                <w:sz w:val="20"/>
                <w:szCs w:val="20"/>
                <w:lang w:eastAsia="en-US"/>
              </w:rPr>
              <w:t xml:space="preserve">Terminonaris </w:t>
            </w:r>
            <w:r>
              <w:rPr>
                <w:i/>
                <w:color w:val="000000"/>
                <w:sz w:val="20"/>
                <w:szCs w:val="20"/>
                <w:lang w:eastAsia="en-US"/>
              </w:rPr>
              <w:t xml:space="preserve">and </w:t>
            </w:r>
            <w:r>
              <w:rPr>
                <w:color w:val="000000"/>
                <w:sz w:val="20"/>
                <w:szCs w:val="20"/>
                <w:lang w:eastAsia="en-US"/>
              </w:rPr>
              <w:t>Oceanosuchus</w:t>
            </w:r>
            <w:r>
              <w:rPr>
                <w:i/>
                <w:color w:val="000000"/>
                <w:sz w:val="20"/>
                <w:szCs w:val="20"/>
                <w:lang w:eastAsia="en-US"/>
              </w:rPr>
              <w:t>)</w:t>
            </w:r>
          </w:p>
          <w:p w14:paraId="627C72FE" w14:textId="77777777" w:rsidR="006E44D9" w:rsidRDefault="006E44D9" w:rsidP="006E44D9">
            <w:pPr>
              <w:rPr>
                <w:color w:val="000000"/>
                <w:sz w:val="20"/>
                <w:szCs w:val="20"/>
                <w:lang w:eastAsia="en-US"/>
              </w:rPr>
            </w:pPr>
            <w:r>
              <w:rPr>
                <w:color w:val="000000"/>
                <w:sz w:val="20"/>
                <w:szCs w:val="20"/>
                <w:lang w:eastAsia="en-US"/>
              </w:rPr>
              <w:t>0. flush with the rim of the orbit</w:t>
            </w:r>
          </w:p>
          <w:p w14:paraId="5B54783A" w14:textId="77777777" w:rsidR="006E44D9" w:rsidRDefault="006E44D9" w:rsidP="006E44D9">
            <w:pPr>
              <w:rPr>
                <w:color w:val="000000"/>
                <w:sz w:val="20"/>
                <w:szCs w:val="20"/>
                <w:lang w:eastAsia="en-US"/>
              </w:rPr>
            </w:pPr>
            <w:r>
              <w:rPr>
                <w:color w:val="000000"/>
                <w:sz w:val="20"/>
                <w:szCs w:val="20"/>
                <w:lang w:eastAsia="en-US"/>
              </w:rPr>
              <w:t>1. enlarged, extending laterally over the orbit</w:t>
            </w:r>
          </w:p>
        </w:tc>
      </w:tr>
      <w:tr w:rsidR="006E44D9" w14:paraId="64D39BB8" w14:textId="77777777" w:rsidTr="006E44D9">
        <w:tc>
          <w:tcPr>
            <w:tcW w:w="0" w:type="auto"/>
            <w:tcBorders>
              <w:top w:val="single" w:sz="4" w:space="0" w:color="auto"/>
              <w:left w:val="single" w:sz="4" w:space="0" w:color="auto"/>
              <w:bottom w:val="single" w:sz="4" w:space="0" w:color="auto"/>
              <w:right w:val="single" w:sz="4" w:space="0" w:color="auto"/>
            </w:tcBorders>
          </w:tcPr>
          <w:p w14:paraId="405A5FF1" w14:textId="6628FA59" w:rsidR="006E44D9" w:rsidRDefault="006E44D9" w:rsidP="006E44D9">
            <w:pPr>
              <w:rPr>
                <w:color w:val="000000"/>
                <w:sz w:val="20"/>
                <w:szCs w:val="20"/>
                <w:lang w:eastAsia="en-US"/>
              </w:rPr>
            </w:pPr>
            <w:r>
              <w:rPr>
                <w:color w:val="000000"/>
                <w:sz w:val="20"/>
                <w:szCs w:val="20"/>
                <w:lang w:eastAsia="en-US"/>
              </w:rPr>
              <w:t>73</w:t>
            </w:r>
          </w:p>
        </w:tc>
        <w:tc>
          <w:tcPr>
            <w:tcW w:w="0" w:type="auto"/>
            <w:tcBorders>
              <w:top w:val="single" w:sz="4" w:space="0" w:color="auto"/>
              <w:left w:val="single" w:sz="4" w:space="0" w:color="auto"/>
              <w:bottom w:val="single" w:sz="4" w:space="0" w:color="auto"/>
              <w:right w:val="single" w:sz="4" w:space="0" w:color="auto"/>
            </w:tcBorders>
            <w:vAlign w:val="bottom"/>
            <w:hideMark/>
          </w:tcPr>
          <w:p w14:paraId="661F89E6" w14:textId="77777777" w:rsidR="006E44D9" w:rsidRDefault="006E44D9" w:rsidP="006E44D9">
            <w:pPr>
              <w:rPr>
                <w:b/>
                <w:color w:val="000000"/>
                <w:sz w:val="20"/>
                <w:szCs w:val="20"/>
                <w:lang w:eastAsia="en-US"/>
              </w:rPr>
            </w:pPr>
            <w:r>
              <w:rPr>
                <w:b/>
                <w:color w:val="000000"/>
                <w:sz w:val="20"/>
                <w:szCs w:val="20"/>
                <w:lang w:eastAsia="en-US"/>
              </w:rPr>
              <w:t>Lachrymal, size:</w:t>
            </w:r>
          </w:p>
          <w:p w14:paraId="62FA253A" w14:textId="37C55886" w:rsidR="006E44D9" w:rsidRDefault="006E44D9" w:rsidP="006E44D9">
            <w:pPr>
              <w:autoSpaceDE w:val="0"/>
              <w:autoSpaceDN w:val="0"/>
              <w:adjustRightInd w:val="0"/>
              <w:rPr>
                <w:i/>
                <w:sz w:val="20"/>
                <w:szCs w:val="20"/>
                <w:lang w:eastAsia="en-US"/>
              </w:rPr>
            </w:pPr>
            <w:r>
              <w:rPr>
                <w:i/>
                <w:sz w:val="20"/>
                <w:szCs w:val="20"/>
                <w:lang w:eastAsia="en-US"/>
              </w:rPr>
              <w:t xml:space="preserve">Young (2006, ch. 14); Wilkinson et al. (2008, ch. 34); Young &amp; Andrade (2009, ch. 34); </w:t>
            </w:r>
            <w:r>
              <w:rPr>
                <w:bCs/>
                <w:i/>
                <w:color w:val="000000"/>
                <w:sz w:val="20"/>
                <w:szCs w:val="20"/>
                <w:lang w:eastAsia="en-US"/>
              </w:rPr>
              <w:t>Young et al. (2011, ch. 34); Young et al. (2013a, ch. 20);</w:t>
            </w:r>
            <w:r>
              <w:rPr>
                <w:i/>
                <w:sz w:val="20"/>
                <w:szCs w:val="20"/>
                <w:lang w:eastAsia="en-US"/>
              </w:rPr>
              <w:t xml:space="preserve"> Young et al. (2012, ch. 24); Young (2014, ch. 26); Young et al. (2016, ds 2, ch. 34); Ristevski et al. (2018, ds 2, ch. 57); Smith et al. (in review, ds 1, ch. 58); </w:t>
            </w:r>
            <w:r>
              <w:rPr>
                <w:i/>
                <w:sz w:val="20"/>
                <w:szCs w:val="20"/>
              </w:rPr>
              <w:t>Ősi et al. (in review, ds 1, ch. 68)</w:t>
            </w:r>
            <w:r>
              <w:rPr>
                <w:i/>
                <w:sz w:val="20"/>
                <w:szCs w:val="20"/>
                <w:lang w:eastAsia="en-US"/>
              </w:rPr>
              <w:t>.</w:t>
            </w:r>
          </w:p>
          <w:p w14:paraId="317318C2" w14:textId="77777777" w:rsidR="006E44D9" w:rsidRDefault="006E44D9" w:rsidP="006E44D9">
            <w:pPr>
              <w:rPr>
                <w:color w:val="000000"/>
                <w:sz w:val="20"/>
                <w:szCs w:val="20"/>
                <w:lang w:eastAsia="en-US"/>
              </w:rPr>
            </w:pPr>
            <w:r>
              <w:rPr>
                <w:color w:val="000000"/>
                <w:sz w:val="20"/>
                <w:szCs w:val="20"/>
                <w:lang w:eastAsia="en-US"/>
              </w:rPr>
              <w:t>0. large, in lateral view at least 45% of orbit height</w:t>
            </w:r>
          </w:p>
          <w:p w14:paraId="27899987" w14:textId="77777777" w:rsidR="006E44D9" w:rsidRDefault="006E44D9" w:rsidP="006E44D9">
            <w:pPr>
              <w:rPr>
                <w:color w:val="000000"/>
                <w:sz w:val="20"/>
                <w:szCs w:val="20"/>
                <w:lang w:eastAsia="en-US"/>
              </w:rPr>
            </w:pPr>
            <w:r>
              <w:rPr>
                <w:color w:val="000000"/>
                <w:sz w:val="20"/>
                <w:szCs w:val="20"/>
                <w:lang w:eastAsia="en-US"/>
              </w:rPr>
              <w:t>1. small, less than 40% of orbit height</w:t>
            </w:r>
          </w:p>
        </w:tc>
      </w:tr>
      <w:tr w:rsidR="006E44D9" w14:paraId="5F7BA3D7" w14:textId="77777777" w:rsidTr="006E44D9">
        <w:tc>
          <w:tcPr>
            <w:tcW w:w="0" w:type="auto"/>
            <w:tcBorders>
              <w:top w:val="single" w:sz="4" w:space="0" w:color="auto"/>
              <w:left w:val="single" w:sz="4" w:space="0" w:color="auto"/>
              <w:bottom w:val="single" w:sz="4" w:space="0" w:color="auto"/>
              <w:right w:val="single" w:sz="4" w:space="0" w:color="auto"/>
            </w:tcBorders>
          </w:tcPr>
          <w:p w14:paraId="2509CD38" w14:textId="4D19217E" w:rsidR="006E44D9" w:rsidRDefault="006E44D9" w:rsidP="006E44D9">
            <w:pPr>
              <w:rPr>
                <w:color w:val="000000"/>
                <w:sz w:val="20"/>
                <w:szCs w:val="20"/>
                <w:lang w:eastAsia="en-US"/>
              </w:rPr>
            </w:pPr>
            <w:bookmarkStart w:id="51" w:name="_Hlk484780666"/>
            <w:r>
              <w:rPr>
                <w:color w:val="000000"/>
                <w:sz w:val="20"/>
                <w:szCs w:val="20"/>
                <w:lang w:eastAsia="en-US"/>
              </w:rPr>
              <w:t>74</w:t>
            </w:r>
          </w:p>
        </w:tc>
        <w:tc>
          <w:tcPr>
            <w:tcW w:w="0" w:type="auto"/>
            <w:tcBorders>
              <w:top w:val="single" w:sz="4" w:space="0" w:color="auto"/>
              <w:left w:val="single" w:sz="4" w:space="0" w:color="auto"/>
              <w:bottom w:val="single" w:sz="4" w:space="0" w:color="auto"/>
              <w:right w:val="single" w:sz="4" w:space="0" w:color="auto"/>
            </w:tcBorders>
            <w:vAlign w:val="bottom"/>
            <w:hideMark/>
          </w:tcPr>
          <w:p w14:paraId="04129BFD"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presence:</w:t>
            </w:r>
          </w:p>
          <w:p w14:paraId="58F6E6B1" w14:textId="396CC56D" w:rsidR="006E44D9" w:rsidRDefault="006E44D9" w:rsidP="006E44D9">
            <w:pPr>
              <w:autoSpaceDE w:val="0"/>
              <w:autoSpaceDN w:val="0"/>
              <w:adjustRightInd w:val="0"/>
              <w:rPr>
                <w:bCs/>
                <w:i/>
                <w:sz w:val="20"/>
                <w:lang w:eastAsia="en-US"/>
              </w:rPr>
            </w:pPr>
            <w:r>
              <w:rPr>
                <w:bCs/>
                <w:i/>
                <w:sz w:val="20"/>
                <w:szCs w:val="20"/>
                <w:lang w:eastAsia="en-US"/>
              </w:rPr>
              <w:t>Clark (1994, ch. 67 modified);</w:t>
            </w:r>
            <w:r>
              <w:rPr>
                <w:b/>
                <w:bCs/>
                <w:sz w:val="20"/>
                <w:szCs w:val="20"/>
                <w:lang w:eastAsia="en-US"/>
              </w:rPr>
              <w:t xml:space="preserve"> </w:t>
            </w:r>
            <w:r>
              <w:rPr>
                <w:i/>
                <w:sz w:val="20"/>
                <w:szCs w:val="20"/>
                <w:lang w:eastAsia="en-US"/>
              </w:rPr>
              <w:t xml:space="preserve">Young &amp; Andrade (2009, ch. 88 part); </w:t>
            </w:r>
            <w:r>
              <w:rPr>
                <w:bCs/>
                <w:i/>
                <w:sz w:val="20"/>
                <w:lang w:eastAsia="en-US"/>
              </w:rPr>
              <w:t xml:space="preserve">Andrade et al. (2011, ch. 43 modified); </w:t>
            </w:r>
            <w:r>
              <w:rPr>
                <w:bCs/>
                <w:i/>
                <w:color w:val="000000"/>
                <w:sz w:val="20"/>
                <w:szCs w:val="20"/>
                <w:lang w:eastAsia="en-US"/>
              </w:rPr>
              <w:t>Young et al. (2011, ch. 88 part); Young et al. (2013a, ch. 21 part);</w:t>
            </w:r>
            <w:r>
              <w:rPr>
                <w:i/>
                <w:sz w:val="20"/>
                <w:szCs w:val="20"/>
                <w:lang w:eastAsia="en-US"/>
              </w:rPr>
              <w:t xml:space="preserve"> Young et al. (2012, ch. 23 part); Young (2014, ch. 27 part); Young et al. (2016, ds 2, ch. 35 part); Ristevski et al. (2018, ds 2, ch. 58 part); Smith et al. (in review, ds 1, ch. 59 part); </w:t>
            </w:r>
            <w:r>
              <w:rPr>
                <w:i/>
                <w:sz w:val="20"/>
                <w:szCs w:val="20"/>
              </w:rPr>
              <w:t>Ősi et al. (in review, ds 1, ch. 69)</w:t>
            </w:r>
            <w:r>
              <w:rPr>
                <w:i/>
                <w:sz w:val="20"/>
                <w:szCs w:val="20"/>
                <w:lang w:eastAsia="en-US"/>
              </w:rPr>
              <w:t>.</w:t>
            </w:r>
          </w:p>
          <w:p w14:paraId="12FCED78" w14:textId="77777777" w:rsidR="006E44D9" w:rsidRDefault="006E44D9" w:rsidP="006E44D9">
            <w:pPr>
              <w:autoSpaceDE w:val="0"/>
              <w:autoSpaceDN w:val="0"/>
              <w:adjustRightInd w:val="0"/>
              <w:rPr>
                <w:sz w:val="20"/>
                <w:szCs w:val="20"/>
                <w:lang w:eastAsia="en-US"/>
              </w:rPr>
            </w:pPr>
            <w:r>
              <w:rPr>
                <w:i/>
                <w:iCs/>
                <w:sz w:val="20"/>
                <w:szCs w:val="20"/>
                <w:lang w:eastAsia="en-US"/>
              </w:rPr>
              <w:t>Antorbital cavity (CA), internal and external antorbital fenestra (FAO, FAOE, FAOI) as in Witmer (1997). The antorbital cavity or the FAOE must not be confounded with the shallow fossa located directly in front of the eyes (=prefrontal-lachymal fossa sensu Young &amp; Andrade, 2009; =lachrymal fossa sensu Andrade et al., 2011)</w:t>
            </w:r>
            <w:r>
              <w:rPr>
                <w:sz w:val="20"/>
                <w:szCs w:val="20"/>
                <w:lang w:eastAsia="en-US"/>
              </w:rPr>
              <w:t>.</w:t>
            </w:r>
          </w:p>
          <w:p w14:paraId="0C2ECDEB" w14:textId="77777777" w:rsidR="006E44D9" w:rsidRDefault="006E44D9" w:rsidP="006E44D9">
            <w:pPr>
              <w:autoSpaceDE w:val="0"/>
              <w:autoSpaceDN w:val="0"/>
              <w:adjustRightInd w:val="0"/>
              <w:rPr>
                <w:i/>
                <w:iCs/>
                <w:sz w:val="20"/>
                <w:szCs w:val="20"/>
                <w:lang w:eastAsia="en-US"/>
              </w:rPr>
            </w:pPr>
            <w:r>
              <w:rPr>
                <w:i/>
                <w:iCs/>
                <w:sz w:val="20"/>
                <w:szCs w:val="20"/>
                <w:lang w:eastAsia="en-US"/>
              </w:rPr>
              <w:t>Note that here we have modified this character so that the presence of the antorbital cavity implies in the presence of a fenestra connecting the fossa with the internal antorbital sinuses (see Fernández &amp; Herrera, 2009). We have not created a multi-state for this character with state (2) scoring for the preorbital condition, as it is unclear whether basal thalattosuchians had the antorbital fenestrae as openings for both the antorbital sinus and for the drainage duct of the hypertrophied nasal exocrine glands.</w:t>
            </w:r>
          </w:p>
          <w:p w14:paraId="7A9E621F" w14:textId="77777777" w:rsidR="006E44D9" w:rsidRDefault="006E44D9" w:rsidP="006E44D9">
            <w:pPr>
              <w:autoSpaceDE w:val="0"/>
              <w:autoSpaceDN w:val="0"/>
              <w:adjustRightInd w:val="0"/>
              <w:rPr>
                <w:sz w:val="20"/>
                <w:szCs w:val="20"/>
                <w:lang w:eastAsia="en-US"/>
              </w:rPr>
            </w:pPr>
            <w:r>
              <w:rPr>
                <w:sz w:val="20"/>
                <w:szCs w:val="20"/>
                <w:lang w:eastAsia="en-US"/>
              </w:rPr>
              <w:t>0. absent (internalised, or the opening does not communicate with the antorbital sinus)</w:t>
            </w:r>
          </w:p>
          <w:p w14:paraId="2927307B" w14:textId="77777777" w:rsidR="006E44D9" w:rsidRDefault="006E44D9" w:rsidP="006E44D9">
            <w:pPr>
              <w:rPr>
                <w:b/>
                <w:strike/>
                <w:color w:val="000000"/>
                <w:sz w:val="20"/>
                <w:szCs w:val="20"/>
                <w:lang w:eastAsia="en-US"/>
              </w:rPr>
            </w:pPr>
            <w:r>
              <w:rPr>
                <w:sz w:val="20"/>
                <w:szCs w:val="20"/>
                <w:lang w:eastAsia="en-US"/>
              </w:rPr>
              <w:t>1. present (non-internalised, and the antorbital fenestra communicates with the antorbital sinus)</w:t>
            </w:r>
          </w:p>
        </w:tc>
        <w:bookmarkEnd w:id="51"/>
      </w:tr>
      <w:tr w:rsidR="006E44D9" w14:paraId="4DB9A461" w14:textId="77777777" w:rsidTr="006E44D9">
        <w:tc>
          <w:tcPr>
            <w:tcW w:w="0" w:type="auto"/>
            <w:tcBorders>
              <w:top w:val="single" w:sz="4" w:space="0" w:color="auto"/>
              <w:left w:val="single" w:sz="4" w:space="0" w:color="auto"/>
              <w:bottom w:val="single" w:sz="4" w:space="0" w:color="auto"/>
              <w:right w:val="single" w:sz="4" w:space="0" w:color="auto"/>
            </w:tcBorders>
          </w:tcPr>
          <w:p w14:paraId="2549620C" w14:textId="5826AD99" w:rsidR="006E44D9" w:rsidRDefault="006E44D9" w:rsidP="006E44D9">
            <w:pPr>
              <w:rPr>
                <w:color w:val="000000"/>
                <w:sz w:val="20"/>
                <w:szCs w:val="20"/>
                <w:lang w:eastAsia="en-US"/>
              </w:rPr>
            </w:pPr>
            <w:r>
              <w:rPr>
                <w:color w:val="000000"/>
                <w:sz w:val="20"/>
                <w:szCs w:val="20"/>
                <w:lang w:eastAsia="en-US"/>
              </w:rPr>
              <w:t>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B433244" w14:textId="77777777" w:rsidR="006E44D9" w:rsidRDefault="006E44D9" w:rsidP="006E44D9">
            <w:pPr>
              <w:rPr>
                <w:b/>
                <w:color w:val="000000"/>
                <w:sz w:val="20"/>
                <w:szCs w:val="20"/>
                <w:lang w:eastAsia="en-US"/>
              </w:rPr>
            </w:pPr>
            <w:r>
              <w:rPr>
                <w:b/>
                <w:color w:val="000000"/>
                <w:sz w:val="20"/>
                <w:szCs w:val="20"/>
                <w:lang w:eastAsia="en-US"/>
              </w:rPr>
              <w:t xml:space="preserve">Antorbital/preorbital cavity: </w:t>
            </w:r>
          </w:p>
          <w:p w14:paraId="2BEC0E41" w14:textId="5B0AC1E2" w:rsidR="006E44D9" w:rsidRDefault="006E44D9" w:rsidP="006E44D9">
            <w:pPr>
              <w:autoSpaceDE w:val="0"/>
              <w:autoSpaceDN w:val="0"/>
              <w:adjustRightInd w:val="0"/>
              <w:rPr>
                <w:i/>
                <w:sz w:val="20"/>
                <w:szCs w:val="20"/>
                <w:lang w:eastAsia="en-US"/>
              </w:rPr>
            </w:pPr>
            <w:r>
              <w:rPr>
                <w:bCs/>
                <w:i/>
                <w:sz w:val="20"/>
                <w:lang w:eastAsia="en-US"/>
              </w:rPr>
              <w:t xml:space="preserve">Young et al. (2013a, ch. 25 modified); </w:t>
            </w:r>
            <w:r>
              <w:rPr>
                <w:i/>
                <w:sz w:val="20"/>
                <w:szCs w:val="20"/>
                <w:lang w:eastAsia="en-US"/>
              </w:rPr>
              <w:t xml:space="preserve">Young et al. (2012, ch. 31 modified); Young (2014, ch. 33 modified); Young et al. (2016, ds 2, ch. 41 modified); Ristevski et al. (2018, ds 2, ch. 64 modified); Smith et al. (in review, ds 1, ch. 65 modified); </w:t>
            </w:r>
            <w:r>
              <w:rPr>
                <w:i/>
                <w:sz w:val="20"/>
                <w:szCs w:val="20"/>
              </w:rPr>
              <w:t>Ősi et al. (in review, ds 1, ch. 70)</w:t>
            </w:r>
            <w:r>
              <w:rPr>
                <w:i/>
                <w:sz w:val="20"/>
                <w:szCs w:val="20"/>
                <w:lang w:eastAsia="en-US"/>
              </w:rPr>
              <w:t>.</w:t>
            </w:r>
          </w:p>
          <w:p w14:paraId="19EBAC42" w14:textId="77777777" w:rsidR="006E44D9" w:rsidRDefault="006E44D9" w:rsidP="006E44D9">
            <w:pPr>
              <w:rPr>
                <w:i/>
                <w:iCs/>
                <w:color w:val="000000"/>
                <w:sz w:val="20"/>
                <w:szCs w:val="20"/>
                <w:lang w:eastAsia="en-US"/>
              </w:rPr>
            </w:pPr>
            <w:r>
              <w:rPr>
                <w:i/>
                <w:iCs/>
                <w:color w:val="000000"/>
                <w:sz w:val="20"/>
                <w:szCs w:val="20"/>
                <w:lang w:eastAsia="en-US"/>
              </w:rPr>
              <w:t>If hypothesis 2 of Fernández &amp; Herrera (2009) is correct, and in metriorhynchids the antorbital cavity is internalised and the opening classically referred to as the “</w:t>
            </w:r>
            <w:r>
              <w:rPr>
                <w:iCs/>
                <w:color w:val="000000"/>
                <w:sz w:val="20"/>
                <w:szCs w:val="20"/>
                <w:lang w:eastAsia="en-US"/>
              </w:rPr>
              <w:t>antorbital fenestra</w:t>
            </w:r>
            <w:r>
              <w:rPr>
                <w:i/>
                <w:iCs/>
                <w:color w:val="000000"/>
                <w:sz w:val="20"/>
                <w:szCs w:val="20"/>
                <w:lang w:eastAsia="en-US"/>
              </w:rPr>
              <w:t>” are in fact neomorphic openings for the excretion of salt; then those taxa will score as (1) here, and (0) for the previous character on the presence/absence of the antorbital cavity.</w:t>
            </w:r>
          </w:p>
          <w:p w14:paraId="013C0EE3" w14:textId="77777777" w:rsidR="006E44D9" w:rsidRDefault="006E44D9" w:rsidP="006E44D9">
            <w:pPr>
              <w:rPr>
                <w:i/>
                <w:iCs/>
                <w:color w:val="000000"/>
                <w:sz w:val="20"/>
                <w:szCs w:val="20"/>
                <w:lang w:eastAsia="en-US"/>
              </w:rPr>
            </w:pPr>
            <w:r>
              <w:rPr>
                <w:i/>
                <w:iCs/>
                <w:color w:val="000000"/>
                <w:sz w:val="20"/>
                <w:szCs w:val="20"/>
                <w:lang w:eastAsia="en-US"/>
              </w:rPr>
              <w:lastRenderedPageBreak/>
              <w:t xml:space="preserve">However, should the preorbital and antorbital fenestrae be found to be homologous, the scoring distinction currently made would still be valid. Basal metriorhynchoids which have an intermediate condition, with the </w:t>
            </w:r>
            <w:r>
              <w:rPr>
                <w:i/>
                <w:iCs/>
                <w:sz w:val="20"/>
                <w:szCs w:val="20"/>
                <w:lang w:eastAsia="en-US"/>
              </w:rPr>
              <w:t>openings communicating with both the antorbital sinus and for the drainage duct of the hypertrophied nasal exocrine glands would score as (1) for both characters.</w:t>
            </w:r>
          </w:p>
          <w:p w14:paraId="7813C2B3" w14:textId="77777777" w:rsidR="006E44D9" w:rsidRDefault="006E44D9" w:rsidP="006E44D9">
            <w:pPr>
              <w:rPr>
                <w:i/>
                <w:iCs/>
                <w:color w:val="000000"/>
                <w:sz w:val="20"/>
                <w:szCs w:val="20"/>
                <w:lang w:eastAsia="en-US"/>
              </w:rPr>
            </w:pPr>
            <w:r>
              <w:rPr>
                <w:i/>
                <w:iCs/>
                <w:color w:val="000000"/>
                <w:sz w:val="20"/>
                <w:szCs w:val="20"/>
                <w:lang w:eastAsia="en-US"/>
              </w:rPr>
              <w:t>The current character construction thus does not favour one hypothesis over the other.</w:t>
            </w:r>
          </w:p>
          <w:p w14:paraId="29213BA0" w14:textId="77777777" w:rsidR="006E44D9" w:rsidRDefault="006E44D9" w:rsidP="006E44D9">
            <w:pPr>
              <w:rPr>
                <w:i/>
                <w:iCs/>
                <w:color w:val="000000"/>
                <w:sz w:val="20"/>
                <w:szCs w:val="20"/>
                <w:lang w:eastAsia="en-US"/>
              </w:rPr>
            </w:pPr>
            <w:r>
              <w:rPr>
                <w:i/>
                <w:iCs/>
                <w:color w:val="000000"/>
                <w:sz w:val="20"/>
                <w:szCs w:val="20"/>
                <w:lang w:eastAsia="en-US"/>
              </w:rPr>
              <w:t>The preorbital fenestra itself is typically much smaller than realised, being a small sub-circular opening at the posterior-end of the deep fossa (where the lachrymals, nasals, jugals and maxillae converge). The deep concavity in this region can sometimes be filled with matrix, making the fenestra itself appear much larger than it really is.</w:t>
            </w:r>
          </w:p>
          <w:p w14:paraId="7AF92C08" w14:textId="77777777" w:rsidR="006E44D9" w:rsidRDefault="006E44D9" w:rsidP="006E44D9">
            <w:pPr>
              <w:rPr>
                <w:i/>
                <w:iCs/>
                <w:color w:val="000000"/>
                <w:sz w:val="20"/>
                <w:szCs w:val="20"/>
                <w:lang w:eastAsia="en-US"/>
              </w:rPr>
            </w:pPr>
            <w:r>
              <w:rPr>
                <w:i/>
                <w:iCs/>
                <w:color w:val="000000"/>
                <w:sz w:val="20"/>
                <w:szCs w:val="20"/>
                <w:lang w:eastAsia="en-US"/>
              </w:rPr>
              <w:t xml:space="preserve">Note that in Metriorhynchidae these fenestrae are set between the lachrymal, jugal and maxilla; typically, the jugal anterior ramus overlaps the maxilla externally, such that both bones contribute to the foraminal opening anteriorly. The inclusion of the nasal to the fenestra is unclear. It could be present in </w:t>
            </w:r>
            <w:r>
              <w:rPr>
                <w:iCs/>
                <w:color w:val="000000"/>
                <w:sz w:val="20"/>
                <w:szCs w:val="20"/>
                <w:lang w:eastAsia="en-US"/>
              </w:rPr>
              <w:t xml:space="preserve">Dakosaurus </w:t>
            </w:r>
            <w:r>
              <w:rPr>
                <w:i/>
                <w:iCs/>
                <w:color w:val="000000"/>
                <w:sz w:val="20"/>
                <w:szCs w:val="20"/>
                <w:lang w:eastAsia="en-US"/>
              </w:rPr>
              <w:t xml:space="preserve">and </w:t>
            </w:r>
            <w:r>
              <w:rPr>
                <w:iCs/>
                <w:color w:val="000000"/>
                <w:sz w:val="20"/>
                <w:szCs w:val="20"/>
                <w:lang w:eastAsia="en-US"/>
              </w:rPr>
              <w:t>Maledictosuchus</w:t>
            </w:r>
            <w:r>
              <w:rPr>
                <w:i/>
                <w:iCs/>
                <w:color w:val="000000"/>
                <w:sz w:val="20"/>
                <w:szCs w:val="20"/>
                <w:lang w:eastAsia="en-US"/>
              </w:rPr>
              <w:t>, but preservation in this region makes it hard to discern.</w:t>
            </w:r>
          </w:p>
          <w:p w14:paraId="441B36FA" w14:textId="77777777" w:rsidR="006E44D9" w:rsidRDefault="006E44D9" w:rsidP="006E44D9">
            <w:pPr>
              <w:rPr>
                <w:color w:val="000000"/>
                <w:sz w:val="20"/>
                <w:szCs w:val="20"/>
                <w:lang w:eastAsia="en-US"/>
              </w:rPr>
            </w:pPr>
            <w:r>
              <w:rPr>
                <w:color w:val="000000"/>
                <w:sz w:val="20"/>
                <w:szCs w:val="20"/>
                <w:lang w:eastAsia="en-US"/>
              </w:rPr>
              <w:t>0. absent (</w:t>
            </w:r>
            <w:r>
              <w:rPr>
                <w:sz w:val="20"/>
                <w:szCs w:val="20"/>
                <w:lang w:eastAsia="en-US"/>
              </w:rPr>
              <w:t>internalised</w:t>
            </w:r>
            <w:r>
              <w:rPr>
                <w:color w:val="000000"/>
                <w:sz w:val="20"/>
                <w:szCs w:val="20"/>
                <w:lang w:eastAsia="en-US"/>
              </w:rPr>
              <w:t>, or the opening communicates solely with the antorbital sinus)</w:t>
            </w:r>
          </w:p>
          <w:p w14:paraId="6318E943" w14:textId="77777777" w:rsidR="006E44D9" w:rsidRDefault="006E44D9" w:rsidP="006E44D9">
            <w:pPr>
              <w:autoSpaceDE w:val="0"/>
              <w:autoSpaceDN w:val="0"/>
              <w:adjustRightInd w:val="0"/>
              <w:rPr>
                <w:b/>
                <w:bCs/>
                <w:sz w:val="20"/>
                <w:szCs w:val="20"/>
                <w:lang w:eastAsia="en-US"/>
              </w:rPr>
            </w:pPr>
            <w:r>
              <w:rPr>
                <w:color w:val="000000"/>
                <w:sz w:val="20"/>
                <w:szCs w:val="20"/>
                <w:lang w:eastAsia="en-US"/>
              </w:rPr>
              <w:t>1. present (</w:t>
            </w:r>
            <w:r>
              <w:rPr>
                <w:sz w:val="20"/>
                <w:szCs w:val="20"/>
                <w:lang w:eastAsia="en-US"/>
              </w:rPr>
              <w:t xml:space="preserve">non-internalised, and the </w:t>
            </w:r>
            <w:r>
              <w:rPr>
                <w:color w:val="000000"/>
                <w:sz w:val="20"/>
                <w:szCs w:val="20"/>
                <w:lang w:eastAsia="en-US"/>
              </w:rPr>
              <w:t>antorbital/preorbital fenestra communicates with the duct to the nasal exocrine gland)</w:t>
            </w:r>
          </w:p>
        </w:tc>
      </w:tr>
      <w:tr w:rsidR="006E44D9" w14:paraId="71B4D39D" w14:textId="77777777" w:rsidTr="006E44D9">
        <w:tc>
          <w:tcPr>
            <w:tcW w:w="0" w:type="auto"/>
            <w:tcBorders>
              <w:top w:val="single" w:sz="4" w:space="0" w:color="auto"/>
              <w:left w:val="single" w:sz="4" w:space="0" w:color="auto"/>
              <w:bottom w:val="single" w:sz="4" w:space="0" w:color="auto"/>
              <w:right w:val="single" w:sz="4" w:space="0" w:color="auto"/>
            </w:tcBorders>
          </w:tcPr>
          <w:p w14:paraId="65E3EC6F" w14:textId="5EDEA3B7" w:rsidR="006E44D9" w:rsidRDefault="006E44D9" w:rsidP="006E44D9">
            <w:pPr>
              <w:rPr>
                <w:color w:val="000000"/>
                <w:sz w:val="20"/>
                <w:szCs w:val="20"/>
                <w:lang w:eastAsia="en-US"/>
              </w:rPr>
            </w:pPr>
            <w:r>
              <w:rPr>
                <w:color w:val="000000"/>
                <w:sz w:val="20"/>
                <w:szCs w:val="20"/>
                <w:lang w:eastAsia="en-US"/>
              </w:rPr>
              <w:lastRenderedPageBreak/>
              <w:t>76</w:t>
            </w:r>
          </w:p>
        </w:tc>
        <w:tc>
          <w:tcPr>
            <w:tcW w:w="0" w:type="auto"/>
            <w:tcBorders>
              <w:top w:val="single" w:sz="4" w:space="0" w:color="auto"/>
              <w:left w:val="single" w:sz="4" w:space="0" w:color="auto"/>
              <w:bottom w:val="single" w:sz="4" w:space="0" w:color="auto"/>
              <w:right w:val="single" w:sz="4" w:space="0" w:color="auto"/>
            </w:tcBorders>
            <w:vAlign w:val="bottom"/>
            <w:hideMark/>
          </w:tcPr>
          <w:p w14:paraId="73F25E4D"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relation between external and internal antorbital/preorbital fenestrae: (*)</w:t>
            </w:r>
          </w:p>
          <w:p w14:paraId="3418931B" w14:textId="0C9778F2" w:rsidR="006E44D9" w:rsidRDefault="006E44D9" w:rsidP="006E44D9">
            <w:pPr>
              <w:autoSpaceDE w:val="0"/>
              <w:autoSpaceDN w:val="0"/>
              <w:adjustRightInd w:val="0"/>
              <w:rPr>
                <w:i/>
                <w:iCs/>
                <w:sz w:val="20"/>
                <w:szCs w:val="20"/>
                <w:lang w:eastAsia="en-US"/>
              </w:rPr>
            </w:pPr>
            <w:r>
              <w:rPr>
                <w:bCs/>
                <w:i/>
                <w:sz w:val="20"/>
                <w:lang w:eastAsia="en-US"/>
              </w:rPr>
              <w:t xml:space="preserve">Andrade et al. (2011, ch. 45 modified); </w:t>
            </w:r>
            <w:r>
              <w:rPr>
                <w:i/>
                <w:sz w:val="20"/>
                <w:szCs w:val="20"/>
                <w:lang w:eastAsia="en-US"/>
              </w:rPr>
              <w:t xml:space="preserve">Ristevski et al. (2018, ds 1, ch. 45 modified); Smith et al. (in review, ds 2, ch. 45 modified); </w:t>
            </w:r>
            <w:r>
              <w:rPr>
                <w:i/>
                <w:sz w:val="20"/>
                <w:szCs w:val="20"/>
              </w:rPr>
              <w:t>Ősi et al. (in review, ds 1, ch. 71)</w:t>
            </w:r>
            <w:r>
              <w:rPr>
                <w:bCs/>
                <w:i/>
                <w:sz w:val="20"/>
                <w:lang w:eastAsia="en-US"/>
              </w:rPr>
              <w:t>.</w:t>
            </w:r>
          </w:p>
          <w:p w14:paraId="2DD03246" w14:textId="77777777" w:rsidR="006E44D9" w:rsidRDefault="006E44D9" w:rsidP="006E44D9">
            <w:pPr>
              <w:autoSpaceDE w:val="0"/>
              <w:autoSpaceDN w:val="0"/>
              <w:adjustRightInd w:val="0"/>
              <w:rPr>
                <w:i/>
                <w:iCs/>
                <w:sz w:val="20"/>
                <w:szCs w:val="20"/>
                <w:lang w:eastAsia="en-US"/>
              </w:rPr>
            </w:pPr>
            <w:r>
              <w:rPr>
                <w:i/>
                <w:iCs/>
                <w:sz w:val="20"/>
                <w:szCs w:val="20"/>
                <w:lang w:eastAsia="en-US"/>
              </w:rPr>
              <w:t xml:space="preserve">State (2) is putative apomorphy of </w:t>
            </w:r>
            <w:r>
              <w:rPr>
                <w:iCs/>
                <w:sz w:val="20"/>
                <w:szCs w:val="20"/>
                <w:lang w:eastAsia="en-US"/>
              </w:rPr>
              <w:t xml:space="preserve">Eoneustes </w:t>
            </w:r>
            <w:r>
              <w:rPr>
                <w:i/>
                <w:iCs/>
                <w:sz w:val="20"/>
                <w:szCs w:val="20"/>
                <w:lang w:eastAsia="en-US"/>
              </w:rPr>
              <w:t>+ Metriorhynchidae.</w:t>
            </w:r>
          </w:p>
          <w:p w14:paraId="27257B80" w14:textId="77777777" w:rsidR="006E44D9" w:rsidRDefault="006E44D9" w:rsidP="006E44D9">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antorbital/preorbital fenestrae.</w:t>
            </w:r>
          </w:p>
          <w:p w14:paraId="63FFAFB2" w14:textId="77777777" w:rsidR="006E44D9" w:rsidRDefault="006E44D9" w:rsidP="006E44D9">
            <w:pPr>
              <w:autoSpaceDE w:val="0"/>
              <w:autoSpaceDN w:val="0"/>
              <w:adjustRightInd w:val="0"/>
              <w:rPr>
                <w:sz w:val="20"/>
                <w:szCs w:val="20"/>
                <w:lang w:eastAsia="en-US"/>
              </w:rPr>
            </w:pPr>
            <w:r>
              <w:rPr>
                <w:sz w:val="20"/>
                <w:szCs w:val="20"/>
                <w:lang w:eastAsia="en-US"/>
              </w:rPr>
              <w:t>0. external and internal fenestrae subequal or not distinguishable</w:t>
            </w:r>
          </w:p>
          <w:p w14:paraId="63042377" w14:textId="77777777" w:rsidR="006E44D9" w:rsidRDefault="006E44D9" w:rsidP="006E44D9">
            <w:pPr>
              <w:autoSpaceDE w:val="0"/>
              <w:autoSpaceDN w:val="0"/>
              <w:adjustRightInd w:val="0"/>
              <w:rPr>
                <w:sz w:val="20"/>
                <w:szCs w:val="20"/>
                <w:lang w:eastAsia="en-US"/>
              </w:rPr>
            </w:pPr>
            <w:r>
              <w:rPr>
                <w:sz w:val="20"/>
                <w:szCs w:val="20"/>
                <w:lang w:eastAsia="en-US"/>
              </w:rPr>
              <w:t>1. external fenestra larger than internal fenestra, but no more than twice its area</w:t>
            </w:r>
          </w:p>
          <w:p w14:paraId="30D18A56" w14:textId="77777777" w:rsidR="006E44D9" w:rsidRDefault="006E44D9" w:rsidP="006E44D9">
            <w:pPr>
              <w:rPr>
                <w:b/>
                <w:color w:val="000000"/>
                <w:sz w:val="20"/>
                <w:szCs w:val="20"/>
                <w:lang w:eastAsia="en-US"/>
              </w:rPr>
            </w:pPr>
            <w:r>
              <w:rPr>
                <w:sz w:val="20"/>
                <w:szCs w:val="20"/>
                <w:lang w:eastAsia="en-US"/>
              </w:rPr>
              <w:t>2. external fenestra much larger than internal fenestra, or external fenestra present and internal fenestra closed</w:t>
            </w:r>
          </w:p>
        </w:tc>
      </w:tr>
      <w:tr w:rsidR="006E44D9" w14:paraId="11E131B9" w14:textId="77777777" w:rsidTr="006E44D9">
        <w:tc>
          <w:tcPr>
            <w:tcW w:w="0" w:type="auto"/>
            <w:tcBorders>
              <w:top w:val="single" w:sz="4" w:space="0" w:color="auto"/>
              <w:left w:val="single" w:sz="4" w:space="0" w:color="auto"/>
              <w:bottom w:val="single" w:sz="4" w:space="0" w:color="auto"/>
              <w:right w:val="single" w:sz="4" w:space="0" w:color="auto"/>
            </w:tcBorders>
          </w:tcPr>
          <w:p w14:paraId="41272E16" w14:textId="1E3B9B38" w:rsidR="006E44D9" w:rsidRDefault="006E44D9" w:rsidP="006E44D9">
            <w:pPr>
              <w:rPr>
                <w:color w:val="000000"/>
                <w:sz w:val="20"/>
                <w:szCs w:val="20"/>
                <w:lang w:eastAsia="en-US"/>
              </w:rPr>
            </w:pPr>
            <w:r>
              <w:rPr>
                <w:color w:val="000000"/>
                <w:sz w:val="20"/>
                <w:szCs w:val="20"/>
                <w:lang w:eastAsia="en-US"/>
              </w:rPr>
              <w:t>77</w:t>
            </w:r>
          </w:p>
        </w:tc>
        <w:tc>
          <w:tcPr>
            <w:tcW w:w="0" w:type="auto"/>
            <w:tcBorders>
              <w:top w:val="single" w:sz="4" w:space="0" w:color="auto"/>
              <w:left w:val="single" w:sz="4" w:space="0" w:color="auto"/>
              <w:bottom w:val="single" w:sz="4" w:space="0" w:color="auto"/>
              <w:right w:val="single" w:sz="4" w:space="0" w:color="auto"/>
            </w:tcBorders>
            <w:hideMark/>
          </w:tcPr>
          <w:p w14:paraId="171FEC2B" w14:textId="77777777" w:rsidR="006E44D9" w:rsidRDefault="006E44D9" w:rsidP="006E44D9">
            <w:pPr>
              <w:autoSpaceDE w:val="0"/>
              <w:autoSpaceDN w:val="0"/>
              <w:adjustRightInd w:val="0"/>
              <w:rPr>
                <w:rFonts w:eastAsiaTheme="minorHAnsi"/>
                <w:b/>
                <w:bCs/>
                <w:sz w:val="20"/>
                <w:szCs w:val="20"/>
                <w:lang w:eastAsia="en-US"/>
              </w:rPr>
            </w:pPr>
            <w:r>
              <w:rPr>
                <w:b/>
                <w:bCs/>
                <w:sz w:val="20"/>
                <w:szCs w:val="20"/>
                <w:lang w:eastAsia="en-US"/>
              </w:rPr>
              <w:t>Antorbital/preorbital cavity, shape: (*)</w:t>
            </w:r>
          </w:p>
          <w:p w14:paraId="3EB3EFDC" w14:textId="4E8217AB" w:rsidR="006E44D9" w:rsidRDefault="006E44D9" w:rsidP="006E44D9">
            <w:pPr>
              <w:autoSpaceDE w:val="0"/>
              <w:autoSpaceDN w:val="0"/>
              <w:adjustRightInd w:val="0"/>
              <w:rPr>
                <w:i/>
                <w:sz w:val="20"/>
                <w:szCs w:val="20"/>
                <w:lang w:eastAsia="en-US"/>
              </w:rPr>
            </w:pPr>
            <w:r>
              <w:rPr>
                <w:i/>
                <w:sz w:val="20"/>
                <w:szCs w:val="20"/>
                <w:lang w:eastAsia="en-US"/>
              </w:rPr>
              <w:t xml:space="preserve">Young (2006, ch. 19 modified); Wilkinson et al. (2008, ch. 41); Young &amp; Andrade (2009, ch. 41); </w:t>
            </w:r>
            <w:r>
              <w:rPr>
                <w:bCs/>
                <w:i/>
                <w:sz w:val="20"/>
                <w:lang w:eastAsia="en-US"/>
              </w:rPr>
              <w:t>Andrade et al. (2011, ch. 46 modified);</w:t>
            </w:r>
            <w:r>
              <w:rPr>
                <w:i/>
                <w:sz w:val="20"/>
                <w:szCs w:val="20"/>
                <w:lang w:eastAsia="en-US"/>
              </w:rPr>
              <w:t xml:space="preserve"> </w:t>
            </w:r>
            <w:r>
              <w:rPr>
                <w:bCs/>
                <w:i/>
                <w:color w:val="000000"/>
                <w:sz w:val="20"/>
                <w:szCs w:val="20"/>
                <w:lang w:eastAsia="en-US"/>
              </w:rPr>
              <w:t>Young et al. (2011, ch. 41); Young et al. (2013a, ch. 23);</w:t>
            </w:r>
            <w:r>
              <w:rPr>
                <w:i/>
                <w:sz w:val="20"/>
                <w:szCs w:val="20"/>
                <w:lang w:eastAsia="en-US"/>
              </w:rPr>
              <w:t xml:space="preserve"> Young et al. (2012, ch. 28); Young et al. (2016, ch. 38); Ristevski et al. (2018, ch. 61); Smith et al. (in review, ch. 62); </w:t>
            </w:r>
            <w:r>
              <w:rPr>
                <w:i/>
                <w:sz w:val="20"/>
                <w:szCs w:val="20"/>
              </w:rPr>
              <w:t>Ősi et al. (in review, ds 1, ch. 72)</w:t>
            </w:r>
            <w:r>
              <w:rPr>
                <w:i/>
                <w:sz w:val="20"/>
                <w:szCs w:val="20"/>
                <w:lang w:eastAsia="en-US"/>
              </w:rPr>
              <w:t>.</w:t>
            </w:r>
          </w:p>
          <w:p w14:paraId="18059448" w14:textId="77777777" w:rsidR="006E44D9" w:rsidRDefault="006E44D9" w:rsidP="006E44D9">
            <w:pPr>
              <w:rPr>
                <w:bCs/>
                <w:i/>
                <w:sz w:val="20"/>
                <w:szCs w:val="20"/>
                <w:lang w:eastAsia="en-US"/>
              </w:rPr>
            </w:pPr>
            <w:r>
              <w:rPr>
                <w:bCs/>
                <w:i/>
                <w:sz w:val="20"/>
                <w:szCs w:val="20"/>
                <w:lang w:eastAsia="en-US"/>
              </w:rPr>
              <w:t xml:space="preserve">Note that this version of the character does not score for the elongate antorbital/preorbital cavity of metriorhynchoids. That morphological complex is scored by another character, relating to the presence of a sulcus anterior to the cavity. This means however, that any metriorhynchoid in which the cavity itself is elongated (such as as in the teleosauroid </w:t>
            </w:r>
            <w:r>
              <w:rPr>
                <w:bCs/>
                <w:sz w:val="20"/>
                <w:szCs w:val="20"/>
                <w:lang w:eastAsia="en-US"/>
              </w:rPr>
              <w:t>Steneosaurus gracilirostris</w:t>
            </w:r>
            <w:r>
              <w:rPr>
                <w:bCs/>
                <w:i/>
                <w:sz w:val="20"/>
                <w:szCs w:val="20"/>
                <w:lang w:eastAsia="en-US"/>
              </w:rPr>
              <w:t>) can be scored as state (1) for this character as well as for the sulcus character.</w:t>
            </w:r>
          </w:p>
          <w:p w14:paraId="29163AF7" w14:textId="77777777" w:rsidR="006E44D9" w:rsidRDefault="006E44D9" w:rsidP="006E44D9">
            <w:pPr>
              <w:rPr>
                <w:i/>
                <w:sz w:val="20"/>
                <w:szCs w:val="20"/>
                <w:lang w:eastAsia="en-US"/>
              </w:rPr>
            </w:pPr>
            <w:r>
              <w:rPr>
                <w:bCs/>
                <w:i/>
                <w:sz w:val="20"/>
                <w:szCs w:val="20"/>
                <w:lang w:eastAsia="en-US"/>
              </w:rPr>
              <w:t>This character is not applicable for taxa that lack antorbital fenestrae.</w:t>
            </w:r>
          </w:p>
          <w:p w14:paraId="54E0E108" w14:textId="77777777" w:rsidR="006E44D9" w:rsidRDefault="006E44D9" w:rsidP="006E44D9">
            <w:pPr>
              <w:rPr>
                <w:color w:val="000000"/>
                <w:sz w:val="20"/>
                <w:szCs w:val="20"/>
                <w:lang w:eastAsia="en-US"/>
              </w:rPr>
            </w:pPr>
            <w:r>
              <w:rPr>
                <w:color w:val="000000"/>
                <w:sz w:val="20"/>
                <w:szCs w:val="20"/>
                <w:lang w:eastAsia="en-US"/>
              </w:rPr>
              <w:t>0. subcircular, subtriangular or lozenge-shaped</w:t>
            </w:r>
          </w:p>
          <w:p w14:paraId="5225DECD" w14:textId="77777777" w:rsidR="006E44D9" w:rsidRDefault="006E44D9" w:rsidP="006E44D9">
            <w:pPr>
              <w:rPr>
                <w:b/>
                <w:color w:val="000000"/>
                <w:sz w:val="20"/>
                <w:szCs w:val="20"/>
                <w:lang w:eastAsia="en-US"/>
              </w:rPr>
            </w:pPr>
            <w:r>
              <w:rPr>
                <w:color w:val="000000"/>
                <w:sz w:val="20"/>
                <w:szCs w:val="20"/>
                <w:lang w:eastAsia="en-US"/>
              </w:rPr>
              <w:t>1. anteroposteriorly elongated</w:t>
            </w:r>
          </w:p>
        </w:tc>
      </w:tr>
      <w:tr w:rsidR="006E44D9" w14:paraId="426D5CE2" w14:textId="77777777" w:rsidTr="006E44D9">
        <w:tc>
          <w:tcPr>
            <w:tcW w:w="0" w:type="auto"/>
            <w:tcBorders>
              <w:top w:val="single" w:sz="4" w:space="0" w:color="auto"/>
              <w:left w:val="single" w:sz="4" w:space="0" w:color="auto"/>
              <w:bottom w:val="single" w:sz="4" w:space="0" w:color="auto"/>
              <w:right w:val="single" w:sz="4" w:space="0" w:color="auto"/>
            </w:tcBorders>
          </w:tcPr>
          <w:p w14:paraId="073D321E" w14:textId="6FBE70DB" w:rsidR="006E44D9" w:rsidRDefault="006E44D9" w:rsidP="006E44D9">
            <w:pPr>
              <w:rPr>
                <w:color w:val="000000"/>
                <w:sz w:val="20"/>
                <w:szCs w:val="20"/>
                <w:lang w:eastAsia="en-US"/>
              </w:rPr>
            </w:pPr>
            <w:r>
              <w:rPr>
                <w:color w:val="000000"/>
                <w:sz w:val="20"/>
                <w:szCs w:val="20"/>
                <w:lang w:eastAsia="en-US"/>
              </w:rPr>
              <w:t>78</w:t>
            </w:r>
          </w:p>
        </w:tc>
        <w:tc>
          <w:tcPr>
            <w:tcW w:w="0" w:type="auto"/>
            <w:tcBorders>
              <w:top w:val="single" w:sz="4" w:space="0" w:color="auto"/>
              <w:left w:val="single" w:sz="4" w:space="0" w:color="auto"/>
              <w:bottom w:val="single" w:sz="4" w:space="0" w:color="auto"/>
              <w:right w:val="single" w:sz="4" w:space="0" w:color="auto"/>
            </w:tcBorders>
            <w:hideMark/>
          </w:tcPr>
          <w:p w14:paraId="51B86D4F"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Antorbital/preorbital cavity, presence of a sulcus anterior to the cavity:</w:t>
            </w:r>
          </w:p>
          <w:p w14:paraId="2B464352" w14:textId="146B7F6E" w:rsidR="006E44D9" w:rsidRDefault="006E44D9" w:rsidP="006E44D9">
            <w:pPr>
              <w:autoSpaceDE w:val="0"/>
              <w:autoSpaceDN w:val="0"/>
              <w:adjustRightInd w:val="0"/>
              <w:rPr>
                <w:b/>
                <w:bCs/>
                <w:sz w:val="20"/>
                <w:szCs w:val="20"/>
                <w:lang w:eastAsia="en-US"/>
              </w:rPr>
            </w:pPr>
            <w:r>
              <w:rPr>
                <w:bCs/>
                <w:sz w:val="20"/>
                <w:szCs w:val="20"/>
                <w:lang w:eastAsia="en-US"/>
              </w:rPr>
              <w:t xml:space="preserve">Gasparini </w:t>
            </w:r>
            <w:r>
              <w:rPr>
                <w:bCs/>
                <w:i/>
                <w:iCs/>
                <w:sz w:val="20"/>
                <w:szCs w:val="20"/>
                <w:lang w:eastAsia="en-US"/>
              </w:rPr>
              <w:t>et al. (</w:t>
            </w:r>
            <w:r>
              <w:rPr>
                <w:bCs/>
                <w:i/>
                <w:sz w:val="20"/>
                <w:szCs w:val="20"/>
                <w:lang w:eastAsia="en-US"/>
              </w:rPr>
              <w:t>2006, ch. 246 modified);</w:t>
            </w:r>
            <w:r>
              <w:rPr>
                <w:b/>
                <w:bCs/>
                <w:sz w:val="20"/>
                <w:szCs w:val="20"/>
                <w:lang w:eastAsia="en-US"/>
              </w:rPr>
              <w:t xml:space="preserve"> </w:t>
            </w:r>
            <w:r>
              <w:rPr>
                <w:i/>
                <w:sz w:val="20"/>
                <w:szCs w:val="20"/>
                <w:lang w:eastAsia="en-US"/>
              </w:rPr>
              <w:t xml:space="preserve">Young (2006, ch. 19 modified part); Wilkinson et al. (2008, ch. 41 modified part); Young &amp; Andrade (2009, ch. 41 modified part); </w:t>
            </w:r>
            <w:r>
              <w:rPr>
                <w:bCs/>
                <w:i/>
                <w:sz w:val="20"/>
                <w:lang w:eastAsia="en-US"/>
              </w:rPr>
              <w:t xml:space="preserve">Andrade et al. (2011, ch. 46 modified part); </w:t>
            </w:r>
            <w:r>
              <w:rPr>
                <w:bCs/>
                <w:i/>
                <w:color w:val="000000"/>
                <w:sz w:val="20"/>
                <w:szCs w:val="20"/>
                <w:lang w:eastAsia="en-US"/>
              </w:rPr>
              <w:t xml:space="preserve">Young et al. (2011, ch. 41 modified part); Young et al. (2013a, ch. 23 modified part); </w:t>
            </w:r>
            <w:r>
              <w:rPr>
                <w:i/>
                <w:sz w:val="20"/>
                <w:szCs w:val="20"/>
              </w:rPr>
              <w:t>Ősi et al. (in review, ds 1, ch. 73)</w:t>
            </w:r>
            <w:r>
              <w:rPr>
                <w:bCs/>
                <w:i/>
                <w:sz w:val="20"/>
                <w:lang w:eastAsia="en-US"/>
              </w:rPr>
              <w:t>.</w:t>
            </w:r>
          </w:p>
          <w:p w14:paraId="41916F8A" w14:textId="77777777" w:rsidR="006E44D9" w:rsidRDefault="006E44D9" w:rsidP="006E44D9">
            <w:pPr>
              <w:autoSpaceDE w:val="0"/>
              <w:autoSpaceDN w:val="0"/>
              <w:adjustRightInd w:val="0"/>
              <w:rPr>
                <w:i/>
                <w:iCs/>
                <w:sz w:val="20"/>
                <w:szCs w:val="20"/>
                <w:lang w:eastAsia="en-US"/>
              </w:rPr>
            </w:pPr>
            <w:r>
              <w:rPr>
                <w:i/>
                <w:iCs/>
                <w:sz w:val="20"/>
                <w:szCs w:val="20"/>
                <w:lang w:eastAsia="en-US"/>
              </w:rPr>
              <w:t>State (1) is putative apomorphy of Metriorhynchoidea.</w:t>
            </w:r>
          </w:p>
          <w:p w14:paraId="0370D74E" w14:textId="77777777" w:rsidR="006E44D9" w:rsidRDefault="006E44D9" w:rsidP="006E44D9">
            <w:pPr>
              <w:autoSpaceDE w:val="0"/>
              <w:autoSpaceDN w:val="0"/>
              <w:adjustRightInd w:val="0"/>
              <w:rPr>
                <w:i/>
                <w:sz w:val="20"/>
                <w:szCs w:val="20"/>
                <w:lang w:eastAsia="en-US"/>
              </w:rPr>
            </w:pPr>
            <w:r>
              <w:rPr>
                <w:i/>
                <w:sz w:val="20"/>
                <w:szCs w:val="20"/>
                <w:lang w:eastAsia="en-US"/>
              </w:rPr>
              <w:t xml:space="preserve">In </w:t>
            </w:r>
            <w:r>
              <w:rPr>
                <w:sz w:val="20"/>
                <w:szCs w:val="20"/>
                <w:lang w:eastAsia="en-US"/>
              </w:rPr>
              <w:t>Pelagosaurus typus</w:t>
            </w:r>
            <w:r>
              <w:rPr>
                <w:i/>
                <w:sz w:val="20"/>
                <w:szCs w:val="20"/>
                <w:lang w:eastAsia="en-US"/>
              </w:rPr>
              <w:t xml:space="preserve"> the sulcus is present (see Witmer, 1997), but it can be easily missed due to preservation as it is shallow when compared to the morphology seen in the clade </w:t>
            </w:r>
            <w:r>
              <w:rPr>
                <w:sz w:val="20"/>
                <w:szCs w:val="20"/>
                <w:lang w:eastAsia="en-US"/>
              </w:rPr>
              <w:t xml:space="preserve">Eoneustes </w:t>
            </w:r>
            <w:r>
              <w:rPr>
                <w:i/>
                <w:sz w:val="20"/>
                <w:szCs w:val="20"/>
                <w:vertAlign w:val="subscript"/>
                <w:lang w:eastAsia="en-US"/>
              </w:rPr>
              <w:t xml:space="preserve">+ </w:t>
            </w:r>
            <w:r>
              <w:rPr>
                <w:i/>
                <w:sz w:val="20"/>
                <w:szCs w:val="20"/>
                <w:lang w:eastAsia="en-US"/>
              </w:rPr>
              <w:t>Metriorhynchidae</w:t>
            </w:r>
            <w:r>
              <w:rPr>
                <w:sz w:val="20"/>
                <w:szCs w:val="20"/>
                <w:lang w:eastAsia="en-US"/>
              </w:rPr>
              <w:t>.</w:t>
            </w:r>
          </w:p>
          <w:p w14:paraId="1B007A78" w14:textId="77777777" w:rsidR="006E44D9" w:rsidRDefault="006E44D9" w:rsidP="006E44D9">
            <w:pPr>
              <w:autoSpaceDE w:val="0"/>
              <w:autoSpaceDN w:val="0"/>
              <w:adjustRightInd w:val="0"/>
              <w:rPr>
                <w:i/>
                <w:sz w:val="20"/>
                <w:szCs w:val="20"/>
                <w:lang w:eastAsia="en-US"/>
              </w:rPr>
            </w:pPr>
            <w:r>
              <w:rPr>
                <w:i/>
                <w:sz w:val="20"/>
                <w:szCs w:val="20"/>
                <w:lang w:eastAsia="en-US"/>
              </w:rPr>
              <w:t xml:space="preserve">In well preserved specimens the distinction between the anterior sulcus and the external antorbital/preorbital fenestra is distinct (see </w:t>
            </w:r>
            <w:r>
              <w:rPr>
                <w:sz w:val="20"/>
                <w:szCs w:val="20"/>
                <w:lang w:eastAsia="en-US"/>
              </w:rPr>
              <w:t>Dakosaurus andiniensis and Torvoneustes coryphaeus</w:t>
            </w:r>
            <w:r>
              <w:rPr>
                <w:i/>
                <w:sz w:val="20"/>
                <w:szCs w:val="20"/>
                <w:lang w:eastAsia="en-US"/>
              </w:rPr>
              <w:t xml:space="preserve">). </w:t>
            </w:r>
          </w:p>
          <w:p w14:paraId="7C670ABB" w14:textId="77777777" w:rsidR="006E44D9" w:rsidRDefault="006E44D9" w:rsidP="006E44D9">
            <w:pPr>
              <w:autoSpaceDE w:val="0"/>
              <w:autoSpaceDN w:val="0"/>
              <w:adjustRightInd w:val="0"/>
              <w:rPr>
                <w:i/>
                <w:sz w:val="20"/>
                <w:szCs w:val="20"/>
                <w:lang w:eastAsia="en-US"/>
              </w:rPr>
            </w:pPr>
            <w:r>
              <w:rPr>
                <w:i/>
                <w:sz w:val="20"/>
                <w:szCs w:val="20"/>
                <w:lang w:eastAsia="en-US"/>
              </w:rPr>
              <w:t xml:space="preserve">The external antorbital/preorbital fenestrae in the clade </w:t>
            </w:r>
            <w:r>
              <w:rPr>
                <w:sz w:val="20"/>
                <w:szCs w:val="20"/>
                <w:lang w:eastAsia="en-US"/>
              </w:rPr>
              <w:t xml:space="preserve">Eoneustes </w:t>
            </w:r>
            <w:r>
              <w:rPr>
                <w:i/>
                <w:sz w:val="20"/>
                <w:szCs w:val="20"/>
                <w:vertAlign w:val="subscript"/>
                <w:lang w:eastAsia="en-US"/>
              </w:rPr>
              <w:t xml:space="preserve">+ </w:t>
            </w:r>
            <w:r>
              <w:rPr>
                <w:i/>
                <w:sz w:val="20"/>
                <w:szCs w:val="20"/>
                <w:lang w:eastAsia="en-US"/>
              </w:rPr>
              <w:t xml:space="preserve">Metriorhynchidae </w:t>
            </w:r>
            <w:r>
              <w:rPr>
                <w:i/>
                <w:iCs/>
                <w:color w:val="000000"/>
                <w:sz w:val="20"/>
                <w:szCs w:val="20"/>
                <w:lang w:eastAsia="en-US"/>
              </w:rPr>
              <w:t>are bound by the jugal, lachrymal, nasal and maxilla. The anterior fossa continues anteriorly as a sulcus or fossa, but is largely present on the lateral surface of the maxilla</w:t>
            </w:r>
            <w:r>
              <w:rPr>
                <w:i/>
                <w:sz w:val="20"/>
                <w:szCs w:val="20"/>
                <w:lang w:eastAsia="en-US"/>
              </w:rPr>
              <w:t>.</w:t>
            </w:r>
          </w:p>
          <w:p w14:paraId="1813B088" w14:textId="77777777" w:rsidR="006E44D9" w:rsidRDefault="006E44D9" w:rsidP="006E44D9">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external antorbital/preorbital fenestrae.</w:t>
            </w:r>
          </w:p>
          <w:p w14:paraId="466809FA" w14:textId="77777777" w:rsidR="006E44D9" w:rsidRDefault="006E44D9" w:rsidP="006E44D9">
            <w:pPr>
              <w:autoSpaceDE w:val="0"/>
              <w:autoSpaceDN w:val="0"/>
              <w:adjustRightInd w:val="0"/>
              <w:rPr>
                <w:sz w:val="20"/>
                <w:szCs w:val="20"/>
                <w:lang w:eastAsia="en-US"/>
              </w:rPr>
            </w:pPr>
            <w:r>
              <w:rPr>
                <w:sz w:val="20"/>
                <w:szCs w:val="20"/>
                <w:lang w:eastAsia="en-US"/>
              </w:rPr>
              <w:t>0. absent</w:t>
            </w:r>
          </w:p>
          <w:p w14:paraId="20539AFB" w14:textId="77777777" w:rsidR="006E44D9" w:rsidRDefault="006E44D9" w:rsidP="006E44D9">
            <w:pPr>
              <w:autoSpaceDE w:val="0"/>
              <w:autoSpaceDN w:val="0"/>
              <w:adjustRightInd w:val="0"/>
              <w:rPr>
                <w:b/>
                <w:bCs/>
                <w:sz w:val="20"/>
                <w:szCs w:val="20"/>
                <w:lang w:eastAsia="en-US"/>
              </w:rPr>
            </w:pPr>
            <w:r>
              <w:rPr>
                <w:sz w:val="20"/>
                <w:szCs w:val="20"/>
                <w:lang w:eastAsia="en-US"/>
              </w:rPr>
              <w:t>1. present</w:t>
            </w:r>
          </w:p>
        </w:tc>
      </w:tr>
      <w:tr w:rsidR="006E44D9" w14:paraId="440BCAA6" w14:textId="77777777" w:rsidTr="006E44D9">
        <w:tc>
          <w:tcPr>
            <w:tcW w:w="0" w:type="auto"/>
            <w:tcBorders>
              <w:top w:val="single" w:sz="4" w:space="0" w:color="auto"/>
              <w:left w:val="single" w:sz="4" w:space="0" w:color="auto"/>
              <w:bottom w:val="single" w:sz="4" w:space="0" w:color="auto"/>
              <w:right w:val="single" w:sz="4" w:space="0" w:color="auto"/>
            </w:tcBorders>
          </w:tcPr>
          <w:p w14:paraId="789131CD" w14:textId="77FC86A1" w:rsidR="006E44D9" w:rsidRDefault="006E44D9" w:rsidP="006E44D9">
            <w:pPr>
              <w:rPr>
                <w:color w:val="000000"/>
                <w:sz w:val="20"/>
                <w:szCs w:val="20"/>
                <w:lang w:eastAsia="en-US"/>
              </w:rPr>
            </w:pPr>
            <w:r>
              <w:rPr>
                <w:color w:val="000000"/>
                <w:sz w:val="20"/>
                <w:szCs w:val="20"/>
                <w:lang w:eastAsia="en-US"/>
              </w:rPr>
              <w:t>79</w:t>
            </w:r>
          </w:p>
        </w:tc>
        <w:tc>
          <w:tcPr>
            <w:tcW w:w="0" w:type="auto"/>
            <w:tcBorders>
              <w:top w:val="single" w:sz="4" w:space="0" w:color="auto"/>
              <w:left w:val="single" w:sz="4" w:space="0" w:color="auto"/>
              <w:bottom w:val="single" w:sz="4" w:space="0" w:color="auto"/>
              <w:right w:val="single" w:sz="4" w:space="0" w:color="auto"/>
            </w:tcBorders>
            <w:hideMark/>
          </w:tcPr>
          <w:p w14:paraId="75306E4B"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size (area) of external antorbital/preorbital fenestra, relative to the orbit:</w:t>
            </w:r>
          </w:p>
          <w:p w14:paraId="5E0437F1" w14:textId="08E92EB2" w:rsidR="006E44D9" w:rsidRDefault="006E44D9" w:rsidP="006E44D9">
            <w:pPr>
              <w:autoSpaceDE w:val="0"/>
              <w:autoSpaceDN w:val="0"/>
              <w:adjustRightInd w:val="0"/>
              <w:rPr>
                <w:i/>
                <w:sz w:val="20"/>
                <w:szCs w:val="20"/>
                <w:lang w:eastAsia="en-US"/>
              </w:rPr>
            </w:pPr>
            <w:r>
              <w:rPr>
                <w:bCs/>
                <w:i/>
                <w:sz w:val="20"/>
                <w:szCs w:val="20"/>
                <w:lang w:eastAsia="en-US"/>
              </w:rPr>
              <w:t>Clark (1994, ch. 67 modified);</w:t>
            </w:r>
            <w:r>
              <w:rPr>
                <w:b/>
                <w:bCs/>
                <w:sz w:val="20"/>
                <w:szCs w:val="20"/>
                <w:lang w:eastAsia="en-US"/>
              </w:rPr>
              <w:t xml:space="preserve"> </w:t>
            </w:r>
            <w:r>
              <w:rPr>
                <w:bCs/>
                <w:i/>
                <w:sz w:val="20"/>
                <w:lang w:eastAsia="en-US"/>
              </w:rPr>
              <w:t xml:space="preserve">Andrade et al. (2011, ch. 47 modified); </w:t>
            </w:r>
            <w:r>
              <w:rPr>
                <w:i/>
                <w:sz w:val="20"/>
                <w:szCs w:val="20"/>
              </w:rPr>
              <w:t>Ősi et al. (in review, ds 1, ch. 74)</w:t>
            </w:r>
            <w:r>
              <w:rPr>
                <w:bCs/>
                <w:i/>
                <w:sz w:val="20"/>
                <w:lang w:eastAsia="en-US"/>
              </w:rPr>
              <w:t>.</w:t>
            </w:r>
          </w:p>
          <w:p w14:paraId="62E30CC3" w14:textId="77777777" w:rsidR="006E44D9" w:rsidRDefault="006E44D9" w:rsidP="006E44D9">
            <w:pPr>
              <w:autoSpaceDE w:val="0"/>
              <w:autoSpaceDN w:val="0"/>
              <w:adjustRightInd w:val="0"/>
              <w:rPr>
                <w:i/>
                <w:sz w:val="20"/>
                <w:szCs w:val="20"/>
                <w:lang w:eastAsia="en-US"/>
              </w:rPr>
            </w:pPr>
            <w:r>
              <w:rPr>
                <w:i/>
                <w:sz w:val="20"/>
                <w:szCs w:val="20"/>
                <w:lang w:eastAsia="en-US"/>
              </w:rPr>
              <w:t>States (0-1) occur in Crocodyliformes.</w:t>
            </w:r>
          </w:p>
          <w:p w14:paraId="3B6D8A7A" w14:textId="77777777" w:rsidR="006E44D9" w:rsidRDefault="006E44D9" w:rsidP="006E44D9">
            <w:pPr>
              <w:autoSpaceDE w:val="0"/>
              <w:autoSpaceDN w:val="0"/>
              <w:adjustRightInd w:val="0"/>
              <w:rPr>
                <w:i/>
                <w:sz w:val="20"/>
                <w:szCs w:val="20"/>
                <w:lang w:eastAsia="en-US"/>
              </w:rPr>
            </w:pPr>
            <w:r>
              <w:rPr>
                <w:i/>
                <w:sz w:val="20"/>
                <w:szCs w:val="20"/>
                <w:lang w:eastAsia="en-US"/>
              </w:rPr>
              <w:t>State (2) occurs in non-crocodyliforms.</w:t>
            </w:r>
          </w:p>
          <w:p w14:paraId="74664AE6" w14:textId="77777777" w:rsidR="006E44D9" w:rsidRDefault="006E44D9" w:rsidP="006E44D9">
            <w:pPr>
              <w:autoSpaceDE w:val="0"/>
              <w:autoSpaceDN w:val="0"/>
              <w:adjustRightInd w:val="0"/>
              <w:rPr>
                <w:sz w:val="20"/>
                <w:szCs w:val="20"/>
                <w:lang w:eastAsia="en-US"/>
              </w:rPr>
            </w:pPr>
            <w:r>
              <w:rPr>
                <w:sz w:val="20"/>
                <w:szCs w:val="20"/>
                <w:lang w:eastAsia="en-US"/>
              </w:rPr>
              <w:t>0. small, being much smaller than the orbit area, or the antorbital cavity absent</w:t>
            </w:r>
          </w:p>
          <w:p w14:paraId="13545EEE" w14:textId="77777777" w:rsidR="006E44D9" w:rsidRDefault="006E44D9" w:rsidP="006E44D9">
            <w:pPr>
              <w:autoSpaceDE w:val="0"/>
              <w:autoSpaceDN w:val="0"/>
              <w:adjustRightInd w:val="0"/>
              <w:rPr>
                <w:sz w:val="20"/>
                <w:szCs w:val="20"/>
                <w:lang w:eastAsia="en-US"/>
              </w:rPr>
            </w:pPr>
            <w:r>
              <w:rPr>
                <w:sz w:val="20"/>
                <w:szCs w:val="20"/>
                <w:lang w:eastAsia="en-US"/>
              </w:rPr>
              <w:lastRenderedPageBreak/>
              <w:t xml:space="preserve">1. moderately large, being </w:t>
            </w:r>
            <w:r>
              <w:rPr>
                <w:color w:val="000000"/>
                <w:sz w:val="20"/>
                <w:szCs w:val="20"/>
                <w:lang w:eastAsia="en-US"/>
              </w:rPr>
              <w:t>at least half the diameter of the orbit</w:t>
            </w:r>
          </w:p>
          <w:p w14:paraId="26CA903A" w14:textId="77777777" w:rsidR="006E44D9" w:rsidRDefault="006E44D9" w:rsidP="006E44D9">
            <w:pPr>
              <w:rPr>
                <w:b/>
                <w:color w:val="000000"/>
                <w:sz w:val="20"/>
                <w:szCs w:val="20"/>
                <w:lang w:eastAsia="en-US"/>
              </w:rPr>
            </w:pPr>
            <w:r>
              <w:rPr>
                <w:sz w:val="20"/>
                <w:szCs w:val="20"/>
                <w:lang w:eastAsia="en-US"/>
              </w:rPr>
              <w:t>2. large, almost as large as the orbit</w:t>
            </w:r>
          </w:p>
        </w:tc>
      </w:tr>
      <w:tr w:rsidR="006E44D9" w14:paraId="62175491" w14:textId="77777777" w:rsidTr="006E44D9">
        <w:tc>
          <w:tcPr>
            <w:tcW w:w="0" w:type="auto"/>
            <w:tcBorders>
              <w:top w:val="single" w:sz="4" w:space="0" w:color="auto"/>
              <w:left w:val="single" w:sz="4" w:space="0" w:color="auto"/>
              <w:bottom w:val="single" w:sz="4" w:space="0" w:color="auto"/>
              <w:right w:val="single" w:sz="4" w:space="0" w:color="auto"/>
            </w:tcBorders>
          </w:tcPr>
          <w:p w14:paraId="136A2A62" w14:textId="2DC5BF1B" w:rsidR="006E44D9" w:rsidRDefault="006E44D9" w:rsidP="006E44D9">
            <w:pPr>
              <w:rPr>
                <w:color w:val="000000"/>
                <w:sz w:val="20"/>
                <w:szCs w:val="20"/>
                <w:lang w:eastAsia="en-US"/>
              </w:rPr>
            </w:pPr>
            <w:r>
              <w:rPr>
                <w:color w:val="000000"/>
                <w:sz w:val="20"/>
                <w:szCs w:val="20"/>
                <w:lang w:eastAsia="en-US"/>
              </w:rPr>
              <w:lastRenderedPageBreak/>
              <w:t>80</w:t>
            </w:r>
          </w:p>
        </w:tc>
        <w:tc>
          <w:tcPr>
            <w:tcW w:w="0" w:type="auto"/>
            <w:tcBorders>
              <w:top w:val="single" w:sz="4" w:space="0" w:color="auto"/>
              <w:left w:val="single" w:sz="4" w:space="0" w:color="auto"/>
              <w:bottom w:val="single" w:sz="4" w:space="0" w:color="auto"/>
              <w:right w:val="single" w:sz="4" w:space="0" w:color="auto"/>
            </w:tcBorders>
            <w:hideMark/>
          </w:tcPr>
          <w:p w14:paraId="6AE8B08A"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size (length) of internal antorbital/preorbital fenestra relative to the orbit:</w:t>
            </w:r>
          </w:p>
          <w:p w14:paraId="7BC98E26" w14:textId="26B10CBB" w:rsidR="006E44D9" w:rsidRDefault="006E44D9" w:rsidP="006E44D9">
            <w:pPr>
              <w:autoSpaceDE w:val="0"/>
              <w:autoSpaceDN w:val="0"/>
              <w:adjustRightInd w:val="0"/>
              <w:rPr>
                <w:bCs/>
                <w:i/>
                <w:sz w:val="20"/>
                <w:lang w:eastAsia="en-US"/>
              </w:rPr>
            </w:pPr>
            <w:r>
              <w:rPr>
                <w:bCs/>
                <w:i/>
                <w:sz w:val="20"/>
                <w:szCs w:val="20"/>
                <w:lang w:eastAsia="en-US"/>
              </w:rPr>
              <w:t>Clark (1994, ch. 67 modified);</w:t>
            </w:r>
            <w:r>
              <w:rPr>
                <w:b/>
                <w:bCs/>
                <w:sz w:val="20"/>
                <w:szCs w:val="20"/>
                <w:lang w:eastAsia="en-US"/>
              </w:rPr>
              <w:t xml:space="preserve"> </w:t>
            </w:r>
            <w:r>
              <w:rPr>
                <w:i/>
                <w:sz w:val="20"/>
                <w:szCs w:val="20"/>
                <w:lang w:eastAsia="en-US"/>
              </w:rPr>
              <w:t xml:space="preserve">Young &amp; Andrade (2009, ch. 88 modified part); </w:t>
            </w:r>
            <w:r>
              <w:rPr>
                <w:bCs/>
                <w:i/>
                <w:sz w:val="20"/>
                <w:lang w:eastAsia="en-US"/>
              </w:rPr>
              <w:t xml:space="preserve">Andrade et al. (2011, ch. 48); </w:t>
            </w:r>
            <w:r>
              <w:rPr>
                <w:bCs/>
                <w:i/>
                <w:color w:val="000000"/>
                <w:sz w:val="20"/>
                <w:szCs w:val="20"/>
                <w:lang w:eastAsia="en-US"/>
              </w:rPr>
              <w:t>Young et al. (2011, ch. 88 modified part); Young et al. (2013a, ch. 21 modified part);</w:t>
            </w:r>
            <w:r>
              <w:rPr>
                <w:i/>
                <w:sz w:val="20"/>
                <w:szCs w:val="20"/>
                <w:lang w:eastAsia="en-US"/>
              </w:rPr>
              <w:t xml:space="preserve"> Young et al. (2012, ch. 23 modified part); Young (2014, ch. 27 modified part); Young et al. (2016, ds 2, ch. 35 modified part); Ristevski et al. (2018, ds 2, ch. 58 modified part); Smith et al. (in review, ds 1, ch. 59 modified part); </w:t>
            </w:r>
            <w:r>
              <w:rPr>
                <w:i/>
                <w:sz w:val="20"/>
                <w:szCs w:val="20"/>
              </w:rPr>
              <w:t>Ősi et al. (in review, ds 1, ch. 75)</w:t>
            </w:r>
            <w:r>
              <w:rPr>
                <w:i/>
                <w:sz w:val="20"/>
                <w:szCs w:val="20"/>
                <w:lang w:eastAsia="en-US"/>
              </w:rPr>
              <w:t>.</w:t>
            </w:r>
          </w:p>
          <w:p w14:paraId="7E5F36EB" w14:textId="77777777" w:rsidR="006E44D9" w:rsidRDefault="006E44D9" w:rsidP="006E44D9">
            <w:pPr>
              <w:autoSpaceDE w:val="0"/>
              <w:autoSpaceDN w:val="0"/>
              <w:adjustRightInd w:val="0"/>
              <w:rPr>
                <w:i/>
                <w:sz w:val="20"/>
                <w:szCs w:val="20"/>
                <w:lang w:eastAsia="en-US"/>
              </w:rPr>
            </w:pPr>
            <w:r>
              <w:rPr>
                <w:i/>
                <w:sz w:val="20"/>
                <w:szCs w:val="20"/>
                <w:lang w:eastAsia="en-US"/>
              </w:rPr>
              <w:t>States (0-1) occur in Crocodyliformes.</w:t>
            </w:r>
          </w:p>
          <w:p w14:paraId="25CAE3F6" w14:textId="77777777" w:rsidR="006E44D9" w:rsidRDefault="006E44D9" w:rsidP="006E44D9">
            <w:pPr>
              <w:autoSpaceDE w:val="0"/>
              <w:autoSpaceDN w:val="0"/>
              <w:adjustRightInd w:val="0"/>
              <w:rPr>
                <w:rFonts w:eastAsiaTheme="minorHAnsi"/>
                <w:i/>
                <w:sz w:val="20"/>
                <w:szCs w:val="20"/>
                <w:lang w:eastAsia="en-US"/>
              </w:rPr>
            </w:pPr>
            <w:r>
              <w:rPr>
                <w:i/>
                <w:sz w:val="20"/>
                <w:szCs w:val="20"/>
                <w:lang w:eastAsia="en-US"/>
              </w:rPr>
              <w:t xml:space="preserve">State (2) occurs in </w:t>
            </w:r>
            <w:r>
              <w:rPr>
                <w:sz w:val="20"/>
                <w:szCs w:val="20"/>
                <w:lang w:eastAsia="en-US"/>
              </w:rPr>
              <w:t xml:space="preserve">Junggarsuchus </w:t>
            </w:r>
            <w:r>
              <w:rPr>
                <w:i/>
                <w:sz w:val="20"/>
                <w:szCs w:val="20"/>
                <w:lang w:eastAsia="en-US"/>
              </w:rPr>
              <w:t xml:space="preserve">(with reversals in some crocodyliforms, such as </w:t>
            </w:r>
            <w:r>
              <w:rPr>
                <w:sz w:val="20"/>
                <w:szCs w:val="20"/>
                <w:lang w:eastAsia="en-US"/>
              </w:rPr>
              <w:t>Calsoyasuchus</w:t>
            </w:r>
            <w:r>
              <w:rPr>
                <w:i/>
                <w:sz w:val="20"/>
                <w:szCs w:val="20"/>
                <w:lang w:eastAsia="en-US"/>
              </w:rPr>
              <w:t>).</w:t>
            </w:r>
          </w:p>
          <w:p w14:paraId="73982151" w14:textId="77777777" w:rsidR="006E44D9" w:rsidRDefault="006E44D9" w:rsidP="006E44D9">
            <w:pPr>
              <w:autoSpaceDE w:val="0"/>
              <w:autoSpaceDN w:val="0"/>
              <w:adjustRightInd w:val="0"/>
              <w:rPr>
                <w:i/>
                <w:sz w:val="20"/>
                <w:szCs w:val="20"/>
                <w:lang w:eastAsia="en-US"/>
              </w:rPr>
            </w:pPr>
            <w:r>
              <w:rPr>
                <w:i/>
                <w:sz w:val="20"/>
                <w:szCs w:val="20"/>
                <w:lang w:eastAsia="en-US"/>
              </w:rPr>
              <w:t>State (3) occurs in non-crocodyliforms.</w:t>
            </w:r>
          </w:p>
          <w:p w14:paraId="2E430F2C" w14:textId="77777777" w:rsidR="006E44D9" w:rsidRDefault="006E44D9" w:rsidP="006E44D9">
            <w:pPr>
              <w:autoSpaceDE w:val="0"/>
              <w:autoSpaceDN w:val="0"/>
              <w:adjustRightInd w:val="0"/>
              <w:rPr>
                <w:sz w:val="20"/>
                <w:szCs w:val="20"/>
                <w:lang w:eastAsia="en-US"/>
              </w:rPr>
            </w:pPr>
            <w:r>
              <w:rPr>
                <w:sz w:val="20"/>
                <w:szCs w:val="20"/>
                <w:lang w:eastAsia="en-US"/>
              </w:rPr>
              <w:t>0. small, internal fenestra is less than 25% of the length of the orbit, or internal fenestra is absent</w:t>
            </w:r>
          </w:p>
          <w:p w14:paraId="5DA9D071" w14:textId="77777777" w:rsidR="006E44D9" w:rsidRDefault="006E44D9" w:rsidP="006E44D9">
            <w:pPr>
              <w:autoSpaceDE w:val="0"/>
              <w:autoSpaceDN w:val="0"/>
              <w:adjustRightInd w:val="0"/>
              <w:rPr>
                <w:sz w:val="20"/>
                <w:szCs w:val="20"/>
                <w:lang w:eastAsia="en-US"/>
              </w:rPr>
            </w:pPr>
            <w:r>
              <w:rPr>
                <w:sz w:val="20"/>
                <w:szCs w:val="20"/>
                <w:lang w:eastAsia="en-US"/>
              </w:rPr>
              <w:t>1. medium, internal fenestra is approximately 25-50% of the length of the orbit</w:t>
            </w:r>
          </w:p>
          <w:p w14:paraId="56AE6780" w14:textId="77777777" w:rsidR="006E44D9" w:rsidRDefault="006E44D9" w:rsidP="006E44D9">
            <w:pPr>
              <w:autoSpaceDE w:val="0"/>
              <w:autoSpaceDN w:val="0"/>
              <w:adjustRightInd w:val="0"/>
              <w:rPr>
                <w:sz w:val="20"/>
                <w:szCs w:val="20"/>
                <w:lang w:eastAsia="en-US"/>
              </w:rPr>
            </w:pPr>
            <w:r>
              <w:rPr>
                <w:sz w:val="20"/>
                <w:szCs w:val="20"/>
                <w:lang w:eastAsia="en-US"/>
              </w:rPr>
              <w:t>2. large, internal fenestra is more than 50% of the length of the orbit</w:t>
            </w:r>
          </w:p>
          <w:p w14:paraId="7BC57B47" w14:textId="77777777" w:rsidR="006E44D9" w:rsidRDefault="006E44D9" w:rsidP="006E44D9">
            <w:pPr>
              <w:rPr>
                <w:b/>
                <w:color w:val="000000"/>
                <w:sz w:val="20"/>
                <w:szCs w:val="20"/>
                <w:lang w:eastAsia="en-US"/>
              </w:rPr>
            </w:pPr>
            <w:r>
              <w:rPr>
                <w:sz w:val="20"/>
                <w:szCs w:val="20"/>
                <w:lang w:eastAsia="en-US"/>
              </w:rPr>
              <w:t>3. very large, internal fenestra approximately the same size as the orbit</w:t>
            </w:r>
          </w:p>
        </w:tc>
      </w:tr>
      <w:tr w:rsidR="006E44D9" w14:paraId="0802F88E" w14:textId="77777777" w:rsidTr="006E44D9">
        <w:tc>
          <w:tcPr>
            <w:tcW w:w="0" w:type="auto"/>
            <w:tcBorders>
              <w:top w:val="single" w:sz="4" w:space="0" w:color="auto"/>
              <w:left w:val="single" w:sz="4" w:space="0" w:color="auto"/>
              <w:bottom w:val="single" w:sz="4" w:space="0" w:color="auto"/>
              <w:right w:val="single" w:sz="4" w:space="0" w:color="auto"/>
            </w:tcBorders>
          </w:tcPr>
          <w:p w14:paraId="34142F98" w14:textId="0031103E" w:rsidR="006E44D9" w:rsidRDefault="006E44D9" w:rsidP="006E44D9">
            <w:pPr>
              <w:rPr>
                <w:color w:val="000000"/>
                <w:sz w:val="20"/>
                <w:szCs w:val="20"/>
                <w:lang w:eastAsia="en-US"/>
              </w:rPr>
            </w:pPr>
            <w:r>
              <w:rPr>
                <w:color w:val="000000"/>
                <w:sz w:val="20"/>
                <w:szCs w:val="20"/>
                <w:lang w:eastAsia="en-US"/>
              </w:rPr>
              <w:t>81</w:t>
            </w:r>
          </w:p>
        </w:tc>
        <w:tc>
          <w:tcPr>
            <w:tcW w:w="0" w:type="auto"/>
            <w:tcBorders>
              <w:top w:val="single" w:sz="4" w:space="0" w:color="auto"/>
              <w:left w:val="single" w:sz="4" w:space="0" w:color="auto"/>
              <w:bottom w:val="single" w:sz="4" w:space="0" w:color="auto"/>
              <w:right w:val="single" w:sz="4" w:space="0" w:color="auto"/>
            </w:tcBorders>
            <w:hideMark/>
          </w:tcPr>
          <w:p w14:paraId="0572A9CC"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nasal participation in the internal antorbital/preorbital fenestra: (*)</w:t>
            </w:r>
          </w:p>
          <w:p w14:paraId="1AE8A6D7" w14:textId="54671CA6" w:rsidR="006E44D9" w:rsidRDefault="006E44D9" w:rsidP="006E44D9">
            <w:pPr>
              <w:autoSpaceDE w:val="0"/>
              <w:autoSpaceDN w:val="0"/>
              <w:adjustRightInd w:val="0"/>
              <w:rPr>
                <w:i/>
                <w:sz w:val="20"/>
                <w:szCs w:val="20"/>
                <w:lang w:eastAsia="en-US"/>
              </w:rPr>
            </w:pPr>
            <w:r>
              <w:rPr>
                <w:bCs/>
                <w:i/>
                <w:sz w:val="20"/>
                <w:szCs w:val="20"/>
                <w:lang w:eastAsia="en-US"/>
              </w:rPr>
              <w:t xml:space="preserve">Ortega </w:t>
            </w:r>
            <w:r>
              <w:rPr>
                <w:bCs/>
                <w:i/>
                <w:iCs/>
                <w:sz w:val="20"/>
                <w:szCs w:val="20"/>
                <w:lang w:eastAsia="en-US"/>
              </w:rPr>
              <w:t>et al. (</w:t>
            </w:r>
            <w:r>
              <w:rPr>
                <w:bCs/>
                <w:i/>
                <w:sz w:val="20"/>
                <w:szCs w:val="20"/>
                <w:lang w:eastAsia="en-US"/>
              </w:rPr>
              <w:t>2000, ch. 70 modified);</w:t>
            </w:r>
            <w:r>
              <w:rPr>
                <w:b/>
                <w:bCs/>
                <w:sz w:val="20"/>
                <w:szCs w:val="20"/>
                <w:lang w:eastAsia="en-US"/>
              </w:rPr>
              <w:t xml:space="preserve"> </w:t>
            </w:r>
            <w:r>
              <w:rPr>
                <w:bCs/>
                <w:i/>
                <w:sz w:val="20"/>
                <w:szCs w:val="20"/>
                <w:lang w:eastAsia="en-US"/>
              </w:rPr>
              <w:t xml:space="preserve">Wilkinson et al. (2008, ch. 40); Young &amp; Andrade (2009, ch. 40); </w:t>
            </w:r>
            <w:r>
              <w:rPr>
                <w:bCs/>
                <w:i/>
                <w:sz w:val="20"/>
                <w:lang w:eastAsia="en-US"/>
              </w:rPr>
              <w:t xml:space="preserve">Andrade et al. (2011, ch. 49 modified); </w:t>
            </w:r>
            <w:r>
              <w:rPr>
                <w:bCs/>
                <w:i/>
                <w:sz w:val="20"/>
                <w:szCs w:val="20"/>
                <w:lang w:eastAsia="en-US"/>
              </w:rPr>
              <w:t xml:space="preserve">Young et al. (2011, ch. 40); Young et al. (2013a, ch. 22 modified); </w:t>
            </w:r>
            <w:r>
              <w:rPr>
                <w:i/>
                <w:sz w:val="20"/>
                <w:szCs w:val="20"/>
                <w:lang w:eastAsia="en-US"/>
              </w:rPr>
              <w:t xml:space="preserve">Young et al. (2012, ch. 29 modified); Young (2014, ch. 31 modified); Young et al. (2016, ds 2, ch. 39 modified); Ristevski et al. (2018, ds 2, ch. 62 modified); Smith et al. (in review, ds 1, ch. 63 modified); </w:t>
            </w:r>
            <w:r>
              <w:rPr>
                <w:i/>
                <w:sz w:val="20"/>
                <w:szCs w:val="20"/>
              </w:rPr>
              <w:t>Ősi et al. (in review, ds 1, ch. 76)</w:t>
            </w:r>
            <w:r>
              <w:rPr>
                <w:i/>
                <w:sz w:val="20"/>
                <w:szCs w:val="20"/>
                <w:lang w:eastAsia="en-US"/>
              </w:rPr>
              <w:t>.</w:t>
            </w:r>
          </w:p>
          <w:p w14:paraId="6A5554A1" w14:textId="77777777" w:rsidR="006E44D9" w:rsidRDefault="006E44D9" w:rsidP="006E44D9">
            <w:pPr>
              <w:rPr>
                <w:i/>
                <w:iCs/>
                <w:color w:val="000000"/>
                <w:sz w:val="20"/>
                <w:szCs w:val="20"/>
                <w:lang w:eastAsia="en-US"/>
              </w:rPr>
            </w:pPr>
            <w:r>
              <w:rPr>
                <w:i/>
                <w:iCs/>
                <w:color w:val="000000"/>
                <w:sz w:val="20"/>
                <w:szCs w:val="20"/>
                <w:lang w:eastAsia="en-US"/>
              </w:rPr>
              <w:t xml:space="preserve">State (1) is a putative apomorphy of Metriorhynchidae. It also occurs in </w:t>
            </w:r>
            <w:r>
              <w:rPr>
                <w:iCs/>
                <w:color w:val="000000"/>
                <w:sz w:val="20"/>
                <w:szCs w:val="20"/>
                <w:lang w:eastAsia="en-US"/>
              </w:rPr>
              <w:t xml:space="preserve">Calsoyasuchus </w:t>
            </w:r>
            <w:r>
              <w:rPr>
                <w:i/>
                <w:iCs/>
                <w:color w:val="000000"/>
                <w:sz w:val="20"/>
                <w:szCs w:val="20"/>
                <w:lang w:eastAsia="en-US"/>
              </w:rPr>
              <w:t xml:space="preserve">and </w:t>
            </w:r>
            <w:r>
              <w:rPr>
                <w:iCs/>
                <w:color w:val="000000"/>
                <w:sz w:val="20"/>
                <w:szCs w:val="20"/>
                <w:lang w:eastAsia="en-US"/>
              </w:rPr>
              <w:t>Gracilisuchus</w:t>
            </w:r>
            <w:r>
              <w:rPr>
                <w:i/>
                <w:iCs/>
                <w:color w:val="000000"/>
                <w:sz w:val="20"/>
                <w:szCs w:val="20"/>
                <w:lang w:eastAsia="en-US"/>
              </w:rPr>
              <w:t>.</w:t>
            </w:r>
          </w:p>
          <w:p w14:paraId="669C8C1D" w14:textId="77777777" w:rsidR="006E44D9" w:rsidRDefault="006E44D9" w:rsidP="006E44D9">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antorbital/preorbital fenestrae.</w:t>
            </w:r>
          </w:p>
          <w:p w14:paraId="1EB81665" w14:textId="77777777" w:rsidR="006E44D9" w:rsidRDefault="006E44D9" w:rsidP="006E44D9">
            <w:pPr>
              <w:autoSpaceDE w:val="0"/>
              <w:autoSpaceDN w:val="0"/>
              <w:adjustRightInd w:val="0"/>
              <w:rPr>
                <w:sz w:val="20"/>
                <w:szCs w:val="20"/>
                <w:lang w:eastAsia="en-US"/>
              </w:rPr>
            </w:pPr>
            <w:r>
              <w:rPr>
                <w:sz w:val="20"/>
                <w:szCs w:val="20"/>
                <w:lang w:eastAsia="en-US"/>
              </w:rPr>
              <w:t>0. absent, nasals excluded from the internal fenestra by a maxillo-lachrymal contact</w:t>
            </w:r>
          </w:p>
          <w:p w14:paraId="173FDCB6" w14:textId="77777777" w:rsidR="006E44D9" w:rsidRDefault="006E44D9" w:rsidP="006E44D9">
            <w:pPr>
              <w:autoSpaceDE w:val="0"/>
              <w:autoSpaceDN w:val="0"/>
              <w:adjustRightInd w:val="0"/>
              <w:rPr>
                <w:b/>
                <w:bCs/>
                <w:sz w:val="20"/>
                <w:szCs w:val="20"/>
                <w:lang w:eastAsia="en-US"/>
              </w:rPr>
            </w:pPr>
            <w:r>
              <w:rPr>
                <w:sz w:val="20"/>
                <w:szCs w:val="20"/>
                <w:lang w:eastAsia="en-US"/>
              </w:rPr>
              <w:t>1. present, nasals broadly reach the internal fenestra (or reach deep into the fossa, if the internal fenestra is closed or preorbital)</w:t>
            </w:r>
          </w:p>
        </w:tc>
      </w:tr>
      <w:tr w:rsidR="006E44D9" w14:paraId="480909AE" w14:textId="77777777" w:rsidTr="006E44D9">
        <w:tc>
          <w:tcPr>
            <w:tcW w:w="0" w:type="auto"/>
            <w:tcBorders>
              <w:top w:val="single" w:sz="4" w:space="0" w:color="auto"/>
              <w:left w:val="single" w:sz="4" w:space="0" w:color="auto"/>
              <w:bottom w:val="single" w:sz="4" w:space="0" w:color="auto"/>
              <w:right w:val="single" w:sz="4" w:space="0" w:color="auto"/>
            </w:tcBorders>
          </w:tcPr>
          <w:p w14:paraId="7506092B" w14:textId="7548BC50" w:rsidR="006E44D9" w:rsidRDefault="006E44D9" w:rsidP="006E44D9">
            <w:pPr>
              <w:rPr>
                <w:sz w:val="20"/>
                <w:szCs w:val="20"/>
                <w:lang w:eastAsia="en-US"/>
              </w:rPr>
            </w:pPr>
            <w:r>
              <w:rPr>
                <w:color w:val="000000"/>
                <w:sz w:val="20"/>
                <w:szCs w:val="20"/>
                <w:lang w:eastAsia="en-US"/>
              </w:rPr>
              <w:t>82</w:t>
            </w:r>
          </w:p>
        </w:tc>
        <w:tc>
          <w:tcPr>
            <w:tcW w:w="0" w:type="auto"/>
            <w:tcBorders>
              <w:top w:val="single" w:sz="4" w:space="0" w:color="auto"/>
              <w:left w:val="single" w:sz="4" w:space="0" w:color="auto"/>
              <w:bottom w:val="single" w:sz="4" w:space="0" w:color="auto"/>
              <w:right w:val="single" w:sz="4" w:space="0" w:color="auto"/>
            </w:tcBorders>
            <w:hideMark/>
          </w:tcPr>
          <w:p w14:paraId="039AAF8F"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jugal participation in the external antorbital/preorbital fenestra: (*)</w:t>
            </w:r>
          </w:p>
          <w:p w14:paraId="604DBB04" w14:textId="29575BE6" w:rsidR="006E44D9" w:rsidRDefault="006E44D9" w:rsidP="006E44D9">
            <w:pPr>
              <w:autoSpaceDE w:val="0"/>
              <w:autoSpaceDN w:val="0"/>
              <w:adjustRightInd w:val="0"/>
              <w:rPr>
                <w:i/>
                <w:sz w:val="20"/>
                <w:szCs w:val="20"/>
                <w:lang w:eastAsia="en-US"/>
              </w:rPr>
            </w:pPr>
            <w:r>
              <w:rPr>
                <w:bCs/>
                <w:i/>
                <w:sz w:val="20"/>
                <w:szCs w:val="20"/>
                <w:lang w:eastAsia="en-US"/>
              </w:rPr>
              <w:t xml:space="preserve">Wu &amp; Sues (1996, ch. 14 revised); Clark et al. (2000, ch. 4); Ortega </w:t>
            </w:r>
            <w:r>
              <w:rPr>
                <w:bCs/>
                <w:i/>
                <w:iCs/>
                <w:sz w:val="20"/>
                <w:szCs w:val="20"/>
                <w:lang w:eastAsia="en-US"/>
              </w:rPr>
              <w:t>et al. (</w:t>
            </w:r>
            <w:r>
              <w:rPr>
                <w:bCs/>
                <w:i/>
                <w:sz w:val="20"/>
                <w:szCs w:val="20"/>
                <w:lang w:eastAsia="en-US"/>
              </w:rPr>
              <w:t>2000, ch. 71 revised);</w:t>
            </w:r>
            <w:r>
              <w:rPr>
                <w:b/>
                <w:bCs/>
                <w:sz w:val="20"/>
                <w:szCs w:val="20"/>
                <w:lang w:eastAsia="en-US"/>
              </w:rPr>
              <w:t xml:space="preserve"> </w:t>
            </w:r>
            <w:r>
              <w:rPr>
                <w:bCs/>
                <w:i/>
                <w:sz w:val="20"/>
                <w:szCs w:val="20"/>
                <w:lang w:eastAsia="en-US"/>
              </w:rPr>
              <w:t>Clark &amp; Sues (2002, ch. 4); Sues et al. (2003, ch. 4); Clark et al. (2004, ch. 4);</w:t>
            </w:r>
            <w:r>
              <w:rPr>
                <w:i/>
                <w:sz w:val="20"/>
                <w:szCs w:val="20"/>
                <w:lang w:eastAsia="en-US"/>
              </w:rPr>
              <w:t xml:space="preserve">Young (2006, ch. 17); Wilkinson et al. (2008, ch. 39); Young &amp; Andrade (2009, ch. 39); </w:t>
            </w:r>
            <w:r>
              <w:rPr>
                <w:bCs/>
                <w:i/>
                <w:sz w:val="20"/>
                <w:szCs w:val="20"/>
                <w:lang w:eastAsia="en-US"/>
              </w:rPr>
              <w:t>Andrade et al. (2011, ch. 50)</w:t>
            </w:r>
            <w:r>
              <w:rPr>
                <w:i/>
                <w:sz w:val="20"/>
                <w:szCs w:val="20"/>
                <w:lang w:eastAsia="en-US"/>
              </w:rPr>
              <w:t xml:space="preserve">; Young et al. (2013a ch. 24 part); Young et al. (2012, ch. 30); </w:t>
            </w:r>
            <w:r>
              <w:rPr>
                <w:bCs/>
                <w:i/>
                <w:sz w:val="20"/>
                <w:szCs w:val="20"/>
                <w:lang w:eastAsia="en-US"/>
              </w:rPr>
              <w:t xml:space="preserve">Pol et al. (2013, ch. 4); </w:t>
            </w:r>
            <w:r>
              <w:rPr>
                <w:i/>
                <w:sz w:val="20"/>
                <w:szCs w:val="20"/>
                <w:lang w:eastAsia="en-US"/>
              </w:rPr>
              <w:t xml:space="preserve">Young (2014, ch. 32); Young et al. (2016, ds 2, ch. 40); </w:t>
            </w:r>
            <w:r>
              <w:rPr>
                <w:bCs/>
                <w:i/>
                <w:sz w:val="20"/>
                <w:szCs w:val="20"/>
                <w:lang w:eastAsia="en-US"/>
              </w:rPr>
              <w:t>Leardi et al. (2017, ch. 4);</w:t>
            </w:r>
            <w:r>
              <w:rPr>
                <w:i/>
                <w:sz w:val="20"/>
                <w:szCs w:val="20"/>
                <w:lang w:eastAsia="en-US"/>
              </w:rPr>
              <w:t xml:space="preserve">Ristevski et al. (2018, ds 2, ch. 63); Smith et al. (in review, ds 1, ch. 64); </w:t>
            </w:r>
            <w:r>
              <w:rPr>
                <w:i/>
                <w:sz w:val="20"/>
                <w:szCs w:val="20"/>
              </w:rPr>
              <w:t>Ősi et al. (in review, ds 1, ch. 77)</w:t>
            </w:r>
            <w:r>
              <w:rPr>
                <w:i/>
                <w:sz w:val="20"/>
                <w:szCs w:val="20"/>
                <w:lang w:eastAsia="en-US"/>
              </w:rPr>
              <w:t>.</w:t>
            </w:r>
          </w:p>
          <w:p w14:paraId="210C7FE4" w14:textId="77777777" w:rsidR="006E44D9" w:rsidRDefault="006E44D9" w:rsidP="006E44D9">
            <w:pPr>
              <w:autoSpaceDE w:val="0"/>
              <w:autoSpaceDN w:val="0"/>
              <w:adjustRightInd w:val="0"/>
              <w:rPr>
                <w:i/>
                <w:iCs/>
                <w:sz w:val="20"/>
                <w:szCs w:val="20"/>
                <w:lang w:eastAsia="en-US"/>
              </w:rPr>
            </w:pPr>
            <w:r>
              <w:rPr>
                <w:i/>
                <w:iCs/>
                <w:sz w:val="20"/>
                <w:szCs w:val="20"/>
                <w:lang w:eastAsia="en-US"/>
              </w:rPr>
              <w:t>Should be scored alongside the characters regarding the antorbital fenestra, not jugal, to facilitate cross-checking of inapplicable states due to the absence of the antorbital fenestra.</w:t>
            </w:r>
          </w:p>
          <w:p w14:paraId="779315D5" w14:textId="77777777" w:rsidR="006E44D9" w:rsidRDefault="006E44D9" w:rsidP="006E44D9">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external antorbital/preorbital fenestrae.</w:t>
            </w:r>
          </w:p>
          <w:p w14:paraId="60B97B92" w14:textId="77777777" w:rsidR="006E44D9" w:rsidRDefault="006E44D9" w:rsidP="006E44D9">
            <w:pPr>
              <w:autoSpaceDE w:val="0"/>
              <w:autoSpaceDN w:val="0"/>
              <w:adjustRightInd w:val="0"/>
              <w:rPr>
                <w:sz w:val="20"/>
                <w:szCs w:val="20"/>
                <w:lang w:eastAsia="en-US"/>
              </w:rPr>
            </w:pPr>
            <w:r>
              <w:rPr>
                <w:sz w:val="20"/>
                <w:szCs w:val="20"/>
                <w:lang w:eastAsia="en-US"/>
              </w:rPr>
              <w:t>0. absent, jugal excluded from the external fenestra by a maxillary-lachrymal contact</w:t>
            </w:r>
          </w:p>
          <w:p w14:paraId="46C67F28" w14:textId="77777777" w:rsidR="006E44D9" w:rsidRDefault="006E44D9" w:rsidP="006E44D9">
            <w:pPr>
              <w:autoSpaceDE w:val="0"/>
              <w:autoSpaceDN w:val="0"/>
              <w:adjustRightInd w:val="0"/>
              <w:rPr>
                <w:b/>
                <w:bCs/>
                <w:sz w:val="20"/>
                <w:szCs w:val="20"/>
                <w:lang w:eastAsia="en-US"/>
              </w:rPr>
            </w:pPr>
            <w:r>
              <w:rPr>
                <w:sz w:val="20"/>
                <w:szCs w:val="20"/>
                <w:lang w:eastAsia="en-US"/>
              </w:rPr>
              <w:t>1. present, jugal takes part in the external fenestra (or reach deep into the fossa, if the internal fenestra is closed or preorbital)</w:t>
            </w:r>
          </w:p>
        </w:tc>
      </w:tr>
      <w:tr w:rsidR="006E44D9" w14:paraId="2A850560" w14:textId="77777777" w:rsidTr="006E44D9">
        <w:tc>
          <w:tcPr>
            <w:tcW w:w="0" w:type="auto"/>
            <w:tcBorders>
              <w:top w:val="single" w:sz="4" w:space="0" w:color="auto"/>
              <w:left w:val="single" w:sz="4" w:space="0" w:color="auto"/>
              <w:bottom w:val="single" w:sz="4" w:space="0" w:color="auto"/>
              <w:right w:val="single" w:sz="4" w:space="0" w:color="auto"/>
            </w:tcBorders>
          </w:tcPr>
          <w:p w14:paraId="1DC5447C" w14:textId="026D4633" w:rsidR="006E44D9" w:rsidRDefault="006E44D9" w:rsidP="006E44D9">
            <w:pPr>
              <w:rPr>
                <w:sz w:val="20"/>
                <w:szCs w:val="20"/>
                <w:lang w:eastAsia="en-US"/>
              </w:rPr>
            </w:pPr>
            <w:r>
              <w:rPr>
                <w:color w:val="000000"/>
                <w:sz w:val="20"/>
                <w:szCs w:val="20"/>
                <w:lang w:eastAsia="en-US"/>
              </w:rPr>
              <w:t>83</w:t>
            </w:r>
          </w:p>
        </w:tc>
        <w:tc>
          <w:tcPr>
            <w:tcW w:w="0" w:type="auto"/>
            <w:tcBorders>
              <w:top w:val="single" w:sz="4" w:space="0" w:color="auto"/>
              <w:left w:val="single" w:sz="4" w:space="0" w:color="auto"/>
              <w:bottom w:val="single" w:sz="4" w:space="0" w:color="auto"/>
              <w:right w:val="single" w:sz="4" w:space="0" w:color="auto"/>
            </w:tcBorders>
            <w:hideMark/>
          </w:tcPr>
          <w:p w14:paraId="33E10E95" w14:textId="77777777" w:rsidR="006E44D9" w:rsidRDefault="006E44D9" w:rsidP="006E44D9">
            <w:pPr>
              <w:autoSpaceDE w:val="0"/>
              <w:autoSpaceDN w:val="0"/>
              <w:adjustRightInd w:val="0"/>
              <w:rPr>
                <w:b/>
                <w:bCs/>
                <w:color w:val="000000"/>
                <w:sz w:val="20"/>
                <w:szCs w:val="20"/>
                <w:lang w:eastAsia="en-US"/>
              </w:rPr>
            </w:pPr>
            <w:r>
              <w:rPr>
                <w:b/>
                <w:bCs/>
                <w:color w:val="000000"/>
                <w:sz w:val="20"/>
                <w:szCs w:val="20"/>
                <w:lang w:eastAsia="en-US"/>
              </w:rPr>
              <w:t>Antorbital cavity, position relative to the rostrum: (*)</w:t>
            </w:r>
          </w:p>
          <w:p w14:paraId="5BF9332F" w14:textId="1F6F0446" w:rsidR="006E44D9" w:rsidRDefault="006E44D9" w:rsidP="006E44D9">
            <w:pPr>
              <w:autoSpaceDE w:val="0"/>
              <w:autoSpaceDN w:val="0"/>
              <w:adjustRightInd w:val="0"/>
              <w:rPr>
                <w:i/>
                <w:iCs/>
                <w:color w:val="000000"/>
                <w:sz w:val="20"/>
                <w:szCs w:val="20"/>
                <w:lang w:eastAsia="en-US"/>
              </w:rPr>
            </w:pPr>
            <w:r>
              <w:rPr>
                <w:bCs/>
                <w:i/>
                <w:color w:val="000000"/>
                <w:sz w:val="20"/>
                <w:lang w:eastAsia="en-US"/>
              </w:rPr>
              <w:t xml:space="preserve">Andrade et al. (2011, ch. 51 modified); </w:t>
            </w:r>
            <w:r>
              <w:rPr>
                <w:i/>
                <w:sz w:val="20"/>
                <w:szCs w:val="20"/>
                <w:lang w:eastAsia="en-US"/>
              </w:rPr>
              <w:t xml:space="preserve">Ristevski et al. (2018, ds 2, ch. 66); Smith et al. (in review, ds 1, ch. 67); </w:t>
            </w:r>
            <w:r>
              <w:rPr>
                <w:i/>
                <w:sz w:val="20"/>
                <w:szCs w:val="20"/>
              </w:rPr>
              <w:t>Ősi et al. (in review, ds 1, ch. 78)</w:t>
            </w:r>
            <w:r>
              <w:rPr>
                <w:bCs/>
                <w:i/>
                <w:color w:val="000000"/>
                <w:sz w:val="20"/>
                <w:lang w:eastAsia="en-US"/>
              </w:rPr>
              <w:t>.</w:t>
            </w:r>
          </w:p>
          <w:p w14:paraId="022D6FBD" w14:textId="77777777"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24245B16" w14:textId="778CD3FB" w:rsidR="006E44D9" w:rsidRDefault="006E44D9" w:rsidP="006E44D9">
            <w:pPr>
              <w:autoSpaceDE w:val="0"/>
              <w:autoSpaceDN w:val="0"/>
              <w:adjustRightInd w:val="0"/>
              <w:rPr>
                <w:i/>
                <w:iCs/>
                <w:color w:val="000000"/>
                <w:sz w:val="20"/>
                <w:szCs w:val="20"/>
                <w:lang w:eastAsia="en-US"/>
              </w:rPr>
            </w:pPr>
            <w:r>
              <w:rPr>
                <w:i/>
                <w:iCs/>
                <w:color w:val="000000"/>
                <w:sz w:val="20"/>
                <w:szCs w:val="20"/>
                <w:lang w:eastAsia="en-US"/>
              </w:rPr>
              <w:t>Ristevski et al. (2018) modified state (1) to say ‘approximately equidistant…’, as in some teleosaur</w:t>
            </w:r>
            <w:r w:rsidR="00007246">
              <w:rPr>
                <w:i/>
                <w:iCs/>
                <w:color w:val="000000"/>
                <w:sz w:val="20"/>
                <w:szCs w:val="20"/>
                <w:lang w:eastAsia="en-US"/>
              </w:rPr>
              <w:t>o</w:t>
            </w:r>
            <w:r>
              <w:rPr>
                <w:i/>
                <w:iCs/>
                <w:color w:val="000000"/>
                <w:sz w:val="20"/>
                <w:szCs w:val="20"/>
                <w:lang w:eastAsia="en-US"/>
              </w:rPr>
              <w:t>ids (</w:t>
            </w:r>
            <w:r>
              <w:rPr>
                <w:iCs/>
                <w:color w:val="000000"/>
                <w:sz w:val="20"/>
                <w:szCs w:val="20"/>
                <w:lang w:eastAsia="en-US"/>
              </w:rPr>
              <w:t>e.g. Steneosaurus brevior, Platysuchus multiscrobiculatus</w:t>
            </w:r>
            <w:r>
              <w:rPr>
                <w:i/>
                <w:iCs/>
                <w:color w:val="000000"/>
                <w:sz w:val="20"/>
                <w:szCs w:val="20"/>
                <w:lang w:eastAsia="en-US"/>
              </w:rPr>
              <w:t>) the cavity is almost equidistant between the orbits and alveolar margin. But, these taxa still have the antorbital cavity being noticeably anterior to the orbits, as with other thalattosuchians that have not closed these cavities.</w:t>
            </w:r>
          </w:p>
          <w:p w14:paraId="21C72207" w14:textId="77777777" w:rsidR="006E44D9" w:rsidRDefault="006E44D9" w:rsidP="006E44D9">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external antorbital/preorbital fenestrae.</w:t>
            </w:r>
          </w:p>
          <w:p w14:paraId="6F713883" w14:textId="77777777" w:rsidR="006E44D9" w:rsidRDefault="006E44D9" w:rsidP="006E44D9">
            <w:pPr>
              <w:autoSpaceDE w:val="0"/>
              <w:autoSpaceDN w:val="0"/>
              <w:adjustRightInd w:val="0"/>
              <w:rPr>
                <w:color w:val="000000"/>
                <w:sz w:val="20"/>
                <w:szCs w:val="20"/>
                <w:lang w:eastAsia="en-US"/>
              </w:rPr>
            </w:pPr>
            <w:r>
              <w:rPr>
                <w:color w:val="000000"/>
                <w:sz w:val="20"/>
                <w:szCs w:val="20"/>
                <w:lang w:eastAsia="en-US"/>
              </w:rPr>
              <w:t>0. closer to the orbit than to the alveolar margin</w:t>
            </w:r>
          </w:p>
          <w:p w14:paraId="6591EEDA" w14:textId="77777777" w:rsidR="006E44D9" w:rsidRDefault="006E44D9" w:rsidP="006E44D9">
            <w:pPr>
              <w:autoSpaceDE w:val="0"/>
              <w:autoSpaceDN w:val="0"/>
              <w:adjustRightInd w:val="0"/>
              <w:rPr>
                <w:b/>
                <w:bCs/>
                <w:sz w:val="20"/>
                <w:szCs w:val="20"/>
                <w:lang w:eastAsia="en-US"/>
              </w:rPr>
            </w:pPr>
            <w:r>
              <w:rPr>
                <w:color w:val="000000"/>
                <w:sz w:val="20"/>
                <w:szCs w:val="20"/>
                <w:lang w:eastAsia="en-US"/>
              </w:rPr>
              <w:t>1. closer to the alveolar margin than to the orbit, or approximately equidistant (but with the cavity still noticeably anterior to the orbit)</w:t>
            </w:r>
          </w:p>
        </w:tc>
      </w:tr>
      <w:tr w:rsidR="006E44D9" w14:paraId="4C43C388" w14:textId="77777777" w:rsidTr="006E44D9">
        <w:tc>
          <w:tcPr>
            <w:tcW w:w="0" w:type="auto"/>
            <w:tcBorders>
              <w:top w:val="single" w:sz="4" w:space="0" w:color="auto"/>
              <w:left w:val="single" w:sz="4" w:space="0" w:color="auto"/>
              <w:bottom w:val="single" w:sz="4" w:space="0" w:color="auto"/>
              <w:right w:val="single" w:sz="4" w:space="0" w:color="auto"/>
            </w:tcBorders>
          </w:tcPr>
          <w:p w14:paraId="4C2C0818" w14:textId="352ABB11" w:rsidR="006E44D9" w:rsidRDefault="006E44D9" w:rsidP="006E44D9">
            <w:pPr>
              <w:rPr>
                <w:sz w:val="20"/>
                <w:szCs w:val="20"/>
                <w:lang w:eastAsia="en-US"/>
              </w:rPr>
            </w:pPr>
            <w:r>
              <w:rPr>
                <w:color w:val="000000"/>
                <w:sz w:val="20"/>
                <w:szCs w:val="20"/>
                <w:lang w:eastAsia="en-US"/>
              </w:rPr>
              <w:t>84</w:t>
            </w:r>
          </w:p>
        </w:tc>
        <w:tc>
          <w:tcPr>
            <w:tcW w:w="0" w:type="auto"/>
            <w:tcBorders>
              <w:top w:val="single" w:sz="4" w:space="0" w:color="auto"/>
              <w:left w:val="single" w:sz="4" w:space="0" w:color="auto"/>
              <w:bottom w:val="single" w:sz="4" w:space="0" w:color="auto"/>
              <w:right w:val="single" w:sz="4" w:space="0" w:color="auto"/>
            </w:tcBorders>
            <w:hideMark/>
          </w:tcPr>
          <w:p w14:paraId="503F60DA" w14:textId="77777777" w:rsidR="006E44D9" w:rsidRDefault="006E44D9" w:rsidP="006E44D9">
            <w:pPr>
              <w:autoSpaceDE w:val="0"/>
              <w:autoSpaceDN w:val="0"/>
              <w:adjustRightInd w:val="0"/>
              <w:rPr>
                <w:b/>
                <w:bCs/>
                <w:sz w:val="20"/>
                <w:szCs w:val="20"/>
                <w:lang w:eastAsia="en-US"/>
              </w:rPr>
            </w:pPr>
            <w:r>
              <w:rPr>
                <w:b/>
                <w:bCs/>
                <w:sz w:val="20"/>
                <w:szCs w:val="20"/>
                <w:lang w:eastAsia="en-US"/>
              </w:rPr>
              <w:t>Antorbital cavity, position relative to the orbit: (*)</w:t>
            </w:r>
          </w:p>
          <w:p w14:paraId="2A7366C2" w14:textId="6F0024CC" w:rsidR="006E44D9" w:rsidRDefault="006E44D9" w:rsidP="006E44D9">
            <w:pPr>
              <w:tabs>
                <w:tab w:val="left" w:pos="3195"/>
              </w:tabs>
              <w:autoSpaceDE w:val="0"/>
              <w:autoSpaceDN w:val="0"/>
              <w:adjustRightInd w:val="0"/>
              <w:rPr>
                <w:i/>
                <w:iCs/>
                <w:sz w:val="20"/>
                <w:szCs w:val="20"/>
                <w:lang w:eastAsia="en-US"/>
              </w:rPr>
            </w:pPr>
            <w:r>
              <w:rPr>
                <w:bCs/>
                <w:i/>
                <w:sz w:val="20"/>
                <w:lang w:eastAsia="en-US"/>
              </w:rPr>
              <w:t xml:space="preserve">Andrade et al. (2011, ch. 52); </w:t>
            </w:r>
            <w:r>
              <w:rPr>
                <w:i/>
                <w:sz w:val="20"/>
                <w:szCs w:val="20"/>
              </w:rPr>
              <w:t>Ősi et al. (in review, ds 1, ch. 79)</w:t>
            </w:r>
            <w:r>
              <w:rPr>
                <w:bCs/>
                <w:i/>
                <w:sz w:val="20"/>
                <w:lang w:eastAsia="en-US"/>
              </w:rPr>
              <w:t>.</w:t>
            </w:r>
            <w:r>
              <w:rPr>
                <w:bCs/>
                <w:i/>
                <w:sz w:val="20"/>
                <w:lang w:eastAsia="en-US"/>
              </w:rPr>
              <w:tab/>
            </w:r>
          </w:p>
          <w:p w14:paraId="2839F8F8" w14:textId="77777777" w:rsidR="006E44D9" w:rsidRDefault="006E44D9" w:rsidP="006E44D9">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antorbital/preorbital fenestrae.</w:t>
            </w:r>
          </w:p>
          <w:p w14:paraId="5311096D" w14:textId="77777777" w:rsidR="006E44D9" w:rsidRDefault="006E44D9" w:rsidP="006E44D9">
            <w:pPr>
              <w:autoSpaceDE w:val="0"/>
              <w:autoSpaceDN w:val="0"/>
              <w:adjustRightInd w:val="0"/>
              <w:rPr>
                <w:sz w:val="20"/>
                <w:szCs w:val="20"/>
                <w:lang w:eastAsia="en-US"/>
              </w:rPr>
            </w:pPr>
            <w:r>
              <w:rPr>
                <w:sz w:val="20"/>
                <w:szCs w:val="20"/>
                <w:lang w:eastAsia="en-US"/>
              </w:rPr>
              <w:t>0. close to the orbit, with lachrymal narrow between orbit and antorbital cavity</w:t>
            </w:r>
          </w:p>
          <w:p w14:paraId="4FA37170" w14:textId="77777777" w:rsidR="006E44D9" w:rsidRDefault="006E44D9" w:rsidP="006E44D9">
            <w:pPr>
              <w:autoSpaceDE w:val="0"/>
              <w:autoSpaceDN w:val="0"/>
              <w:adjustRightInd w:val="0"/>
              <w:rPr>
                <w:b/>
                <w:bCs/>
                <w:color w:val="000000"/>
                <w:sz w:val="20"/>
                <w:szCs w:val="20"/>
                <w:lang w:eastAsia="en-US"/>
              </w:rPr>
            </w:pPr>
            <w:r>
              <w:rPr>
                <w:sz w:val="20"/>
                <w:szCs w:val="20"/>
                <w:lang w:eastAsia="en-US"/>
              </w:rPr>
              <w:t>1. distant to the orbit, with lachrymal wide between orbit and antorbital cavity</w:t>
            </w:r>
          </w:p>
        </w:tc>
      </w:tr>
      <w:tr w:rsidR="006E44D9" w14:paraId="40AE7487" w14:textId="77777777" w:rsidTr="006E44D9">
        <w:tc>
          <w:tcPr>
            <w:tcW w:w="0" w:type="auto"/>
            <w:tcBorders>
              <w:top w:val="single" w:sz="4" w:space="0" w:color="auto"/>
              <w:left w:val="single" w:sz="4" w:space="0" w:color="auto"/>
              <w:bottom w:val="single" w:sz="4" w:space="0" w:color="auto"/>
              <w:right w:val="single" w:sz="4" w:space="0" w:color="auto"/>
            </w:tcBorders>
          </w:tcPr>
          <w:p w14:paraId="5EB11D2F" w14:textId="435738EB" w:rsidR="006E44D9" w:rsidRDefault="006E44D9" w:rsidP="006E44D9">
            <w:pPr>
              <w:rPr>
                <w:color w:val="000000"/>
                <w:sz w:val="20"/>
                <w:szCs w:val="20"/>
                <w:lang w:eastAsia="en-US"/>
              </w:rPr>
            </w:pPr>
            <w:r>
              <w:rPr>
                <w:color w:val="000000"/>
                <w:sz w:val="20"/>
                <w:szCs w:val="20"/>
                <w:lang w:eastAsia="en-US"/>
              </w:rPr>
              <w:t>85</w:t>
            </w:r>
          </w:p>
        </w:tc>
        <w:tc>
          <w:tcPr>
            <w:tcW w:w="0" w:type="auto"/>
            <w:tcBorders>
              <w:top w:val="single" w:sz="4" w:space="0" w:color="auto"/>
              <w:left w:val="single" w:sz="4" w:space="0" w:color="auto"/>
              <w:bottom w:val="single" w:sz="4" w:space="0" w:color="auto"/>
              <w:right w:val="single" w:sz="4" w:space="0" w:color="auto"/>
            </w:tcBorders>
            <w:vAlign w:val="bottom"/>
            <w:hideMark/>
          </w:tcPr>
          <w:p w14:paraId="4BB979AD" w14:textId="77777777" w:rsidR="006E44D9" w:rsidRDefault="006E44D9" w:rsidP="006E44D9">
            <w:pPr>
              <w:rPr>
                <w:b/>
                <w:color w:val="000000"/>
                <w:sz w:val="20"/>
                <w:szCs w:val="20"/>
                <w:lang w:eastAsia="en-US"/>
              </w:rPr>
            </w:pPr>
            <w:r>
              <w:rPr>
                <w:b/>
                <w:color w:val="000000"/>
                <w:sz w:val="20"/>
                <w:szCs w:val="20"/>
                <w:lang w:eastAsia="en-US"/>
              </w:rPr>
              <w:t>Prefrontal-lachrymal fossae:</w:t>
            </w:r>
          </w:p>
          <w:p w14:paraId="257DC761" w14:textId="235CE4A7" w:rsidR="006E44D9" w:rsidRDefault="006E44D9" w:rsidP="006E44D9">
            <w:pPr>
              <w:autoSpaceDE w:val="0"/>
              <w:autoSpaceDN w:val="0"/>
              <w:adjustRightInd w:val="0"/>
              <w:rPr>
                <w:i/>
                <w:sz w:val="20"/>
                <w:szCs w:val="20"/>
                <w:lang w:eastAsia="en-US"/>
              </w:rPr>
            </w:pPr>
            <w:r>
              <w:rPr>
                <w:i/>
                <w:sz w:val="20"/>
                <w:szCs w:val="20"/>
                <w:lang w:eastAsia="en-US"/>
              </w:rPr>
              <w:t xml:space="preserve">Young &amp; Andrade (2009, ch. 150); </w:t>
            </w:r>
            <w:r>
              <w:rPr>
                <w:bCs/>
                <w:i/>
                <w:color w:val="000000"/>
                <w:sz w:val="20"/>
                <w:szCs w:val="20"/>
                <w:lang w:eastAsia="en-US"/>
              </w:rPr>
              <w:t>Young et al. (2011, ch. 150); Young et al. (2013a, ch. 27);</w:t>
            </w:r>
            <w:r>
              <w:rPr>
                <w:i/>
                <w:sz w:val="20"/>
                <w:szCs w:val="20"/>
                <w:lang w:eastAsia="en-US"/>
              </w:rPr>
              <w:t xml:space="preserve"> Young et al. (2012, ch. 33); Young (2014, ch. 35); Young et al. (2016, ds 2, ch. 43); Ristevski et al. (2018, ds 2, ch. 67); Smith et al. (in review, ds 1, ch. 68); </w:t>
            </w:r>
            <w:r>
              <w:rPr>
                <w:i/>
                <w:sz w:val="20"/>
                <w:szCs w:val="20"/>
              </w:rPr>
              <w:t>Ősi et al. (in review, ds 1, ch. 80)</w:t>
            </w:r>
            <w:r>
              <w:rPr>
                <w:i/>
                <w:sz w:val="20"/>
                <w:szCs w:val="20"/>
                <w:lang w:eastAsia="en-US"/>
              </w:rPr>
              <w:t>.</w:t>
            </w:r>
          </w:p>
          <w:p w14:paraId="65568C6F" w14:textId="77777777" w:rsidR="006E44D9" w:rsidRDefault="006E44D9" w:rsidP="006E44D9">
            <w:pPr>
              <w:autoSpaceDE w:val="0"/>
              <w:autoSpaceDN w:val="0"/>
              <w:adjustRightInd w:val="0"/>
              <w:rPr>
                <w:i/>
                <w:sz w:val="20"/>
                <w:szCs w:val="20"/>
                <w:lang w:eastAsia="en-US"/>
              </w:rPr>
            </w:pPr>
            <w:r>
              <w:rPr>
                <w:i/>
                <w:sz w:val="20"/>
                <w:szCs w:val="20"/>
                <w:lang w:eastAsia="en-US"/>
              </w:rPr>
              <w:lastRenderedPageBreak/>
              <w:t>Andrade et al. (2011, ch. 30) scores for a similar character, namely the presence of a lachrymal crest anterior to the orbit.</w:t>
            </w:r>
          </w:p>
          <w:p w14:paraId="44566101" w14:textId="77777777" w:rsidR="006E44D9" w:rsidRDefault="006E44D9" w:rsidP="006E44D9">
            <w:pPr>
              <w:autoSpaceDE w:val="0"/>
              <w:autoSpaceDN w:val="0"/>
              <w:adjustRightInd w:val="0"/>
              <w:rPr>
                <w:i/>
                <w:iCs/>
                <w:sz w:val="20"/>
                <w:szCs w:val="20"/>
                <w:lang w:eastAsia="en-US"/>
              </w:rPr>
            </w:pPr>
            <w:r>
              <w:rPr>
                <w:i/>
                <w:iCs/>
                <w:sz w:val="20"/>
                <w:szCs w:val="20"/>
                <w:lang w:eastAsia="en-US"/>
              </w:rPr>
              <w:t xml:space="preserve">The prefrontal-lachrymal fossa (sensu Young &amp; Andrade, 2009) refers to a shallow depression immediately anterior to the orbit, present on both the prefrontal and lachyrmal. It is situated posterior to the preorbital fenestra, and never contacts the preorbital fossa. There is a crest within this fossa that is present along the prefrontal-lachrymal contact (scored for by Andrade et al. 2011, ch. 30). </w:t>
            </w:r>
          </w:p>
          <w:p w14:paraId="40D445AB" w14:textId="77777777" w:rsidR="006E44D9" w:rsidRDefault="006E44D9" w:rsidP="006E44D9">
            <w:pPr>
              <w:autoSpaceDE w:val="0"/>
              <w:autoSpaceDN w:val="0"/>
              <w:adjustRightInd w:val="0"/>
              <w:rPr>
                <w:i/>
                <w:iCs/>
                <w:sz w:val="20"/>
                <w:szCs w:val="20"/>
                <w:lang w:eastAsia="en-US"/>
              </w:rPr>
            </w:pPr>
            <w:r>
              <w:rPr>
                <w:i/>
                <w:iCs/>
                <w:sz w:val="20"/>
                <w:szCs w:val="20"/>
                <w:lang w:eastAsia="en-US"/>
              </w:rPr>
              <w:t>State (1) is a putative apomorphy of Metriorhynchidae.</w:t>
            </w:r>
          </w:p>
          <w:p w14:paraId="2A8196F3" w14:textId="77777777" w:rsidR="006E44D9" w:rsidRDefault="006E44D9" w:rsidP="006E44D9">
            <w:pPr>
              <w:autoSpaceDE w:val="0"/>
              <w:autoSpaceDN w:val="0"/>
              <w:adjustRightInd w:val="0"/>
              <w:rPr>
                <w:i/>
                <w:iCs/>
                <w:sz w:val="20"/>
                <w:szCs w:val="20"/>
                <w:lang w:eastAsia="en-US"/>
              </w:rPr>
            </w:pPr>
            <w:r>
              <w:rPr>
                <w:color w:val="000000"/>
                <w:sz w:val="20"/>
                <w:szCs w:val="20"/>
                <w:lang w:eastAsia="en-US"/>
              </w:rPr>
              <w:t>0. absent</w:t>
            </w:r>
          </w:p>
          <w:p w14:paraId="4888BC59" w14:textId="77777777" w:rsidR="006E44D9" w:rsidRDefault="006E44D9" w:rsidP="006E44D9">
            <w:pPr>
              <w:rPr>
                <w:color w:val="000000"/>
                <w:sz w:val="20"/>
                <w:szCs w:val="20"/>
                <w:lang w:eastAsia="en-US"/>
              </w:rPr>
            </w:pPr>
            <w:r>
              <w:rPr>
                <w:color w:val="000000"/>
                <w:sz w:val="20"/>
                <w:szCs w:val="20"/>
                <w:lang w:eastAsia="en-US"/>
              </w:rPr>
              <w:t>1. present, with ridge following the sutural contact between these elements</w:t>
            </w:r>
          </w:p>
        </w:tc>
      </w:tr>
    </w:tbl>
    <w:p w14:paraId="7FB942D8" w14:textId="77777777" w:rsidR="004C76BC" w:rsidRDefault="004C76BC" w:rsidP="004C76BC">
      <w:pPr>
        <w:rPr>
          <w:sz w:val="20"/>
          <w:szCs w:val="20"/>
        </w:rPr>
      </w:pPr>
    </w:p>
    <w:p w14:paraId="01465694" w14:textId="085D9789" w:rsidR="004C76BC" w:rsidRDefault="004C76BC" w:rsidP="004C76BC">
      <w:r>
        <w:rPr>
          <w:b/>
        </w:rPr>
        <w:t xml:space="preserve">Skull roof </w:t>
      </w:r>
      <w:r w:rsidR="006E44D9">
        <w:t>(Ch. 86</w:t>
      </w:r>
      <w:r>
        <w:t xml:space="preserve"> – 13</w:t>
      </w:r>
      <w:r w:rsidR="00A47145">
        <w:t>7</w:t>
      </w:r>
      <w:r>
        <w:t>; 11.454% of characters)</w:t>
      </w:r>
    </w:p>
    <w:p w14:paraId="027413DB" w14:textId="77777777" w:rsidR="004C76BC" w:rsidRDefault="004C76BC" w:rsidP="004C76BC">
      <w:pPr>
        <w:rPr>
          <w:i/>
        </w:rPr>
      </w:pPr>
      <w:bookmarkStart w:id="52" w:name="_Hlk479756599"/>
      <w:r>
        <w:rPr>
          <w:i/>
        </w:rPr>
        <w:t>[skull roof proportions and arrangement, supratemporal fenestrae, dermatocranial bones (= ossa præfrontalia, os frontale, ossa postorbitalia, ossa squamosal and os parietale)]</w:t>
      </w:r>
    </w:p>
    <w:bookmarkEnd w:id="52"/>
    <w:p w14:paraId="3A2A72DB" w14:textId="77777777" w:rsidR="004C76BC" w:rsidRDefault="004C76BC" w:rsidP="004C7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5CBB5815" w14:textId="77777777" w:rsidTr="00AF438E">
        <w:tc>
          <w:tcPr>
            <w:tcW w:w="516" w:type="dxa"/>
            <w:tcBorders>
              <w:top w:val="single" w:sz="4" w:space="0" w:color="auto"/>
              <w:left w:val="single" w:sz="4" w:space="0" w:color="auto"/>
              <w:bottom w:val="single" w:sz="4" w:space="0" w:color="auto"/>
              <w:right w:val="single" w:sz="4" w:space="0" w:color="auto"/>
            </w:tcBorders>
            <w:hideMark/>
          </w:tcPr>
          <w:p w14:paraId="098506AD" w14:textId="77777777" w:rsidR="004C76BC" w:rsidRDefault="004C76BC" w:rsidP="00AF438E">
            <w:pPr>
              <w:rPr>
                <w:sz w:val="20"/>
                <w:szCs w:val="20"/>
                <w:lang w:eastAsia="en-US"/>
              </w:rPr>
            </w:pPr>
            <w:r>
              <w:rPr>
                <w:sz w:val="20"/>
                <w:szCs w:val="20"/>
                <w:lang w:eastAsia="en-US"/>
              </w:rPr>
              <w:t>#</w:t>
            </w:r>
          </w:p>
        </w:tc>
        <w:tc>
          <w:tcPr>
            <w:tcW w:w="8500" w:type="dxa"/>
            <w:tcBorders>
              <w:top w:val="single" w:sz="4" w:space="0" w:color="auto"/>
              <w:left w:val="single" w:sz="4" w:space="0" w:color="auto"/>
              <w:bottom w:val="single" w:sz="4" w:space="0" w:color="auto"/>
              <w:right w:val="single" w:sz="4" w:space="0" w:color="auto"/>
            </w:tcBorders>
            <w:hideMark/>
          </w:tcPr>
          <w:p w14:paraId="4F5DCE2C" w14:textId="77777777" w:rsidR="004C76BC" w:rsidRDefault="004C76BC" w:rsidP="00AF438E">
            <w:pPr>
              <w:rPr>
                <w:sz w:val="20"/>
                <w:szCs w:val="20"/>
                <w:lang w:eastAsia="en-US"/>
              </w:rPr>
            </w:pPr>
            <w:r>
              <w:rPr>
                <w:sz w:val="20"/>
                <w:szCs w:val="20"/>
                <w:lang w:eastAsia="en-US"/>
              </w:rPr>
              <w:t>Description</w:t>
            </w:r>
          </w:p>
        </w:tc>
      </w:tr>
      <w:tr w:rsidR="00091544" w14:paraId="1543A2E7" w14:textId="77777777" w:rsidTr="006E44D9">
        <w:tc>
          <w:tcPr>
            <w:tcW w:w="516" w:type="dxa"/>
            <w:tcBorders>
              <w:top w:val="single" w:sz="4" w:space="0" w:color="auto"/>
              <w:left w:val="single" w:sz="4" w:space="0" w:color="auto"/>
              <w:bottom w:val="single" w:sz="4" w:space="0" w:color="auto"/>
              <w:right w:val="single" w:sz="4" w:space="0" w:color="auto"/>
            </w:tcBorders>
          </w:tcPr>
          <w:p w14:paraId="1A2EFF43" w14:textId="516A6463" w:rsidR="00091544" w:rsidRDefault="00091544" w:rsidP="00091544">
            <w:pPr>
              <w:rPr>
                <w:sz w:val="20"/>
                <w:szCs w:val="20"/>
                <w:lang w:eastAsia="en-US"/>
              </w:rPr>
            </w:pPr>
            <w:r>
              <w:rPr>
                <w:color w:val="000000"/>
                <w:sz w:val="20"/>
                <w:szCs w:val="20"/>
                <w:lang w:eastAsia="en-US"/>
              </w:rPr>
              <w:t>86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8037AD2" w14:textId="77777777" w:rsidR="00091544" w:rsidRDefault="00091544" w:rsidP="00091544">
            <w:pPr>
              <w:rPr>
                <w:b/>
                <w:color w:val="000000"/>
                <w:sz w:val="20"/>
                <w:szCs w:val="20"/>
                <w:lang w:eastAsia="en-US"/>
              </w:rPr>
            </w:pPr>
            <w:r>
              <w:rPr>
                <w:b/>
                <w:color w:val="000000"/>
                <w:sz w:val="20"/>
                <w:szCs w:val="20"/>
                <w:lang w:eastAsia="en-US"/>
              </w:rPr>
              <w:t>Supratemporal skull roof, dorsal surface:</w:t>
            </w:r>
          </w:p>
          <w:p w14:paraId="588B76B8" w14:textId="390FB9BC" w:rsidR="00091544" w:rsidRDefault="00091544" w:rsidP="00091544">
            <w:pPr>
              <w:autoSpaceDE w:val="0"/>
              <w:autoSpaceDN w:val="0"/>
              <w:adjustRightInd w:val="0"/>
              <w:rPr>
                <w:i/>
                <w:sz w:val="20"/>
                <w:szCs w:val="20"/>
                <w:lang w:eastAsia="en-US"/>
              </w:rPr>
            </w:pPr>
            <w:r>
              <w:rPr>
                <w:bCs/>
                <w:i/>
                <w:color w:val="000000"/>
                <w:sz w:val="20"/>
                <w:szCs w:val="20"/>
                <w:lang w:eastAsia="en-US"/>
              </w:rPr>
              <w:t>Clark (1994, ch. 24);</w:t>
            </w:r>
            <w:r>
              <w:rPr>
                <w:b/>
                <w:bCs/>
                <w:color w:val="000000"/>
                <w:sz w:val="20"/>
                <w:szCs w:val="20"/>
                <w:lang w:eastAsia="en-US"/>
              </w:rPr>
              <w:t xml:space="preserve"> </w:t>
            </w:r>
            <w:r>
              <w:rPr>
                <w:i/>
                <w:sz w:val="20"/>
                <w:szCs w:val="20"/>
                <w:lang w:eastAsia="en-US"/>
              </w:rPr>
              <w:t xml:space="preserve">Young (2006, ch. 10 modified); Wilkinson et al. (2008, ch. 29); Young &amp; Andrade (2009, ch. 29); </w:t>
            </w:r>
            <w:r>
              <w:rPr>
                <w:bCs/>
                <w:i/>
                <w:color w:val="000000"/>
                <w:sz w:val="20"/>
                <w:lang w:eastAsia="en-US"/>
              </w:rPr>
              <w:t xml:space="preserve">Andrade et al. (2011, ch. 118); </w:t>
            </w:r>
            <w:r>
              <w:rPr>
                <w:bCs/>
                <w:i/>
                <w:color w:val="000000"/>
                <w:sz w:val="20"/>
                <w:szCs w:val="20"/>
                <w:lang w:eastAsia="en-US"/>
              </w:rPr>
              <w:t xml:space="preserve">Young et al. (2011, ch. 29); Young et al. (2013a, ch. 28); </w:t>
            </w:r>
            <w:r>
              <w:rPr>
                <w:i/>
                <w:sz w:val="20"/>
                <w:szCs w:val="20"/>
                <w:lang w:eastAsia="en-US"/>
              </w:rPr>
              <w:t xml:space="preserve">Young et al. (2012, ch. 34); Young (2014, ch. 36); Young et al. (2016, ds 2, ch. 44); Ristevski et al. (2018, ds 2, ch. 68); Smith et al. (in review, ds 1, ch. 69); </w:t>
            </w:r>
            <w:r>
              <w:rPr>
                <w:i/>
                <w:sz w:val="20"/>
                <w:szCs w:val="20"/>
              </w:rPr>
              <w:t>Ősi et al. (in review, ds 1, ch. 81)</w:t>
            </w:r>
            <w:r>
              <w:rPr>
                <w:i/>
                <w:sz w:val="20"/>
                <w:szCs w:val="20"/>
                <w:lang w:eastAsia="en-US"/>
              </w:rPr>
              <w:t>.</w:t>
            </w:r>
          </w:p>
          <w:p w14:paraId="79566607" w14:textId="77777777" w:rsidR="00091544" w:rsidRDefault="00091544" w:rsidP="00091544">
            <w:pPr>
              <w:rPr>
                <w:i/>
                <w:color w:val="000000"/>
                <w:sz w:val="20"/>
                <w:szCs w:val="20"/>
                <w:lang w:eastAsia="en-US"/>
              </w:rPr>
            </w:pPr>
            <w:r>
              <w:rPr>
                <w:i/>
                <w:color w:val="000000"/>
                <w:sz w:val="20"/>
                <w:szCs w:val="20"/>
                <w:lang w:eastAsia="en-US"/>
              </w:rPr>
              <w:t>State (1) is a putative apomorphy of Crocodyliformes (reversal in Thalattosuchia).</w:t>
            </w:r>
          </w:p>
          <w:p w14:paraId="02951E0C" w14:textId="77777777" w:rsidR="00091544" w:rsidRDefault="00091544" w:rsidP="00091544">
            <w:pPr>
              <w:rPr>
                <w:color w:val="000000"/>
                <w:sz w:val="20"/>
                <w:szCs w:val="20"/>
                <w:lang w:eastAsia="en-US"/>
              </w:rPr>
            </w:pPr>
            <w:r>
              <w:rPr>
                <w:color w:val="000000"/>
                <w:sz w:val="20"/>
                <w:szCs w:val="20"/>
                <w:lang w:eastAsia="en-US"/>
              </w:rPr>
              <w:t>0. surface complex</w:t>
            </w:r>
          </w:p>
          <w:p w14:paraId="2DAE5D72" w14:textId="77777777" w:rsidR="00091544" w:rsidRDefault="00091544" w:rsidP="00091544">
            <w:pPr>
              <w:rPr>
                <w:color w:val="000000"/>
                <w:sz w:val="20"/>
                <w:szCs w:val="20"/>
                <w:lang w:eastAsia="en-US"/>
              </w:rPr>
            </w:pPr>
            <w:r>
              <w:rPr>
                <w:color w:val="000000"/>
                <w:sz w:val="20"/>
                <w:szCs w:val="20"/>
                <w:lang w:eastAsia="en-US"/>
              </w:rPr>
              <w:t>1. flat skull table present, formed by flattened and levelled surfaces of frontal, postorbital, squamosal and parietal</w:t>
            </w:r>
          </w:p>
        </w:tc>
      </w:tr>
      <w:tr w:rsidR="00091544" w14:paraId="11494613" w14:textId="77777777" w:rsidTr="006E44D9">
        <w:tc>
          <w:tcPr>
            <w:tcW w:w="516" w:type="dxa"/>
            <w:tcBorders>
              <w:top w:val="single" w:sz="4" w:space="0" w:color="auto"/>
              <w:left w:val="single" w:sz="4" w:space="0" w:color="auto"/>
              <w:bottom w:val="single" w:sz="4" w:space="0" w:color="auto"/>
              <w:right w:val="single" w:sz="4" w:space="0" w:color="auto"/>
            </w:tcBorders>
          </w:tcPr>
          <w:p w14:paraId="5ECD4325" w14:textId="799A0AB2" w:rsidR="00091544" w:rsidRDefault="00091544" w:rsidP="00091544">
            <w:pPr>
              <w:rPr>
                <w:color w:val="000000"/>
                <w:sz w:val="20"/>
                <w:szCs w:val="20"/>
                <w:lang w:eastAsia="en-US"/>
              </w:rPr>
            </w:pPr>
            <w:r>
              <w:rPr>
                <w:color w:val="000000"/>
                <w:sz w:val="20"/>
                <w:szCs w:val="20"/>
                <w:lang w:eastAsia="en-US"/>
              </w:rPr>
              <w:t>87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395CA5F" w14:textId="77777777" w:rsidR="00091544" w:rsidRDefault="00091544" w:rsidP="00091544">
            <w:pPr>
              <w:rPr>
                <w:b/>
                <w:color w:val="000000"/>
                <w:sz w:val="20"/>
                <w:szCs w:val="20"/>
                <w:lang w:eastAsia="en-US"/>
              </w:rPr>
            </w:pPr>
            <w:r>
              <w:rPr>
                <w:b/>
                <w:color w:val="000000"/>
                <w:sz w:val="20"/>
                <w:szCs w:val="20"/>
                <w:lang w:eastAsia="en-US"/>
              </w:rPr>
              <w:t>Posterior skull table:</w:t>
            </w:r>
          </w:p>
          <w:p w14:paraId="24814F84" w14:textId="296973C2" w:rsidR="00091544" w:rsidRDefault="00091544" w:rsidP="00091544">
            <w:pPr>
              <w:autoSpaceDE w:val="0"/>
              <w:autoSpaceDN w:val="0"/>
              <w:adjustRightInd w:val="0"/>
              <w:rPr>
                <w:i/>
                <w:sz w:val="20"/>
                <w:szCs w:val="20"/>
                <w:lang w:eastAsia="en-US"/>
              </w:rPr>
            </w:pPr>
            <w:r>
              <w:rPr>
                <w:i/>
                <w:sz w:val="20"/>
                <w:szCs w:val="20"/>
                <w:lang w:eastAsia="en-US"/>
              </w:rPr>
              <w:t>Young &amp; Andrade (2009, ch. 99);</w:t>
            </w:r>
            <w:r>
              <w:rPr>
                <w:bCs/>
                <w:i/>
                <w:color w:val="000000"/>
                <w:sz w:val="20"/>
                <w:szCs w:val="20"/>
                <w:lang w:eastAsia="en-US"/>
              </w:rPr>
              <w:t xml:space="preserve"> Young et al. (2011, ch. 99); Young et al. (2013a, ch. 29);</w:t>
            </w:r>
            <w:r>
              <w:rPr>
                <w:i/>
                <w:sz w:val="20"/>
                <w:szCs w:val="20"/>
                <w:lang w:eastAsia="en-US"/>
              </w:rPr>
              <w:t xml:space="preserve"> Young et al. (2012, ch. 35); Young (2014, ch. 37); Young et al. (2016, ds 2, ch. 45); Ristevski et al. (2018, ds 2, ch. 69); Smith et al. (in review, ds 1, ch. 70); </w:t>
            </w:r>
            <w:r>
              <w:rPr>
                <w:i/>
                <w:sz w:val="20"/>
                <w:szCs w:val="20"/>
              </w:rPr>
              <w:t>Ősi et al. (in review, ds 1, ch. 82)</w:t>
            </w:r>
            <w:r>
              <w:rPr>
                <w:i/>
                <w:sz w:val="20"/>
                <w:szCs w:val="20"/>
                <w:lang w:eastAsia="en-US"/>
              </w:rPr>
              <w:t>.</w:t>
            </w:r>
          </w:p>
          <w:p w14:paraId="0FD44CDA" w14:textId="77777777" w:rsidR="00091544" w:rsidRDefault="00091544" w:rsidP="00091544">
            <w:pPr>
              <w:rPr>
                <w:i/>
                <w:color w:val="000000"/>
                <w:sz w:val="20"/>
                <w:szCs w:val="20"/>
                <w:lang w:eastAsia="en-US"/>
              </w:rPr>
            </w:pPr>
            <w:r>
              <w:rPr>
                <w:i/>
                <w:color w:val="000000"/>
                <w:sz w:val="20"/>
                <w:szCs w:val="20"/>
                <w:lang w:eastAsia="en-US"/>
              </w:rPr>
              <w:t xml:space="preserve">Note that </w:t>
            </w:r>
            <w:r>
              <w:rPr>
                <w:color w:val="000000"/>
                <w:sz w:val="20"/>
                <w:szCs w:val="20"/>
                <w:lang w:eastAsia="en-US"/>
              </w:rPr>
              <w:t>Sphagesaurus</w:t>
            </w:r>
            <w:r>
              <w:rPr>
                <w:i/>
                <w:color w:val="000000"/>
                <w:sz w:val="20"/>
                <w:szCs w:val="20"/>
                <w:lang w:eastAsia="en-US"/>
              </w:rPr>
              <w:t xml:space="preserve"> scores differently in this character, and for the preceding character.</w:t>
            </w:r>
          </w:p>
          <w:p w14:paraId="5E950F20" w14:textId="77777777" w:rsidR="00091544" w:rsidRDefault="00091544" w:rsidP="00091544">
            <w:pPr>
              <w:rPr>
                <w:color w:val="000000"/>
                <w:sz w:val="20"/>
                <w:szCs w:val="20"/>
                <w:lang w:eastAsia="en-US"/>
              </w:rPr>
            </w:pPr>
            <w:r>
              <w:rPr>
                <w:color w:val="000000"/>
                <w:sz w:val="20"/>
                <w:szCs w:val="20"/>
                <w:lang w:eastAsia="en-US"/>
              </w:rPr>
              <w:t>0. non-planar (squamosal ventral to horizontal level of postorbital and parietal)</w:t>
            </w:r>
          </w:p>
          <w:p w14:paraId="177226DA" w14:textId="77777777" w:rsidR="00091544" w:rsidRDefault="00091544" w:rsidP="00091544">
            <w:pPr>
              <w:rPr>
                <w:b/>
                <w:color w:val="000000"/>
                <w:sz w:val="20"/>
                <w:szCs w:val="20"/>
                <w:lang w:eastAsia="en-US"/>
              </w:rPr>
            </w:pPr>
            <w:r>
              <w:rPr>
                <w:color w:val="000000"/>
                <w:sz w:val="20"/>
                <w:szCs w:val="20"/>
                <w:lang w:eastAsia="en-US"/>
              </w:rPr>
              <w:t>1. planar (postorbital, squamosal, and parietal on same horizontal plane)</w:t>
            </w:r>
          </w:p>
        </w:tc>
      </w:tr>
      <w:tr w:rsidR="00091544" w14:paraId="121A9968" w14:textId="77777777" w:rsidTr="006E44D9">
        <w:tc>
          <w:tcPr>
            <w:tcW w:w="516" w:type="dxa"/>
            <w:tcBorders>
              <w:top w:val="single" w:sz="4" w:space="0" w:color="auto"/>
              <w:left w:val="single" w:sz="4" w:space="0" w:color="auto"/>
              <w:bottom w:val="single" w:sz="4" w:space="0" w:color="auto"/>
              <w:right w:val="single" w:sz="4" w:space="0" w:color="auto"/>
            </w:tcBorders>
          </w:tcPr>
          <w:p w14:paraId="43120851" w14:textId="25993B9D" w:rsidR="00091544" w:rsidRDefault="00091544" w:rsidP="00091544">
            <w:pPr>
              <w:rPr>
                <w:color w:val="000000"/>
                <w:sz w:val="20"/>
                <w:szCs w:val="20"/>
                <w:lang w:eastAsia="en-US"/>
              </w:rPr>
            </w:pPr>
            <w:r>
              <w:rPr>
                <w:color w:val="000000"/>
                <w:sz w:val="20"/>
                <w:szCs w:val="20"/>
                <w:lang w:eastAsia="en-US"/>
              </w:rPr>
              <w:t>88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5D5D4DC" w14:textId="77777777" w:rsidR="00091544" w:rsidRDefault="00091544" w:rsidP="00091544">
            <w:pPr>
              <w:rPr>
                <w:b/>
                <w:color w:val="000000"/>
                <w:sz w:val="20"/>
                <w:szCs w:val="20"/>
                <w:lang w:eastAsia="en-US"/>
              </w:rPr>
            </w:pPr>
            <w:r>
              <w:rPr>
                <w:b/>
                <w:color w:val="000000"/>
                <w:sz w:val="20"/>
                <w:szCs w:val="20"/>
                <w:lang w:eastAsia="en-US"/>
              </w:rPr>
              <w:t>Cranial table width relative to ventral portion of skull:</w:t>
            </w:r>
          </w:p>
          <w:p w14:paraId="1753AFB3" w14:textId="3550EFE3"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113); </w:t>
            </w:r>
            <w:r>
              <w:rPr>
                <w:bCs/>
                <w:i/>
                <w:color w:val="000000"/>
                <w:sz w:val="20"/>
                <w:szCs w:val="20"/>
                <w:lang w:eastAsia="en-US"/>
              </w:rPr>
              <w:t xml:space="preserve">Young et al. (2011, ch. 113); Young et al. (2013a, ch. 30); </w:t>
            </w:r>
            <w:r>
              <w:rPr>
                <w:i/>
                <w:sz w:val="20"/>
                <w:szCs w:val="20"/>
                <w:lang w:eastAsia="en-US"/>
              </w:rPr>
              <w:t xml:space="preserve">Young et al. (2012, ch. 36); Young (2014, ch. 38); Young et al. (2016, ds 2, ch. 46); Ristevski et al. (2018, ds 2, ch. 70); Smith et al. (in review, ds 1, ch. 71); </w:t>
            </w:r>
            <w:r>
              <w:rPr>
                <w:i/>
                <w:sz w:val="20"/>
                <w:szCs w:val="20"/>
              </w:rPr>
              <w:t>Ősi et al. (in review, ds 1, ch. 83)</w:t>
            </w:r>
            <w:r>
              <w:rPr>
                <w:i/>
                <w:sz w:val="20"/>
                <w:szCs w:val="20"/>
                <w:lang w:eastAsia="en-US"/>
              </w:rPr>
              <w:t>.</w:t>
            </w:r>
          </w:p>
          <w:p w14:paraId="00882D37" w14:textId="77777777" w:rsidR="00091544" w:rsidRDefault="00091544" w:rsidP="00091544">
            <w:pPr>
              <w:rPr>
                <w:color w:val="000000"/>
                <w:sz w:val="20"/>
                <w:szCs w:val="20"/>
                <w:lang w:eastAsia="en-US"/>
              </w:rPr>
            </w:pPr>
            <w:r>
              <w:rPr>
                <w:color w:val="000000"/>
                <w:sz w:val="20"/>
                <w:szCs w:val="20"/>
                <w:lang w:eastAsia="en-US"/>
              </w:rPr>
              <w:t>0. nearly as wide</w:t>
            </w:r>
          </w:p>
          <w:p w14:paraId="033B3987" w14:textId="77777777" w:rsidR="00091544" w:rsidRDefault="00091544" w:rsidP="00091544">
            <w:pPr>
              <w:rPr>
                <w:color w:val="000000"/>
                <w:sz w:val="20"/>
                <w:szCs w:val="20"/>
                <w:lang w:eastAsia="en-US"/>
              </w:rPr>
            </w:pPr>
            <w:r>
              <w:rPr>
                <w:color w:val="000000"/>
                <w:sz w:val="20"/>
                <w:szCs w:val="20"/>
                <w:lang w:eastAsia="en-US"/>
              </w:rPr>
              <w:t>1. narrower</w:t>
            </w:r>
          </w:p>
        </w:tc>
      </w:tr>
      <w:tr w:rsidR="00091544" w14:paraId="13E1032D" w14:textId="77777777" w:rsidTr="006E44D9">
        <w:tc>
          <w:tcPr>
            <w:tcW w:w="516" w:type="dxa"/>
            <w:tcBorders>
              <w:top w:val="single" w:sz="4" w:space="0" w:color="auto"/>
              <w:left w:val="single" w:sz="4" w:space="0" w:color="auto"/>
              <w:bottom w:val="single" w:sz="4" w:space="0" w:color="auto"/>
              <w:right w:val="single" w:sz="4" w:space="0" w:color="auto"/>
            </w:tcBorders>
          </w:tcPr>
          <w:p w14:paraId="217BF3F3" w14:textId="0290ADB6" w:rsidR="00091544" w:rsidRDefault="00091544" w:rsidP="00091544">
            <w:pPr>
              <w:rPr>
                <w:color w:val="000000"/>
                <w:sz w:val="20"/>
                <w:szCs w:val="20"/>
                <w:lang w:eastAsia="en-US"/>
              </w:rPr>
            </w:pPr>
            <w:r>
              <w:rPr>
                <w:color w:val="000000"/>
                <w:sz w:val="20"/>
                <w:szCs w:val="20"/>
                <w:lang w:eastAsia="en-US"/>
              </w:rPr>
              <w:t>89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B4A6F35" w14:textId="77777777" w:rsidR="00091544" w:rsidRDefault="00091544" w:rsidP="00091544">
            <w:pPr>
              <w:autoSpaceDE w:val="0"/>
              <w:autoSpaceDN w:val="0"/>
              <w:adjustRightInd w:val="0"/>
              <w:rPr>
                <w:b/>
                <w:bCs/>
                <w:color w:val="000000"/>
                <w:sz w:val="20"/>
                <w:szCs w:val="20"/>
                <w:lang w:eastAsia="en-US"/>
              </w:rPr>
            </w:pPr>
            <w:r>
              <w:rPr>
                <w:b/>
                <w:bCs/>
                <w:color w:val="000000"/>
                <w:sz w:val="20"/>
                <w:szCs w:val="20"/>
                <w:lang w:eastAsia="en-US"/>
              </w:rPr>
              <w:t>Supratemporal skull roof, dorsal curvature and elongation of squamosal prongs, at maturity:</w:t>
            </w:r>
          </w:p>
          <w:p w14:paraId="61990FBE" w14:textId="5F463C9D" w:rsidR="00091544" w:rsidRDefault="00091544" w:rsidP="00091544">
            <w:pPr>
              <w:autoSpaceDE w:val="0"/>
              <w:autoSpaceDN w:val="0"/>
              <w:adjustRightInd w:val="0"/>
              <w:rPr>
                <w:i/>
                <w:sz w:val="20"/>
                <w:szCs w:val="20"/>
                <w:lang w:eastAsia="en-US"/>
              </w:rPr>
            </w:pPr>
            <w:r>
              <w:rPr>
                <w:bCs/>
                <w:i/>
                <w:color w:val="000000"/>
                <w:sz w:val="20"/>
                <w:szCs w:val="20"/>
                <w:lang w:eastAsia="en-US"/>
              </w:rPr>
              <w:t>Brochu (1999, ch. 140);</w:t>
            </w:r>
            <w:r>
              <w:rPr>
                <w:b/>
                <w:bCs/>
                <w:color w:val="000000"/>
                <w:sz w:val="20"/>
                <w:szCs w:val="20"/>
                <w:lang w:eastAsia="en-US"/>
              </w:rPr>
              <w:t xml:space="preserve"> </w:t>
            </w:r>
            <w:r>
              <w:rPr>
                <w:i/>
                <w:sz w:val="20"/>
                <w:szCs w:val="20"/>
                <w:lang w:eastAsia="en-US"/>
              </w:rPr>
              <w:t xml:space="preserve">Young &amp; Andrade (2009, ch. 148); </w:t>
            </w:r>
            <w:r>
              <w:rPr>
                <w:bCs/>
                <w:i/>
                <w:color w:val="000000"/>
                <w:sz w:val="20"/>
                <w:lang w:eastAsia="en-US"/>
              </w:rPr>
              <w:t xml:space="preserve">Andrade et al. (2011, ch. 119); </w:t>
            </w:r>
            <w:r>
              <w:rPr>
                <w:bCs/>
                <w:i/>
                <w:color w:val="000000"/>
                <w:sz w:val="20"/>
                <w:szCs w:val="20"/>
                <w:lang w:eastAsia="en-US"/>
              </w:rPr>
              <w:t xml:space="preserve">Young et al. (2011, ch. 148); Young et al. (2013a, ch. 31); </w:t>
            </w:r>
            <w:r>
              <w:rPr>
                <w:i/>
                <w:sz w:val="20"/>
                <w:szCs w:val="20"/>
                <w:lang w:eastAsia="en-US"/>
              </w:rPr>
              <w:t xml:space="preserve">Young et al. (2012, ch. 37); Young (2014, ch. 39); Young et al. (2016, ds 2, ch. 47); Ristevski et al. (2018, ds 2, ch. 71); Smith et al. (in review, ds 1, ch. 72); </w:t>
            </w:r>
            <w:r>
              <w:rPr>
                <w:i/>
                <w:sz w:val="20"/>
                <w:szCs w:val="20"/>
              </w:rPr>
              <w:t>Ősi et al. (in review, ds 1, ch. 84)</w:t>
            </w:r>
            <w:r>
              <w:rPr>
                <w:i/>
                <w:sz w:val="20"/>
                <w:szCs w:val="20"/>
                <w:lang w:eastAsia="en-US"/>
              </w:rPr>
              <w:t>.</w:t>
            </w:r>
          </w:p>
          <w:p w14:paraId="47FDD928" w14:textId="77777777" w:rsidR="00091544" w:rsidRDefault="00091544" w:rsidP="00091544">
            <w:pPr>
              <w:rPr>
                <w:color w:val="000000"/>
                <w:sz w:val="20"/>
                <w:szCs w:val="20"/>
                <w:lang w:eastAsia="en-US"/>
              </w:rPr>
            </w:pPr>
            <w:r>
              <w:rPr>
                <w:color w:val="000000"/>
                <w:sz w:val="20"/>
                <w:szCs w:val="20"/>
                <w:lang w:eastAsia="en-US"/>
              </w:rPr>
              <w:t>0. short posterolateral process of the squamosal</w:t>
            </w:r>
          </w:p>
          <w:p w14:paraId="7080AFB1" w14:textId="77777777" w:rsidR="00091544" w:rsidRDefault="00091544" w:rsidP="00091544">
            <w:pPr>
              <w:rPr>
                <w:color w:val="000000"/>
                <w:sz w:val="20"/>
                <w:szCs w:val="20"/>
                <w:lang w:eastAsia="en-US"/>
              </w:rPr>
            </w:pPr>
            <w:r>
              <w:rPr>
                <w:color w:val="000000"/>
                <w:sz w:val="20"/>
                <w:szCs w:val="20"/>
                <w:lang w:eastAsia="en-US"/>
              </w:rPr>
              <w:t>1. mature skull table with nearly horizontal sides; significant posterolateral process of the squamosal</w:t>
            </w:r>
          </w:p>
        </w:tc>
      </w:tr>
      <w:tr w:rsidR="00091544" w14:paraId="47E5D3B9" w14:textId="77777777" w:rsidTr="006E44D9">
        <w:tc>
          <w:tcPr>
            <w:tcW w:w="516" w:type="dxa"/>
            <w:tcBorders>
              <w:top w:val="single" w:sz="4" w:space="0" w:color="auto"/>
              <w:left w:val="single" w:sz="4" w:space="0" w:color="auto"/>
              <w:bottom w:val="single" w:sz="4" w:space="0" w:color="auto"/>
              <w:right w:val="single" w:sz="4" w:space="0" w:color="auto"/>
            </w:tcBorders>
          </w:tcPr>
          <w:p w14:paraId="3A43A226" w14:textId="0364D106" w:rsidR="00091544" w:rsidRDefault="00091544" w:rsidP="00091544">
            <w:pPr>
              <w:rPr>
                <w:color w:val="000000"/>
                <w:sz w:val="20"/>
                <w:szCs w:val="20"/>
                <w:lang w:eastAsia="en-US"/>
              </w:rPr>
            </w:pPr>
            <w:r>
              <w:rPr>
                <w:color w:val="000000"/>
                <w:sz w:val="20"/>
                <w:szCs w:val="20"/>
                <w:lang w:eastAsia="en-US"/>
              </w:rPr>
              <w:t>90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FB06C9D" w14:textId="24BA41C7" w:rsidR="00091544" w:rsidRDefault="00091544" w:rsidP="00091544">
            <w:pPr>
              <w:autoSpaceDE w:val="0"/>
              <w:autoSpaceDN w:val="0"/>
              <w:adjustRightInd w:val="0"/>
              <w:rPr>
                <w:b/>
                <w:bCs/>
                <w:color w:val="000000"/>
                <w:sz w:val="20"/>
                <w:szCs w:val="20"/>
                <w:lang w:eastAsia="en-US"/>
              </w:rPr>
            </w:pPr>
            <w:r>
              <w:rPr>
                <w:b/>
                <w:bCs/>
                <w:color w:val="000000"/>
                <w:sz w:val="20"/>
                <w:szCs w:val="20"/>
                <w:lang w:eastAsia="en-US"/>
              </w:rPr>
              <w:t>Supratemporal fenestrae, presence:</w:t>
            </w:r>
          </w:p>
          <w:p w14:paraId="07ED7450" w14:textId="0DDE53E9" w:rsidR="00091544" w:rsidRDefault="00091544" w:rsidP="00091544">
            <w:pPr>
              <w:autoSpaceDE w:val="0"/>
              <w:autoSpaceDN w:val="0"/>
              <w:adjustRightInd w:val="0"/>
              <w:rPr>
                <w:i/>
                <w:sz w:val="20"/>
                <w:szCs w:val="20"/>
              </w:rPr>
            </w:pPr>
            <w:r>
              <w:rPr>
                <w:i/>
                <w:sz w:val="20"/>
                <w:szCs w:val="20"/>
              </w:rPr>
              <w:t>Ősi et al. (in review, ds 1, ch. 85)</w:t>
            </w:r>
          </w:p>
          <w:p w14:paraId="3E439096" w14:textId="4D9FD64F" w:rsidR="00091544" w:rsidRDefault="00091544" w:rsidP="00091544">
            <w:pPr>
              <w:autoSpaceDE w:val="0"/>
              <w:autoSpaceDN w:val="0"/>
              <w:adjustRightInd w:val="0"/>
              <w:rPr>
                <w:bCs/>
                <w:i/>
                <w:color w:val="000000"/>
                <w:sz w:val="20"/>
                <w:szCs w:val="20"/>
                <w:lang w:eastAsia="en-US"/>
              </w:rPr>
            </w:pPr>
            <w:r>
              <w:rPr>
                <w:bCs/>
                <w:i/>
                <w:color w:val="000000"/>
                <w:sz w:val="20"/>
                <w:szCs w:val="20"/>
                <w:lang w:eastAsia="en-US"/>
              </w:rPr>
              <w:t>State (1) occurs in Gobiosuchidae.</w:t>
            </w:r>
          </w:p>
          <w:p w14:paraId="410EA442" w14:textId="77777777" w:rsidR="00091544" w:rsidRDefault="00091544" w:rsidP="00091544">
            <w:pPr>
              <w:autoSpaceDE w:val="0"/>
              <w:autoSpaceDN w:val="0"/>
              <w:adjustRightInd w:val="0"/>
              <w:rPr>
                <w:bCs/>
                <w:i/>
                <w:color w:val="000000"/>
                <w:sz w:val="20"/>
                <w:szCs w:val="20"/>
                <w:lang w:eastAsia="en-US"/>
              </w:rPr>
            </w:pPr>
            <w:r>
              <w:rPr>
                <w:bCs/>
                <w:i/>
                <w:color w:val="000000"/>
                <w:sz w:val="20"/>
                <w:szCs w:val="20"/>
                <w:lang w:eastAsia="en-US"/>
              </w:rPr>
              <w:t xml:space="preserve">State (2) is a putative autapomorphy of </w:t>
            </w:r>
            <w:r>
              <w:rPr>
                <w:bCs/>
                <w:color w:val="000000"/>
                <w:sz w:val="20"/>
                <w:szCs w:val="20"/>
                <w:lang w:eastAsia="en-US"/>
              </w:rPr>
              <w:t>Iharkutosuchus makadii</w:t>
            </w:r>
            <w:r>
              <w:rPr>
                <w:bCs/>
                <w:i/>
                <w:color w:val="000000"/>
                <w:sz w:val="20"/>
                <w:szCs w:val="20"/>
                <w:lang w:eastAsia="en-US"/>
              </w:rPr>
              <w:t>.</w:t>
            </w:r>
          </w:p>
          <w:p w14:paraId="69C042AE" w14:textId="77777777" w:rsidR="00091544" w:rsidRDefault="00091544" w:rsidP="00091544">
            <w:pPr>
              <w:autoSpaceDE w:val="0"/>
              <w:autoSpaceDN w:val="0"/>
              <w:adjustRightInd w:val="0"/>
              <w:rPr>
                <w:bCs/>
                <w:color w:val="000000"/>
                <w:sz w:val="20"/>
                <w:szCs w:val="20"/>
                <w:lang w:eastAsia="en-US"/>
              </w:rPr>
            </w:pPr>
            <w:r>
              <w:rPr>
                <w:bCs/>
                <w:color w:val="000000"/>
                <w:sz w:val="20"/>
                <w:szCs w:val="20"/>
                <w:lang w:eastAsia="en-US"/>
              </w:rPr>
              <w:t>0. present as an evident fenestra</w:t>
            </w:r>
          </w:p>
          <w:p w14:paraId="0FCAEABA" w14:textId="77777777" w:rsidR="00091544" w:rsidRDefault="00091544" w:rsidP="00091544">
            <w:pPr>
              <w:autoSpaceDE w:val="0"/>
              <w:autoSpaceDN w:val="0"/>
              <w:adjustRightInd w:val="0"/>
              <w:rPr>
                <w:bCs/>
                <w:color w:val="000000"/>
                <w:sz w:val="20"/>
                <w:szCs w:val="20"/>
                <w:lang w:eastAsia="en-US"/>
              </w:rPr>
            </w:pPr>
            <w:r>
              <w:rPr>
                <w:bCs/>
                <w:color w:val="000000"/>
                <w:sz w:val="20"/>
                <w:szCs w:val="20"/>
                <w:lang w:eastAsia="en-US"/>
              </w:rPr>
              <w:t>1. presence variable during ontogeny, with the fenestrae possibly open during early ontogenetic stages (only closing later), or with there being a distinct ‘depression’ in the supratemporal region with the fenestrae themselves being reduced to a small foramen or completely closed</w:t>
            </w:r>
          </w:p>
          <w:p w14:paraId="769B890E" w14:textId="77777777" w:rsidR="00091544" w:rsidRDefault="00091544" w:rsidP="00091544">
            <w:pPr>
              <w:autoSpaceDE w:val="0"/>
              <w:autoSpaceDN w:val="0"/>
              <w:adjustRightInd w:val="0"/>
              <w:rPr>
                <w:bCs/>
                <w:color w:val="000000"/>
                <w:sz w:val="20"/>
                <w:szCs w:val="20"/>
                <w:lang w:eastAsia="en-US"/>
              </w:rPr>
            </w:pPr>
            <w:r>
              <w:rPr>
                <w:bCs/>
                <w:color w:val="000000"/>
                <w:sz w:val="20"/>
                <w:szCs w:val="20"/>
                <w:lang w:eastAsia="en-US"/>
              </w:rPr>
              <w:t>2. absent throughout ontogeny (i.e. supratemporal fenestrae are closed by the frontal and parietal suturing from an early ontogenetic state, with no ‘depression’ in the region)</w:t>
            </w:r>
          </w:p>
        </w:tc>
      </w:tr>
      <w:tr w:rsidR="00091544" w14:paraId="1E4B4847" w14:textId="77777777" w:rsidTr="00091544">
        <w:tc>
          <w:tcPr>
            <w:tcW w:w="516" w:type="dxa"/>
            <w:tcBorders>
              <w:top w:val="single" w:sz="4" w:space="0" w:color="auto"/>
              <w:left w:val="single" w:sz="4" w:space="0" w:color="auto"/>
              <w:bottom w:val="single" w:sz="4" w:space="0" w:color="auto"/>
              <w:right w:val="single" w:sz="4" w:space="0" w:color="auto"/>
            </w:tcBorders>
          </w:tcPr>
          <w:p w14:paraId="56F840F0" w14:textId="4DB3859C" w:rsidR="00091544" w:rsidRDefault="00091544" w:rsidP="00091544">
            <w:pPr>
              <w:rPr>
                <w:color w:val="000000"/>
                <w:sz w:val="20"/>
                <w:szCs w:val="20"/>
                <w:lang w:eastAsia="en-US"/>
              </w:rPr>
            </w:pPr>
            <w:r>
              <w:rPr>
                <w:color w:val="000000"/>
                <w:sz w:val="20"/>
                <w:szCs w:val="20"/>
                <w:lang w:eastAsia="en-US"/>
              </w:rPr>
              <w:t>91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CE02423" w14:textId="77777777" w:rsidR="00091544" w:rsidRDefault="00091544" w:rsidP="00091544">
            <w:pPr>
              <w:autoSpaceDE w:val="0"/>
              <w:autoSpaceDN w:val="0"/>
              <w:adjustRightInd w:val="0"/>
              <w:rPr>
                <w:rFonts w:ascii="AdvP497E2" w:hAnsi="AdvP497E2" w:cs="AdvP497E2"/>
                <w:sz w:val="19"/>
                <w:szCs w:val="19"/>
                <w:lang w:eastAsia="en-US"/>
              </w:rPr>
            </w:pPr>
            <w:r>
              <w:rPr>
                <w:b/>
                <w:sz w:val="20"/>
                <w:szCs w:val="20"/>
                <w:lang w:eastAsia="en-US"/>
              </w:rPr>
              <w:t>Supratemporal fossa, presence of “infratemporal flanges”: (*)</w:t>
            </w:r>
          </w:p>
          <w:p w14:paraId="0DD70A3D" w14:textId="0F5464EA"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142 modified); Nesbitt (2011, ch. 144 modified); </w:t>
            </w:r>
            <w:r>
              <w:rPr>
                <w:bCs/>
                <w:i/>
                <w:color w:val="000000"/>
                <w:sz w:val="20"/>
                <w:szCs w:val="20"/>
                <w:lang w:eastAsia="en-US"/>
              </w:rPr>
              <w:t xml:space="preserve">Young et al. (2011, ch. 142); Young et al. (2013a, ch. 36); </w:t>
            </w:r>
            <w:r>
              <w:rPr>
                <w:i/>
                <w:sz w:val="20"/>
                <w:szCs w:val="20"/>
                <w:lang w:eastAsia="en-US"/>
              </w:rPr>
              <w:t xml:space="preserve">Young et al. (2012, ch. 44 modified); Young (2014, ch. 46 </w:t>
            </w:r>
            <w:r>
              <w:rPr>
                <w:i/>
                <w:sz w:val="20"/>
                <w:szCs w:val="20"/>
                <w:lang w:eastAsia="en-US"/>
              </w:rPr>
              <w:lastRenderedPageBreak/>
              <w:t xml:space="preserve">modified); Young et al. (2016, ds 2, ch. 48); Ristevski et al. (2018, ds 2, ch. 72); Smith et al. (in review, ds 1, ch. 73); </w:t>
            </w:r>
            <w:r>
              <w:rPr>
                <w:i/>
                <w:sz w:val="20"/>
                <w:szCs w:val="20"/>
              </w:rPr>
              <w:t>Ősi et al. (in review, ds 1, ch. 86)</w:t>
            </w:r>
            <w:r>
              <w:rPr>
                <w:i/>
                <w:sz w:val="20"/>
                <w:szCs w:val="20"/>
                <w:lang w:eastAsia="en-US"/>
              </w:rPr>
              <w:t>.</w:t>
            </w:r>
          </w:p>
          <w:p w14:paraId="0DB0907E" w14:textId="77777777" w:rsidR="00091544" w:rsidRDefault="00091544" w:rsidP="00091544">
            <w:pPr>
              <w:autoSpaceDE w:val="0"/>
              <w:autoSpaceDN w:val="0"/>
              <w:adjustRightInd w:val="0"/>
              <w:rPr>
                <w:i/>
                <w:sz w:val="20"/>
                <w:szCs w:val="20"/>
                <w:lang w:eastAsia="en-US"/>
              </w:rPr>
            </w:pPr>
            <w:r>
              <w:rPr>
                <w:i/>
                <w:sz w:val="20"/>
                <w:szCs w:val="20"/>
                <w:lang w:eastAsia="en-US"/>
              </w:rPr>
              <w:t>This character tests the homology of metriorhynchid "infratemporal flanges" and the teleosauroid anteromedial supratemporal fossae, with the anterior extension seen in basal crocodylomorphs.</w:t>
            </w:r>
          </w:p>
          <w:p w14:paraId="49A3EC71" w14:textId="77777777" w:rsidR="00091544" w:rsidRDefault="00091544" w:rsidP="00091544">
            <w:pPr>
              <w:rPr>
                <w:i/>
                <w:color w:val="000000"/>
                <w:sz w:val="20"/>
                <w:szCs w:val="20"/>
                <w:lang w:eastAsia="en-US"/>
              </w:rPr>
            </w:pPr>
            <w:r>
              <w:rPr>
                <w:i/>
                <w:color w:val="000000"/>
                <w:sz w:val="20"/>
                <w:szCs w:val="20"/>
                <w:lang w:eastAsia="en-US"/>
              </w:rPr>
              <w:t>State (0) is a putative apomorphy of Crocodyliformes (reversal in Thalattosuchia)</w:t>
            </w:r>
          </w:p>
          <w:p w14:paraId="30B28D82" w14:textId="187A3880" w:rsidR="00091544" w:rsidRDefault="00091544" w:rsidP="00091544">
            <w:pPr>
              <w:rPr>
                <w:i/>
                <w:color w:val="000000"/>
                <w:sz w:val="20"/>
                <w:szCs w:val="20"/>
                <w:lang w:eastAsia="en-US"/>
              </w:rPr>
            </w:pPr>
            <w:r>
              <w:rPr>
                <w:i/>
                <w:color w:val="000000"/>
                <w:sz w:val="20"/>
                <w:szCs w:val="20"/>
                <w:lang w:eastAsia="en-US"/>
              </w:rPr>
              <w:t>Note, this character scores for the ‘flat platform’ formed by the frontal, and not the concavity that can form in neosuchians.</w:t>
            </w:r>
          </w:p>
          <w:p w14:paraId="4CEB81A1"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01D8C952" w14:textId="77777777" w:rsidR="00091544" w:rsidRDefault="00091544" w:rsidP="00091544">
            <w:pPr>
              <w:autoSpaceDE w:val="0"/>
              <w:autoSpaceDN w:val="0"/>
              <w:adjustRightInd w:val="0"/>
              <w:rPr>
                <w:color w:val="000000"/>
                <w:sz w:val="20"/>
                <w:szCs w:val="20"/>
                <w:lang w:eastAsia="en-US"/>
              </w:rPr>
            </w:pPr>
            <w:r>
              <w:rPr>
                <w:color w:val="000000"/>
                <w:sz w:val="20"/>
                <w:szCs w:val="20"/>
                <w:lang w:eastAsia="en-US"/>
              </w:rPr>
              <w:t>0.</w:t>
            </w:r>
            <w:r>
              <w:rPr>
                <w:sz w:val="20"/>
                <w:szCs w:val="20"/>
                <w:lang w:eastAsia="en-US"/>
              </w:rPr>
              <w:t xml:space="preserve"> absent anterior to, and anteromedially to, the supratemporal fenestra</w:t>
            </w:r>
          </w:p>
          <w:p w14:paraId="74AFFB5E" w14:textId="77777777" w:rsidR="00091544" w:rsidRDefault="00091544" w:rsidP="00091544">
            <w:pPr>
              <w:rPr>
                <w:b/>
                <w:color w:val="000000"/>
                <w:sz w:val="20"/>
                <w:szCs w:val="20"/>
                <w:lang w:eastAsia="en-US"/>
              </w:rPr>
            </w:pPr>
            <w:r>
              <w:rPr>
                <w:color w:val="000000"/>
                <w:sz w:val="20"/>
                <w:szCs w:val="20"/>
                <w:lang w:eastAsia="en-US"/>
              </w:rPr>
              <w:t xml:space="preserve">1. </w:t>
            </w:r>
            <w:r>
              <w:rPr>
                <w:sz w:val="20"/>
                <w:szCs w:val="20"/>
                <w:lang w:eastAsia="en-US"/>
              </w:rPr>
              <w:t>present anterior to, or anteromedially to, the supratemporal fenestra</w:t>
            </w:r>
          </w:p>
        </w:tc>
      </w:tr>
      <w:tr w:rsidR="00091544" w14:paraId="2229B941" w14:textId="77777777" w:rsidTr="00091544">
        <w:tc>
          <w:tcPr>
            <w:tcW w:w="516" w:type="dxa"/>
            <w:tcBorders>
              <w:top w:val="single" w:sz="4" w:space="0" w:color="auto"/>
              <w:left w:val="single" w:sz="4" w:space="0" w:color="auto"/>
              <w:bottom w:val="single" w:sz="4" w:space="0" w:color="auto"/>
              <w:right w:val="single" w:sz="4" w:space="0" w:color="auto"/>
            </w:tcBorders>
          </w:tcPr>
          <w:p w14:paraId="49209167" w14:textId="7B198581" w:rsidR="00091544" w:rsidRDefault="00091544" w:rsidP="00091544">
            <w:pPr>
              <w:rPr>
                <w:color w:val="000000"/>
                <w:sz w:val="20"/>
                <w:szCs w:val="20"/>
                <w:lang w:eastAsia="en-US"/>
              </w:rPr>
            </w:pPr>
            <w:r>
              <w:rPr>
                <w:color w:val="000000"/>
                <w:sz w:val="20"/>
                <w:szCs w:val="20"/>
                <w:lang w:eastAsia="en-US"/>
              </w:rPr>
              <w:lastRenderedPageBreak/>
              <w:t>92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176EC72" w14:textId="77777777" w:rsidR="00091544" w:rsidRDefault="00091544" w:rsidP="00091544">
            <w:pPr>
              <w:rPr>
                <w:b/>
                <w:color w:val="000000"/>
                <w:sz w:val="20"/>
                <w:szCs w:val="20"/>
                <w:lang w:eastAsia="en-US"/>
              </w:rPr>
            </w:pPr>
            <w:r>
              <w:rPr>
                <w:b/>
                <w:color w:val="000000"/>
                <w:sz w:val="20"/>
                <w:szCs w:val="20"/>
                <w:lang w:eastAsia="en-US"/>
              </w:rPr>
              <w:t>Supratemporal fossa, anterior margin in dorsal view: (*)</w:t>
            </w:r>
          </w:p>
          <w:p w14:paraId="4A598497" w14:textId="466FF28E" w:rsidR="00091544" w:rsidRDefault="00091544" w:rsidP="00091544">
            <w:pPr>
              <w:autoSpaceDE w:val="0"/>
              <w:autoSpaceDN w:val="0"/>
              <w:adjustRightInd w:val="0"/>
              <w:rPr>
                <w:i/>
                <w:sz w:val="20"/>
                <w:szCs w:val="20"/>
                <w:lang w:eastAsia="en-US"/>
              </w:rPr>
            </w:pPr>
            <w:r>
              <w:rPr>
                <w:i/>
                <w:sz w:val="20"/>
                <w:szCs w:val="20"/>
                <w:lang w:eastAsia="en-US"/>
              </w:rPr>
              <w:t xml:space="preserve">Young (2006, ch. 9 modified); Wilkinson et al. (2008, ch. 28); Young &amp; Andrade (2009, ch. 28); </w:t>
            </w:r>
            <w:r>
              <w:rPr>
                <w:bCs/>
                <w:i/>
                <w:color w:val="000000"/>
                <w:sz w:val="20"/>
                <w:szCs w:val="20"/>
                <w:lang w:eastAsia="en-US"/>
              </w:rPr>
              <w:t xml:space="preserve">Young et al. (2011, ch. 28); Young et al. (2013a, ch. 32); </w:t>
            </w:r>
            <w:r>
              <w:rPr>
                <w:i/>
                <w:sz w:val="20"/>
                <w:szCs w:val="20"/>
                <w:lang w:eastAsia="en-US"/>
              </w:rPr>
              <w:t xml:space="preserve">Young et al. (2012, ch. 38); Young (2014, ch. 40); Young et al. (2016, ds 2, ch. 49); Ristevski et al. (2018, ds 2, ch. 73); Smith et al. (in review, ds 1, ch. 74); </w:t>
            </w:r>
            <w:r>
              <w:rPr>
                <w:i/>
                <w:sz w:val="20"/>
                <w:szCs w:val="20"/>
              </w:rPr>
              <w:t>Ősi et al. (in review, ds 1, ch. 87)</w:t>
            </w:r>
            <w:r>
              <w:rPr>
                <w:i/>
                <w:sz w:val="20"/>
                <w:szCs w:val="20"/>
                <w:lang w:eastAsia="en-US"/>
              </w:rPr>
              <w:t>.</w:t>
            </w:r>
          </w:p>
          <w:p w14:paraId="67407104" w14:textId="2BADD638" w:rsidR="00091544" w:rsidRDefault="00091544" w:rsidP="00091544">
            <w:pPr>
              <w:rPr>
                <w:i/>
                <w:color w:val="000000"/>
                <w:sz w:val="20"/>
                <w:szCs w:val="20"/>
                <w:lang w:eastAsia="en-US"/>
              </w:rPr>
            </w:pPr>
            <w:r>
              <w:rPr>
                <w:i/>
                <w:color w:val="000000"/>
                <w:sz w:val="20"/>
                <w:szCs w:val="20"/>
                <w:lang w:eastAsia="en-US"/>
              </w:rPr>
              <w:t xml:space="preserve">This character was designed to quantify the anterior extent of the supratemporal fossae. In Metriorhynchidae, the fossae begin to invade the dorsal surface of the orbital region. In </w:t>
            </w:r>
            <w:r>
              <w:rPr>
                <w:color w:val="000000"/>
                <w:sz w:val="20"/>
                <w:szCs w:val="20"/>
                <w:lang w:eastAsia="en-US"/>
              </w:rPr>
              <w:t>Dakosaurus</w:t>
            </w:r>
            <w:r>
              <w:rPr>
                <w:i/>
                <w:color w:val="000000"/>
                <w:sz w:val="20"/>
                <w:szCs w:val="20"/>
                <w:lang w:eastAsia="en-US"/>
              </w:rPr>
              <w:t xml:space="preserve">, </w:t>
            </w:r>
            <w:r>
              <w:rPr>
                <w:color w:val="000000"/>
                <w:sz w:val="20"/>
                <w:szCs w:val="20"/>
                <w:lang w:eastAsia="en-US"/>
              </w:rPr>
              <w:t>Purranisaurus potens,</w:t>
            </w:r>
            <w:r>
              <w:rPr>
                <w:i/>
                <w:color w:val="000000"/>
                <w:sz w:val="20"/>
                <w:szCs w:val="20"/>
                <w:lang w:eastAsia="en-US"/>
              </w:rPr>
              <w:t xml:space="preserve"> </w:t>
            </w:r>
            <w:r>
              <w:rPr>
                <w:color w:val="000000"/>
                <w:sz w:val="20"/>
                <w:szCs w:val="20"/>
                <w:lang w:eastAsia="en-US"/>
              </w:rPr>
              <w:t xml:space="preserve">Cricosaurus saltillensis, </w:t>
            </w:r>
            <w:r>
              <w:rPr>
                <w:i/>
                <w:color w:val="000000"/>
                <w:sz w:val="20"/>
                <w:szCs w:val="20"/>
                <w:lang w:eastAsia="en-US"/>
              </w:rPr>
              <w:t>and</w:t>
            </w:r>
            <w:r>
              <w:rPr>
                <w:color w:val="000000"/>
                <w:sz w:val="20"/>
                <w:szCs w:val="20"/>
                <w:lang w:eastAsia="en-US"/>
              </w:rPr>
              <w:t xml:space="preserve"> C. schroederi</w:t>
            </w:r>
            <w:r>
              <w:rPr>
                <w:i/>
                <w:color w:val="000000"/>
                <w:sz w:val="20"/>
                <w:szCs w:val="20"/>
                <w:lang w:eastAsia="en-US"/>
              </w:rPr>
              <w:t xml:space="preserve"> the supratemporal fossae extend as far anteriorly as the minimum interorbital distance (state 3).</w:t>
            </w:r>
          </w:p>
          <w:p w14:paraId="2E3C9BCB"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66317F74" w14:textId="77777777" w:rsidR="00091544" w:rsidRDefault="00091544" w:rsidP="00091544">
            <w:pPr>
              <w:rPr>
                <w:color w:val="000000"/>
                <w:sz w:val="20"/>
                <w:szCs w:val="20"/>
                <w:lang w:eastAsia="en-US"/>
              </w:rPr>
            </w:pPr>
            <w:r>
              <w:rPr>
                <w:color w:val="000000"/>
                <w:sz w:val="20"/>
                <w:szCs w:val="20"/>
                <w:lang w:eastAsia="en-US"/>
              </w:rPr>
              <w:t>0. anterior margin terminates posterior to the postorbital</w:t>
            </w:r>
          </w:p>
          <w:p w14:paraId="13F374A3" w14:textId="77777777" w:rsidR="00091544" w:rsidRDefault="00091544" w:rsidP="00091544">
            <w:pPr>
              <w:rPr>
                <w:color w:val="000000"/>
                <w:sz w:val="20"/>
                <w:szCs w:val="20"/>
                <w:lang w:eastAsia="en-US"/>
              </w:rPr>
            </w:pPr>
            <w:r>
              <w:rPr>
                <w:color w:val="000000"/>
                <w:sz w:val="20"/>
                <w:szCs w:val="20"/>
                <w:lang w:eastAsia="en-US"/>
              </w:rPr>
              <w:t>1. anterior margin terminates between the anterior and posterior points of the frontal-postorbital suture</w:t>
            </w:r>
          </w:p>
          <w:p w14:paraId="7DCE4F7A" w14:textId="77777777" w:rsidR="00091544" w:rsidRDefault="00091544" w:rsidP="00091544">
            <w:pPr>
              <w:rPr>
                <w:color w:val="000000"/>
                <w:sz w:val="20"/>
                <w:szCs w:val="20"/>
                <w:lang w:eastAsia="en-US"/>
              </w:rPr>
            </w:pPr>
            <w:r>
              <w:rPr>
                <w:color w:val="000000"/>
                <w:sz w:val="20"/>
                <w:szCs w:val="20"/>
                <w:lang w:eastAsia="en-US"/>
              </w:rPr>
              <w:t>2. anterior margin terminates level to the postorbital anterior margin</w:t>
            </w:r>
          </w:p>
          <w:p w14:paraId="6ECBF959" w14:textId="77777777" w:rsidR="00091544" w:rsidRDefault="00091544" w:rsidP="00091544">
            <w:pPr>
              <w:rPr>
                <w:color w:val="000000"/>
                <w:sz w:val="20"/>
                <w:szCs w:val="20"/>
                <w:lang w:eastAsia="en-US"/>
              </w:rPr>
            </w:pPr>
            <w:r>
              <w:rPr>
                <w:color w:val="000000"/>
                <w:sz w:val="20"/>
                <w:szCs w:val="20"/>
                <w:lang w:eastAsia="en-US"/>
              </w:rPr>
              <w:t>3. anterior margin projects more anteriorly than the postorbital and reaches the interorbital minimum distance</w:t>
            </w:r>
          </w:p>
        </w:tc>
      </w:tr>
      <w:tr w:rsidR="00091544" w14:paraId="0DE1D54A" w14:textId="77777777" w:rsidTr="00091544">
        <w:tc>
          <w:tcPr>
            <w:tcW w:w="516" w:type="dxa"/>
            <w:tcBorders>
              <w:top w:val="single" w:sz="4" w:space="0" w:color="auto"/>
              <w:left w:val="single" w:sz="4" w:space="0" w:color="auto"/>
              <w:bottom w:val="single" w:sz="4" w:space="0" w:color="auto"/>
              <w:right w:val="single" w:sz="4" w:space="0" w:color="auto"/>
            </w:tcBorders>
          </w:tcPr>
          <w:p w14:paraId="35B4B813" w14:textId="1D23A099" w:rsidR="00091544" w:rsidRDefault="00091544" w:rsidP="00091544">
            <w:pPr>
              <w:rPr>
                <w:color w:val="000000"/>
                <w:sz w:val="20"/>
                <w:szCs w:val="20"/>
                <w:lang w:eastAsia="en-US"/>
              </w:rPr>
            </w:pPr>
            <w:r>
              <w:rPr>
                <w:color w:val="000000"/>
                <w:sz w:val="20"/>
                <w:szCs w:val="20"/>
                <w:lang w:eastAsia="en-US"/>
              </w:rPr>
              <w:t>93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10672FD" w14:textId="77777777" w:rsidR="00091544" w:rsidRDefault="00091544" w:rsidP="00091544">
            <w:pPr>
              <w:autoSpaceDE w:val="0"/>
              <w:autoSpaceDN w:val="0"/>
              <w:adjustRightInd w:val="0"/>
              <w:rPr>
                <w:b/>
                <w:bCs/>
                <w:color w:val="000000"/>
                <w:sz w:val="20"/>
                <w:szCs w:val="20"/>
                <w:lang w:eastAsia="en-US"/>
              </w:rPr>
            </w:pPr>
            <w:r>
              <w:rPr>
                <w:b/>
                <w:bCs/>
                <w:color w:val="000000"/>
                <w:sz w:val="20"/>
                <w:szCs w:val="20"/>
                <w:lang w:eastAsia="en-US"/>
              </w:rPr>
              <w:t>Supratemporal fossae, overall shape: (*)</w:t>
            </w:r>
          </w:p>
          <w:p w14:paraId="1F7635B2" w14:textId="77777777" w:rsidR="00091544" w:rsidRDefault="00091544" w:rsidP="00091544">
            <w:pPr>
              <w:autoSpaceDE w:val="0"/>
              <w:autoSpaceDN w:val="0"/>
              <w:adjustRightInd w:val="0"/>
              <w:rPr>
                <w:b/>
                <w:bCs/>
                <w:color w:val="000000"/>
                <w:sz w:val="20"/>
                <w:szCs w:val="20"/>
                <w:lang w:eastAsia="en-US"/>
              </w:rPr>
            </w:pPr>
            <w:r>
              <w:rPr>
                <w:i/>
                <w:sz w:val="20"/>
                <w:szCs w:val="20"/>
                <w:lang w:eastAsia="en-US"/>
              </w:rPr>
              <w:t xml:space="preserve">Young &amp; Andrade (2009, ch. 110 + 120 part modified); </w:t>
            </w:r>
            <w:r>
              <w:rPr>
                <w:bCs/>
                <w:i/>
                <w:color w:val="000000"/>
                <w:sz w:val="20"/>
                <w:lang w:eastAsia="en-US"/>
              </w:rPr>
              <w:t xml:space="preserve">Andrade et al. (2011, ch. 111 modified); </w:t>
            </w:r>
            <w:r>
              <w:rPr>
                <w:bCs/>
                <w:i/>
                <w:color w:val="000000"/>
                <w:sz w:val="20"/>
                <w:szCs w:val="20"/>
                <w:lang w:eastAsia="en-US"/>
              </w:rPr>
              <w:t xml:space="preserve">Young et al. (2011, ch. 110 + 120 part modified); Young et al. (2013a, ch. 33 part modified); </w:t>
            </w:r>
          </w:p>
          <w:p w14:paraId="14F6A2CB" w14:textId="59630270" w:rsidR="00091544" w:rsidRDefault="00091544" w:rsidP="00091544">
            <w:pPr>
              <w:rPr>
                <w:i/>
                <w:color w:val="000000"/>
                <w:sz w:val="20"/>
                <w:szCs w:val="20"/>
                <w:lang w:eastAsia="en-US"/>
              </w:rPr>
            </w:pPr>
            <w:r>
              <w:rPr>
                <w:i/>
                <w:color w:val="000000"/>
                <w:sz w:val="20"/>
                <w:szCs w:val="20"/>
                <w:lang w:eastAsia="en-US"/>
              </w:rPr>
              <w:t xml:space="preserve">Young et al. (2012, ch. 39 + 40 + 41 modified); Young (2014, ch. 41 + 42 + 43); Young et al. (2016, ds 2, ch. 50 + 51 + 52 modified); </w:t>
            </w:r>
            <w:r>
              <w:rPr>
                <w:i/>
                <w:sz w:val="20"/>
                <w:szCs w:val="20"/>
                <w:lang w:eastAsia="en-US"/>
              </w:rPr>
              <w:t xml:space="preserve">Ristevski et al. (2018, ds 2, ch. 74); Smith et al. (in review, ds 1, ch. 75); </w:t>
            </w:r>
            <w:r>
              <w:rPr>
                <w:i/>
                <w:sz w:val="20"/>
                <w:szCs w:val="20"/>
              </w:rPr>
              <w:t>Ősi et al. (in review, ds 1, ch. 88)</w:t>
            </w:r>
            <w:r>
              <w:rPr>
                <w:i/>
                <w:color w:val="000000"/>
                <w:sz w:val="20"/>
                <w:szCs w:val="20"/>
                <w:lang w:eastAsia="en-US"/>
              </w:rPr>
              <w:t>.</w:t>
            </w:r>
          </w:p>
          <w:p w14:paraId="54CFF0E7" w14:textId="77777777" w:rsidR="00091544" w:rsidRDefault="00091544" w:rsidP="00091544">
            <w:pPr>
              <w:autoSpaceDE w:val="0"/>
              <w:autoSpaceDN w:val="0"/>
              <w:adjustRightInd w:val="0"/>
              <w:rPr>
                <w:bCs/>
                <w:i/>
                <w:color w:val="000000"/>
                <w:sz w:val="20"/>
                <w:lang w:eastAsia="en-US"/>
              </w:rPr>
            </w:pPr>
            <w:r>
              <w:rPr>
                <w:bCs/>
                <w:i/>
                <w:color w:val="000000"/>
                <w:sz w:val="20"/>
                <w:lang w:eastAsia="en-US"/>
              </w:rPr>
              <w:t>This character is an amalgam of character 111 from Andrade et al. (2011), and characters 50, 51 and 52 from Young et al. (2016, ds 2).</w:t>
            </w:r>
          </w:p>
          <w:p w14:paraId="4859BFBC" w14:textId="77777777" w:rsidR="00091544" w:rsidRDefault="00091544" w:rsidP="00091544">
            <w:pPr>
              <w:rPr>
                <w:color w:val="000000"/>
                <w:sz w:val="20"/>
                <w:szCs w:val="20"/>
                <w:lang w:eastAsia="en-US"/>
              </w:rPr>
            </w:pPr>
            <w:r>
              <w:rPr>
                <w:i/>
                <w:color w:val="000000"/>
                <w:sz w:val="20"/>
                <w:szCs w:val="20"/>
                <w:lang w:eastAsia="en-US"/>
              </w:rPr>
              <w:t xml:space="preserve">In Thalattosuchia, state (1) is a putative apomorphy for </w:t>
            </w:r>
            <w:r>
              <w:rPr>
                <w:color w:val="000000"/>
                <w:sz w:val="20"/>
                <w:szCs w:val="20"/>
                <w:lang w:eastAsia="en-US"/>
              </w:rPr>
              <w:t xml:space="preserve">Teleosaurus cadomensis </w:t>
            </w:r>
            <w:r>
              <w:rPr>
                <w:i/>
                <w:color w:val="000000"/>
                <w:sz w:val="20"/>
                <w:szCs w:val="20"/>
                <w:lang w:eastAsia="en-US"/>
              </w:rPr>
              <w:t>and</w:t>
            </w:r>
            <w:r>
              <w:rPr>
                <w:color w:val="000000"/>
                <w:sz w:val="20"/>
                <w:szCs w:val="20"/>
                <w:lang w:eastAsia="en-US"/>
              </w:rPr>
              <w:t xml:space="preserve"> Maledictosuchus ricalensis.</w:t>
            </w:r>
          </w:p>
          <w:p w14:paraId="361D65C4" w14:textId="77777777" w:rsidR="00091544" w:rsidRDefault="00091544" w:rsidP="00091544">
            <w:pPr>
              <w:autoSpaceDE w:val="0"/>
              <w:autoSpaceDN w:val="0"/>
              <w:adjustRightInd w:val="0"/>
              <w:rPr>
                <w:bCs/>
                <w:i/>
                <w:color w:val="000000"/>
                <w:sz w:val="20"/>
                <w:lang w:eastAsia="en-US"/>
              </w:rPr>
            </w:pPr>
            <w:r>
              <w:rPr>
                <w:bCs/>
                <w:i/>
                <w:color w:val="000000"/>
                <w:sz w:val="20"/>
                <w:lang w:eastAsia="en-US"/>
              </w:rPr>
              <w:t xml:space="preserve">State (2) occurs in </w:t>
            </w:r>
            <w:r>
              <w:rPr>
                <w:bCs/>
                <w:color w:val="000000"/>
                <w:sz w:val="20"/>
                <w:lang w:eastAsia="en-US"/>
              </w:rPr>
              <w:t>Elosuchus</w:t>
            </w:r>
            <w:r>
              <w:rPr>
                <w:bCs/>
                <w:i/>
                <w:color w:val="000000"/>
                <w:sz w:val="20"/>
                <w:lang w:eastAsia="en-US"/>
              </w:rPr>
              <w:t xml:space="preserve"> and </w:t>
            </w:r>
            <w:r>
              <w:rPr>
                <w:bCs/>
                <w:color w:val="000000"/>
                <w:sz w:val="20"/>
                <w:lang w:eastAsia="en-US"/>
              </w:rPr>
              <w:t>Vectisuchus</w:t>
            </w:r>
            <w:r>
              <w:rPr>
                <w:bCs/>
                <w:i/>
                <w:color w:val="000000"/>
                <w:sz w:val="20"/>
                <w:lang w:eastAsia="en-US"/>
              </w:rPr>
              <w:t>.</w:t>
            </w:r>
          </w:p>
          <w:p w14:paraId="20D5DB35" w14:textId="77777777" w:rsidR="00091544" w:rsidRDefault="00091544" w:rsidP="00091544">
            <w:pPr>
              <w:rPr>
                <w:i/>
                <w:color w:val="000000"/>
                <w:sz w:val="20"/>
                <w:szCs w:val="20"/>
                <w:lang w:eastAsia="en-US"/>
              </w:rPr>
            </w:pPr>
            <w:r>
              <w:rPr>
                <w:i/>
                <w:color w:val="000000"/>
                <w:sz w:val="20"/>
                <w:szCs w:val="20"/>
                <w:lang w:eastAsia="en-US"/>
              </w:rPr>
              <w:t xml:space="preserve">In Thalattosuchia, state (4) is a putative apomorphy of </w:t>
            </w:r>
            <w:r>
              <w:rPr>
                <w:color w:val="000000"/>
                <w:sz w:val="20"/>
                <w:szCs w:val="20"/>
                <w:lang w:eastAsia="en-US"/>
              </w:rPr>
              <w:t>Cricosaurus</w:t>
            </w:r>
            <w:r>
              <w:rPr>
                <w:i/>
                <w:color w:val="000000"/>
                <w:sz w:val="20"/>
                <w:szCs w:val="20"/>
                <w:lang w:eastAsia="en-US"/>
              </w:rPr>
              <w:t xml:space="preserve"> </w:t>
            </w:r>
            <w:r>
              <w:rPr>
                <w:color w:val="000000"/>
                <w:sz w:val="20"/>
                <w:szCs w:val="20"/>
                <w:lang w:eastAsia="en-US"/>
              </w:rPr>
              <w:t xml:space="preserve">araucanensis </w:t>
            </w:r>
            <w:r>
              <w:rPr>
                <w:i/>
                <w:color w:val="000000"/>
                <w:sz w:val="20"/>
                <w:szCs w:val="20"/>
                <w:lang w:eastAsia="en-US"/>
              </w:rPr>
              <w:t>and</w:t>
            </w:r>
            <w:r>
              <w:rPr>
                <w:color w:val="000000"/>
                <w:sz w:val="20"/>
                <w:szCs w:val="20"/>
                <w:lang w:eastAsia="en-US"/>
              </w:rPr>
              <w:t xml:space="preserve"> C. vignaudi.</w:t>
            </w:r>
          </w:p>
          <w:p w14:paraId="47475346" w14:textId="77777777" w:rsidR="00091544" w:rsidRDefault="00091544" w:rsidP="00091544">
            <w:pPr>
              <w:rPr>
                <w:color w:val="000000"/>
                <w:sz w:val="20"/>
                <w:szCs w:val="20"/>
                <w:lang w:eastAsia="en-US"/>
              </w:rPr>
            </w:pPr>
            <w:r>
              <w:rPr>
                <w:i/>
                <w:color w:val="000000"/>
                <w:sz w:val="20"/>
                <w:szCs w:val="20"/>
                <w:lang w:eastAsia="en-US"/>
              </w:rPr>
              <w:t>State (6) is a putative apomorphy of Machimosaurini</w:t>
            </w:r>
            <w:r>
              <w:rPr>
                <w:color w:val="000000"/>
                <w:sz w:val="20"/>
                <w:szCs w:val="20"/>
                <w:lang w:eastAsia="en-US"/>
              </w:rPr>
              <w:t>.</w:t>
            </w:r>
          </w:p>
          <w:p w14:paraId="1652882A"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773E5DAA" w14:textId="77777777" w:rsidR="00091544" w:rsidRDefault="00091544" w:rsidP="00091544">
            <w:pPr>
              <w:rPr>
                <w:color w:val="000000"/>
                <w:sz w:val="20"/>
                <w:szCs w:val="20"/>
                <w:lang w:eastAsia="en-US"/>
              </w:rPr>
            </w:pPr>
            <w:r>
              <w:rPr>
                <w:color w:val="000000"/>
                <w:sz w:val="20"/>
                <w:szCs w:val="20"/>
                <w:lang w:eastAsia="en-US"/>
              </w:rPr>
              <w:t>0. longitudinal ellipsoid/sub-rectangular (anteroposterior axis more than 10% longer than the lateromedial axis)</w:t>
            </w:r>
          </w:p>
          <w:p w14:paraId="2E9C3B9E" w14:textId="77777777" w:rsidR="00091544" w:rsidRDefault="00091544" w:rsidP="00091544">
            <w:pPr>
              <w:autoSpaceDE w:val="0"/>
              <w:autoSpaceDN w:val="0"/>
              <w:adjustRightInd w:val="0"/>
              <w:rPr>
                <w:color w:val="000000"/>
                <w:sz w:val="20"/>
                <w:szCs w:val="20"/>
                <w:lang w:eastAsia="en-US"/>
              </w:rPr>
            </w:pPr>
            <w:r>
              <w:rPr>
                <w:color w:val="000000"/>
                <w:sz w:val="20"/>
                <w:szCs w:val="20"/>
                <w:lang w:eastAsia="en-US"/>
              </w:rPr>
              <w:t>1. square-shaped to sub-rectangular (anteroposterior axis more than 10% longer than the lateromedial axis)</w:t>
            </w:r>
          </w:p>
          <w:p w14:paraId="3AA7F5CA" w14:textId="77777777" w:rsidR="00091544" w:rsidRDefault="00091544" w:rsidP="00091544">
            <w:pPr>
              <w:autoSpaceDE w:val="0"/>
              <w:autoSpaceDN w:val="0"/>
              <w:adjustRightInd w:val="0"/>
              <w:rPr>
                <w:color w:val="000000"/>
                <w:sz w:val="20"/>
                <w:szCs w:val="20"/>
                <w:lang w:eastAsia="en-US"/>
              </w:rPr>
            </w:pPr>
            <w:r>
              <w:rPr>
                <w:color w:val="000000"/>
                <w:sz w:val="20"/>
                <w:szCs w:val="20"/>
                <w:lang w:eastAsia="en-US"/>
              </w:rPr>
              <w:t>2. transverse triangle-shaped, with the axis converging medially (lateromedial axis more than 10% longer than the anteroposterior axis</w:t>
            </w:r>
          </w:p>
          <w:p w14:paraId="588D149B" w14:textId="77777777" w:rsidR="00091544" w:rsidRDefault="00091544" w:rsidP="00091544">
            <w:pPr>
              <w:autoSpaceDE w:val="0"/>
              <w:autoSpaceDN w:val="0"/>
              <w:adjustRightInd w:val="0"/>
              <w:rPr>
                <w:color w:val="000000"/>
                <w:sz w:val="20"/>
                <w:szCs w:val="20"/>
                <w:lang w:eastAsia="en-US"/>
              </w:rPr>
            </w:pPr>
            <w:r>
              <w:rPr>
                <w:color w:val="000000"/>
                <w:sz w:val="20"/>
                <w:szCs w:val="20"/>
                <w:lang w:eastAsia="en-US"/>
              </w:rPr>
              <w:t>3. circular to sub-circular</w:t>
            </w:r>
          </w:p>
          <w:p w14:paraId="375C706D" w14:textId="77777777" w:rsidR="00091544" w:rsidRDefault="00091544" w:rsidP="00091544">
            <w:pPr>
              <w:rPr>
                <w:color w:val="000000"/>
                <w:sz w:val="20"/>
                <w:szCs w:val="20"/>
                <w:lang w:eastAsia="en-US"/>
              </w:rPr>
            </w:pPr>
            <w:r>
              <w:rPr>
                <w:color w:val="000000"/>
                <w:sz w:val="20"/>
                <w:szCs w:val="20"/>
                <w:lang w:eastAsia="en-US"/>
              </w:rPr>
              <w:t>4. triangle-shaped, axis converging medially</w:t>
            </w:r>
          </w:p>
          <w:p w14:paraId="7051D193" w14:textId="77777777" w:rsidR="00091544" w:rsidRDefault="00091544" w:rsidP="00091544">
            <w:pPr>
              <w:rPr>
                <w:b/>
                <w:color w:val="000000"/>
                <w:sz w:val="20"/>
                <w:szCs w:val="20"/>
                <w:lang w:eastAsia="en-US"/>
              </w:rPr>
            </w:pPr>
            <w:r>
              <w:rPr>
                <w:color w:val="000000"/>
                <w:sz w:val="20"/>
                <w:szCs w:val="20"/>
                <w:lang w:eastAsia="en-US"/>
              </w:rPr>
              <w:t>5. parallelogram: lateral and medial margins, and anterior and posterior margins are sub-parallel</w:t>
            </w:r>
          </w:p>
        </w:tc>
      </w:tr>
      <w:tr w:rsidR="00091544" w14:paraId="1012413B" w14:textId="77777777" w:rsidTr="00091544">
        <w:tc>
          <w:tcPr>
            <w:tcW w:w="516" w:type="dxa"/>
            <w:tcBorders>
              <w:top w:val="single" w:sz="4" w:space="0" w:color="auto"/>
              <w:left w:val="single" w:sz="4" w:space="0" w:color="auto"/>
              <w:bottom w:val="single" w:sz="4" w:space="0" w:color="auto"/>
              <w:right w:val="single" w:sz="4" w:space="0" w:color="auto"/>
            </w:tcBorders>
          </w:tcPr>
          <w:p w14:paraId="2BC0261D" w14:textId="7AD4D56F" w:rsidR="00091544" w:rsidRDefault="00091544" w:rsidP="00091544">
            <w:pPr>
              <w:rPr>
                <w:color w:val="000000"/>
                <w:sz w:val="20"/>
                <w:szCs w:val="20"/>
                <w:lang w:eastAsia="en-US"/>
              </w:rPr>
            </w:pPr>
            <w:r>
              <w:rPr>
                <w:color w:val="000000"/>
                <w:sz w:val="20"/>
                <w:szCs w:val="20"/>
                <w:lang w:eastAsia="en-US"/>
              </w:rPr>
              <w:t>94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5830327" w14:textId="77777777" w:rsidR="00091544" w:rsidRDefault="00091544" w:rsidP="00091544">
            <w:pPr>
              <w:rPr>
                <w:b/>
                <w:color w:val="000000"/>
                <w:sz w:val="20"/>
                <w:szCs w:val="20"/>
                <w:lang w:eastAsia="en-US"/>
              </w:rPr>
            </w:pPr>
            <w:r>
              <w:rPr>
                <w:b/>
                <w:color w:val="000000"/>
                <w:sz w:val="20"/>
                <w:szCs w:val="20"/>
                <w:lang w:eastAsia="en-US"/>
              </w:rPr>
              <w:t>Supratemporal fossa/fenestra, anterior margin shape, anterolateral expansion: (*)</w:t>
            </w:r>
          </w:p>
          <w:p w14:paraId="0E1C8FC4" w14:textId="39D4E22D" w:rsidR="00091544" w:rsidRDefault="00091544" w:rsidP="00091544">
            <w:pPr>
              <w:rPr>
                <w:i/>
                <w:sz w:val="20"/>
                <w:szCs w:val="20"/>
                <w:lang w:eastAsia="en-US"/>
              </w:rPr>
            </w:pPr>
            <w:r>
              <w:rPr>
                <w:i/>
                <w:sz w:val="20"/>
                <w:szCs w:val="20"/>
                <w:lang w:eastAsia="en-US"/>
              </w:rPr>
              <w:t xml:space="preserve">Ristevski et al. (2018, ds 2, ch. 75); Smith et al. (in review, ds 1, ch. 76); </w:t>
            </w:r>
            <w:r>
              <w:rPr>
                <w:i/>
                <w:sz w:val="20"/>
                <w:szCs w:val="20"/>
              </w:rPr>
              <w:t>Ősi et al. (in review, ds 1, ch. 89)</w:t>
            </w:r>
            <w:r>
              <w:rPr>
                <w:i/>
                <w:sz w:val="20"/>
                <w:szCs w:val="20"/>
                <w:lang w:eastAsia="en-US"/>
              </w:rPr>
              <w:t>.</w:t>
            </w:r>
          </w:p>
          <w:p w14:paraId="78C40633" w14:textId="70AD3B8B" w:rsidR="00091544" w:rsidRDefault="00091544" w:rsidP="00091544">
            <w:pPr>
              <w:rPr>
                <w:sz w:val="20"/>
                <w:szCs w:val="20"/>
                <w:lang w:eastAsia="en-US"/>
              </w:rPr>
            </w:pPr>
            <w:r>
              <w:rPr>
                <w:i/>
                <w:sz w:val="20"/>
                <w:szCs w:val="20"/>
                <w:lang w:eastAsia="en-US"/>
              </w:rPr>
              <w:t>State (1) occurs in the teleosaur</w:t>
            </w:r>
            <w:r w:rsidR="00007246">
              <w:rPr>
                <w:i/>
                <w:sz w:val="20"/>
                <w:szCs w:val="20"/>
                <w:lang w:eastAsia="en-US"/>
              </w:rPr>
              <w:t>o</w:t>
            </w:r>
            <w:r>
              <w:rPr>
                <w:i/>
                <w:sz w:val="20"/>
                <w:szCs w:val="20"/>
                <w:lang w:eastAsia="en-US"/>
              </w:rPr>
              <w:t xml:space="preserve">ids </w:t>
            </w:r>
            <w:r>
              <w:rPr>
                <w:sz w:val="20"/>
                <w:szCs w:val="20"/>
                <w:lang w:eastAsia="en-US"/>
              </w:rPr>
              <w:t>Mycterosuchus nasutus, Peipehsuchus teleorhinus</w:t>
            </w:r>
            <w:r>
              <w:rPr>
                <w:i/>
                <w:sz w:val="20"/>
                <w:szCs w:val="20"/>
                <w:lang w:eastAsia="en-US"/>
              </w:rPr>
              <w:t xml:space="preserve">, </w:t>
            </w:r>
            <w:r>
              <w:rPr>
                <w:sz w:val="20"/>
                <w:szCs w:val="20"/>
                <w:lang w:eastAsia="en-US"/>
              </w:rPr>
              <w:t>Platysuchus multiscrobiculatus</w:t>
            </w:r>
            <w:r>
              <w:rPr>
                <w:i/>
                <w:sz w:val="20"/>
                <w:szCs w:val="20"/>
                <w:lang w:eastAsia="en-US"/>
              </w:rPr>
              <w:t xml:space="preserve">, </w:t>
            </w:r>
            <w:r>
              <w:rPr>
                <w:sz w:val="20"/>
                <w:szCs w:val="20"/>
                <w:lang w:eastAsia="en-US"/>
              </w:rPr>
              <w:t>Teleosaurus cadomensis</w:t>
            </w:r>
            <w:r>
              <w:rPr>
                <w:i/>
                <w:sz w:val="20"/>
                <w:szCs w:val="20"/>
                <w:lang w:eastAsia="en-US"/>
              </w:rPr>
              <w:t xml:space="preserve"> and </w:t>
            </w:r>
            <w:r>
              <w:rPr>
                <w:sz w:val="20"/>
                <w:szCs w:val="20"/>
                <w:lang w:eastAsia="en-US"/>
              </w:rPr>
              <w:t>Steneosaurus</w:t>
            </w:r>
            <w:r>
              <w:rPr>
                <w:i/>
                <w:sz w:val="20"/>
                <w:szCs w:val="20"/>
                <w:lang w:eastAsia="en-US"/>
              </w:rPr>
              <w:t xml:space="preserve"> </w:t>
            </w:r>
            <w:r>
              <w:rPr>
                <w:sz w:val="20"/>
                <w:szCs w:val="20"/>
                <w:lang w:eastAsia="en-US"/>
              </w:rPr>
              <w:t>brevior.</w:t>
            </w:r>
          </w:p>
          <w:p w14:paraId="132ED4FB"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06AD5DCE" w14:textId="77777777" w:rsidR="00091544" w:rsidRDefault="00091544" w:rsidP="00091544">
            <w:pPr>
              <w:rPr>
                <w:color w:val="000000"/>
                <w:sz w:val="20"/>
                <w:szCs w:val="20"/>
                <w:lang w:eastAsia="en-US"/>
              </w:rPr>
            </w:pPr>
            <w:r>
              <w:rPr>
                <w:color w:val="000000"/>
                <w:sz w:val="20"/>
                <w:szCs w:val="20"/>
                <w:lang w:eastAsia="en-US"/>
              </w:rPr>
              <w:t>0. no anterolateral expansion of the supratemporal fenestrae/fossae</w:t>
            </w:r>
          </w:p>
          <w:p w14:paraId="43F4594A" w14:textId="77777777" w:rsidR="00091544" w:rsidRDefault="00091544" w:rsidP="00091544">
            <w:pPr>
              <w:rPr>
                <w:color w:val="000000"/>
                <w:sz w:val="20"/>
                <w:szCs w:val="20"/>
                <w:lang w:eastAsia="en-US"/>
              </w:rPr>
            </w:pPr>
            <w:r>
              <w:rPr>
                <w:color w:val="000000"/>
                <w:sz w:val="20"/>
                <w:szCs w:val="20"/>
                <w:lang w:eastAsia="en-US"/>
              </w:rPr>
              <w:t xml:space="preserve">1. </w:t>
            </w:r>
            <w:r>
              <w:rPr>
                <w:sz w:val="20"/>
                <w:szCs w:val="20"/>
                <w:lang w:eastAsia="en-US"/>
              </w:rPr>
              <w:t>anterior margin of the supratemporal fossae are noticeably inclined anterolaterally, such that the anterolateral corners of the supratemporal fossae are noticeably more anterior than the anteromedial corners of the supratemporal fossae</w:t>
            </w:r>
          </w:p>
        </w:tc>
      </w:tr>
      <w:tr w:rsidR="00091544" w14:paraId="7A37EBE3" w14:textId="77777777" w:rsidTr="00091544">
        <w:tc>
          <w:tcPr>
            <w:tcW w:w="516" w:type="dxa"/>
            <w:tcBorders>
              <w:top w:val="single" w:sz="4" w:space="0" w:color="auto"/>
              <w:left w:val="single" w:sz="4" w:space="0" w:color="auto"/>
              <w:bottom w:val="single" w:sz="4" w:space="0" w:color="auto"/>
              <w:right w:val="single" w:sz="4" w:space="0" w:color="auto"/>
            </w:tcBorders>
          </w:tcPr>
          <w:p w14:paraId="275D23A4" w14:textId="520D0AF2" w:rsidR="00091544" w:rsidRDefault="00091544" w:rsidP="00091544">
            <w:pPr>
              <w:rPr>
                <w:color w:val="000000"/>
                <w:sz w:val="20"/>
                <w:szCs w:val="20"/>
                <w:lang w:eastAsia="en-US"/>
              </w:rPr>
            </w:pPr>
            <w:r>
              <w:rPr>
                <w:color w:val="000000"/>
                <w:sz w:val="20"/>
                <w:szCs w:val="20"/>
                <w:lang w:eastAsia="en-US"/>
              </w:rPr>
              <w:t>95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B2D0EB0" w14:textId="77777777" w:rsidR="00091544" w:rsidRDefault="00091544" w:rsidP="00091544">
            <w:pPr>
              <w:rPr>
                <w:b/>
                <w:sz w:val="20"/>
                <w:szCs w:val="20"/>
                <w:lang w:eastAsia="en-US"/>
              </w:rPr>
            </w:pPr>
            <w:r>
              <w:rPr>
                <w:b/>
                <w:sz w:val="20"/>
                <w:szCs w:val="20"/>
                <w:lang w:eastAsia="en-US"/>
              </w:rPr>
              <w:t>Supratemporal fenestra, overall anteroposterior elongation: (*)</w:t>
            </w:r>
          </w:p>
          <w:p w14:paraId="4A99540C" w14:textId="486875C3" w:rsidR="00091544" w:rsidRDefault="00091544" w:rsidP="00091544">
            <w:pPr>
              <w:rPr>
                <w:i/>
                <w:sz w:val="20"/>
                <w:szCs w:val="20"/>
                <w:lang w:eastAsia="en-US"/>
              </w:rPr>
            </w:pPr>
            <w:r>
              <w:rPr>
                <w:i/>
                <w:sz w:val="20"/>
                <w:szCs w:val="20"/>
                <w:lang w:eastAsia="en-US"/>
              </w:rPr>
              <w:lastRenderedPageBreak/>
              <w:t xml:space="preserve">Ristevski et al. (2018, ds 2, ch. 76); Smith et al. (in review, ds 1, ch. 77); </w:t>
            </w:r>
            <w:r>
              <w:rPr>
                <w:i/>
                <w:sz w:val="20"/>
                <w:szCs w:val="20"/>
              </w:rPr>
              <w:t>Ősi et al. (in review, ds 1, ch. 90)</w:t>
            </w:r>
            <w:r>
              <w:rPr>
                <w:i/>
                <w:sz w:val="20"/>
                <w:szCs w:val="20"/>
                <w:lang w:eastAsia="en-US"/>
              </w:rPr>
              <w:t>.</w:t>
            </w:r>
          </w:p>
          <w:p w14:paraId="773A2F97" w14:textId="40D22AF9" w:rsidR="00091544" w:rsidRDefault="00091544" w:rsidP="00091544">
            <w:pPr>
              <w:rPr>
                <w:i/>
                <w:sz w:val="20"/>
                <w:szCs w:val="20"/>
                <w:lang w:eastAsia="en-US"/>
              </w:rPr>
            </w:pPr>
            <w:r>
              <w:rPr>
                <w:i/>
                <w:sz w:val="20"/>
                <w:szCs w:val="20"/>
                <w:lang w:eastAsia="en-US"/>
              </w:rPr>
              <w:t>State (1) occurs in derived teleosaur</w:t>
            </w:r>
            <w:r w:rsidR="00007246">
              <w:rPr>
                <w:i/>
                <w:sz w:val="20"/>
                <w:szCs w:val="20"/>
                <w:lang w:eastAsia="en-US"/>
              </w:rPr>
              <w:t>o</w:t>
            </w:r>
            <w:r>
              <w:rPr>
                <w:i/>
                <w:sz w:val="20"/>
                <w:szCs w:val="20"/>
                <w:lang w:eastAsia="en-US"/>
              </w:rPr>
              <w:t>ids.</w:t>
            </w:r>
          </w:p>
          <w:p w14:paraId="0E40AEE4" w14:textId="77777777" w:rsidR="00091544" w:rsidRDefault="00091544" w:rsidP="00091544">
            <w:pPr>
              <w:rPr>
                <w:i/>
                <w:sz w:val="20"/>
                <w:szCs w:val="20"/>
                <w:lang w:eastAsia="en-US"/>
              </w:rPr>
            </w:pPr>
            <w:r>
              <w:rPr>
                <w:i/>
                <w:sz w:val="20"/>
                <w:szCs w:val="20"/>
                <w:lang w:eastAsia="en-US"/>
              </w:rPr>
              <w:t>This character is not homologous to the anteroposterior elongation of the supratemporal fenestrae in other clades, as it is caused by the extreme anteroposterior elongation of the proötics, laterosphenoids, postorbital posterior processes, parietal anterior process and frontal posterior process.</w:t>
            </w:r>
          </w:p>
          <w:p w14:paraId="62821E31"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34CD34F0" w14:textId="77777777" w:rsidR="00091544" w:rsidRDefault="00091544" w:rsidP="00091544">
            <w:pPr>
              <w:rPr>
                <w:sz w:val="20"/>
                <w:szCs w:val="20"/>
                <w:lang w:eastAsia="en-US"/>
              </w:rPr>
            </w:pPr>
            <w:r>
              <w:rPr>
                <w:sz w:val="20"/>
                <w:szCs w:val="20"/>
                <w:lang w:eastAsia="en-US"/>
              </w:rPr>
              <w:t>0. length is either less than, or approximately sub-equal to the anterior width</w:t>
            </w:r>
          </w:p>
          <w:p w14:paraId="3F74ADAF" w14:textId="77777777" w:rsidR="00091544" w:rsidRDefault="00091544" w:rsidP="00091544">
            <w:pPr>
              <w:rPr>
                <w:lang w:eastAsia="en-US"/>
              </w:rPr>
            </w:pPr>
            <w:r>
              <w:rPr>
                <w:sz w:val="20"/>
                <w:szCs w:val="20"/>
                <w:lang w:eastAsia="en-US"/>
              </w:rPr>
              <w:t xml:space="preserve">1. length is twice as long as the anterior width, or more. In </w:t>
            </w:r>
            <w:r>
              <w:rPr>
                <w:i/>
                <w:sz w:val="20"/>
                <w:szCs w:val="20"/>
                <w:lang w:eastAsia="en-US"/>
              </w:rPr>
              <w:t>Machimosaurus</w:t>
            </w:r>
            <w:r>
              <w:rPr>
                <w:sz w:val="20"/>
                <w:szCs w:val="20"/>
                <w:lang w:eastAsia="en-US"/>
              </w:rPr>
              <w:t>, the width of the supratemporal fenestrae increases, however the extreme elongation of the bones is still present.</w:t>
            </w:r>
          </w:p>
        </w:tc>
      </w:tr>
      <w:tr w:rsidR="00091544" w14:paraId="71EC89C4" w14:textId="77777777" w:rsidTr="00091544">
        <w:tc>
          <w:tcPr>
            <w:tcW w:w="516" w:type="dxa"/>
            <w:tcBorders>
              <w:top w:val="single" w:sz="4" w:space="0" w:color="auto"/>
              <w:left w:val="single" w:sz="4" w:space="0" w:color="auto"/>
              <w:bottom w:val="single" w:sz="4" w:space="0" w:color="auto"/>
              <w:right w:val="single" w:sz="4" w:space="0" w:color="auto"/>
            </w:tcBorders>
          </w:tcPr>
          <w:p w14:paraId="4E615116" w14:textId="5969B70F" w:rsidR="00091544" w:rsidRDefault="00091544" w:rsidP="00091544">
            <w:pPr>
              <w:rPr>
                <w:color w:val="000000"/>
                <w:sz w:val="20"/>
                <w:szCs w:val="20"/>
                <w:lang w:eastAsia="en-US"/>
              </w:rPr>
            </w:pPr>
            <w:r>
              <w:rPr>
                <w:color w:val="000000"/>
                <w:sz w:val="20"/>
                <w:szCs w:val="20"/>
                <w:lang w:eastAsia="en-US"/>
              </w:rPr>
              <w:lastRenderedPageBreak/>
              <w:t>96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67088F2" w14:textId="77777777" w:rsidR="00091544" w:rsidRDefault="00091544" w:rsidP="00091544">
            <w:pPr>
              <w:rPr>
                <w:b/>
                <w:color w:val="000000"/>
                <w:sz w:val="20"/>
                <w:szCs w:val="20"/>
                <w:lang w:eastAsia="en-US"/>
              </w:rPr>
            </w:pPr>
            <w:r>
              <w:rPr>
                <w:b/>
                <w:color w:val="000000"/>
                <w:sz w:val="20"/>
                <w:szCs w:val="20"/>
                <w:lang w:eastAsia="en-US"/>
              </w:rPr>
              <w:t>Supratemporal fenestra, overall anteroposterior elongation: (*)</w:t>
            </w:r>
          </w:p>
          <w:p w14:paraId="26425820" w14:textId="7499C448" w:rsidR="00091544" w:rsidRDefault="00091544" w:rsidP="00091544">
            <w:pPr>
              <w:rPr>
                <w:i/>
                <w:color w:val="000000"/>
                <w:sz w:val="20"/>
                <w:szCs w:val="20"/>
                <w:lang w:eastAsia="en-US"/>
              </w:rPr>
            </w:pPr>
            <w:r>
              <w:rPr>
                <w:i/>
                <w:sz w:val="20"/>
                <w:szCs w:val="20"/>
                <w:lang w:eastAsia="en-US"/>
              </w:rPr>
              <w:t xml:space="preserve">Ristevski et al. (2018, ds 2, ch. 77); Smith et al. (in review, ds 1, ch. 78); </w:t>
            </w:r>
            <w:r>
              <w:rPr>
                <w:i/>
                <w:sz w:val="20"/>
                <w:szCs w:val="20"/>
              </w:rPr>
              <w:t>Ősi et al. (in review, ds 1, ch. 91)</w:t>
            </w:r>
            <w:r>
              <w:rPr>
                <w:i/>
                <w:sz w:val="20"/>
                <w:szCs w:val="20"/>
                <w:lang w:eastAsia="en-US"/>
              </w:rPr>
              <w:t>.</w:t>
            </w:r>
          </w:p>
          <w:p w14:paraId="5A3B7D8B" w14:textId="77777777" w:rsidR="00091544" w:rsidRDefault="00091544" w:rsidP="00091544">
            <w:pPr>
              <w:rPr>
                <w:i/>
                <w:color w:val="000000"/>
                <w:sz w:val="20"/>
                <w:szCs w:val="20"/>
                <w:lang w:eastAsia="en-US"/>
              </w:rPr>
            </w:pPr>
            <w:r>
              <w:rPr>
                <w:i/>
                <w:color w:val="000000"/>
                <w:sz w:val="20"/>
                <w:szCs w:val="20"/>
                <w:lang w:eastAsia="en-US"/>
              </w:rPr>
              <w:t>State (1) occurs in dyrosaurids.</w:t>
            </w:r>
          </w:p>
          <w:p w14:paraId="374C26FF" w14:textId="59C76673" w:rsidR="00091544" w:rsidRDefault="00091544" w:rsidP="00091544">
            <w:pPr>
              <w:rPr>
                <w:i/>
                <w:color w:val="000000"/>
                <w:sz w:val="20"/>
                <w:szCs w:val="20"/>
                <w:lang w:eastAsia="en-US"/>
              </w:rPr>
            </w:pPr>
            <w:r>
              <w:rPr>
                <w:i/>
                <w:color w:val="000000"/>
                <w:sz w:val="20"/>
                <w:szCs w:val="20"/>
                <w:lang w:eastAsia="en-US"/>
              </w:rPr>
              <w:t>This character is not homologous to the anteroposterior elongation of the supratemporal fenestrae in teleosaur</w:t>
            </w:r>
            <w:r w:rsidR="00007246">
              <w:rPr>
                <w:i/>
                <w:color w:val="000000"/>
                <w:sz w:val="20"/>
                <w:szCs w:val="20"/>
                <w:lang w:eastAsia="en-US"/>
              </w:rPr>
              <w:t>o</w:t>
            </w:r>
            <w:r>
              <w:rPr>
                <w:i/>
                <w:color w:val="000000"/>
                <w:sz w:val="20"/>
                <w:szCs w:val="20"/>
                <w:lang w:eastAsia="en-US"/>
              </w:rPr>
              <w:t>ids, as it is caused by the anteroposterior elongation of the laterosphenoids, postorbital posterior processes, squamosal anterior processes and parietal anterior process.</w:t>
            </w:r>
          </w:p>
          <w:p w14:paraId="7F80D4E2"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0C73D08D" w14:textId="6D61B588" w:rsidR="00091544" w:rsidRDefault="00091544" w:rsidP="00091544">
            <w:pPr>
              <w:rPr>
                <w:color w:val="000000"/>
                <w:sz w:val="20"/>
                <w:szCs w:val="20"/>
                <w:lang w:eastAsia="en-US"/>
              </w:rPr>
            </w:pPr>
            <w:r>
              <w:rPr>
                <w:color w:val="000000"/>
                <w:sz w:val="20"/>
                <w:szCs w:val="20"/>
                <w:lang w:eastAsia="en-US"/>
              </w:rPr>
              <w:t>0. length is either less than, or approximately sub-equal to the width at the middle of the fenestra (± 25%)</w:t>
            </w:r>
          </w:p>
          <w:p w14:paraId="52145ACF" w14:textId="23D64BBC" w:rsidR="00091544" w:rsidRDefault="00091544" w:rsidP="00091544">
            <w:pPr>
              <w:rPr>
                <w:color w:val="000000"/>
                <w:sz w:val="20"/>
                <w:szCs w:val="20"/>
                <w:lang w:eastAsia="en-US"/>
              </w:rPr>
            </w:pPr>
            <w:r>
              <w:rPr>
                <w:color w:val="000000"/>
                <w:sz w:val="20"/>
                <w:szCs w:val="20"/>
                <w:lang w:eastAsia="en-US"/>
              </w:rPr>
              <w:t>1. length is greater than the width of the fenestra (greater than 125%)</w:t>
            </w:r>
          </w:p>
        </w:tc>
      </w:tr>
      <w:tr w:rsidR="00091544" w14:paraId="108E197B" w14:textId="77777777" w:rsidTr="00091544">
        <w:tc>
          <w:tcPr>
            <w:tcW w:w="516" w:type="dxa"/>
            <w:tcBorders>
              <w:top w:val="single" w:sz="4" w:space="0" w:color="auto"/>
              <w:left w:val="single" w:sz="4" w:space="0" w:color="auto"/>
              <w:bottom w:val="single" w:sz="4" w:space="0" w:color="auto"/>
              <w:right w:val="single" w:sz="4" w:space="0" w:color="auto"/>
            </w:tcBorders>
          </w:tcPr>
          <w:p w14:paraId="1A6E2ADA" w14:textId="47A0AFC9" w:rsidR="00091544" w:rsidRDefault="00091544" w:rsidP="00091544">
            <w:pPr>
              <w:rPr>
                <w:color w:val="000000"/>
                <w:sz w:val="20"/>
                <w:szCs w:val="20"/>
                <w:lang w:eastAsia="en-US"/>
              </w:rPr>
            </w:pPr>
            <w:r>
              <w:rPr>
                <w:color w:val="000000"/>
                <w:sz w:val="20"/>
                <w:szCs w:val="20"/>
                <w:lang w:eastAsia="en-US"/>
              </w:rPr>
              <w:t>97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F6EB069" w14:textId="77777777" w:rsidR="00091544" w:rsidRDefault="00091544" w:rsidP="00091544">
            <w:pPr>
              <w:rPr>
                <w:b/>
                <w:color w:val="000000"/>
                <w:sz w:val="20"/>
                <w:szCs w:val="20"/>
                <w:lang w:eastAsia="en-US"/>
              </w:rPr>
            </w:pPr>
            <w:r>
              <w:rPr>
                <w:b/>
                <w:color w:val="000000"/>
                <w:sz w:val="20"/>
                <w:szCs w:val="20"/>
                <w:lang w:eastAsia="en-US"/>
              </w:rPr>
              <w:t>Supratemporal fenestra, in dorsal view, size relative to orbits: (*)</w:t>
            </w:r>
          </w:p>
          <w:p w14:paraId="24725D00" w14:textId="32B2BE19" w:rsidR="00091544" w:rsidRDefault="00091544" w:rsidP="00091544">
            <w:pPr>
              <w:autoSpaceDE w:val="0"/>
              <w:autoSpaceDN w:val="0"/>
              <w:adjustRightInd w:val="0"/>
              <w:rPr>
                <w:i/>
                <w:sz w:val="20"/>
                <w:szCs w:val="20"/>
                <w:lang w:eastAsia="en-US"/>
              </w:rPr>
            </w:pPr>
            <w:r>
              <w:rPr>
                <w:i/>
                <w:sz w:val="20"/>
                <w:szCs w:val="20"/>
                <w:lang w:eastAsia="en-US"/>
              </w:rPr>
              <w:t xml:space="preserve">Young (2006, ch. 11); Wilkinson et al. (2008, ch. 30); Young &amp; Andrade (2009, ch. 30); </w:t>
            </w:r>
            <w:r>
              <w:rPr>
                <w:bCs/>
                <w:i/>
                <w:color w:val="000000"/>
                <w:sz w:val="20"/>
                <w:szCs w:val="20"/>
                <w:lang w:eastAsia="en-US"/>
              </w:rPr>
              <w:t xml:space="preserve">Young et al. (2011, ch. 30); Young et al. (2013a, ch. 34); </w:t>
            </w:r>
            <w:r>
              <w:rPr>
                <w:i/>
                <w:sz w:val="20"/>
                <w:szCs w:val="20"/>
                <w:lang w:eastAsia="en-US"/>
              </w:rPr>
              <w:t xml:space="preserve">Young et al. (2012, ch. 42); Young (2014, ch. 44); Young et al. (2016, ds 2, ch. 53); Ristevski et al. (2018, ds 2, ch. 78); Smith et al. (in review, ds 1, ch. 79); </w:t>
            </w:r>
            <w:r>
              <w:rPr>
                <w:i/>
                <w:sz w:val="20"/>
                <w:szCs w:val="20"/>
              </w:rPr>
              <w:t>Ősi et al. (in review, ds 1, ch. 92)</w:t>
            </w:r>
            <w:r>
              <w:rPr>
                <w:i/>
                <w:sz w:val="20"/>
                <w:szCs w:val="20"/>
                <w:lang w:eastAsia="en-US"/>
              </w:rPr>
              <w:t>.</w:t>
            </w:r>
          </w:p>
          <w:p w14:paraId="52668CF6"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433A898A" w14:textId="77777777" w:rsidR="00091544" w:rsidRDefault="00091544" w:rsidP="00091544">
            <w:pPr>
              <w:rPr>
                <w:color w:val="000000"/>
                <w:sz w:val="20"/>
                <w:szCs w:val="20"/>
                <w:lang w:eastAsia="en-US"/>
              </w:rPr>
            </w:pPr>
            <w:r>
              <w:rPr>
                <w:color w:val="000000"/>
                <w:sz w:val="20"/>
                <w:szCs w:val="20"/>
                <w:lang w:eastAsia="en-US"/>
              </w:rPr>
              <w:t>0. longer in length than the orbit (supratemporal length 110% or more of orbit length)</w:t>
            </w:r>
          </w:p>
          <w:p w14:paraId="37BB5A9C" w14:textId="77777777" w:rsidR="00091544" w:rsidRDefault="00091544" w:rsidP="00091544">
            <w:pPr>
              <w:rPr>
                <w:color w:val="000000"/>
                <w:sz w:val="20"/>
                <w:szCs w:val="20"/>
                <w:lang w:eastAsia="en-US"/>
              </w:rPr>
            </w:pPr>
            <w:r>
              <w:rPr>
                <w:color w:val="000000"/>
                <w:sz w:val="20"/>
                <w:szCs w:val="20"/>
                <w:lang w:eastAsia="en-US"/>
              </w:rPr>
              <w:t xml:space="preserve">1. subequal in length as the orbit (± 5%) </w:t>
            </w:r>
          </w:p>
          <w:p w14:paraId="298FE698" w14:textId="77777777" w:rsidR="00091544" w:rsidRDefault="00091544" w:rsidP="00091544">
            <w:pPr>
              <w:rPr>
                <w:color w:val="000000"/>
                <w:sz w:val="20"/>
                <w:szCs w:val="20"/>
                <w:lang w:eastAsia="en-US"/>
              </w:rPr>
            </w:pPr>
            <w:r>
              <w:rPr>
                <w:color w:val="000000"/>
                <w:sz w:val="20"/>
                <w:szCs w:val="20"/>
                <w:lang w:eastAsia="en-US"/>
              </w:rPr>
              <w:t>2. smaller than the orbits (supratemporal length less than 90% of orbit length)</w:t>
            </w:r>
          </w:p>
        </w:tc>
      </w:tr>
      <w:tr w:rsidR="00091544" w14:paraId="3110036D" w14:textId="77777777" w:rsidTr="00091544">
        <w:tc>
          <w:tcPr>
            <w:tcW w:w="516" w:type="dxa"/>
            <w:tcBorders>
              <w:top w:val="single" w:sz="4" w:space="0" w:color="auto"/>
              <w:left w:val="single" w:sz="4" w:space="0" w:color="auto"/>
              <w:bottom w:val="single" w:sz="4" w:space="0" w:color="auto"/>
              <w:right w:val="single" w:sz="4" w:space="0" w:color="auto"/>
            </w:tcBorders>
          </w:tcPr>
          <w:p w14:paraId="3674495E" w14:textId="7A849D17" w:rsidR="00091544" w:rsidRDefault="00091544" w:rsidP="00091544">
            <w:pPr>
              <w:rPr>
                <w:color w:val="000000"/>
                <w:sz w:val="20"/>
                <w:szCs w:val="20"/>
                <w:lang w:eastAsia="en-US"/>
              </w:rPr>
            </w:pPr>
            <w:r>
              <w:rPr>
                <w:color w:val="000000"/>
                <w:sz w:val="20"/>
                <w:szCs w:val="20"/>
                <w:lang w:eastAsia="en-US"/>
              </w:rPr>
              <w:t>98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62F7224" w14:textId="77777777" w:rsidR="00091544" w:rsidRDefault="00091544" w:rsidP="00091544">
            <w:pPr>
              <w:rPr>
                <w:b/>
                <w:color w:val="000000"/>
                <w:sz w:val="20"/>
                <w:szCs w:val="20"/>
                <w:lang w:eastAsia="en-US"/>
              </w:rPr>
            </w:pPr>
            <w:r>
              <w:rPr>
                <w:b/>
                <w:color w:val="000000"/>
                <w:sz w:val="20"/>
                <w:szCs w:val="20"/>
                <w:lang w:eastAsia="en-US"/>
              </w:rPr>
              <w:t>Supratemporal fenestra, in dorsal view, posterior limit: (*)</w:t>
            </w:r>
          </w:p>
          <w:p w14:paraId="053AA480" w14:textId="2CE09175"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31 modified); Young &amp; Andrade (2009, ch. 31 modified); </w:t>
            </w:r>
            <w:r>
              <w:rPr>
                <w:bCs/>
                <w:i/>
                <w:color w:val="000000"/>
                <w:sz w:val="20"/>
                <w:szCs w:val="20"/>
                <w:lang w:eastAsia="en-US"/>
              </w:rPr>
              <w:t xml:space="preserve">Young et al. (2011, ch. 31 modified); Young et al. (2013a, ch. 35 modified); </w:t>
            </w:r>
            <w:r>
              <w:rPr>
                <w:i/>
                <w:sz w:val="20"/>
                <w:szCs w:val="20"/>
                <w:lang w:eastAsia="en-US"/>
              </w:rPr>
              <w:t xml:space="preserve">Young et al. (2012, ch. 43); Young (2014, ch. 45); Young et al. (2016, ds 2, ch. 54); Ristevski et al. (2018, ds 2, ch. 79); Smith et al. (in review, ds 1, ch. 80); </w:t>
            </w:r>
            <w:r>
              <w:rPr>
                <w:i/>
                <w:sz w:val="20"/>
                <w:szCs w:val="20"/>
              </w:rPr>
              <w:t>Ősi et al. (in review, ds 1, ch. 93)</w:t>
            </w:r>
            <w:r>
              <w:rPr>
                <w:i/>
                <w:sz w:val="20"/>
                <w:szCs w:val="20"/>
                <w:lang w:eastAsia="en-US"/>
              </w:rPr>
              <w:t>.</w:t>
            </w:r>
          </w:p>
          <w:p w14:paraId="35C578AD" w14:textId="77777777" w:rsidR="00091544" w:rsidRDefault="00091544" w:rsidP="00091544">
            <w:pPr>
              <w:rPr>
                <w:i/>
                <w:color w:val="000000"/>
                <w:sz w:val="20"/>
                <w:szCs w:val="20"/>
                <w:lang w:eastAsia="en-US"/>
              </w:rPr>
            </w:pPr>
            <w:r>
              <w:rPr>
                <w:i/>
                <w:color w:val="000000"/>
                <w:sz w:val="20"/>
                <w:szCs w:val="20"/>
                <w:lang w:eastAsia="en-US"/>
              </w:rPr>
              <w:t xml:space="preserve">State (2) is a putative apomorphy of the </w:t>
            </w:r>
            <w:r>
              <w:rPr>
                <w:color w:val="000000"/>
                <w:sz w:val="20"/>
                <w:szCs w:val="20"/>
                <w:lang w:eastAsia="en-US"/>
              </w:rPr>
              <w:t xml:space="preserve">Dakosaurus+Plesiosuchus </w:t>
            </w:r>
            <w:r>
              <w:rPr>
                <w:i/>
                <w:color w:val="000000"/>
                <w:sz w:val="20"/>
                <w:szCs w:val="20"/>
                <w:lang w:eastAsia="en-US"/>
              </w:rPr>
              <w:t>sub-clade.</w:t>
            </w:r>
          </w:p>
          <w:p w14:paraId="73B344D5" w14:textId="77777777" w:rsidR="00091544" w:rsidRDefault="00091544" w:rsidP="00091544">
            <w:pPr>
              <w:rPr>
                <w:i/>
                <w:color w:val="000000"/>
                <w:sz w:val="20"/>
                <w:szCs w:val="20"/>
                <w:lang w:eastAsia="en-US"/>
              </w:rPr>
            </w:pPr>
            <w:r>
              <w:rPr>
                <w:i/>
                <w:color w:val="000000"/>
                <w:sz w:val="20"/>
                <w:szCs w:val="20"/>
                <w:lang w:eastAsia="en-US"/>
              </w:rPr>
              <w:t>Note, scoring of this character should be done carefully, it may not be possible to score for skulls that have suffered taphonomic dorsoventral compression/shearing.</w:t>
            </w:r>
          </w:p>
          <w:p w14:paraId="3F64A43A"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12FD20DC" w14:textId="77777777" w:rsidR="00091544" w:rsidRDefault="00091544" w:rsidP="00091544">
            <w:pPr>
              <w:rPr>
                <w:color w:val="000000"/>
                <w:sz w:val="20"/>
                <w:szCs w:val="20"/>
                <w:lang w:eastAsia="en-US"/>
              </w:rPr>
            </w:pPr>
            <w:r>
              <w:rPr>
                <w:color w:val="000000"/>
                <w:sz w:val="20"/>
                <w:szCs w:val="20"/>
                <w:lang w:eastAsia="en-US"/>
              </w:rPr>
              <w:t>0. terminates well before the posterior-most point of the parietal</w:t>
            </w:r>
          </w:p>
          <w:p w14:paraId="13E25EF5" w14:textId="77777777" w:rsidR="00091544" w:rsidRDefault="00091544" w:rsidP="00091544">
            <w:pPr>
              <w:rPr>
                <w:color w:val="000000"/>
                <w:sz w:val="20"/>
                <w:szCs w:val="20"/>
                <w:lang w:eastAsia="en-US"/>
              </w:rPr>
            </w:pPr>
            <w:r>
              <w:rPr>
                <w:color w:val="000000"/>
                <w:sz w:val="20"/>
                <w:szCs w:val="20"/>
                <w:lang w:eastAsia="en-US"/>
              </w:rPr>
              <w:t>1. either terminates near the posterior-most point of the parietal or exceeds it, but never reaches the supraoccipital</w:t>
            </w:r>
          </w:p>
          <w:p w14:paraId="6E6197F8" w14:textId="77777777" w:rsidR="00091544" w:rsidRDefault="00091544" w:rsidP="00091544">
            <w:pPr>
              <w:rPr>
                <w:color w:val="000000"/>
                <w:sz w:val="20"/>
                <w:szCs w:val="20"/>
                <w:lang w:eastAsia="en-US"/>
              </w:rPr>
            </w:pPr>
            <w:r>
              <w:rPr>
                <w:color w:val="000000"/>
                <w:sz w:val="20"/>
                <w:szCs w:val="20"/>
                <w:lang w:eastAsia="en-US"/>
              </w:rPr>
              <w:t>2. more posterior than intertemporal bar</w:t>
            </w:r>
          </w:p>
        </w:tc>
      </w:tr>
      <w:tr w:rsidR="00091544" w14:paraId="7C586BE1" w14:textId="77777777" w:rsidTr="00091544">
        <w:tc>
          <w:tcPr>
            <w:tcW w:w="516" w:type="dxa"/>
            <w:tcBorders>
              <w:top w:val="single" w:sz="4" w:space="0" w:color="auto"/>
              <w:left w:val="single" w:sz="4" w:space="0" w:color="auto"/>
              <w:bottom w:val="single" w:sz="4" w:space="0" w:color="auto"/>
              <w:right w:val="single" w:sz="4" w:space="0" w:color="auto"/>
            </w:tcBorders>
          </w:tcPr>
          <w:p w14:paraId="4E6029AA" w14:textId="4C8B6AD9" w:rsidR="00091544" w:rsidRDefault="00091544" w:rsidP="00091544">
            <w:pPr>
              <w:rPr>
                <w:color w:val="000000"/>
                <w:sz w:val="20"/>
                <w:szCs w:val="20"/>
                <w:lang w:eastAsia="en-US"/>
              </w:rPr>
            </w:pPr>
            <w:r>
              <w:rPr>
                <w:color w:val="000000"/>
                <w:sz w:val="20"/>
                <w:szCs w:val="20"/>
                <w:lang w:eastAsia="en-US"/>
              </w:rPr>
              <w:t>99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A2B3A05" w14:textId="77777777" w:rsidR="00091544" w:rsidRDefault="00091544" w:rsidP="00091544">
            <w:pPr>
              <w:rPr>
                <w:b/>
                <w:sz w:val="20"/>
                <w:szCs w:val="20"/>
                <w:lang w:eastAsia="en-US"/>
              </w:rPr>
            </w:pPr>
            <w:r>
              <w:rPr>
                <w:b/>
                <w:sz w:val="20"/>
                <w:szCs w:val="20"/>
                <w:lang w:eastAsia="en-US"/>
              </w:rPr>
              <w:t>Supratemporal fenestra/fossae, posterior margin in dorsal view: (*)</w:t>
            </w:r>
          </w:p>
          <w:p w14:paraId="475DB4CC" w14:textId="32DCC7BC" w:rsidR="00091544" w:rsidRDefault="00091544" w:rsidP="00091544">
            <w:pPr>
              <w:rPr>
                <w:i/>
                <w:sz w:val="20"/>
                <w:szCs w:val="20"/>
                <w:lang w:eastAsia="en-US"/>
              </w:rPr>
            </w:pPr>
            <w:r>
              <w:rPr>
                <w:i/>
                <w:sz w:val="20"/>
                <w:szCs w:val="20"/>
                <w:lang w:eastAsia="en-US"/>
              </w:rPr>
              <w:t xml:space="preserve">Jouve et al. (2005b, ch. </w:t>
            </w:r>
            <w:r>
              <w:rPr>
                <w:bCs/>
                <w:i/>
                <w:sz w:val="20"/>
                <w:szCs w:val="20"/>
                <w:lang w:eastAsia="en-US"/>
              </w:rPr>
              <w:t>10 modified),</w:t>
            </w:r>
            <w:r>
              <w:rPr>
                <w:i/>
                <w:sz w:val="20"/>
                <w:szCs w:val="20"/>
                <w:lang w:eastAsia="en-US"/>
              </w:rPr>
              <w:t xml:space="preserve"> Jouve (2005, ch. </w:t>
            </w:r>
            <w:r>
              <w:rPr>
                <w:bCs/>
                <w:i/>
                <w:sz w:val="20"/>
                <w:szCs w:val="20"/>
                <w:lang w:eastAsia="en-US"/>
              </w:rPr>
              <w:t xml:space="preserve">6 modified), </w:t>
            </w:r>
            <w:r>
              <w:rPr>
                <w:i/>
                <w:sz w:val="20"/>
                <w:szCs w:val="20"/>
                <w:lang w:eastAsia="en-US"/>
              </w:rPr>
              <w:t xml:space="preserve">Jouve et al. (2008, ch. </w:t>
            </w:r>
            <w:r>
              <w:rPr>
                <w:bCs/>
                <w:i/>
                <w:sz w:val="20"/>
                <w:szCs w:val="20"/>
                <w:lang w:eastAsia="en-US"/>
              </w:rPr>
              <w:t xml:space="preserve">10 modified), Hastings et al. (2010, ch. 10 modified); </w:t>
            </w:r>
            <w:r>
              <w:rPr>
                <w:i/>
                <w:sz w:val="20"/>
                <w:szCs w:val="20"/>
                <w:lang w:eastAsia="en-US"/>
              </w:rPr>
              <w:t xml:space="preserve">Ristevski et al. (2018, ds 2, ch. 80); Smith et al. (in review, ds 1, ch. 81); </w:t>
            </w:r>
            <w:r>
              <w:rPr>
                <w:i/>
                <w:sz w:val="20"/>
                <w:szCs w:val="20"/>
              </w:rPr>
              <w:t>Ősi et al. (in review, ds 1, ch. 94)</w:t>
            </w:r>
            <w:r>
              <w:rPr>
                <w:i/>
                <w:sz w:val="20"/>
                <w:szCs w:val="20"/>
                <w:lang w:eastAsia="en-US"/>
              </w:rPr>
              <w:t>.</w:t>
            </w:r>
          </w:p>
          <w:p w14:paraId="70EDCDEC" w14:textId="77777777" w:rsidR="00091544" w:rsidRDefault="00091544" w:rsidP="00091544">
            <w:pPr>
              <w:rPr>
                <w:i/>
                <w:sz w:val="20"/>
                <w:szCs w:val="20"/>
                <w:lang w:eastAsia="en-US"/>
              </w:rPr>
            </w:pPr>
            <w:r>
              <w:rPr>
                <w:i/>
                <w:sz w:val="20"/>
                <w:szCs w:val="20"/>
                <w:lang w:eastAsia="en-US"/>
              </w:rPr>
              <w:t>State (1) occurs in derived dyrosaurids.</w:t>
            </w:r>
          </w:p>
          <w:p w14:paraId="6E01D270" w14:textId="77777777" w:rsidR="00091544" w:rsidRDefault="00091544" w:rsidP="00091544">
            <w:pPr>
              <w:rPr>
                <w:i/>
                <w:sz w:val="20"/>
                <w:szCs w:val="20"/>
                <w:lang w:eastAsia="en-US"/>
              </w:rPr>
            </w:pPr>
            <w:r>
              <w:rPr>
                <w:i/>
                <w:sz w:val="20"/>
                <w:szCs w:val="20"/>
                <w:lang w:eastAsia="en-US"/>
              </w:rPr>
              <w:t>This character is not applicable for taxa that lack the ‘skull table’ temporal morphotype, or taxa that lack supratemporal fenestrae.</w:t>
            </w:r>
          </w:p>
          <w:p w14:paraId="56F30EB1" w14:textId="77777777" w:rsidR="00091544" w:rsidRDefault="00091544" w:rsidP="00091544">
            <w:pPr>
              <w:rPr>
                <w:sz w:val="20"/>
                <w:szCs w:val="20"/>
                <w:lang w:eastAsia="en-US"/>
              </w:rPr>
            </w:pPr>
            <w:r>
              <w:rPr>
                <w:sz w:val="20"/>
                <w:szCs w:val="20"/>
                <w:lang w:eastAsia="en-US"/>
              </w:rPr>
              <w:t>0. supratemporal fenestral posterior wall largely vertical and barely visible in dorsal view</w:t>
            </w:r>
          </w:p>
          <w:p w14:paraId="45878DD1" w14:textId="77777777" w:rsidR="00091544" w:rsidRDefault="00091544" w:rsidP="00091544">
            <w:pPr>
              <w:rPr>
                <w:b/>
                <w:color w:val="000000"/>
                <w:sz w:val="20"/>
                <w:szCs w:val="20"/>
                <w:lang w:eastAsia="en-US"/>
              </w:rPr>
            </w:pPr>
            <w:r>
              <w:rPr>
                <w:sz w:val="20"/>
                <w:szCs w:val="20"/>
                <w:lang w:eastAsia="en-US"/>
              </w:rPr>
              <w:t>1. supratemporal fenestral posterior wall posterodorsally inclined, creating a posterior fossa that is visible in dorsal view</w:t>
            </w:r>
          </w:p>
        </w:tc>
      </w:tr>
      <w:tr w:rsidR="00091544" w14:paraId="5CE65E6B" w14:textId="77777777" w:rsidTr="00091544">
        <w:tc>
          <w:tcPr>
            <w:tcW w:w="516" w:type="dxa"/>
            <w:tcBorders>
              <w:top w:val="single" w:sz="4" w:space="0" w:color="auto"/>
              <w:left w:val="single" w:sz="4" w:space="0" w:color="auto"/>
              <w:bottom w:val="single" w:sz="4" w:space="0" w:color="auto"/>
              <w:right w:val="single" w:sz="4" w:space="0" w:color="auto"/>
            </w:tcBorders>
          </w:tcPr>
          <w:p w14:paraId="672F9896" w14:textId="1B8EEB77" w:rsidR="00091544" w:rsidRDefault="00091544" w:rsidP="00091544">
            <w:pPr>
              <w:rPr>
                <w:color w:val="000000"/>
                <w:sz w:val="20"/>
                <w:szCs w:val="20"/>
                <w:lang w:eastAsia="en-US"/>
              </w:rPr>
            </w:pPr>
            <w:r>
              <w:rPr>
                <w:color w:val="000000"/>
                <w:sz w:val="20"/>
                <w:szCs w:val="20"/>
                <w:lang w:eastAsia="en-US"/>
              </w:rPr>
              <w:t>100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7FDAA74" w14:textId="77777777" w:rsidR="00091544" w:rsidRDefault="00091544" w:rsidP="00091544">
            <w:pPr>
              <w:rPr>
                <w:b/>
                <w:color w:val="000000"/>
                <w:sz w:val="20"/>
                <w:szCs w:val="20"/>
                <w:lang w:eastAsia="en-US"/>
              </w:rPr>
            </w:pPr>
            <w:r>
              <w:rPr>
                <w:b/>
                <w:color w:val="000000"/>
                <w:sz w:val="20"/>
                <w:szCs w:val="20"/>
                <w:lang w:eastAsia="en-US"/>
              </w:rPr>
              <w:t>Supratemporal arch, medial margin in dorsal view: (*)</w:t>
            </w:r>
          </w:p>
          <w:p w14:paraId="4980F690" w14:textId="6FA0C1D7"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91); </w:t>
            </w:r>
            <w:r>
              <w:rPr>
                <w:bCs/>
                <w:i/>
                <w:color w:val="000000"/>
                <w:sz w:val="20"/>
                <w:szCs w:val="20"/>
                <w:lang w:eastAsia="en-US"/>
              </w:rPr>
              <w:t xml:space="preserve">Young et al. (2011, ch. 91); Young et al. (2013a, ch. 37); </w:t>
            </w:r>
            <w:r>
              <w:rPr>
                <w:i/>
                <w:sz w:val="20"/>
                <w:szCs w:val="20"/>
                <w:lang w:eastAsia="en-US"/>
              </w:rPr>
              <w:t xml:space="preserve">Young et al. (2012, ch. 45); Young (2014, ch. 47); Young et al. (2016, ds 2, ch. 55); Ristevski et al. (2018, ds 2, ch. 81); Smith et al. (in review, ds 1, ch. 82); </w:t>
            </w:r>
            <w:r>
              <w:rPr>
                <w:i/>
                <w:sz w:val="20"/>
                <w:szCs w:val="20"/>
              </w:rPr>
              <w:t>Ősi et al. (in review, ds 1, ch. 95)</w:t>
            </w:r>
            <w:r>
              <w:rPr>
                <w:i/>
                <w:sz w:val="20"/>
                <w:szCs w:val="20"/>
                <w:lang w:eastAsia="en-US"/>
              </w:rPr>
              <w:t>.</w:t>
            </w:r>
          </w:p>
          <w:p w14:paraId="737FC4A8" w14:textId="5C8BAC40" w:rsidR="00091544" w:rsidRDefault="00091544" w:rsidP="00091544">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 lissocephalus + Cricosaurus</w:t>
            </w:r>
            <w:r>
              <w:rPr>
                <w:i/>
                <w:color w:val="000000"/>
                <w:sz w:val="20"/>
                <w:szCs w:val="20"/>
                <w:lang w:eastAsia="en-US"/>
              </w:rPr>
              <w:t>.</w:t>
            </w:r>
          </w:p>
          <w:p w14:paraId="07A852C7"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5F7C4594" w14:textId="77777777" w:rsidR="00091544" w:rsidRDefault="00091544" w:rsidP="00091544">
            <w:pPr>
              <w:rPr>
                <w:color w:val="000000"/>
                <w:sz w:val="20"/>
                <w:szCs w:val="20"/>
                <w:lang w:eastAsia="en-US"/>
              </w:rPr>
            </w:pPr>
            <w:r>
              <w:rPr>
                <w:color w:val="000000"/>
                <w:sz w:val="20"/>
                <w:szCs w:val="20"/>
                <w:lang w:eastAsia="en-US"/>
              </w:rPr>
              <w:t>0.  not convex</w:t>
            </w:r>
          </w:p>
          <w:p w14:paraId="3D861BD4" w14:textId="77777777" w:rsidR="00091544" w:rsidRDefault="00091544" w:rsidP="00091544">
            <w:pPr>
              <w:rPr>
                <w:color w:val="000000"/>
                <w:sz w:val="20"/>
                <w:szCs w:val="20"/>
                <w:lang w:eastAsia="en-US"/>
              </w:rPr>
            </w:pPr>
            <w:r>
              <w:rPr>
                <w:color w:val="000000"/>
                <w:sz w:val="20"/>
                <w:szCs w:val="20"/>
                <w:lang w:eastAsia="en-US"/>
              </w:rPr>
              <w:lastRenderedPageBreak/>
              <w:t>1. convex</w:t>
            </w:r>
          </w:p>
        </w:tc>
      </w:tr>
      <w:tr w:rsidR="00091544" w14:paraId="6308B8CD" w14:textId="77777777" w:rsidTr="00091544">
        <w:tc>
          <w:tcPr>
            <w:tcW w:w="516" w:type="dxa"/>
            <w:tcBorders>
              <w:top w:val="single" w:sz="4" w:space="0" w:color="auto"/>
              <w:left w:val="single" w:sz="4" w:space="0" w:color="auto"/>
              <w:bottom w:val="single" w:sz="4" w:space="0" w:color="auto"/>
              <w:right w:val="single" w:sz="4" w:space="0" w:color="auto"/>
            </w:tcBorders>
          </w:tcPr>
          <w:p w14:paraId="0CC116E0" w14:textId="54EBE588" w:rsidR="00091544" w:rsidRDefault="00091544" w:rsidP="00091544">
            <w:pPr>
              <w:rPr>
                <w:color w:val="000000"/>
                <w:sz w:val="20"/>
                <w:szCs w:val="20"/>
                <w:lang w:eastAsia="en-US"/>
              </w:rPr>
            </w:pPr>
            <w:r>
              <w:rPr>
                <w:color w:val="000000"/>
                <w:sz w:val="20"/>
                <w:szCs w:val="20"/>
                <w:lang w:eastAsia="en-US"/>
              </w:rPr>
              <w:lastRenderedPageBreak/>
              <w:t>101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6974758" w14:textId="77777777" w:rsidR="00091544" w:rsidRDefault="00091544" w:rsidP="00091544">
            <w:pPr>
              <w:rPr>
                <w:b/>
                <w:color w:val="000000"/>
                <w:sz w:val="20"/>
                <w:szCs w:val="20"/>
                <w:lang w:eastAsia="en-US"/>
              </w:rPr>
            </w:pPr>
            <w:r>
              <w:rPr>
                <w:b/>
                <w:color w:val="000000"/>
                <w:sz w:val="20"/>
                <w:szCs w:val="20"/>
                <w:lang w:eastAsia="en-US"/>
              </w:rPr>
              <w:t>Supratemporal arch, dorsal margin in lateral view: (*)</w:t>
            </w:r>
          </w:p>
          <w:p w14:paraId="5498EF1B" w14:textId="2FDF5E1E"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98); </w:t>
            </w:r>
            <w:r>
              <w:rPr>
                <w:bCs/>
                <w:i/>
                <w:color w:val="000000"/>
                <w:sz w:val="20"/>
                <w:szCs w:val="20"/>
                <w:lang w:eastAsia="en-US"/>
              </w:rPr>
              <w:t xml:space="preserve">Young et al. (2011, ch. 98); Young et al. (2013a, ch. 38); </w:t>
            </w:r>
            <w:r>
              <w:rPr>
                <w:i/>
                <w:sz w:val="20"/>
                <w:szCs w:val="20"/>
                <w:lang w:eastAsia="en-US"/>
              </w:rPr>
              <w:t xml:space="preserve">Young et al. (2012, ch. 46); Young (2014, ch. 48); Young et al. (2016, ds2, ch. 56); Ristevski et al. (2018, ds 2, ch. 82); Smith et al. (in review, ds 1, ch. 83); </w:t>
            </w:r>
            <w:r>
              <w:rPr>
                <w:i/>
                <w:sz w:val="20"/>
                <w:szCs w:val="20"/>
              </w:rPr>
              <w:t>Ősi et al. (in review, ds 1, ch. 96)</w:t>
            </w:r>
            <w:r>
              <w:rPr>
                <w:i/>
                <w:sz w:val="20"/>
                <w:szCs w:val="20"/>
                <w:lang w:eastAsia="en-US"/>
              </w:rPr>
              <w:t>.</w:t>
            </w:r>
          </w:p>
          <w:p w14:paraId="0A19CD7B"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1AECA607" w14:textId="77777777" w:rsidR="00091544" w:rsidRDefault="00091544" w:rsidP="00091544">
            <w:pPr>
              <w:rPr>
                <w:color w:val="000000"/>
                <w:sz w:val="20"/>
                <w:szCs w:val="20"/>
                <w:lang w:eastAsia="en-US"/>
              </w:rPr>
            </w:pPr>
            <w:r>
              <w:rPr>
                <w:color w:val="000000"/>
                <w:sz w:val="20"/>
                <w:szCs w:val="20"/>
                <w:lang w:eastAsia="en-US"/>
              </w:rPr>
              <w:t>0. concave</w:t>
            </w:r>
          </w:p>
          <w:p w14:paraId="03AA12D1" w14:textId="77777777" w:rsidR="00091544" w:rsidRDefault="00091544" w:rsidP="00091544">
            <w:pPr>
              <w:rPr>
                <w:color w:val="000000"/>
                <w:sz w:val="20"/>
                <w:szCs w:val="20"/>
                <w:lang w:eastAsia="en-US"/>
              </w:rPr>
            </w:pPr>
            <w:r>
              <w:rPr>
                <w:color w:val="000000"/>
                <w:sz w:val="20"/>
                <w:szCs w:val="20"/>
                <w:lang w:eastAsia="en-US"/>
              </w:rPr>
              <w:t>1. straight</w:t>
            </w:r>
          </w:p>
          <w:p w14:paraId="2EA09F36" w14:textId="77777777" w:rsidR="00091544" w:rsidRDefault="00091544" w:rsidP="00091544">
            <w:pPr>
              <w:rPr>
                <w:color w:val="000000"/>
                <w:sz w:val="20"/>
                <w:szCs w:val="20"/>
                <w:lang w:eastAsia="en-US"/>
              </w:rPr>
            </w:pPr>
            <w:r>
              <w:rPr>
                <w:color w:val="000000"/>
                <w:sz w:val="20"/>
                <w:szCs w:val="20"/>
                <w:lang w:eastAsia="en-US"/>
              </w:rPr>
              <w:t>2. convex</w:t>
            </w:r>
          </w:p>
        </w:tc>
      </w:tr>
      <w:tr w:rsidR="00091544" w14:paraId="08C1B906" w14:textId="77777777" w:rsidTr="00091544">
        <w:tc>
          <w:tcPr>
            <w:tcW w:w="516" w:type="dxa"/>
            <w:tcBorders>
              <w:top w:val="single" w:sz="4" w:space="0" w:color="auto"/>
              <w:left w:val="single" w:sz="4" w:space="0" w:color="auto"/>
              <w:bottom w:val="single" w:sz="4" w:space="0" w:color="auto"/>
              <w:right w:val="single" w:sz="4" w:space="0" w:color="auto"/>
            </w:tcBorders>
          </w:tcPr>
          <w:p w14:paraId="60A676AC" w14:textId="78D1802C" w:rsidR="00091544" w:rsidRDefault="00091544" w:rsidP="00091544">
            <w:pPr>
              <w:rPr>
                <w:color w:val="000000"/>
                <w:sz w:val="20"/>
                <w:szCs w:val="20"/>
                <w:lang w:eastAsia="en-US"/>
              </w:rPr>
            </w:pPr>
            <w:r>
              <w:rPr>
                <w:color w:val="000000"/>
                <w:sz w:val="20"/>
                <w:szCs w:val="20"/>
                <w:lang w:eastAsia="en-US"/>
              </w:rPr>
              <w:t>102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D239B65" w14:textId="77777777" w:rsidR="00091544" w:rsidRDefault="00091544" w:rsidP="00091544">
            <w:pPr>
              <w:rPr>
                <w:b/>
                <w:sz w:val="20"/>
                <w:szCs w:val="20"/>
                <w:lang w:eastAsia="en-US"/>
              </w:rPr>
            </w:pPr>
            <w:r>
              <w:rPr>
                <w:b/>
                <w:sz w:val="20"/>
                <w:szCs w:val="20"/>
                <w:lang w:eastAsia="en-US"/>
              </w:rPr>
              <w:t>Supratemporal arch, width in dorsal view: (*)</w:t>
            </w:r>
          </w:p>
          <w:p w14:paraId="0A0D55A6" w14:textId="6F8CDD0C" w:rsidR="00091544" w:rsidRDefault="00091544" w:rsidP="00091544">
            <w:pPr>
              <w:rPr>
                <w:i/>
                <w:sz w:val="20"/>
                <w:szCs w:val="20"/>
                <w:lang w:eastAsia="en-US"/>
              </w:rPr>
            </w:pPr>
            <w:r>
              <w:rPr>
                <w:i/>
                <w:sz w:val="20"/>
                <w:szCs w:val="20"/>
                <w:lang w:eastAsia="en-US"/>
              </w:rPr>
              <w:t xml:space="preserve">Jouve et al. (2005b, ch. </w:t>
            </w:r>
            <w:r>
              <w:rPr>
                <w:bCs/>
                <w:i/>
                <w:sz w:val="20"/>
                <w:szCs w:val="20"/>
                <w:lang w:eastAsia="en-US"/>
              </w:rPr>
              <w:t>16 modified),</w:t>
            </w:r>
            <w:r>
              <w:rPr>
                <w:i/>
                <w:sz w:val="20"/>
                <w:szCs w:val="20"/>
                <w:lang w:eastAsia="en-US"/>
              </w:rPr>
              <w:t xml:space="preserve"> Jouve et al. (2008, ch. </w:t>
            </w:r>
            <w:r>
              <w:rPr>
                <w:bCs/>
                <w:i/>
                <w:sz w:val="20"/>
                <w:szCs w:val="20"/>
                <w:lang w:eastAsia="en-US"/>
              </w:rPr>
              <w:t xml:space="preserve">16 modified), Hastings et al. (2010, ch. 11 modified); </w:t>
            </w:r>
            <w:r>
              <w:rPr>
                <w:i/>
                <w:sz w:val="20"/>
                <w:szCs w:val="20"/>
                <w:lang w:eastAsia="en-US"/>
              </w:rPr>
              <w:t xml:space="preserve">Ristevski et al. (2018, ds 2, ch. 83); Smith et al. (in review, ds 1, ch. 84); </w:t>
            </w:r>
            <w:r>
              <w:rPr>
                <w:i/>
                <w:sz w:val="20"/>
                <w:szCs w:val="20"/>
              </w:rPr>
              <w:t>Ősi et al. (in review, ds 1, ch. 97)</w:t>
            </w:r>
            <w:r>
              <w:rPr>
                <w:i/>
                <w:sz w:val="20"/>
                <w:szCs w:val="20"/>
                <w:lang w:eastAsia="en-US"/>
              </w:rPr>
              <w:t>.</w:t>
            </w:r>
          </w:p>
          <w:p w14:paraId="3C9B80C5" w14:textId="77777777" w:rsidR="00091544" w:rsidRDefault="00091544" w:rsidP="00091544">
            <w:pPr>
              <w:rPr>
                <w:i/>
                <w:sz w:val="20"/>
                <w:szCs w:val="20"/>
                <w:lang w:eastAsia="en-US"/>
              </w:rPr>
            </w:pPr>
            <w:r>
              <w:rPr>
                <w:i/>
                <w:sz w:val="20"/>
                <w:szCs w:val="20"/>
                <w:lang w:eastAsia="en-US"/>
              </w:rPr>
              <w:t>State (1) scores the thin supratemporal arches of Dyrosauridae (with some reversals).</w:t>
            </w:r>
          </w:p>
          <w:p w14:paraId="34A7D9A3" w14:textId="77777777" w:rsidR="00091544" w:rsidRDefault="00091544" w:rsidP="00091544">
            <w:pPr>
              <w:rPr>
                <w:i/>
                <w:sz w:val="20"/>
                <w:szCs w:val="20"/>
                <w:lang w:eastAsia="en-US"/>
              </w:rPr>
            </w:pPr>
            <w:r>
              <w:rPr>
                <w:i/>
                <w:sz w:val="20"/>
                <w:szCs w:val="20"/>
                <w:lang w:eastAsia="en-US"/>
              </w:rPr>
              <w:t>This character is not applicable for taxa that lack the ‘skull table’ temporal morphotype, or taxa that lack supratemporal fenestrae.</w:t>
            </w:r>
          </w:p>
          <w:p w14:paraId="2655146A" w14:textId="77777777" w:rsidR="00091544" w:rsidRDefault="00091544" w:rsidP="00091544">
            <w:pPr>
              <w:rPr>
                <w:sz w:val="20"/>
                <w:szCs w:val="20"/>
                <w:lang w:eastAsia="en-US"/>
              </w:rPr>
            </w:pPr>
            <w:r>
              <w:rPr>
                <w:sz w:val="20"/>
                <w:szCs w:val="20"/>
                <w:lang w:eastAsia="en-US"/>
              </w:rPr>
              <w:t xml:space="preserve">0. thick </w:t>
            </w:r>
          </w:p>
          <w:p w14:paraId="28FCE3F3" w14:textId="77777777" w:rsidR="00091544" w:rsidRDefault="00091544" w:rsidP="00091544">
            <w:pPr>
              <w:rPr>
                <w:b/>
                <w:color w:val="000000"/>
                <w:sz w:val="20"/>
                <w:szCs w:val="20"/>
                <w:lang w:eastAsia="en-US"/>
              </w:rPr>
            </w:pPr>
            <w:r>
              <w:rPr>
                <w:sz w:val="20"/>
                <w:szCs w:val="20"/>
                <w:lang w:eastAsia="en-US"/>
              </w:rPr>
              <w:t>1. thin</w:t>
            </w:r>
          </w:p>
        </w:tc>
      </w:tr>
      <w:tr w:rsidR="00091544" w14:paraId="1AE8DF0D" w14:textId="77777777" w:rsidTr="00091544">
        <w:tc>
          <w:tcPr>
            <w:tcW w:w="516" w:type="dxa"/>
            <w:tcBorders>
              <w:top w:val="single" w:sz="4" w:space="0" w:color="auto"/>
              <w:left w:val="single" w:sz="4" w:space="0" w:color="auto"/>
              <w:bottom w:val="single" w:sz="4" w:space="0" w:color="auto"/>
              <w:right w:val="single" w:sz="4" w:space="0" w:color="auto"/>
            </w:tcBorders>
          </w:tcPr>
          <w:p w14:paraId="0AE3C332" w14:textId="182F1C29" w:rsidR="00091544" w:rsidRDefault="00091544" w:rsidP="00091544">
            <w:pPr>
              <w:rPr>
                <w:color w:val="000000"/>
                <w:sz w:val="20"/>
                <w:szCs w:val="20"/>
                <w:lang w:eastAsia="en-US"/>
              </w:rPr>
            </w:pPr>
            <w:r>
              <w:rPr>
                <w:color w:val="000000"/>
                <w:sz w:val="20"/>
                <w:szCs w:val="20"/>
                <w:lang w:eastAsia="en-US"/>
              </w:rPr>
              <w:t>103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EC4087D" w14:textId="77777777" w:rsidR="00091544" w:rsidRDefault="00091544" w:rsidP="00091544">
            <w:pPr>
              <w:rPr>
                <w:b/>
                <w:color w:val="000000"/>
                <w:sz w:val="20"/>
                <w:szCs w:val="20"/>
                <w:lang w:eastAsia="en-US"/>
              </w:rPr>
            </w:pPr>
            <w:r>
              <w:rPr>
                <w:b/>
                <w:color w:val="000000"/>
                <w:sz w:val="20"/>
                <w:szCs w:val="20"/>
                <w:lang w:eastAsia="en-US"/>
              </w:rPr>
              <w:t>Prefrontal, dorsal surface lateral development: (ORDERED)</w:t>
            </w:r>
          </w:p>
          <w:p w14:paraId="21868D83" w14:textId="09902660" w:rsidR="00091544" w:rsidRDefault="00091544" w:rsidP="00091544">
            <w:pPr>
              <w:autoSpaceDE w:val="0"/>
              <w:autoSpaceDN w:val="0"/>
              <w:adjustRightInd w:val="0"/>
              <w:rPr>
                <w:i/>
                <w:sz w:val="20"/>
                <w:szCs w:val="20"/>
                <w:lang w:eastAsia="en-US"/>
              </w:rPr>
            </w:pPr>
            <w:r>
              <w:rPr>
                <w:bCs/>
                <w:i/>
                <w:color w:val="000000"/>
                <w:sz w:val="20"/>
                <w:szCs w:val="20"/>
                <w:lang w:eastAsia="en-US"/>
              </w:rPr>
              <w:t xml:space="preserve">Gasparini </w:t>
            </w:r>
            <w:r>
              <w:rPr>
                <w:bCs/>
                <w:i/>
                <w:iCs/>
                <w:color w:val="000000"/>
                <w:sz w:val="20"/>
                <w:szCs w:val="20"/>
                <w:lang w:eastAsia="en-US"/>
              </w:rPr>
              <w:t>et al. (</w:t>
            </w:r>
            <w:r>
              <w:rPr>
                <w:bCs/>
                <w:i/>
                <w:color w:val="000000"/>
                <w:sz w:val="20"/>
                <w:szCs w:val="20"/>
                <w:lang w:eastAsia="en-US"/>
              </w:rPr>
              <w:t>2006, ch. 247 modified);</w:t>
            </w:r>
            <w:r>
              <w:rPr>
                <w:b/>
                <w:bCs/>
                <w:color w:val="000000"/>
                <w:sz w:val="20"/>
                <w:szCs w:val="20"/>
                <w:lang w:eastAsia="en-US"/>
              </w:rPr>
              <w:t xml:space="preserve"> </w:t>
            </w:r>
            <w:r>
              <w:rPr>
                <w:i/>
                <w:sz w:val="20"/>
                <w:szCs w:val="20"/>
                <w:lang w:eastAsia="en-US"/>
              </w:rPr>
              <w:t xml:space="preserve">Young (2006, ch. 2 modified); Wilkinson et al. (2008, ch. 12); Jouve (2009, ch. 255 modified); Young &amp; Andrade (2009, ch. 12); Andrade et al. (2011, ch. 125 modified); </w:t>
            </w:r>
            <w:r>
              <w:rPr>
                <w:bCs/>
                <w:i/>
                <w:color w:val="000000"/>
                <w:sz w:val="20"/>
                <w:szCs w:val="20"/>
                <w:lang w:eastAsia="en-US"/>
              </w:rPr>
              <w:t xml:space="preserve">Young et al. (2011, ch. 12); Young et al. (2013a, ch. 39); </w:t>
            </w:r>
            <w:r>
              <w:rPr>
                <w:i/>
                <w:sz w:val="20"/>
                <w:szCs w:val="20"/>
                <w:lang w:eastAsia="en-US"/>
              </w:rPr>
              <w:t xml:space="preserve">Young et al. (2012, ch. 47); Young (2014, ch. 49); Young et al. (2016, ds 2, ch. 57); Ristevski et al. (2018, ds 2, ch. 84); Smith et al. (in review, ds 1, ch. 85); </w:t>
            </w:r>
            <w:r>
              <w:rPr>
                <w:i/>
                <w:sz w:val="20"/>
                <w:szCs w:val="20"/>
              </w:rPr>
              <w:t>Ősi et al. (in review, ds 1, ch. 98)</w:t>
            </w:r>
            <w:r>
              <w:rPr>
                <w:i/>
                <w:sz w:val="20"/>
                <w:szCs w:val="20"/>
                <w:lang w:eastAsia="en-US"/>
              </w:rPr>
              <w:t>.</w:t>
            </w:r>
          </w:p>
          <w:p w14:paraId="41EF95DC" w14:textId="77777777" w:rsidR="00091544" w:rsidRDefault="00091544" w:rsidP="00091544">
            <w:pPr>
              <w:rPr>
                <w:i/>
                <w:color w:val="000000"/>
                <w:sz w:val="20"/>
                <w:szCs w:val="20"/>
                <w:lang w:eastAsia="en-US"/>
              </w:rPr>
            </w:pPr>
            <w:r>
              <w:rPr>
                <w:i/>
                <w:color w:val="000000"/>
                <w:sz w:val="20"/>
                <w:szCs w:val="20"/>
                <w:lang w:eastAsia="en-US"/>
              </w:rPr>
              <w:t>The transverse development of the prefrontal is a classic characteristic of Metriorhynchidae.</w:t>
            </w:r>
          </w:p>
          <w:p w14:paraId="1F54E666" w14:textId="755BEDAF" w:rsidR="00091544" w:rsidRDefault="00091544" w:rsidP="00091544">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Eoneustes</w:t>
            </w:r>
            <w:r>
              <w:rPr>
                <w:i/>
                <w:color w:val="000000"/>
                <w:sz w:val="20"/>
                <w:szCs w:val="20"/>
                <w:lang w:eastAsia="en-US"/>
              </w:rPr>
              <w:t>, however it could be more widespread among basal metriorhynchoids.</w:t>
            </w:r>
          </w:p>
          <w:p w14:paraId="1717A9DA" w14:textId="77777777" w:rsidR="00091544" w:rsidRDefault="00091544" w:rsidP="00091544">
            <w:pPr>
              <w:rPr>
                <w:i/>
                <w:color w:val="000000"/>
                <w:sz w:val="20"/>
                <w:szCs w:val="20"/>
                <w:lang w:eastAsia="en-US"/>
              </w:rPr>
            </w:pPr>
            <w:r>
              <w:rPr>
                <w:i/>
                <w:color w:val="000000"/>
                <w:sz w:val="20"/>
                <w:szCs w:val="20"/>
                <w:lang w:eastAsia="en-US"/>
              </w:rPr>
              <w:t>State (2) is a putative apomorphy of Metriorhynchidae.</w:t>
            </w:r>
          </w:p>
          <w:p w14:paraId="01DBDF06" w14:textId="77777777" w:rsidR="00091544" w:rsidRDefault="00091544" w:rsidP="00091544">
            <w:pPr>
              <w:rPr>
                <w:color w:val="000000"/>
                <w:sz w:val="20"/>
                <w:szCs w:val="20"/>
                <w:lang w:eastAsia="en-US"/>
              </w:rPr>
            </w:pPr>
            <w:r>
              <w:rPr>
                <w:color w:val="000000"/>
                <w:sz w:val="20"/>
                <w:szCs w:val="20"/>
                <w:lang w:eastAsia="en-US"/>
              </w:rPr>
              <w:t>0. reduced, flush with the rim of the orbit</w:t>
            </w:r>
          </w:p>
          <w:p w14:paraId="6B079FF3" w14:textId="77777777" w:rsidR="00091544" w:rsidRDefault="00091544" w:rsidP="00091544">
            <w:pPr>
              <w:rPr>
                <w:color w:val="000000"/>
                <w:sz w:val="20"/>
                <w:szCs w:val="20"/>
                <w:lang w:eastAsia="en-US"/>
              </w:rPr>
            </w:pPr>
            <w:r>
              <w:rPr>
                <w:color w:val="000000"/>
                <w:sz w:val="20"/>
                <w:szCs w:val="20"/>
                <w:lang w:eastAsia="en-US"/>
              </w:rPr>
              <w:t>1. incipient enlargement (extending laterally over the orbit by approximately 5% of its width)</w:t>
            </w:r>
          </w:p>
          <w:p w14:paraId="1E902504" w14:textId="62BA5BFE" w:rsidR="00091544" w:rsidRDefault="00091544" w:rsidP="00091544">
            <w:pPr>
              <w:rPr>
                <w:color w:val="000000"/>
                <w:sz w:val="20"/>
                <w:szCs w:val="20"/>
                <w:lang w:eastAsia="en-US"/>
              </w:rPr>
            </w:pPr>
            <w:r>
              <w:rPr>
                <w:color w:val="000000"/>
                <w:sz w:val="20"/>
                <w:szCs w:val="20"/>
                <w:lang w:eastAsia="en-US"/>
              </w:rPr>
              <w:t>2. enlarged (extending laterally over the orbit by more than 15% of its width)</w:t>
            </w:r>
          </w:p>
        </w:tc>
      </w:tr>
      <w:tr w:rsidR="00091544" w14:paraId="16559B50" w14:textId="77777777" w:rsidTr="00091544">
        <w:tc>
          <w:tcPr>
            <w:tcW w:w="516" w:type="dxa"/>
            <w:tcBorders>
              <w:top w:val="single" w:sz="4" w:space="0" w:color="auto"/>
              <w:left w:val="single" w:sz="4" w:space="0" w:color="auto"/>
              <w:bottom w:val="single" w:sz="4" w:space="0" w:color="auto"/>
              <w:right w:val="single" w:sz="4" w:space="0" w:color="auto"/>
            </w:tcBorders>
          </w:tcPr>
          <w:p w14:paraId="72C1ABF8" w14:textId="62581441" w:rsidR="00091544" w:rsidRDefault="00091544" w:rsidP="00091544">
            <w:pPr>
              <w:rPr>
                <w:color w:val="000000"/>
                <w:sz w:val="20"/>
                <w:szCs w:val="20"/>
                <w:lang w:eastAsia="en-US"/>
              </w:rPr>
            </w:pPr>
            <w:r>
              <w:rPr>
                <w:color w:val="000000"/>
                <w:sz w:val="20"/>
                <w:szCs w:val="20"/>
                <w:lang w:eastAsia="en-US"/>
              </w:rPr>
              <w:t>104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AEF366B" w14:textId="77777777" w:rsidR="00091544" w:rsidRDefault="00091544" w:rsidP="00091544">
            <w:pPr>
              <w:rPr>
                <w:b/>
                <w:color w:val="000000"/>
                <w:sz w:val="20"/>
                <w:szCs w:val="20"/>
                <w:lang w:eastAsia="en-US"/>
              </w:rPr>
            </w:pPr>
            <w:r>
              <w:rPr>
                <w:b/>
                <w:color w:val="000000"/>
                <w:sz w:val="20"/>
                <w:szCs w:val="20"/>
                <w:lang w:eastAsia="en-US"/>
              </w:rPr>
              <w:t>Prefrontal, lateral development relative to the posterolateral corner of the supratemporal fossa in dorsal view: (*)</w:t>
            </w:r>
          </w:p>
          <w:p w14:paraId="16075AF3" w14:textId="2F66FD51"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13 modified); Young &amp; Andrade (2009, ch. 13 modified); </w:t>
            </w:r>
            <w:r>
              <w:rPr>
                <w:bCs/>
                <w:i/>
                <w:color w:val="000000"/>
                <w:sz w:val="20"/>
                <w:szCs w:val="20"/>
                <w:lang w:eastAsia="en-US"/>
              </w:rPr>
              <w:t xml:space="preserve">Young et al. (2011, ch. 13 modified); Young et al. (2013a, ch. 40); </w:t>
            </w:r>
            <w:r>
              <w:rPr>
                <w:i/>
                <w:sz w:val="20"/>
                <w:szCs w:val="20"/>
                <w:lang w:eastAsia="en-US"/>
              </w:rPr>
              <w:t xml:space="preserve">Young et al. (2012, ch. 48); Young (2014, ch. 50); Young et al. (2016, ds 2, ch. 58); Ristevski et al. (2018, ds 2, ch. 85); Smith et al. (in review, ds 1, ch. 86); </w:t>
            </w:r>
            <w:r>
              <w:rPr>
                <w:i/>
                <w:sz w:val="20"/>
                <w:szCs w:val="20"/>
              </w:rPr>
              <w:t>Ősi et al. (in review, ds 1, ch. 99)</w:t>
            </w:r>
            <w:r>
              <w:rPr>
                <w:i/>
                <w:sz w:val="20"/>
                <w:szCs w:val="20"/>
                <w:lang w:eastAsia="en-US"/>
              </w:rPr>
              <w:t>.</w:t>
            </w:r>
          </w:p>
          <w:p w14:paraId="3338D8F8" w14:textId="77777777" w:rsidR="00091544" w:rsidRDefault="00091544" w:rsidP="00091544">
            <w:pPr>
              <w:rPr>
                <w:color w:val="000000"/>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lacking supratemporal fenestrae.</w:t>
            </w:r>
          </w:p>
          <w:p w14:paraId="26E880E1" w14:textId="77777777" w:rsidR="00091544" w:rsidRDefault="00091544" w:rsidP="00091544">
            <w:pPr>
              <w:rPr>
                <w:color w:val="000000"/>
                <w:sz w:val="20"/>
                <w:szCs w:val="20"/>
                <w:lang w:eastAsia="en-US"/>
              </w:rPr>
            </w:pPr>
            <w:r>
              <w:rPr>
                <w:color w:val="000000"/>
                <w:sz w:val="20"/>
                <w:szCs w:val="20"/>
                <w:lang w:eastAsia="en-US"/>
              </w:rPr>
              <w:t>0. prefrontal does not expand laterally so that it is in the same plane as the posterolateral corner of the supratemporal fossa</w:t>
            </w:r>
          </w:p>
          <w:p w14:paraId="40A508F6" w14:textId="77777777" w:rsidR="00091544" w:rsidRDefault="00091544" w:rsidP="00091544">
            <w:pPr>
              <w:rPr>
                <w:color w:val="000000"/>
                <w:sz w:val="20"/>
                <w:szCs w:val="20"/>
                <w:lang w:eastAsia="en-US"/>
              </w:rPr>
            </w:pPr>
            <w:r>
              <w:rPr>
                <w:color w:val="000000"/>
                <w:sz w:val="20"/>
                <w:szCs w:val="20"/>
                <w:lang w:eastAsia="en-US"/>
              </w:rPr>
              <w:t>1. prefrontal expands further laterally than the posterolateral corner of the supratemporal fossa</w:t>
            </w:r>
          </w:p>
        </w:tc>
      </w:tr>
      <w:tr w:rsidR="00091544" w14:paraId="19461D26" w14:textId="77777777" w:rsidTr="00091544">
        <w:tc>
          <w:tcPr>
            <w:tcW w:w="516" w:type="dxa"/>
            <w:tcBorders>
              <w:top w:val="single" w:sz="4" w:space="0" w:color="auto"/>
              <w:left w:val="single" w:sz="4" w:space="0" w:color="auto"/>
              <w:bottom w:val="single" w:sz="4" w:space="0" w:color="auto"/>
              <w:right w:val="single" w:sz="4" w:space="0" w:color="auto"/>
            </w:tcBorders>
          </w:tcPr>
          <w:p w14:paraId="6D340CA6" w14:textId="680DE6C4" w:rsidR="00091544" w:rsidRDefault="00091544" w:rsidP="00091544">
            <w:pPr>
              <w:rPr>
                <w:color w:val="000000"/>
                <w:sz w:val="20"/>
                <w:szCs w:val="20"/>
                <w:lang w:eastAsia="en-US"/>
              </w:rPr>
            </w:pPr>
            <w:r>
              <w:rPr>
                <w:color w:val="000000"/>
                <w:sz w:val="20"/>
                <w:szCs w:val="20"/>
                <w:lang w:eastAsia="en-US"/>
              </w:rPr>
              <w:t>105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0D62C2D" w14:textId="77777777" w:rsidR="00091544" w:rsidRDefault="00091544" w:rsidP="00091544">
            <w:pPr>
              <w:rPr>
                <w:b/>
                <w:color w:val="000000"/>
                <w:sz w:val="20"/>
                <w:szCs w:val="20"/>
                <w:lang w:eastAsia="en-US"/>
              </w:rPr>
            </w:pPr>
            <w:r>
              <w:rPr>
                <w:b/>
                <w:color w:val="000000"/>
                <w:sz w:val="20"/>
                <w:szCs w:val="20"/>
                <w:lang w:eastAsia="en-US"/>
              </w:rPr>
              <w:t>Prefrontal, shape in dorsal view:</w:t>
            </w:r>
          </w:p>
          <w:p w14:paraId="3369752B" w14:textId="325A18E5"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14 modified part); Young &amp; Andrade (2009, ch. 14 modified part); </w:t>
            </w:r>
            <w:r>
              <w:rPr>
                <w:bCs/>
                <w:i/>
                <w:color w:val="000000"/>
                <w:sz w:val="20"/>
                <w:szCs w:val="20"/>
                <w:lang w:eastAsia="en-US"/>
              </w:rPr>
              <w:t xml:space="preserve">Young et al. (2011, ch. 14 modified part); Young et al. (2013a, ch. 41 modified part); </w:t>
            </w:r>
            <w:r>
              <w:rPr>
                <w:i/>
                <w:sz w:val="20"/>
                <w:szCs w:val="20"/>
                <w:lang w:eastAsia="en-US"/>
              </w:rPr>
              <w:t xml:space="preserve">Young et al. (2012, ch. 49); Young (2014, ch. 51); Young et al. (2016, ds 2, ch. 59); Ristevski et al. (2018, ds 2, ch. 86); Smith et al. (in review, ds 1, ch. 87); </w:t>
            </w:r>
            <w:r>
              <w:rPr>
                <w:i/>
                <w:sz w:val="20"/>
                <w:szCs w:val="20"/>
              </w:rPr>
              <w:t>Ősi et al. (in review, ds 1, ch. 100)</w:t>
            </w:r>
            <w:r>
              <w:rPr>
                <w:i/>
                <w:sz w:val="20"/>
                <w:szCs w:val="20"/>
                <w:lang w:eastAsia="en-US"/>
              </w:rPr>
              <w:t>.</w:t>
            </w:r>
          </w:p>
          <w:p w14:paraId="6FC0BCA6" w14:textId="77777777" w:rsidR="00091544" w:rsidRDefault="00091544" w:rsidP="00091544">
            <w:pPr>
              <w:rPr>
                <w:i/>
                <w:color w:val="000000"/>
                <w:sz w:val="20"/>
                <w:szCs w:val="20"/>
                <w:lang w:eastAsia="en-US"/>
              </w:rPr>
            </w:pPr>
            <w:r>
              <w:rPr>
                <w:i/>
                <w:color w:val="000000"/>
                <w:sz w:val="20"/>
                <w:szCs w:val="20"/>
                <w:lang w:eastAsia="en-US"/>
              </w:rPr>
              <w:t>State (1) is a putative apomorphy of Metriorhynchidae.</w:t>
            </w:r>
          </w:p>
          <w:p w14:paraId="50122354" w14:textId="77777777" w:rsidR="00091544" w:rsidRDefault="00091544" w:rsidP="00091544">
            <w:pPr>
              <w:rPr>
                <w:color w:val="000000"/>
                <w:sz w:val="20"/>
                <w:szCs w:val="20"/>
                <w:lang w:eastAsia="en-US"/>
              </w:rPr>
            </w:pPr>
            <w:r>
              <w:rPr>
                <w:color w:val="000000"/>
                <w:sz w:val="20"/>
                <w:szCs w:val="20"/>
                <w:lang w:eastAsia="en-US"/>
              </w:rPr>
              <w:t>0. quadrilateral with irregular outline</w:t>
            </w:r>
          </w:p>
          <w:p w14:paraId="62E228DA" w14:textId="77777777" w:rsidR="00091544" w:rsidRDefault="00091544" w:rsidP="00091544">
            <w:pPr>
              <w:rPr>
                <w:color w:val="000000"/>
                <w:sz w:val="20"/>
                <w:szCs w:val="20"/>
                <w:lang w:eastAsia="en-US"/>
              </w:rPr>
            </w:pPr>
            <w:r>
              <w:rPr>
                <w:color w:val="000000"/>
                <w:sz w:val="20"/>
                <w:szCs w:val="20"/>
                <w:lang w:eastAsia="en-US"/>
              </w:rPr>
              <w:t>1. teardrop-shaped</w:t>
            </w:r>
          </w:p>
        </w:tc>
      </w:tr>
      <w:tr w:rsidR="00091544" w14:paraId="4E59A76A" w14:textId="77777777" w:rsidTr="00091544">
        <w:tc>
          <w:tcPr>
            <w:tcW w:w="516" w:type="dxa"/>
            <w:tcBorders>
              <w:top w:val="single" w:sz="4" w:space="0" w:color="auto"/>
              <w:left w:val="single" w:sz="4" w:space="0" w:color="auto"/>
              <w:bottom w:val="single" w:sz="4" w:space="0" w:color="auto"/>
              <w:right w:val="single" w:sz="4" w:space="0" w:color="auto"/>
            </w:tcBorders>
          </w:tcPr>
          <w:p w14:paraId="31D8E823" w14:textId="785ACF48" w:rsidR="00091544" w:rsidRDefault="00091544" w:rsidP="00091544">
            <w:pPr>
              <w:rPr>
                <w:color w:val="000000"/>
                <w:sz w:val="20"/>
                <w:szCs w:val="20"/>
                <w:lang w:eastAsia="en-US"/>
              </w:rPr>
            </w:pPr>
            <w:r>
              <w:rPr>
                <w:color w:val="000000"/>
                <w:sz w:val="20"/>
                <w:szCs w:val="20"/>
                <w:lang w:eastAsia="en-US"/>
              </w:rPr>
              <w:t>106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94E5C6E" w14:textId="77777777" w:rsidR="00091544" w:rsidRDefault="00091544" w:rsidP="00091544">
            <w:pPr>
              <w:rPr>
                <w:b/>
                <w:color w:val="000000"/>
                <w:sz w:val="20"/>
                <w:szCs w:val="20"/>
                <w:lang w:eastAsia="en-US"/>
              </w:rPr>
            </w:pPr>
            <w:r>
              <w:rPr>
                <w:b/>
                <w:color w:val="000000"/>
                <w:sz w:val="20"/>
                <w:szCs w:val="20"/>
                <w:lang w:eastAsia="en-US"/>
              </w:rPr>
              <w:t>Prefrontal, morphology of the lateral border in dorsal view: (*)</w:t>
            </w:r>
          </w:p>
          <w:p w14:paraId="7E3CE05E" w14:textId="723F3600"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14 modified part); Young &amp; Andrade (2009, ch. 14 modified part); </w:t>
            </w:r>
            <w:r>
              <w:rPr>
                <w:bCs/>
                <w:i/>
                <w:color w:val="000000"/>
                <w:sz w:val="20"/>
                <w:szCs w:val="20"/>
                <w:lang w:eastAsia="en-US"/>
              </w:rPr>
              <w:t xml:space="preserve">Young et al. (2011, ch. 14 modified part); Young et al. (2013a, ch. 41 modified part); </w:t>
            </w:r>
            <w:r>
              <w:rPr>
                <w:i/>
                <w:sz w:val="20"/>
                <w:szCs w:val="20"/>
                <w:lang w:eastAsia="en-US"/>
              </w:rPr>
              <w:t xml:space="preserve">Young et al. (2012, ch. 50); Young (2014, ch. 52); Young et al. (2016, ds 2, ch. 60); Ristevski et al. (2018, ds 2, ch. 87); Smith et al. (in review, ds 1, ch. 88); </w:t>
            </w:r>
            <w:r>
              <w:rPr>
                <w:i/>
                <w:sz w:val="20"/>
                <w:szCs w:val="20"/>
              </w:rPr>
              <w:t>Ősi et al. (in review, ds 1, ch. 101)</w:t>
            </w:r>
            <w:r>
              <w:rPr>
                <w:i/>
                <w:sz w:val="20"/>
                <w:szCs w:val="20"/>
                <w:lang w:eastAsia="en-US"/>
              </w:rPr>
              <w:t>.</w:t>
            </w:r>
          </w:p>
          <w:p w14:paraId="00787262" w14:textId="77777777" w:rsidR="00091544" w:rsidRDefault="00091544" w:rsidP="00091544">
            <w:pPr>
              <w:rPr>
                <w:color w:val="000000"/>
                <w:sz w:val="20"/>
                <w:szCs w:val="20"/>
                <w:lang w:eastAsia="en-US"/>
              </w:rPr>
            </w:pPr>
            <w:r>
              <w:rPr>
                <w:i/>
                <w:color w:val="000000"/>
                <w:sz w:val="20"/>
                <w:szCs w:val="20"/>
                <w:lang w:eastAsia="en-US"/>
              </w:rPr>
              <w:t>This character describes the shape of the prefrontal in Metriorhynchidae, and thus is not applicable for taxa that do not have the lateral expansion of the prefrontal.</w:t>
            </w:r>
          </w:p>
          <w:p w14:paraId="27C8D360" w14:textId="77777777" w:rsidR="00091544" w:rsidRDefault="00091544" w:rsidP="00091544">
            <w:pPr>
              <w:rPr>
                <w:i/>
                <w:color w:val="000000"/>
                <w:sz w:val="20"/>
                <w:szCs w:val="20"/>
                <w:lang w:eastAsia="en-US"/>
              </w:rPr>
            </w:pPr>
            <w:r>
              <w:rPr>
                <w:color w:val="000000"/>
                <w:sz w:val="20"/>
                <w:szCs w:val="20"/>
                <w:lang w:eastAsia="en-US"/>
              </w:rPr>
              <w:t>Eoneustes</w:t>
            </w:r>
            <w:r>
              <w:rPr>
                <w:i/>
                <w:color w:val="000000"/>
                <w:sz w:val="20"/>
                <w:szCs w:val="20"/>
                <w:lang w:eastAsia="en-US"/>
              </w:rPr>
              <w:t>, metriorhynchines and basal geosaurines score as state (0).</w:t>
            </w:r>
          </w:p>
          <w:p w14:paraId="5E61BF13" w14:textId="77777777" w:rsidR="00091544" w:rsidRDefault="00091544" w:rsidP="00091544">
            <w:pPr>
              <w:rPr>
                <w:i/>
                <w:color w:val="000000"/>
                <w:sz w:val="20"/>
                <w:szCs w:val="20"/>
                <w:lang w:eastAsia="en-US"/>
              </w:rPr>
            </w:pPr>
            <w:r>
              <w:rPr>
                <w:i/>
                <w:color w:val="000000"/>
                <w:sz w:val="20"/>
                <w:szCs w:val="20"/>
                <w:lang w:eastAsia="en-US"/>
              </w:rPr>
              <w:t>State (1) is a putative apomorphy of Geosaurini.</w:t>
            </w:r>
          </w:p>
          <w:p w14:paraId="66EC1FE4" w14:textId="77777777" w:rsidR="00091544" w:rsidRDefault="00091544" w:rsidP="00091544">
            <w:pPr>
              <w:rPr>
                <w:i/>
                <w:color w:val="000000"/>
                <w:sz w:val="20"/>
                <w:szCs w:val="20"/>
                <w:lang w:eastAsia="en-US"/>
              </w:rPr>
            </w:pPr>
            <w:r>
              <w:rPr>
                <w:i/>
                <w:color w:val="000000"/>
                <w:sz w:val="20"/>
                <w:szCs w:val="20"/>
                <w:lang w:eastAsia="en-US"/>
              </w:rPr>
              <w:t xml:space="preserve"> State (2) is a putative apomorphy of </w:t>
            </w:r>
            <w:r>
              <w:rPr>
                <w:color w:val="000000"/>
                <w:sz w:val="20"/>
                <w:szCs w:val="20"/>
                <w:lang w:eastAsia="en-US"/>
              </w:rPr>
              <w:t xml:space="preserve">Dakosaurus </w:t>
            </w:r>
            <w:r>
              <w:rPr>
                <w:i/>
                <w:color w:val="000000"/>
                <w:sz w:val="20"/>
                <w:szCs w:val="20"/>
                <w:lang w:eastAsia="en-US"/>
              </w:rPr>
              <w:t>(a modification of the Geosaurini condition).</w:t>
            </w:r>
          </w:p>
          <w:p w14:paraId="0B906A36" w14:textId="77777777" w:rsidR="00091544" w:rsidRDefault="00091544" w:rsidP="00091544">
            <w:pPr>
              <w:rPr>
                <w:color w:val="000000"/>
                <w:sz w:val="20"/>
                <w:szCs w:val="20"/>
                <w:lang w:eastAsia="en-US"/>
              </w:rPr>
            </w:pPr>
            <w:r>
              <w:rPr>
                <w:color w:val="000000"/>
                <w:sz w:val="20"/>
                <w:szCs w:val="20"/>
                <w:lang w:eastAsia="en-US"/>
              </w:rPr>
              <w:lastRenderedPageBreak/>
              <w:t>0. continuous convex curve, inflexion point approximately 80–90 degree angle from the anteroposterior axis of the skull</w:t>
            </w:r>
          </w:p>
          <w:p w14:paraId="3E47612D" w14:textId="77777777" w:rsidR="00091544" w:rsidRDefault="00091544" w:rsidP="00091544">
            <w:pPr>
              <w:rPr>
                <w:b/>
                <w:color w:val="000000"/>
                <w:sz w:val="20"/>
                <w:szCs w:val="20"/>
                <w:lang w:eastAsia="en-US"/>
              </w:rPr>
            </w:pPr>
            <w:r>
              <w:rPr>
                <w:color w:val="000000"/>
                <w:sz w:val="20"/>
                <w:szCs w:val="20"/>
                <w:lang w:eastAsia="en-US"/>
              </w:rPr>
              <w:t>1.</w:t>
            </w:r>
            <w:r>
              <w:rPr>
                <w:b/>
                <w:color w:val="000000"/>
                <w:sz w:val="20"/>
                <w:szCs w:val="20"/>
                <w:lang w:eastAsia="en-US"/>
              </w:rPr>
              <w:t xml:space="preserve"> </w:t>
            </w:r>
            <w:r>
              <w:rPr>
                <w:color w:val="000000"/>
                <w:sz w:val="20"/>
                <w:szCs w:val="20"/>
                <w:lang w:eastAsia="en-US"/>
              </w:rPr>
              <w:t>continuous convex curve, inflexion point approximately 60–70 degree angle from the anteroposterior axis of the skull</w:t>
            </w:r>
          </w:p>
          <w:p w14:paraId="5367C0BB" w14:textId="77777777" w:rsidR="00091544" w:rsidRDefault="00091544" w:rsidP="00091544">
            <w:pPr>
              <w:rPr>
                <w:color w:val="000000"/>
                <w:sz w:val="20"/>
                <w:szCs w:val="20"/>
                <w:lang w:eastAsia="en-US"/>
              </w:rPr>
            </w:pPr>
            <w:r>
              <w:rPr>
                <w:color w:val="000000"/>
                <w:sz w:val="20"/>
                <w:szCs w:val="20"/>
                <w:lang w:eastAsia="en-US"/>
              </w:rPr>
              <w:t>2. continuous convex curve, inflexion point approximately 50 degree angle from the anteroposterior axis of the skull</w:t>
            </w:r>
          </w:p>
        </w:tc>
      </w:tr>
      <w:tr w:rsidR="00091544" w14:paraId="78871255" w14:textId="77777777" w:rsidTr="00091544">
        <w:tc>
          <w:tcPr>
            <w:tcW w:w="516" w:type="dxa"/>
            <w:tcBorders>
              <w:top w:val="single" w:sz="4" w:space="0" w:color="auto"/>
              <w:left w:val="single" w:sz="4" w:space="0" w:color="auto"/>
              <w:bottom w:val="single" w:sz="4" w:space="0" w:color="auto"/>
              <w:right w:val="single" w:sz="4" w:space="0" w:color="auto"/>
            </w:tcBorders>
          </w:tcPr>
          <w:p w14:paraId="60787369" w14:textId="4ECEF471" w:rsidR="00091544" w:rsidRDefault="00091544" w:rsidP="00091544">
            <w:pPr>
              <w:rPr>
                <w:color w:val="000000"/>
                <w:sz w:val="20"/>
                <w:szCs w:val="20"/>
                <w:lang w:eastAsia="en-US"/>
              </w:rPr>
            </w:pPr>
            <w:r>
              <w:rPr>
                <w:color w:val="000000"/>
                <w:sz w:val="20"/>
                <w:szCs w:val="20"/>
                <w:lang w:eastAsia="en-US"/>
              </w:rPr>
              <w:lastRenderedPageBreak/>
              <w:t>107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7F05E30" w14:textId="77777777" w:rsidR="00091544" w:rsidRDefault="00091544" w:rsidP="00091544">
            <w:pPr>
              <w:rPr>
                <w:b/>
                <w:color w:val="000000"/>
                <w:sz w:val="20"/>
                <w:szCs w:val="20"/>
                <w:lang w:eastAsia="en-US"/>
              </w:rPr>
            </w:pPr>
            <w:r>
              <w:rPr>
                <w:b/>
                <w:color w:val="000000"/>
                <w:sz w:val="20"/>
                <w:szCs w:val="20"/>
                <w:lang w:eastAsia="en-US"/>
              </w:rPr>
              <w:t>Prefrontal, dimensions in dorsal view:</w:t>
            </w:r>
          </w:p>
          <w:p w14:paraId="2B59FF27" w14:textId="732B316F"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15); Young &amp; Andrade (2009, ch. 15); </w:t>
            </w:r>
            <w:r>
              <w:rPr>
                <w:bCs/>
                <w:i/>
                <w:color w:val="000000"/>
                <w:sz w:val="20"/>
                <w:szCs w:val="20"/>
                <w:lang w:eastAsia="en-US"/>
              </w:rPr>
              <w:t xml:space="preserve">Young et al. (2011, ch. 15); Young et al. (2013a, ch. 42); </w:t>
            </w:r>
            <w:r>
              <w:rPr>
                <w:i/>
                <w:sz w:val="20"/>
                <w:szCs w:val="20"/>
                <w:lang w:eastAsia="en-US"/>
              </w:rPr>
              <w:t xml:space="preserve">Young et al. (2012, ch. 51); Young (2014, ch. 53); Young et al. (2016, ds2, ch. 61); Ristevski et al. (2018, ds 2, ch. 88); Smith et al. (in review, ds 1, ch. 89); </w:t>
            </w:r>
            <w:r>
              <w:rPr>
                <w:i/>
                <w:sz w:val="20"/>
                <w:szCs w:val="20"/>
              </w:rPr>
              <w:t>Ősi et al. (in review, ds 1, ch. 102)</w:t>
            </w:r>
            <w:r>
              <w:rPr>
                <w:i/>
                <w:sz w:val="20"/>
                <w:szCs w:val="20"/>
                <w:lang w:eastAsia="en-US"/>
              </w:rPr>
              <w:t>.</w:t>
            </w:r>
          </w:p>
          <w:p w14:paraId="369E38FC" w14:textId="77777777" w:rsidR="00091544" w:rsidRDefault="00091544" w:rsidP="00091544">
            <w:pPr>
              <w:rPr>
                <w:color w:val="000000"/>
                <w:sz w:val="20"/>
                <w:szCs w:val="20"/>
                <w:lang w:eastAsia="en-US"/>
              </w:rPr>
            </w:pPr>
            <w:r>
              <w:rPr>
                <w:color w:val="000000"/>
                <w:sz w:val="20"/>
                <w:szCs w:val="20"/>
                <w:lang w:eastAsia="en-US"/>
              </w:rPr>
              <w:t>0. longer than wide</w:t>
            </w:r>
          </w:p>
          <w:p w14:paraId="6EFCEFC4" w14:textId="77777777" w:rsidR="00091544" w:rsidRDefault="00091544" w:rsidP="00091544">
            <w:pPr>
              <w:rPr>
                <w:color w:val="000000"/>
                <w:sz w:val="20"/>
                <w:szCs w:val="20"/>
                <w:lang w:eastAsia="en-US"/>
              </w:rPr>
            </w:pPr>
            <w:r>
              <w:rPr>
                <w:color w:val="000000"/>
                <w:sz w:val="20"/>
                <w:szCs w:val="20"/>
                <w:lang w:eastAsia="en-US"/>
              </w:rPr>
              <w:t>1. length/width is subequal (± 5%)</w:t>
            </w:r>
          </w:p>
        </w:tc>
      </w:tr>
      <w:tr w:rsidR="00091544" w14:paraId="65A59CC5" w14:textId="77777777" w:rsidTr="00091544">
        <w:tc>
          <w:tcPr>
            <w:tcW w:w="516" w:type="dxa"/>
            <w:tcBorders>
              <w:top w:val="single" w:sz="4" w:space="0" w:color="auto"/>
              <w:left w:val="single" w:sz="4" w:space="0" w:color="auto"/>
              <w:bottom w:val="single" w:sz="4" w:space="0" w:color="auto"/>
              <w:right w:val="single" w:sz="4" w:space="0" w:color="auto"/>
            </w:tcBorders>
          </w:tcPr>
          <w:p w14:paraId="70D748E0" w14:textId="7484737B" w:rsidR="00091544" w:rsidRDefault="00091544" w:rsidP="00091544">
            <w:pPr>
              <w:rPr>
                <w:color w:val="000000"/>
                <w:sz w:val="20"/>
                <w:szCs w:val="20"/>
                <w:lang w:eastAsia="en-US"/>
              </w:rPr>
            </w:pPr>
            <w:r>
              <w:rPr>
                <w:color w:val="000000"/>
                <w:sz w:val="20"/>
                <w:szCs w:val="20"/>
                <w:lang w:eastAsia="en-US"/>
              </w:rPr>
              <w:t>108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E13BF46" w14:textId="77777777" w:rsidR="00091544" w:rsidRDefault="00091544" w:rsidP="00091544">
            <w:pPr>
              <w:rPr>
                <w:b/>
                <w:color w:val="000000"/>
                <w:sz w:val="20"/>
                <w:szCs w:val="20"/>
                <w:lang w:eastAsia="en-US"/>
              </w:rPr>
            </w:pPr>
            <w:r>
              <w:rPr>
                <w:b/>
                <w:color w:val="000000"/>
                <w:sz w:val="20"/>
                <w:szCs w:val="20"/>
                <w:lang w:eastAsia="en-US"/>
              </w:rPr>
              <w:t>Prefrontal, anterior to the orbits:</w:t>
            </w:r>
          </w:p>
          <w:p w14:paraId="269DAAAF" w14:textId="2CF47793"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16); Young &amp; Andrade (2009, ch. 16); </w:t>
            </w:r>
            <w:r>
              <w:rPr>
                <w:bCs/>
                <w:i/>
                <w:color w:val="000000"/>
                <w:sz w:val="20"/>
                <w:szCs w:val="20"/>
                <w:lang w:eastAsia="en-US"/>
              </w:rPr>
              <w:t xml:space="preserve">Young et al. (2011, ch. 16); Young et al. (2013a, ch. 43); </w:t>
            </w:r>
            <w:r>
              <w:rPr>
                <w:i/>
                <w:sz w:val="20"/>
                <w:szCs w:val="20"/>
                <w:lang w:eastAsia="en-US"/>
              </w:rPr>
              <w:t xml:space="preserve">Young et al. (2012, ch. 52); Young (2014, ch. 54); Young et al. (2016, ds 2, ch. 62); Ristevski et al. (2018, ds 2, ch. 89); Smith et al. (in review, ds 1, ch. 90); </w:t>
            </w:r>
            <w:r>
              <w:rPr>
                <w:i/>
                <w:sz w:val="20"/>
                <w:szCs w:val="20"/>
              </w:rPr>
              <w:t>Ősi et al. (in review, ds 1, ch. 103)</w:t>
            </w:r>
            <w:r>
              <w:rPr>
                <w:i/>
                <w:sz w:val="20"/>
                <w:szCs w:val="20"/>
                <w:lang w:eastAsia="en-US"/>
              </w:rPr>
              <w:t>.</w:t>
            </w:r>
          </w:p>
          <w:p w14:paraId="09A9D5A4" w14:textId="77777777" w:rsidR="00091544" w:rsidRDefault="00091544" w:rsidP="00091544">
            <w:pPr>
              <w:rPr>
                <w:color w:val="000000"/>
                <w:sz w:val="20"/>
                <w:szCs w:val="20"/>
                <w:lang w:eastAsia="en-US"/>
              </w:rPr>
            </w:pPr>
            <w:r>
              <w:rPr>
                <w:color w:val="000000"/>
                <w:sz w:val="20"/>
                <w:szCs w:val="20"/>
                <w:lang w:eastAsia="en-US"/>
              </w:rPr>
              <w:t>0. elongate, oriented parallel to antero-posterior axis of the skull</w:t>
            </w:r>
          </w:p>
          <w:p w14:paraId="5375B4CA" w14:textId="77777777" w:rsidR="00091544" w:rsidRDefault="00091544" w:rsidP="00091544">
            <w:pPr>
              <w:rPr>
                <w:color w:val="000000"/>
                <w:sz w:val="20"/>
                <w:szCs w:val="20"/>
                <w:lang w:eastAsia="en-US"/>
              </w:rPr>
            </w:pPr>
            <w:r>
              <w:rPr>
                <w:color w:val="000000"/>
                <w:sz w:val="20"/>
                <w:szCs w:val="20"/>
                <w:lang w:eastAsia="en-US"/>
              </w:rPr>
              <w:t>1. short and broad</w:t>
            </w:r>
          </w:p>
        </w:tc>
      </w:tr>
      <w:tr w:rsidR="00091544" w14:paraId="7D63DEDB" w14:textId="77777777" w:rsidTr="00091544">
        <w:tc>
          <w:tcPr>
            <w:tcW w:w="516" w:type="dxa"/>
            <w:tcBorders>
              <w:top w:val="single" w:sz="4" w:space="0" w:color="auto"/>
              <w:left w:val="single" w:sz="4" w:space="0" w:color="auto"/>
              <w:bottom w:val="single" w:sz="4" w:space="0" w:color="auto"/>
              <w:right w:val="single" w:sz="4" w:space="0" w:color="auto"/>
            </w:tcBorders>
          </w:tcPr>
          <w:p w14:paraId="1D7C2748" w14:textId="184F2D1F" w:rsidR="00091544" w:rsidRDefault="00091544" w:rsidP="00091544">
            <w:pPr>
              <w:rPr>
                <w:color w:val="000000"/>
                <w:sz w:val="20"/>
                <w:szCs w:val="20"/>
                <w:lang w:eastAsia="en-US"/>
              </w:rPr>
            </w:pPr>
            <w:r>
              <w:rPr>
                <w:color w:val="000000"/>
                <w:sz w:val="20"/>
                <w:szCs w:val="20"/>
                <w:lang w:eastAsia="en-US"/>
              </w:rPr>
              <w:t>109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EFBB658" w14:textId="77777777" w:rsidR="00091544" w:rsidRDefault="00091544" w:rsidP="00091544">
            <w:pPr>
              <w:rPr>
                <w:b/>
                <w:color w:val="000000"/>
                <w:sz w:val="20"/>
                <w:szCs w:val="20"/>
                <w:lang w:eastAsia="en-US"/>
              </w:rPr>
            </w:pPr>
            <w:r>
              <w:rPr>
                <w:b/>
                <w:color w:val="000000"/>
                <w:sz w:val="20"/>
                <w:szCs w:val="20"/>
                <w:lang w:eastAsia="en-US"/>
              </w:rPr>
              <w:t>Prefrontal, nasal-prefrontal suture has a pronounced, rectangular ‘concavity’ (directed posteriorly):</w:t>
            </w:r>
          </w:p>
          <w:p w14:paraId="598F28DB" w14:textId="6EE44F50"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93); </w:t>
            </w:r>
            <w:r>
              <w:rPr>
                <w:bCs/>
                <w:i/>
                <w:color w:val="000000"/>
                <w:sz w:val="20"/>
                <w:szCs w:val="20"/>
                <w:lang w:eastAsia="en-US"/>
              </w:rPr>
              <w:t xml:space="preserve">Young et al. (2011, ch. 93); Young et al. (2013a, ch. 44); </w:t>
            </w:r>
            <w:r>
              <w:rPr>
                <w:i/>
                <w:sz w:val="20"/>
                <w:szCs w:val="20"/>
                <w:lang w:eastAsia="en-US"/>
              </w:rPr>
              <w:t xml:space="preserve">Young et al. (2012, ch. 53); Young (2014, ch. 55); Young et al. (2016, ds 2, ch. 63); Ristevski et al. (2018, ds 2, ch. 90); Smith et al. (in review, ds 1, ch. 91); </w:t>
            </w:r>
            <w:r>
              <w:rPr>
                <w:i/>
                <w:sz w:val="20"/>
                <w:szCs w:val="20"/>
              </w:rPr>
              <w:t>Ősi et al. (in review, ds 1, ch. 104)</w:t>
            </w:r>
            <w:r>
              <w:rPr>
                <w:i/>
                <w:sz w:val="20"/>
                <w:szCs w:val="20"/>
                <w:lang w:eastAsia="en-US"/>
              </w:rPr>
              <w:t>.</w:t>
            </w:r>
          </w:p>
          <w:p w14:paraId="641F400F" w14:textId="77777777" w:rsidR="00091544" w:rsidRDefault="00091544" w:rsidP="00091544">
            <w:pPr>
              <w:rPr>
                <w:i/>
                <w:color w:val="000000"/>
                <w:sz w:val="20"/>
                <w:szCs w:val="20"/>
                <w:lang w:eastAsia="en-US"/>
              </w:rPr>
            </w:pPr>
            <w:r>
              <w:rPr>
                <w:i/>
                <w:color w:val="000000"/>
                <w:sz w:val="20"/>
                <w:szCs w:val="20"/>
                <w:lang w:eastAsia="en-US"/>
              </w:rPr>
              <w:t xml:space="preserve"> State (1) is a putative apomorphy of </w:t>
            </w:r>
            <w:r>
              <w:rPr>
                <w:color w:val="000000"/>
                <w:sz w:val="20"/>
                <w:szCs w:val="20"/>
                <w:lang w:eastAsia="en-US"/>
              </w:rPr>
              <w:t>Eoneustes</w:t>
            </w:r>
            <w:r>
              <w:rPr>
                <w:i/>
                <w:color w:val="000000"/>
                <w:sz w:val="20"/>
                <w:szCs w:val="20"/>
                <w:lang w:eastAsia="en-US"/>
              </w:rPr>
              <w:t>.</w:t>
            </w:r>
          </w:p>
          <w:p w14:paraId="1DE96BDF" w14:textId="77777777" w:rsidR="00091544" w:rsidRDefault="00091544" w:rsidP="00091544">
            <w:pPr>
              <w:rPr>
                <w:color w:val="000000"/>
                <w:sz w:val="20"/>
                <w:szCs w:val="20"/>
                <w:lang w:eastAsia="en-US"/>
              </w:rPr>
            </w:pPr>
            <w:r>
              <w:rPr>
                <w:color w:val="000000"/>
                <w:sz w:val="20"/>
                <w:szCs w:val="20"/>
                <w:lang w:eastAsia="en-US"/>
              </w:rPr>
              <w:t>0. absent</w:t>
            </w:r>
          </w:p>
          <w:p w14:paraId="1EDC1D7C" w14:textId="77777777" w:rsidR="00091544" w:rsidRDefault="00091544" w:rsidP="00091544">
            <w:pPr>
              <w:rPr>
                <w:color w:val="000000"/>
                <w:sz w:val="20"/>
                <w:szCs w:val="20"/>
                <w:lang w:eastAsia="en-US"/>
              </w:rPr>
            </w:pPr>
            <w:r>
              <w:rPr>
                <w:color w:val="000000"/>
                <w:sz w:val="20"/>
                <w:szCs w:val="20"/>
                <w:lang w:eastAsia="en-US"/>
              </w:rPr>
              <w:t>1. present</w:t>
            </w:r>
          </w:p>
        </w:tc>
      </w:tr>
      <w:tr w:rsidR="00091544" w14:paraId="614FCB14" w14:textId="77777777" w:rsidTr="00091544">
        <w:tc>
          <w:tcPr>
            <w:tcW w:w="516" w:type="dxa"/>
            <w:tcBorders>
              <w:top w:val="single" w:sz="4" w:space="0" w:color="auto"/>
              <w:left w:val="single" w:sz="4" w:space="0" w:color="auto"/>
              <w:bottom w:val="single" w:sz="4" w:space="0" w:color="auto"/>
              <w:right w:val="single" w:sz="4" w:space="0" w:color="auto"/>
            </w:tcBorders>
          </w:tcPr>
          <w:p w14:paraId="7B697C54" w14:textId="3082C66B" w:rsidR="00091544" w:rsidRDefault="00091544" w:rsidP="00091544">
            <w:pPr>
              <w:rPr>
                <w:color w:val="000000"/>
                <w:sz w:val="20"/>
                <w:szCs w:val="20"/>
                <w:lang w:eastAsia="en-US"/>
              </w:rPr>
            </w:pPr>
            <w:r>
              <w:rPr>
                <w:color w:val="000000"/>
                <w:sz w:val="20"/>
                <w:szCs w:val="20"/>
                <w:lang w:eastAsia="en-US"/>
              </w:rPr>
              <w:t>110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8D39DA0" w14:textId="77777777" w:rsidR="00091544" w:rsidRDefault="00091544" w:rsidP="00091544">
            <w:pPr>
              <w:rPr>
                <w:b/>
                <w:color w:val="000000"/>
                <w:sz w:val="20"/>
                <w:szCs w:val="20"/>
                <w:lang w:eastAsia="en-US"/>
              </w:rPr>
            </w:pPr>
            <w:r>
              <w:rPr>
                <w:b/>
                <w:color w:val="000000"/>
                <w:sz w:val="20"/>
                <w:szCs w:val="20"/>
                <w:lang w:eastAsia="en-US"/>
              </w:rPr>
              <w:t>Prefrontal, nasal-prefrontal suture has a posteriorly directed ‘V’-shape:</w:t>
            </w:r>
          </w:p>
          <w:p w14:paraId="0952C763" w14:textId="39DF8F5B"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140); </w:t>
            </w:r>
            <w:r>
              <w:rPr>
                <w:bCs/>
                <w:i/>
                <w:color w:val="000000"/>
                <w:sz w:val="20"/>
                <w:szCs w:val="20"/>
                <w:lang w:eastAsia="en-US"/>
              </w:rPr>
              <w:t xml:space="preserve">Young et al. (2011, ch. 140); Young et al. (2013a, ch. 45); </w:t>
            </w:r>
            <w:r>
              <w:rPr>
                <w:i/>
                <w:sz w:val="20"/>
                <w:szCs w:val="20"/>
                <w:lang w:eastAsia="en-US"/>
              </w:rPr>
              <w:t xml:space="preserve">Young et al. (2012, ch. 54); Young (2014, ch. 56); Young et al. (2016, ds 2, ch. 64); Ristevski et al. (2018, ds 2, ch. 91); Smith et al. (in review, ds 1, ch. 92); </w:t>
            </w:r>
            <w:r>
              <w:rPr>
                <w:i/>
                <w:sz w:val="20"/>
                <w:szCs w:val="20"/>
              </w:rPr>
              <w:t>Ősi et al. (in review, ds 1, ch. 105)</w:t>
            </w:r>
            <w:r>
              <w:rPr>
                <w:i/>
                <w:sz w:val="20"/>
                <w:szCs w:val="20"/>
                <w:lang w:eastAsia="en-US"/>
              </w:rPr>
              <w:t>.</w:t>
            </w:r>
          </w:p>
          <w:p w14:paraId="47B7E6A6" w14:textId="77777777" w:rsidR="00091544" w:rsidRDefault="00091544" w:rsidP="00091544">
            <w:pPr>
              <w:rPr>
                <w:i/>
                <w:color w:val="000000"/>
                <w:sz w:val="20"/>
                <w:szCs w:val="20"/>
                <w:lang w:eastAsia="en-US"/>
              </w:rPr>
            </w:pPr>
            <w:r>
              <w:rPr>
                <w:i/>
                <w:color w:val="000000"/>
                <w:sz w:val="20"/>
                <w:szCs w:val="20"/>
                <w:lang w:eastAsia="en-US"/>
              </w:rPr>
              <w:t xml:space="preserve">State (1) is a putative autapomorphy of </w:t>
            </w:r>
            <w:r>
              <w:rPr>
                <w:color w:val="000000"/>
                <w:sz w:val="20"/>
                <w:szCs w:val="20"/>
                <w:lang w:eastAsia="en-US"/>
              </w:rPr>
              <w:t>Cricosaurus macrospondylus</w:t>
            </w:r>
            <w:r>
              <w:rPr>
                <w:i/>
                <w:color w:val="000000"/>
                <w:sz w:val="20"/>
                <w:szCs w:val="20"/>
                <w:lang w:eastAsia="en-US"/>
              </w:rPr>
              <w:t>.</w:t>
            </w:r>
          </w:p>
          <w:p w14:paraId="7518454B" w14:textId="77777777" w:rsidR="00091544" w:rsidRDefault="00091544" w:rsidP="00091544">
            <w:pPr>
              <w:rPr>
                <w:color w:val="000000"/>
                <w:sz w:val="20"/>
                <w:szCs w:val="20"/>
                <w:lang w:eastAsia="en-US"/>
              </w:rPr>
            </w:pPr>
            <w:r>
              <w:rPr>
                <w:color w:val="000000"/>
                <w:sz w:val="20"/>
                <w:szCs w:val="20"/>
                <w:lang w:eastAsia="en-US"/>
              </w:rPr>
              <w:t>0. absent</w:t>
            </w:r>
          </w:p>
          <w:p w14:paraId="3F274A07" w14:textId="77777777" w:rsidR="00091544" w:rsidRDefault="00091544" w:rsidP="00091544">
            <w:pPr>
              <w:rPr>
                <w:color w:val="000000"/>
                <w:sz w:val="20"/>
                <w:szCs w:val="20"/>
                <w:lang w:eastAsia="en-US"/>
              </w:rPr>
            </w:pPr>
            <w:r>
              <w:rPr>
                <w:color w:val="000000"/>
                <w:sz w:val="20"/>
                <w:szCs w:val="20"/>
                <w:lang w:eastAsia="en-US"/>
              </w:rPr>
              <w:t>1. present</w:t>
            </w:r>
          </w:p>
        </w:tc>
      </w:tr>
      <w:tr w:rsidR="00091544" w14:paraId="676CCAC7" w14:textId="77777777" w:rsidTr="00091544">
        <w:tc>
          <w:tcPr>
            <w:tcW w:w="516" w:type="dxa"/>
            <w:tcBorders>
              <w:top w:val="single" w:sz="4" w:space="0" w:color="auto"/>
              <w:left w:val="single" w:sz="4" w:space="0" w:color="auto"/>
              <w:bottom w:val="single" w:sz="4" w:space="0" w:color="auto"/>
              <w:right w:val="single" w:sz="4" w:space="0" w:color="auto"/>
            </w:tcBorders>
          </w:tcPr>
          <w:p w14:paraId="4D2EA49E" w14:textId="2402CDA4" w:rsidR="00091544" w:rsidRDefault="00091544" w:rsidP="00091544">
            <w:pPr>
              <w:rPr>
                <w:color w:val="000000"/>
                <w:sz w:val="20"/>
                <w:szCs w:val="20"/>
                <w:lang w:eastAsia="en-US"/>
              </w:rPr>
            </w:pPr>
            <w:r>
              <w:rPr>
                <w:color w:val="000000"/>
                <w:sz w:val="20"/>
                <w:szCs w:val="20"/>
                <w:lang w:eastAsia="en-US"/>
              </w:rPr>
              <w:t>111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16E1FE3" w14:textId="77777777" w:rsidR="00091544" w:rsidRDefault="00091544" w:rsidP="00091544">
            <w:pPr>
              <w:autoSpaceDE w:val="0"/>
              <w:autoSpaceDN w:val="0"/>
              <w:adjustRightInd w:val="0"/>
              <w:rPr>
                <w:b/>
                <w:sz w:val="20"/>
                <w:szCs w:val="20"/>
                <w:lang w:eastAsia="en-US"/>
              </w:rPr>
            </w:pPr>
            <w:r>
              <w:rPr>
                <w:b/>
                <w:sz w:val="20"/>
                <w:szCs w:val="20"/>
                <w:lang w:eastAsia="en-US"/>
              </w:rPr>
              <w:t xml:space="preserve">Frontal, dorsal surface along the midline: </w:t>
            </w:r>
          </w:p>
          <w:p w14:paraId="48C9FCD0" w14:textId="1A22CD87"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 xml:space="preserve">Nesbitt (2011, ch. 42 modified); Young et al. (2016, ds 2, ch. 66); </w:t>
            </w:r>
            <w:r>
              <w:rPr>
                <w:i/>
                <w:sz w:val="20"/>
                <w:szCs w:val="20"/>
                <w:lang w:eastAsia="en-US"/>
              </w:rPr>
              <w:t xml:space="preserve">Ristevski et al. (2018, ds 2, ch. 92); Smith et al. (in review, ds 1, ch. 93); </w:t>
            </w:r>
            <w:r>
              <w:rPr>
                <w:i/>
                <w:sz w:val="20"/>
                <w:szCs w:val="20"/>
              </w:rPr>
              <w:t>Ősi et al. (in review, ds 1, ch. 106)</w:t>
            </w:r>
            <w:r>
              <w:rPr>
                <w:i/>
                <w:iCs/>
                <w:color w:val="000000"/>
                <w:sz w:val="20"/>
                <w:szCs w:val="20"/>
                <w:lang w:eastAsia="en-US"/>
              </w:rPr>
              <w:t>.</w:t>
            </w:r>
          </w:p>
          <w:p w14:paraId="07F49DFE" w14:textId="77777777" w:rsidR="00091544" w:rsidRDefault="00091544" w:rsidP="00091544">
            <w:pPr>
              <w:rPr>
                <w:i/>
                <w:color w:val="000000"/>
                <w:sz w:val="20"/>
                <w:szCs w:val="20"/>
                <w:lang w:eastAsia="en-US"/>
              </w:rPr>
            </w:pPr>
            <w:r>
              <w:rPr>
                <w:i/>
                <w:color w:val="000000"/>
                <w:sz w:val="20"/>
                <w:szCs w:val="20"/>
                <w:lang w:eastAsia="en-US"/>
              </w:rPr>
              <w:t>State (0) is a putative apomorphy of Crocodyliformes (although there is a reversal in numerous neosuchian clades)</w:t>
            </w:r>
          </w:p>
          <w:p w14:paraId="4E5DD85D" w14:textId="77777777" w:rsidR="00091544" w:rsidRDefault="00091544" w:rsidP="00091544">
            <w:pPr>
              <w:autoSpaceDE w:val="0"/>
              <w:autoSpaceDN w:val="0"/>
              <w:adjustRightInd w:val="0"/>
              <w:rPr>
                <w:sz w:val="20"/>
                <w:szCs w:val="20"/>
                <w:lang w:eastAsia="en-US"/>
              </w:rPr>
            </w:pPr>
            <w:r>
              <w:rPr>
                <w:sz w:val="20"/>
                <w:szCs w:val="20"/>
                <w:lang w:eastAsia="en-US"/>
              </w:rPr>
              <w:t>0. flat</w:t>
            </w:r>
          </w:p>
          <w:p w14:paraId="01423F61" w14:textId="77777777" w:rsidR="00091544" w:rsidRDefault="00091544" w:rsidP="00091544">
            <w:pPr>
              <w:autoSpaceDE w:val="0"/>
              <w:autoSpaceDN w:val="0"/>
              <w:adjustRightInd w:val="0"/>
              <w:rPr>
                <w:sz w:val="20"/>
                <w:szCs w:val="20"/>
                <w:lang w:eastAsia="en-US"/>
              </w:rPr>
            </w:pPr>
            <w:r>
              <w:rPr>
                <w:sz w:val="20"/>
                <w:szCs w:val="20"/>
                <w:lang w:eastAsia="en-US"/>
              </w:rPr>
              <w:t>1. an incomplete longitudinal ridge along the midline</w:t>
            </w:r>
          </w:p>
          <w:p w14:paraId="65862CAD" w14:textId="77777777" w:rsidR="00091544" w:rsidRDefault="00091544" w:rsidP="00091544">
            <w:pPr>
              <w:autoSpaceDE w:val="0"/>
              <w:autoSpaceDN w:val="0"/>
              <w:adjustRightInd w:val="0"/>
              <w:rPr>
                <w:sz w:val="20"/>
                <w:szCs w:val="20"/>
                <w:lang w:eastAsia="en-US"/>
              </w:rPr>
            </w:pPr>
            <w:r>
              <w:rPr>
                <w:sz w:val="20"/>
                <w:szCs w:val="20"/>
                <w:lang w:eastAsia="en-US"/>
              </w:rPr>
              <w:t>2. a longitudinal ridge that proceeds along the entire length of the midline</w:t>
            </w:r>
          </w:p>
        </w:tc>
      </w:tr>
      <w:tr w:rsidR="00091544" w14:paraId="27F4412C" w14:textId="77777777" w:rsidTr="00091544">
        <w:tc>
          <w:tcPr>
            <w:tcW w:w="516" w:type="dxa"/>
            <w:tcBorders>
              <w:top w:val="single" w:sz="4" w:space="0" w:color="auto"/>
              <w:left w:val="single" w:sz="4" w:space="0" w:color="auto"/>
              <w:bottom w:val="single" w:sz="4" w:space="0" w:color="auto"/>
              <w:right w:val="single" w:sz="4" w:space="0" w:color="auto"/>
            </w:tcBorders>
          </w:tcPr>
          <w:p w14:paraId="53AC291B" w14:textId="1A97CD18" w:rsidR="00091544" w:rsidRDefault="00091544" w:rsidP="00091544">
            <w:pPr>
              <w:rPr>
                <w:color w:val="000000"/>
                <w:sz w:val="20"/>
                <w:szCs w:val="20"/>
                <w:lang w:eastAsia="en-US"/>
              </w:rPr>
            </w:pPr>
            <w:r>
              <w:rPr>
                <w:color w:val="000000"/>
                <w:sz w:val="20"/>
                <w:szCs w:val="20"/>
                <w:lang w:eastAsia="en-US"/>
              </w:rPr>
              <w:t>112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EB1D178" w14:textId="77777777" w:rsidR="00091544" w:rsidRDefault="00091544" w:rsidP="00091544">
            <w:pPr>
              <w:autoSpaceDE w:val="0"/>
              <w:autoSpaceDN w:val="0"/>
              <w:adjustRightInd w:val="0"/>
              <w:rPr>
                <w:b/>
                <w:bCs/>
                <w:sz w:val="20"/>
                <w:szCs w:val="20"/>
                <w:lang w:eastAsia="en-US"/>
              </w:rPr>
            </w:pPr>
            <w:r>
              <w:rPr>
                <w:b/>
                <w:bCs/>
                <w:sz w:val="20"/>
                <w:szCs w:val="20"/>
                <w:lang w:eastAsia="en-US"/>
              </w:rPr>
              <w:t xml:space="preserve">Frontal, dorsal surface: </w:t>
            </w:r>
          </w:p>
          <w:p w14:paraId="56BDA835" w14:textId="5B090C3E" w:rsidR="00091544" w:rsidRDefault="00091544" w:rsidP="00091544">
            <w:pPr>
              <w:autoSpaceDE w:val="0"/>
              <w:autoSpaceDN w:val="0"/>
              <w:adjustRightInd w:val="0"/>
              <w:rPr>
                <w:i/>
                <w:sz w:val="20"/>
                <w:szCs w:val="20"/>
                <w:lang w:eastAsia="en-US"/>
              </w:rPr>
            </w:pPr>
            <w:r>
              <w:rPr>
                <w:i/>
                <w:sz w:val="20"/>
                <w:szCs w:val="20"/>
                <w:lang w:eastAsia="en-US"/>
              </w:rPr>
              <w:t xml:space="preserve">Young et al. (2016, ds 2, ch. 67); Ristevski et al. (2018, ds 2, ch. 93); Smith et al. (in review, ds 1, ch. 94); </w:t>
            </w:r>
            <w:r>
              <w:rPr>
                <w:i/>
                <w:sz w:val="20"/>
                <w:szCs w:val="20"/>
              </w:rPr>
              <w:t>Ősi et al. (in review, ds 1, ch. 107)</w:t>
            </w:r>
            <w:r>
              <w:rPr>
                <w:i/>
                <w:sz w:val="20"/>
                <w:szCs w:val="20"/>
                <w:lang w:eastAsia="en-US"/>
              </w:rPr>
              <w:t>.</w:t>
            </w:r>
          </w:p>
          <w:p w14:paraId="44EADB43" w14:textId="77777777" w:rsidR="00091544" w:rsidRDefault="00091544" w:rsidP="00091544">
            <w:pPr>
              <w:autoSpaceDE w:val="0"/>
              <w:autoSpaceDN w:val="0"/>
              <w:adjustRightInd w:val="0"/>
              <w:rPr>
                <w:bCs/>
                <w:i/>
                <w:sz w:val="20"/>
                <w:szCs w:val="20"/>
                <w:lang w:eastAsia="en-US"/>
              </w:rPr>
            </w:pPr>
            <w:r>
              <w:rPr>
                <w:bCs/>
                <w:i/>
                <w:sz w:val="20"/>
                <w:szCs w:val="20"/>
                <w:lang w:eastAsia="en-US"/>
              </w:rPr>
              <w:t>State (1) occurs in</w:t>
            </w:r>
            <w:r>
              <w:rPr>
                <w:bCs/>
                <w:sz w:val="20"/>
                <w:szCs w:val="20"/>
                <w:lang w:eastAsia="en-US"/>
              </w:rPr>
              <w:t xml:space="preserve"> Hesperosuchus </w:t>
            </w:r>
            <w:r>
              <w:rPr>
                <w:bCs/>
                <w:i/>
                <w:sz w:val="20"/>
                <w:szCs w:val="20"/>
                <w:lang w:eastAsia="en-US"/>
              </w:rPr>
              <w:t>cf.</w:t>
            </w:r>
            <w:r>
              <w:rPr>
                <w:bCs/>
                <w:sz w:val="20"/>
                <w:szCs w:val="20"/>
                <w:lang w:eastAsia="en-US"/>
              </w:rPr>
              <w:t xml:space="preserve"> agilis, Dromicosuchus grallator, </w:t>
            </w:r>
            <w:r>
              <w:rPr>
                <w:bCs/>
                <w:i/>
                <w:sz w:val="20"/>
                <w:szCs w:val="20"/>
                <w:lang w:eastAsia="en-US"/>
              </w:rPr>
              <w:t>and among many tethysuchians (except derived dyrosaurids)</w:t>
            </w:r>
          </w:p>
          <w:p w14:paraId="00EA634C" w14:textId="77777777" w:rsidR="00091544" w:rsidRDefault="00091544" w:rsidP="00091544">
            <w:pPr>
              <w:autoSpaceDE w:val="0"/>
              <w:autoSpaceDN w:val="0"/>
              <w:adjustRightInd w:val="0"/>
              <w:rPr>
                <w:bCs/>
                <w:sz w:val="20"/>
                <w:szCs w:val="20"/>
                <w:lang w:eastAsia="en-US"/>
              </w:rPr>
            </w:pPr>
            <w:r>
              <w:rPr>
                <w:bCs/>
                <w:sz w:val="20"/>
                <w:szCs w:val="20"/>
                <w:lang w:eastAsia="en-US"/>
              </w:rPr>
              <w:t>0. slightly convex or flat</w:t>
            </w:r>
          </w:p>
          <w:p w14:paraId="3AF018CD" w14:textId="77777777" w:rsidR="00091544" w:rsidRDefault="00091544" w:rsidP="00091544">
            <w:pPr>
              <w:autoSpaceDE w:val="0"/>
              <w:autoSpaceDN w:val="0"/>
              <w:adjustRightInd w:val="0"/>
              <w:rPr>
                <w:b/>
                <w:sz w:val="20"/>
                <w:szCs w:val="20"/>
                <w:lang w:eastAsia="en-US"/>
              </w:rPr>
            </w:pPr>
            <w:r>
              <w:rPr>
                <w:bCs/>
                <w:sz w:val="20"/>
                <w:szCs w:val="20"/>
                <w:lang w:eastAsia="en-US"/>
              </w:rPr>
              <w:t xml:space="preserve">1. </w:t>
            </w:r>
            <w:r>
              <w:rPr>
                <w:sz w:val="20"/>
                <w:szCs w:val="20"/>
                <w:lang w:eastAsia="en-US"/>
              </w:rPr>
              <w:t>concave, with the medial borders of the orbit upturned</w:t>
            </w:r>
          </w:p>
        </w:tc>
      </w:tr>
      <w:tr w:rsidR="00091544" w14:paraId="45D764FB" w14:textId="77777777" w:rsidTr="00091544">
        <w:tc>
          <w:tcPr>
            <w:tcW w:w="516" w:type="dxa"/>
            <w:tcBorders>
              <w:top w:val="single" w:sz="4" w:space="0" w:color="auto"/>
              <w:left w:val="single" w:sz="4" w:space="0" w:color="auto"/>
              <w:bottom w:val="single" w:sz="4" w:space="0" w:color="auto"/>
              <w:right w:val="single" w:sz="4" w:space="0" w:color="auto"/>
            </w:tcBorders>
          </w:tcPr>
          <w:p w14:paraId="60750BF9" w14:textId="4CA3D441" w:rsidR="00091544" w:rsidRDefault="00091544" w:rsidP="00091544">
            <w:pPr>
              <w:rPr>
                <w:color w:val="000000"/>
                <w:sz w:val="20"/>
                <w:szCs w:val="20"/>
                <w:lang w:eastAsia="en-US"/>
              </w:rPr>
            </w:pPr>
            <w:r>
              <w:rPr>
                <w:color w:val="000000"/>
                <w:sz w:val="20"/>
                <w:szCs w:val="20"/>
                <w:lang w:eastAsia="en-US"/>
              </w:rPr>
              <w:t>113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5594B3E" w14:textId="77777777" w:rsidR="00091544" w:rsidRDefault="00091544" w:rsidP="00091544">
            <w:pPr>
              <w:rPr>
                <w:b/>
                <w:sz w:val="20"/>
                <w:szCs w:val="20"/>
                <w:lang w:eastAsia="en-US"/>
              </w:rPr>
            </w:pPr>
            <w:r>
              <w:rPr>
                <w:b/>
                <w:sz w:val="20"/>
                <w:szCs w:val="20"/>
                <w:lang w:eastAsia="en-US"/>
              </w:rPr>
              <w:t>Frontal, anteromedial process length: (*)</w:t>
            </w:r>
          </w:p>
          <w:p w14:paraId="4DA83FB2" w14:textId="7C546973" w:rsidR="00091544" w:rsidRDefault="00091544" w:rsidP="00091544">
            <w:pPr>
              <w:rPr>
                <w:i/>
                <w:sz w:val="20"/>
                <w:szCs w:val="20"/>
                <w:lang w:eastAsia="en-US"/>
              </w:rPr>
            </w:pPr>
            <w:r>
              <w:rPr>
                <w:i/>
                <w:sz w:val="20"/>
                <w:szCs w:val="20"/>
                <w:lang w:eastAsia="en-US"/>
              </w:rPr>
              <w:t xml:space="preserve">Jouve et al. (2008, ch. </w:t>
            </w:r>
            <w:r>
              <w:rPr>
                <w:bCs/>
                <w:i/>
                <w:sz w:val="20"/>
                <w:szCs w:val="20"/>
                <w:lang w:eastAsia="en-US"/>
              </w:rPr>
              <w:t xml:space="preserve">31 modified), </w:t>
            </w:r>
            <w:r>
              <w:rPr>
                <w:i/>
                <w:sz w:val="20"/>
                <w:szCs w:val="20"/>
                <w:lang w:eastAsia="en-US"/>
              </w:rPr>
              <w:t xml:space="preserve">Hastings et al. (2010, ch. 38 modified); Ristevski et al. (2018, ds 2, ch. 94); Smith et al. (in review, ds 1, ch. 95); </w:t>
            </w:r>
            <w:r>
              <w:rPr>
                <w:i/>
                <w:sz w:val="20"/>
                <w:szCs w:val="20"/>
              </w:rPr>
              <w:t>Ősi et al. (in review, ds 1, ch. 108)</w:t>
            </w:r>
            <w:r>
              <w:rPr>
                <w:i/>
                <w:sz w:val="20"/>
                <w:szCs w:val="20"/>
                <w:lang w:eastAsia="en-US"/>
              </w:rPr>
              <w:t>.</w:t>
            </w:r>
          </w:p>
          <w:p w14:paraId="4AA07604" w14:textId="77777777" w:rsidR="00091544" w:rsidRDefault="00091544" w:rsidP="00091544">
            <w:pPr>
              <w:rPr>
                <w:i/>
                <w:sz w:val="20"/>
                <w:szCs w:val="20"/>
                <w:lang w:eastAsia="en-US"/>
              </w:rPr>
            </w:pPr>
            <w:r>
              <w:rPr>
                <w:i/>
                <w:sz w:val="20"/>
                <w:szCs w:val="20"/>
                <w:lang w:eastAsia="en-US"/>
              </w:rPr>
              <w:t xml:space="preserve">This character is not applicable for </w:t>
            </w:r>
            <w:r>
              <w:rPr>
                <w:sz w:val="20"/>
                <w:szCs w:val="20"/>
                <w:lang w:eastAsia="en-US"/>
              </w:rPr>
              <w:t xml:space="preserve">Anthracosuchus </w:t>
            </w:r>
            <w:r>
              <w:rPr>
                <w:i/>
                <w:sz w:val="20"/>
                <w:szCs w:val="20"/>
                <w:lang w:eastAsia="en-US"/>
              </w:rPr>
              <w:t xml:space="preserve">and </w:t>
            </w:r>
            <w:r>
              <w:rPr>
                <w:sz w:val="20"/>
                <w:szCs w:val="20"/>
                <w:lang w:eastAsia="en-US"/>
              </w:rPr>
              <w:t>Cerrejonisuchus</w:t>
            </w:r>
            <w:r>
              <w:rPr>
                <w:i/>
                <w:sz w:val="20"/>
                <w:szCs w:val="20"/>
                <w:lang w:eastAsia="en-US"/>
              </w:rPr>
              <w:t xml:space="preserve"> as the anterior region of the frontal is elongated and the prefrontals are reduced (i.e. there is no elongation of the anteromedial process).</w:t>
            </w:r>
          </w:p>
          <w:p w14:paraId="08DC55F1" w14:textId="77777777" w:rsidR="00091544" w:rsidRDefault="00091544" w:rsidP="00091544">
            <w:pPr>
              <w:rPr>
                <w:sz w:val="20"/>
                <w:szCs w:val="20"/>
                <w:lang w:eastAsia="en-US"/>
              </w:rPr>
            </w:pPr>
            <w:r>
              <w:rPr>
                <w:sz w:val="20"/>
                <w:szCs w:val="20"/>
                <w:lang w:eastAsia="en-US"/>
              </w:rPr>
              <w:t>0. the anteromedial process is approximately level to, or slightly posterior to, the prefrontals</w:t>
            </w:r>
          </w:p>
          <w:p w14:paraId="07D9B3E7" w14:textId="77777777" w:rsidR="00091544" w:rsidRDefault="00091544" w:rsidP="00091544">
            <w:pPr>
              <w:autoSpaceDE w:val="0"/>
              <w:autoSpaceDN w:val="0"/>
              <w:adjustRightInd w:val="0"/>
              <w:rPr>
                <w:b/>
                <w:bCs/>
                <w:sz w:val="20"/>
                <w:szCs w:val="20"/>
                <w:lang w:eastAsia="en-US"/>
              </w:rPr>
            </w:pPr>
            <w:r>
              <w:rPr>
                <w:sz w:val="20"/>
                <w:szCs w:val="20"/>
                <w:lang w:eastAsia="en-US"/>
              </w:rPr>
              <w:t>1. the anteromedial process is noticeably posterior to the prefrontals</w:t>
            </w:r>
          </w:p>
        </w:tc>
      </w:tr>
      <w:tr w:rsidR="00091544" w14:paraId="34983B58" w14:textId="77777777" w:rsidTr="00091544">
        <w:tc>
          <w:tcPr>
            <w:tcW w:w="516" w:type="dxa"/>
            <w:tcBorders>
              <w:top w:val="single" w:sz="4" w:space="0" w:color="auto"/>
              <w:left w:val="single" w:sz="4" w:space="0" w:color="auto"/>
              <w:bottom w:val="single" w:sz="4" w:space="0" w:color="auto"/>
              <w:right w:val="single" w:sz="4" w:space="0" w:color="auto"/>
            </w:tcBorders>
          </w:tcPr>
          <w:p w14:paraId="7349D6A2" w14:textId="4412A6D7" w:rsidR="00091544" w:rsidRDefault="00091544" w:rsidP="00091544">
            <w:pPr>
              <w:rPr>
                <w:color w:val="000000"/>
                <w:sz w:val="20"/>
                <w:szCs w:val="20"/>
                <w:lang w:eastAsia="en-US"/>
              </w:rPr>
            </w:pPr>
            <w:r>
              <w:rPr>
                <w:color w:val="000000"/>
                <w:sz w:val="20"/>
                <w:szCs w:val="20"/>
                <w:lang w:eastAsia="en-US"/>
              </w:rPr>
              <w:t>114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72BC02CE" w14:textId="77777777" w:rsidR="00091544" w:rsidRDefault="00091544" w:rsidP="00091544">
            <w:pPr>
              <w:autoSpaceDE w:val="0"/>
              <w:autoSpaceDN w:val="0"/>
              <w:adjustRightInd w:val="0"/>
              <w:rPr>
                <w:b/>
                <w:bCs/>
                <w:sz w:val="20"/>
                <w:szCs w:val="20"/>
                <w:lang w:eastAsia="en-US"/>
              </w:rPr>
            </w:pPr>
            <w:r>
              <w:rPr>
                <w:b/>
                <w:bCs/>
                <w:sz w:val="20"/>
                <w:szCs w:val="20"/>
                <w:lang w:eastAsia="en-US"/>
              </w:rPr>
              <w:t xml:space="preserve">Frontal, anteromedial process: </w:t>
            </w:r>
          </w:p>
          <w:p w14:paraId="31C47FB7" w14:textId="7378235D" w:rsidR="00091544" w:rsidRDefault="00091544" w:rsidP="00091544">
            <w:pPr>
              <w:autoSpaceDE w:val="0"/>
              <w:autoSpaceDN w:val="0"/>
              <w:adjustRightInd w:val="0"/>
              <w:rPr>
                <w:i/>
                <w:sz w:val="20"/>
                <w:szCs w:val="20"/>
                <w:lang w:eastAsia="en-US"/>
              </w:rPr>
            </w:pPr>
            <w:r>
              <w:rPr>
                <w:i/>
                <w:sz w:val="20"/>
                <w:szCs w:val="20"/>
                <w:lang w:eastAsia="en-US"/>
              </w:rPr>
              <w:lastRenderedPageBreak/>
              <w:t xml:space="preserve">Young et al. (2016, ds 2, ch. 68); Ristevski et al. (2018, ds 2, ch. 95); Smith et al. (in review, ds 1, ch. 96); </w:t>
            </w:r>
            <w:r>
              <w:rPr>
                <w:i/>
                <w:sz w:val="20"/>
                <w:szCs w:val="20"/>
              </w:rPr>
              <w:t>Ősi et al. (in review, ds 1, ch. 109)</w:t>
            </w:r>
            <w:r>
              <w:rPr>
                <w:i/>
                <w:sz w:val="20"/>
                <w:szCs w:val="20"/>
                <w:lang w:eastAsia="en-US"/>
              </w:rPr>
              <w:t>.</w:t>
            </w:r>
          </w:p>
          <w:p w14:paraId="5A645217" w14:textId="77777777" w:rsidR="00091544" w:rsidRDefault="00091544" w:rsidP="00091544">
            <w:pPr>
              <w:autoSpaceDE w:val="0"/>
              <w:autoSpaceDN w:val="0"/>
              <w:adjustRightInd w:val="0"/>
              <w:rPr>
                <w:bCs/>
                <w:i/>
                <w:sz w:val="20"/>
                <w:szCs w:val="20"/>
                <w:lang w:eastAsia="en-US"/>
              </w:rPr>
            </w:pPr>
            <w:r>
              <w:rPr>
                <w:bCs/>
                <w:i/>
                <w:sz w:val="20"/>
                <w:szCs w:val="20"/>
                <w:lang w:eastAsia="en-US"/>
              </w:rPr>
              <w:t>State (1) is a putative apomorphy of Sebecia, also occurs in some basal dyrosaurids, bernissartiids and hylaeochampsids.</w:t>
            </w:r>
          </w:p>
          <w:p w14:paraId="55AE288D" w14:textId="77777777" w:rsidR="00091544" w:rsidRDefault="00091544" w:rsidP="00091544">
            <w:pPr>
              <w:autoSpaceDE w:val="0"/>
              <w:autoSpaceDN w:val="0"/>
              <w:adjustRightInd w:val="0"/>
              <w:rPr>
                <w:bCs/>
                <w:sz w:val="20"/>
                <w:szCs w:val="20"/>
                <w:lang w:eastAsia="en-US"/>
              </w:rPr>
            </w:pPr>
            <w:r>
              <w:rPr>
                <w:bCs/>
                <w:sz w:val="20"/>
                <w:szCs w:val="20"/>
                <w:lang w:eastAsia="en-US"/>
              </w:rPr>
              <w:t>0.frontal anteromedial process has an acute anterior margin, which separates the left and right nasals along their posterior margin</w:t>
            </w:r>
          </w:p>
          <w:p w14:paraId="15568E27" w14:textId="77777777" w:rsidR="00091544" w:rsidRDefault="00091544" w:rsidP="00091544">
            <w:pPr>
              <w:autoSpaceDE w:val="0"/>
              <w:autoSpaceDN w:val="0"/>
              <w:adjustRightInd w:val="0"/>
              <w:rPr>
                <w:bCs/>
                <w:sz w:val="20"/>
                <w:szCs w:val="20"/>
                <w:lang w:eastAsia="en-US"/>
              </w:rPr>
            </w:pPr>
            <w:r>
              <w:rPr>
                <w:bCs/>
                <w:sz w:val="20"/>
                <w:szCs w:val="20"/>
                <w:lang w:eastAsia="en-US"/>
              </w:rPr>
              <w:t>1. frontal anteromedial process lacks an acute anterior margin, with the nasal posterior margin with the frontal being either transversely straight, or is slightly convex or concave (in taxa where the prefrontals expand anterolaterally, there can sometimes be posteromedial processes of the nasals)</w:t>
            </w:r>
          </w:p>
        </w:tc>
      </w:tr>
      <w:tr w:rsidR="00091544" w14:paraId="26B6B176" w14:textId="77777777" w:rsidTr="00091544">
        <w:tc>
          <w:tcPr>
            <w:tcW w:w="516" w:type="dxa"/>
            <w:tcBorders>
              <w:top w:val="single" w:sz="4" w:space="0" w:color="auto"/>
              <w:left w:val="single" w:sz="4" w:space="0" w:color="auto"/>
              <w:bottom w:val="single" w:sz="4" w:space="0" w:color="auto"/>
              <w:right w:val="single" w:sz="4" w:space="0" w:color="auto"/>
            </w:tcBorders>
          </w:tcPr>
          <w:p w14:paraId="4F297C41" w14:textId="1A976F28" w:rsidR="00091544" w:rsidRDefault="00091544" w:rsidP="00091544">
            <w:pPr>
              <w:rPr>
                <w:color w:val="000000"/>
                <w:sz w:val="20"/>
                <w:szCs w:val="20"/>
                <w:lang w:eastAsia="en-US"/>
              </w:rPr>
            </w:pPr>
            <w:r>
              <w:rPr>
                <w:color w:val="000000"/>
                <w:sz w:val="20"/>
                <w:szCs w:val="20"/>
                <w:lang w:eastAsia="en-US"/>
              </w:rPr>
              <w:lastRenderedPageBreak/>
              <w:t>115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590A8ED" w14:textId="77777777" w:rsidR="00091544" w:rsidRDefault="00091544" w:rsidP="00091544">
            <w:pPr>
              <w:rPr>
                <w:b/>
                <w:sz w:val="20"/>
                <w:lang w:eastAsia="en-US"/>
              </w:rPr>
            </w:pPr>
            <w:r>
              <w:rPr>
                <w:b/>
                <w:sz w:val="20"/>
                <w:lang w:eastAsia="en-US"/>
              </w:rPr>
              <w:t>Frontal, contribution to the intertemporal bar: (*)</w:t>
            </w:r>
          </w:p>
          <w:p w14:paraId="19AD4160" w14:textId="3D25CD6C" w:rsidR="00091544" w:rsidRDefault="00091544" w:rsidP="00091544">
            <w:pPr>
              <w:rPr>
                <w:i/>
                <w:sz w:val="20"/>
                <w:szCs w:val="20"/>
                <w:lang w:eastAsia="en-US"/>
              </w:rPr>
            </w:pPr>
            <w:r>
              <w:rPr>
                <w:i/>
                <w:sz w:val="20"/>
                <w:szCs w:val="20"/>
                <w:lang w:eastAsia="en-US"/>
              </w:rPr>
              <w:t xml:space="preserve">Smith et al. (in review, ds 1, ch. 97); </w:t>
            </w:r>
            <w:r>
              <w:rPr>
                <w:i/>
                <w:sz w:val="20"/>
                <w:szCs w:val="20"/>
              </w:rPr>
              <w:t>Ősi et al. (in review, ds 1, ch. 110)</w:t>
            </w:r>
            <w:r>
              <w:rPr>
                <w:i/>
                <w:sz w:val="20"/>
                <w:szCs w:val="20"/>
                <w:lang w:eastAsia="en-US"/>
              </w:rPr>
              <w:t>.</w:t>
            </w:r>
          </w:p>
          <w:p w14:paraId="26B1B8F9" w14:textId="77777777" w:rsidR="00091544" w:rsidRDefault="00091544" w:rsidP="00091544">
            <w:pPr>
              <w:rPr>
                <w:i/>
                <w:sz w:val="20"/>
                <w:szCs w:val="20"/>
                <w:lang w:eastAsia="en-US"/>
              </w:rPr>
            </w:pPr>
            <w:r>
              <w:rPr>
                <w:i/>
                <w:sz w:val="20"/>
                <w:szCs w:val="20"/>
                <w:lang w:eastAsia="en-US"/>
              </w:rPr>
              <w:t>This character is not applicable for taxa that lack supratemporal fenestrae.</w:t>
            </w:r>
          </w:p>
          <w:p w14:paraId="0B11EBAC" w14:textId="77777777" w:rsidR="00091544" w:rsidRDefault="00091544" w:rsidP="00091544">
            <w:pPr>
              <w:rPr>
                <w:i/>
                <w:sz w:val="20"/>
                <w:szCs w:val="20"/>
                <w:lang w:eastAsia="en-US"/>
              </w:rPr>
            </w:pPr>
            <w:r>
              <w:rPr>
                <w:i/>
                <w:sz w:val="20"/>
                <w:szCs w:val="20"/>
                <w:lang w:eastAsia="en-US"/>
              </w:rPr>
              <w:t>Note that in many crocodyliforms the frontal only forms the very anterior region of the intersupratemporal fenestral area. We only score taxa as state (1) if the frontal is clearly anterior to the bar.</w:t>
            </w:r>
          </w:p>
          <w:p w14:paraId="498AD656" w14:textId="77777777" w:rsidR="00091544" w:rsidRDefault="00091544" w:rsidP="00091544">
            <w:pPr>
              <w:rPr>
                <w:i/>
                <w:sz w:val="20"/>
                <w:lang w:eastAsia="en-US"/>
              </w:rPr>
            </w:pPr>
            <w:r>
              <w:rPr>
                <w:i/>
                <w:sz w:val="20"/>
                <w:szCs w:val="20"/>
                <w:lang w:eastAsia="en-US"/>
              </w:rPr>
              <w:t xml:space="preserve">State (1) occurs in </w:t>
            </w:r>
            <w:r>
              <w:rPr>
                <w:sz w:val="20"/>
                <w:szCs w:val="20"/>
                <w:lang w:eastAsia="en-US"/>
              </w:rPr>
              <w:t>Protosuchus</w:t>
            </w:r>
            <w:r>
              <w:rPr>
                <w:i/>
                <w:sz w:val="20"/>
                <w:szCs w:val="20"/>
                <w:lang w:eastAsia="en-US"/>
              </w:rPr>
              <w:t xml:space="preserve">, </w:t>
            </w:r>
            <w:r>
              <w:rPr>
                <w:sz w:val="20"/>
                <w:szCs w:val="20"/>
                <w:lang w:eastAsia="en-US"/>
              </w:rPr>
              <w:t>Mahajangasuchus</w:t>
            </w:r>
            <w:r>
              <w:rPr>
                <w:i/>
                <w:sz w:val="20"/>
                <w:szCs w:val="20"/>
                <w:lang w:eastAsia="en-US"/>
              </w:rPr>
              <w:t xml:space="preserve">, </w:t>
            </w:r>
            <w:r>
              <w:rPr>
                <w:sz w:val="20"/>
                <w:szCs w:val="20"/>
                <w:lang w:eastAsia="en-US"/>
              </w:rPr>
              <w:t>Elosuchus</w:t>
            </w:r>
            <w:r>
              <w:rPr>
                <w:i/>
                <w:sz w:val="20"/>
                <w:szCs w:val="20"/>
                <w:lang w:eastAsia="en-US"/>
              </w:rPr>
              <w:t xml:space="preserve">, </w:t>
            </w:r>
            <w:r>
              <w:rPr>
                <w:sz w:val="20"/>
                <w:szCs w:val="20"/>
                <w:lang w:eastAsia="en-US"/>
              </w:rPr>
              <w:t>Vectisuchus</w:t>
            </w:r>
            <w:r>
              <w:rPr>
                <w:i/>
                <w:sz w:val="20"/>
                <w:szCs w:val="20"/>
                <w:lang w:eastAsia="en-US"/>
              </w:rPr>
              <w:t xml:space="preserve">, </w:t>
            </w:r>
            <w:r>
              <w:rPr>
                <w:sz w:val="20"/>
                <w:szCs w:val="20"/>
                <w:lang w:eastAsia="en-US"/>
              </w:rPr>
              <w:t>Chalawan</w:t>
            </w:r>
            <w:r>
              <w:rPr>
                <w:i/>
                <w:sz w:val="20"/>
                <w:szCs w:val="20"/>
                <w:lang w:eastAsia="en-US"/>
              </w:rPr>
              <w:t xml:space="preserve">, </w:t>
            </w:r>
            <w:r>
              <w:rPr>
                <w:sz w:val="20"/>
                <w:szCs w:val="20"/>
                <w:lang w:eastAsia="en-US"/>
              </w:rPr>
              <w:t>Sarcosuchus</w:t>
            </w:r>
            <w:r>
              <w:rPr>
                <w:i/>
                <w:sz w:val="20"/>
                <w:szCs w:val="20"/>
                <w:lang w:eastAsia="en-US"/>
              </w:rPr>
              <w:t>, and Crocodylia.</w:t>
            </w:r>
          </w:p>
          <w:p w14:paraId="6E4D8B90" w14:textId="77777777" w:rsidR="00091544" w:rsidRDefault="00091544" w:rsidP="00091544">
            <w:pPr>
              <w:rPr>
                <w:sz w:val="20"/>
                <w:lang w:eastAsia="en-US"/>
              </w:rPr>
            </w:pPr>
            <w:r>
              <w:rPr>
                <w:sz w:val="20"/>
                <w:lang w:eastAsia="en-US"/>
              </w:rPr>
              <w:t>0. frontal contributes to the anterior part of the intertemporal bar</w:t>
            </w:r>
          </w:p>
          <w:p w14:paraId="2FF009DA" w14:textId="77777777" w:rsidR="00091544" w:rsidRDefault="00091544" w:rsidP="00091544">
            <w:pPr>
              <w:rPr>
                <w:sz w:val="20"/>
                <w:lang w:eastAsia="en-US"/>
              </w:rPr>
            </w:pPr>
            <w:r>
              <w:rPr>
                <w:sz w:val="20"/>
                <w:lang w:eastAsia="en-US"/>
              </w:rPr>
              <w:t>1. frontal is excluded from the intertemporal bar, with the bar being solely composed by the parietal</w:t>
            </w:r>
          </w:p>
        </w:tc>
      </w:tr>
      <w:tr w:rsidR="00091544" w14:paraId="61D95722" w14:textId="77777777" w:rsidTr="00091544">
        <w:tc>
          <w:tcPr>
            <w:tcW w:w="516" w:type="dxa"/>
            <w:tcBorders>
              <w:top w:val="single" w:sz="4" w:space="0" w:color="auto"/>
              <w:left w:val="single" w:sz="4" w:space="0" w:color="auto"/>
              <w:bottom w:val="single" w:sz="4" w:space="0" w:color="auto"/>
              <w:right w:val="single" w:sz="4" w:space="0" w:color="auto"/>
            </w:tcBorders>
          </w:tcPr>
          <w:p w14:paraId="49C2B75C" w14:textId="3E901E55" w:rsidR="00091544" w:rsidRDefault="00091544" w:rsidP="00091544">
            <w:pPr>
              <w:rPr>
                <w:color w:val="000000"/>
                <w:sz w:val="20"/>
                <w:szCs w:val="20"/>
                <w:lang w:eastAsia="en-US"/>
              </w:rPr>
            </w:pPr>
            <w:r>
              <w:rPr>
                <w:color w:val="000000"/>
                <w:sz w:val="20"/>
                <w:szCs w:val="20"/>
                <w:lang w:eastAsia="en-US"/>
              </w:rPr>
              <w:t>116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E0126CD" w14:textId="77777777" w:rsidR="00091544" w:rsidRDefault="00091544" w:rsidP="00091544">
            <w:pPr>
              <w:rPr>
                <w:b/>
                <w:color w:val="000000"/>
                <w:sz w:val="20"/>
                <w:szCs w:val="20"/>
                <w:lang w:eastAsia="en-US"/>
              </w:rPr>
            </w:pPr>
            <w:r>
              <w:rPr>
                <w:b/>
                <w:color w:val="000000"/>
                <w:sz w:val="20"/>
                <w:szCs w:val="20"/>
                <w:lang w:eastAsia="en-US"/>
              </w:rPr>
              <w:t>Frontal, angle between posteromedial and posterolateral processes: (*)</w:t>
            </w:r>
          </w:p>
          <w:p w14:paraId="1D3A7345" w14:textId="3C2DD3DB" w:rsidR="00091544" w:rsidRDefault="00091544" w:rsidP="00091544">
            <w:pPr>
              <w:autoSpaceDE w:val="0"/>
              <w:autoSpaceDN w:val="0"/>
              <w:adjustRightInd w:val="0"/>
              <w:rPr>
                <w:b/>
                <w:bCs/>
                <w:color w:val="000000"/>
                <w:sz w:val="20"/>
                <w:szCs w:val="20"/>
                <w:lang w:eastAsia="en-US"/>
              </w:rPr>
            </w:pPr>
            <w:r>
              <w:rPr>
                <w:i/>
                <w:sz w:val="20"/>
                <w:szCs w:val="20"/>
                <w:lang w:eastAsia="en-US"/>
              </w:rPr>
              <w:t xml:space="preserve">Wilkinson et al. (2008, ch. 26 modified); Young &amp; Andrade (2009, ch. 26 modified); </w:t>
            </w:r>
            <w:r>
              <w:rPr>
                <w:bCs/>
                <w:i/>
                <w:color w:val="000000"/>
                <w:sz w:val="20"/>
                <w:lang w:eastAsia="en-US"/>
              </w:rPr>
              <w:t xml:space="preserve">Andrade et al. (2011, ch. 98 modified); </w:t>
            </w:r>
            <w:r>
              <w:rPr>
                <w:bCs/>
                <w:i/>
                <w:color w:val="000000"/>
                <w:sz w:val="20"/>
                <w:szCs w:val="20"/>
                <w:lang w:eastAsia="en-US"/>
              </w:rPr>
              <w:t xml:space="preserve">Young et al. (2011, ch. 26); Young et al. (2013a, ch. 47); </w:t>
            </w:r>
            <w:r>
              <w:rPr>
                <w:i/>
                <w:sz w:val="20"/>
                <w:szCs w:val="20"/>
                <w:lang w:eastAsia="en-US"/>
              </w:rPr>
              <w:t xml:space="preserve">Young et al. (2012, ch. 56); Young (2014, ch. 58); Young et al. (2016, ds 2, ch. 69); Ristevski et al. (2018, ds 2, ch. 96); Smith et al. (in review, ds 1, ch. 98); </w:t>
            </w:r>
            <w:r>
              <w:rPr>
                <w:i/>
                <w:sz w:val="20"/>
                <w:szCs w:val="20"/>
              </w:rPr>
              <w:t>Ősi et al. (in review, ds 1, ch. 111)</w:t>
            </w:r>
            <w:r>
              <w:rPr>
                <w:i/>
                <w:sz w:val="20"/>
                <w:szCs w:val="20"/>
                <w:lang w:eastAsia="en-US"/>
              </w:rPr>
              <w:t>.</w:t>
            </w:r>
          </w:p>
          <w:p w14:paraId="6664EE03" w14:textId="2267FE36"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See diagrammatic explanation for this character in Wilkinson et al. (2008: p.1311, Fig. 4).</w:t>
            </w:r>
          </w:p>
          <w:p w14:paraId="490BE206"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supratemporal fenestrae (which help form the distinct posterior processes of the frontal).</w:t>
            </w:r>
          </w:p>
          <w:p w14:paraId="67EAE076" w14:textId="77777777" w:rsidR="00091544" w:rsidRDefault="00091544" w:rsidP="00091544">
            <w:pPr>
              <w:rPr>
                <w:color w:val="000000"/>
                <w:sz w:val="20"/>
                <w:szCs w:val="20"/>
                <w:lang w:eastAsia="en-US"/>
              </w:rPr>
            </w:pPr>
            <w:r>
              <w:rPr>
                <w:color w:val="000000"/>
                <w:sz w:val="20"/>
                <w:szCs w:val="20"/>
                <w:lang w:eastAsia="en-US"/>
              </w:rPr>
              <w:t>0. approximately 90 degree angle, or obtuse</w:t>
            </w:r>
          </w:p>
          <w:p w14:paraId="38B1F85E" w14:textId="77777777" w:rsidR="00091544" w:rsidRDefault="00091544" w:rsidP="00091544">
            <w:pPr>
              <w:rPr>
                <w:color w:val="000000"/>
                <w:sz w:val="20"/>
                <w:szCs w:val="20"/>
                <w:lang w:eastAsia="en-US"/>
              </w:rPr>
            </w:pPr>
            <w:r>
              <w:rPr>
                <w:color w:val="000000"/>
                <w:sz w:val="20"/>
                <w:szCs w:val="20"/>
                <w:lang w:eastAsia="en-US"/>
              </w:rPr>
              <w:t>1. approximately 70–60 degree angle</w:t>
            </w:r>
          </w:p>
          <w:p w14:paraId="1E91FE66" w14:textId="77777777" w:rsidR="00091544" w:rsidRDefault="00091544" w:rsidP="00091544">
            <w:pPr>
              <w:rPr>
                <w:color w:val="000000"/>
                <w:sz w:val="20"/>
                <w:szCs w:val="20"/>
                <w:lang w:eastAsia="en-US"/>
              </w:rPr>
            </w:pPr>
            <w:r>
              <w:rPr>
                <w:color w:val="000000"/>
                <w:sz w:val="20"/>
                <w:szCs w:val="20"/>
                <w:lang w:eastAsia="en-US"/>
              </w:rPr>
              <w:t>2. approximately 45 degree angle, or more acute</w:t>
            </w:r>
          </w:p>
        </w:tc>
      </w:tr>
      <w:tr w:rsidR="00091544" w14:paraId="1A215C6B" w14:textId="77777777" w:rsidTr="00091544">
        <w:tc>
          <w:tcPr>
            <w:tcW w:w="516" w:type="dxa"/>
            <w:tcBorders>
              <w:top w:val="single" w:sz="4" w:space="0" w:color="auto"/>
              <w:left w:val="single" w:sz="4" w:space="0" w:color="auto"/>
              <w:bottom w:val="single" w:sz="4" w:space="0" w:color="auto"/>
              <w:right w:val="single" w:sz="4" w:space="0" w:color="auto"/>
            </w:tcBorders>
          </w:tcPr>
          <w:p w14:paraId="69F0A983" w14:textId="39E883B0" w:rsidR="00091544" w:rsidRDefault="00091544" w:rsidP="00091544">
            <w:pPr>
              <w:rPr>
                <w:color w:val="000000"/>
                <w:sz w:val="20"/>
                <w:szCs w:val="20"/>
                <w:lang w:eastAsia="en-US"/>
              </w:rPr>
            </w:pPr>
            <w:r>
              <w:rPr>
                <w:color w:val="000000"/>
                <w:sz w:val="20"/>
                <w:szCs w:val="20"/>
                <w:lang w:eastAsia="en-US"/>
              </w:rPr>
              <w:t>117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0A3F196" w14:textId="77777777" w:rsidR="00091544" w:rsidRDefault="00091544" w:rsidP="00091544">
            <w:pPr>
              <w:rPr>
                <w:b/>
                <w:color w:val="000000"/>
                <w:sz w:val="20"/>
                <w:szCs w:val="20"/>
                <w:lang w:eastAsia="en-US"/>
              </w:rPr>
            </w:pPr>
            <w:r>
              <w:rPr>
                <w:b/>
                <w:color w:val="000000"/>
                <w:sz w:val="20"/>
                <w:szCs w:val="20"/>
                <w:lang w:eastAsia="en-US"/>
              </w:rPr>
              <w:t>Frontal, minimum width between orbits in dorsal view compared to the supratemporal fossa: (*)</w:t>
            </w:r>
          </w:p>
          <w:p w14:paraId="3C77F005" w14:textId="2E547557"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121); </w:t>
            </w:r>
            <w:r>
              <w:rPr>
                <w:bCs/>
                <w:i/>
                <w:color w:val="000000"/>
                <w:sz w:val="20"/>
                <w:szCs w:val="20"/>
                <w:lang w:eastAsia="en-US"/>
              </w:rPr>
              <w:t xml:space="preserve">Young et al. (2011, ch. 121); Young et al. (2013a, ch. 48); </w:t>
            </w:r>
            <w:r>
              <w:rPr>
                <w:i/>
                <w:sz w:val="20"/>
                <w:szCs w:val="20"/>
                <w:lang w:eastAsia="en-US"/>
              </w:rPr>
              <w:t xml:space="preserve">Young et al. (2012, ch. 57); Young (2014, ch. 59); Young et al. (2016, ds 2, ch. 70); Ristevski et al. (2018, ds 2, ch. 97); Smith et al. (in review, ds 1, ch. 99); </w:t>
            </w:r>
            <w:r>
              <w:rPr>
                <w:i/>
                <w:sz w:val="20"/>
                <w:szCs w:val="20"/>
              </w:rPr>
              <w:t>Ősi et al. (in review, ds 1, ch. 112)</w:t>
            </w:r>
            <w:r>
              <w:rPr>
                <w:i/>
                <w:sz w:val="20"/>
                <w:szCs w:val="20"/>
                <w:lang w:eastAsia="en-US"/>
              </w:rPr>
              <w:t>.</w:t>
            </w:r>
          </w:p>
          <w:p w14:paraId="603FB234"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supratemporal fenestrae.</w:t>
            </w:r>
          </w:p>
          <w:p w14:paraId="06A44C30" w14:textId="77777777" w:rsidR="00091544" w:rsidRDefault="00091544" w:rsidP="00091544">
            <w:pPr>
              <w:rPr>
                <w:color w:val="000000"/>
                <w:sz w:val="20"/>
                <w:szCs w:val="20"/>
                <w:lang w:eastAsia="en-US"/>
              </w:rPr>
            </w:pPr>
            <w:r>
              <w:rPr>
                <w:color w:val="000000"/>
                <w:sz w:val="20"/>
                <w:szCs w:val="20"/>
                <w:lang w:eastAsia="en-US"/>
              </w:rPr>
              <w:t>0. greater than, or equal to, the width of one supratemporal fossa and the intertemporal bar</w:t>
            </w:r>
          </w:p>
          <w:p w14:paraId="680B7200" w14:textId="77777777" w:rsidR="00091544" w:rsidRDefault="00091544" w:rsidP="00091544">
            <w:pPr>
              <w:rPr>
                <w:color w:val="000000"/>
                <w:sz w:val="20"/>
                <w:szCs w:val="20"/>
                <w:lang w:eastAsia="en-US"/>
              </w:rPr>
            </w:pPr>
            <w:r>
              <w:rPr>
                <w:color w:val="000000"/>
                <w:sz w:val="20"/>
                <w:szCs w:val="20"/>
                <w:lang w:eastAsia="en-US"/>
              </w:rPr>
              <w:t>1. subequal to width of one supratemporal fossa</w:t>
            </w:r>
          </w:p>
        </w:tc>
      </w:tr>
      <w:tr w:rsidR="00091544" w14:paraId="492FA5E5" w14:textId="77777777" w:rsidTr="00091544">
        <w:tc>
          <w:tcPr>
            <w:tcW w:w="516" w:type="dxa"/>
            <w:tcBorders>
              <w:top w:val="single" w:sz="4" w:space="0" w:color="auto"/>
              <w:left w:val="single" w:sz="4" w:space="0" w:color="auto"/>
              <w:bottom w:val="single" w:sz="4" w:space="0" w:color="auto"/>
              <w:right w:val="single" w:sz="4" w:space="0" w:color="auto"/>
            </w:tcBorders>
          </w:tcPr>
          <w:p w14:paraId="0CE3365D" w14:textId="2810C47D" w:rsidR="00091544" w:rsidRDefault="00091544" w:rsidP="00091544">
            <w:pPr>
              <w:rPr>
                <w:color w:val="000000"/>
                <w:sz w:val="20"/>
                <w:szCs w:val="20"/>
                <w:lang w:eastAsia="en-US"/>
              </w:rPr>
            </w:pPr>
            <w:r>
              <w:rPr>
                <w:color w:val="000000"/>
                <w:sz w:val="20"/>
                <w:szCs w:val="20"/>
                <w:lang w:eastAsia="en-US"/>
              </w:rPr>
              <w:t>118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3A937D3" w14:textId="77777777" w:rsidR="00091544" w:rsidRDefault="00091544" w:rsidP="00091544">
            <w:pPr>
              <w:rPr>
                <w:b/>
                <w:color w:val="000000"/>
                <w:sz w:val="20"/>
                <w:szCs w:val="20"/>
                <w:lang w:eastAsia="en-US"/>
              </w:rPr>
            </w:pPr>
            <w:r>
              <w:rPr>
                <w:b/>
                <w:color w:val="000000"/>
                <w:sz w:val="20"/>
                <w:szCs w:val="20"/>
                <w:lang w:eastAsia="en-US"/>
              </w:rPr>
              <w:t>Frontal, minimum width between orbits in dorsal view compared to the orbits:</w:t>
            </w:r>
          </w:p>
          <w:p w14:paraId="0DCF494F" w14:textId="278EC0BD"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137); </w:t>
            </w:r>
            <w:r>
              <w:rPr>
                <w:bCs/>
                <w:i/>
                <w:color w:val="000000"/>
                <w:sz w:val="20"/>
                <w:szCs w:val="20"/>
                <w:lang w:eastAsia="en-US"/>
              </w:rPr>
              <w:t xml:space="preserve">Young et al. (2011, ch. 137); Young et al. (2013a, ch. 49); </w:t>
            </w:r>
            <w:r>
              <w:rPr>
                <w:i/>
                <w:sz w:val="20"/>
                <w:szCs w:val="20"/>
                <w:lang w:eastAsia="en-US"/>
              </w:rPr>
              <w:t xml:space="preserve">Young et al. (2012, ch. 58); Young (2014, ch. 60); Young et al. (2016, ds 2, ch. 71); Ristevski et al. (2018, ds 2, ch. 98); Smith et al. (in review, ds 1, ch. 100); </w:t>
            </w:r>
            <w:r>
              <w:rPr>
                <w:i/>
                <w:sz w:val="20"/>
                <w:szCs w:val="20"/>
              </w:rPr>
              <w:t>Ősi et al. (in review, ds 1, ch. 113)</w:t>
            </w:r>
            <w:r>
              <w:rPr>
                <w:i/>
                <w:sz w:val="20"/>
                <w:szCs w:val="20"/>
                <w:lang w:eastAsia="en-US"/>
              </w:rPr>
              <w:t>.</w:t>
            </w:r>
          </w:p>
          <w:p w14:paraId="643C2341" w14:textId="77777777" w:rsidR="00091544" w:rsidRDefault="00091544" w:rsidP="00091544">
            <w:pPr>
              <w:rPr>
                <w:color w:val="000000"/>
                <w:sz w:val="20"/>
                <w:szCs w:val="20"/>
                <w:lang w:eastAsia="en-US"/>
              </w:rPr>
            </w:pPr>
            <w:r>
              <w:rPr>
                <w:color w:val="000000"/>
                <w:sz w:val="20"/>
                <w:szCs w:val="20"/>
                <w:lang w:eastAsia="en-US"/>
              </w:rPr>
              <w:t>0. broader than orbital width</w:t>
            </w:r>
          </w:p>
          <w:p w14:paraId="7221605C" w14:textId="77777777" w:rsidR="00091544" w:rsidRDefault="00091544" w:rsidP="00091544">
            <w:pPr>
              <w:rPr>
                <w:color w:val="000000"/>
                <w:sz w:val="20"/>
                <w:szCs w:val="20"/>
                <w:lang w:eastAsia="en-US"/>
              </w:rPr>
            </w:pPr>
            <w:r>
              <w:rPr>
                <w:color w:val="000000"/>
                <w:sz w:val="20"/>
                <w:szCs w:val="20"/>
                <w:lang w:eastAsia="en-US"/>
              </w:rPr>
              <w:t>1. subequal with orbital width</w:t>
            </w:r>
          </w:p>
          <w:p w14:paraId="057A8AE8" w14:textId="77777777" w:rsidR="00091544" w:rsidRDefault="00091544" w:rsidP="00091544">
            <w:pPr>
              <w:rPr>
                <w:color w:val="000000"/>
                <w:sz w:val="20"/>
                <w:szCs w:val="20"/>
                <w:lang w:eastAsia="en-US"/>
              </w:rPr>
            </w:pPr>
            <w:r>
              <w:rPr>
                <w:color w:val="000000"/>
                <w:sz w:val="20"/>
                <w:szCs w:val="20"/>
                <w:lang w:eastAsia="en-US"/>
              </w:rPr>
              <w:t>2. narrower than orbital width</w:t>
            </w:r>
          </w:p>
        </w:tc>
      </w:tr>
      <w:tr w:rsidR="00091544" w14:paraId="7E362CDD" w14:textId="77777777" w:rsidTr="00091544">
        <w:tc>
          <w:tcPr>
            <w:tcW w:w="516" w:type="dxa"/>
            <w:tcBorders>
              <w:top w:val="single" w:sz="4" w:space="0" w:color="auto"/>
              <w:left w:val="single" w:sz="4" w:space="0" w:color="auto"/>
              <w:bottom w:val="single" w:sz="4" w:space="0" w:color="auto"/>
              <w:right w:val="single" w:sz="4" w:space="0" w:color="auto"/>
            </w:tcBorders>
          </w:tcPr>
          <w:p w14:paraId="43FC2433" w14:textId="264EC92D" w:rsidR="00091544" w:rsidRDefault="00091544" w:rsidP="00091544">
            <w:pPr>
              <w:rPr>
                <w:color w:val="000000"/>
                <w:sz w:val="20"/>
                <w:szCs w:val="20"/>
                <w:lang w:eastAsia="en-US"/>
              </w:rPr>
            </w:pPr>
            <w:r>
              <w:rPr>
                <w:color w:val="000000"/>
                <w:sz w:val="20"/>
                <w:szCs w:val="20"/>
                <w:lang w:eastAsia="en-US"/>
              </w:rPr>
              <w:t>119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B05827B" w14:textId="77777777" w:rsidR="00091544" w:rsidRDefault="00091544" w:rsidP="00091544">
            <w:pPr>
              <w:rPr>
                <w:b/>
                <w:color w:val="000000"/>
                <w:sz w:val="20"/>
                <w:szCs w:val="20"/>
                <w:lang w:eastAsia="en-US"/>
              </w:rPr>
            </w:pPr>
            <w:r>
              <w:rPr>
                <w:b/>
                <w:color w:val="000000"/>
                <w:sz w:val="20"/>
                <w:szCs w:val="20"/>
                <w:lang w:eastAsia="en-US"/>
              </w:rPr>
              <w:t>Frontal-parietal, between supratemporal fossa in dorsal view (intertemporal bar): (*)</w:t>
            </w:r>
          </w:p>
          <w:p w14:paraId="5D6B8D3C" w14:textId="0F4CCA48"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2); Young &amp; Andrade (2009, ch. 2); </w:t>
            </w:r>
            <w:r>
              <w:rPr>
                <w:bCs/>
                <w:i/>
                <w:color w:val="000000"/>
                <w:sz w:val="20"/>
                <w:szCs w:val="20"/>
                <w:lang w:eastAsia="en-US"/>
              </w:rPr>
              <w:t xml:space="preserve">Young et al. (2011, ch. 2); Young et al. (2013a, ch. 50); </w:t>
            </w:r>
            <w:r>
              <w:rPr>
                <w:i/>
                <w:sz w:val="20"/>
                <w:szCs w:val="20"/>
                <w:lang w:eastAsia="en-US"/>
              </w:rPr>
              <w:t xml:space="preserve">Young et al. (2012, ch. 59); Young (2014, ch. 61); Young et al. (2016, ds 2, ch. 72); Ristevski et al. (2018, ds 2, ch. 99); Smith et al. (in review, ds 1, ch. 101); </w:t>
            </w:r>
            <w:r>
              <w:rPr>
                <w:i/>
                <w:sz w:val="20"/>
                <w:szCs w:val="20"/>
              </w:rPr>
              <w:t>Ősi et al. (in review, ds 1, ch. 114)</w:t>
            </w:r>
            <w:r>
              <w:rPr>
                <w:i/>
                <w:sz w:val="20"/>
                <w:szCs w:val="20"/>
                <w:lang w:eastAsia="en-US"/>
              </w:rPr>
              <w:t>.</w:t>
            </w:r>
          </w:p>
          <w:p w14:paraId="02162DDD"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supratemporal fenestrae (as there is no intertemporal bar).</w:t>
            </w:r>
          </w:p>
          <w:p w14:paraId="27EA1C74" w14:textId="77777777" w:rsidR="00091544" w:rsidRDefault="00091544" w:rsidP="00091544">
            <w:pPr>
              <w:rPr>
                <w:color w:val="000000"/>
                <w:sz w:val="20"/>
                <w:szCs w:val="20"/>
                <w:lang w:eastAsia="en-US"/>
              </w:rPr>
            </w:pPr>
            <w:r>
              <w:rPr>
                <w:color w:val="000000"/>
                <w:sz w:val="20"/>
                <w:szCs w:val="20"/>
                <w:lang w:eastAsia="en-US"/>
              </w:rPr>
              <w:t>0. frontal and parietal subequal in width (± 5%)</w:t>
            </w:r>
          </w:p>
          <w:p w14:paraId="5B524537" w14:textId="77777777" w:rsidR="00091544" w:rsidRDefault="00091544" w:rsidP="00091544">
            <w:pPr>
              <w:rPr>
                <w:color w:val="000000"/>
                <w:sz w:val="20"/>
                <w:szCs w:val="20"/>
                <w:lang w:eastAsia="en-US"/>
              </w:rPr>
            </w:pPr>
            <w:r>
              <w:rPr>
                <w:color w:val="000000"/>
                <w:sz w:val="20"/>
                <w:szCs w:val="20"/>
                <w:lang w:eastAsia="en-US"/>
              </w:rPr>
              <w:t>1. frontal width is wider than the parietal. Can be extreme (greater than 75%)</w:t>
            </w:r>
          </w:p>
        </w:tc>
      </w:tr>
      <w:tr w:rsidR="00091544" w14:paraId="51E9A5D9" w14:textId="77777777" w:rsidTr="00091544">
        <w:tc>
          <w:tcPr>
            <w:tcW w:w="516" w:type="dxa"/>
            <w:tcBorders>
              <w:top w:val="single" w:sz="4" w:space="0" w:color="auto"/>
              <w:left w:val="single" w:sz="4" w:space="0" w:color="auto"/>
              <w:bottom w:val="single" w:sz="4" w:space="0" w:color="auto"/>
              <w:right w:val="single" w:sz="4" w:space="0" w:color="auto"/>
            </w:tcBorders>
          </w:tcPr>
          <w:p w14:paraId="7F640AF9" w14:textId="37888E0D" w:rsidR="00091544" w:rsidRDefault="00091544" w:rsidP="00091544">
            <w:pPr>
              <w:rPr>
                <w:color w:val="000000"/>
                <w:sz w:val="20"/>
                <w:szCs w:val="20"/>
                <w:highlight w:val="green"/>
                <w:lang w:eastAsia="en-US"/>
              </w:rPr>
            </w:pPr>
            <w:r>
              <w:rPr>
                <w:color w:val="000000"/>
                <w:sz w:val="20"/>
                <w:szCs w:val="20"/>
                <w:lang w:eastAsia="en-US"/>
              </w:rPr>
              <w:t>120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3C05F9DA" w14:textId="77777777" w:rsidR="00091544" w:rsidRDefault="00091544" w:rsidP="00091544">
            <w:pPr>
              <w:rPr>
                <w:b/>
                <w:color w:val="000000"/>
                <w:sz w:val="20"/>
                <w:szCs w:val="20"/>
                <w:lang w:eastAsia="en-US"/>
              </w:rPr>
            </w:pPr>
            <w:r>
              <w:rPr>
                <w:b/>
                <w:color w:val="000000"/>
                <w:sz w:val="20"/>
                <w:szCs w:val="20"/>
                <w:lang w:eastAsia="en-US"/>
              </w:rPr>
              <w:t>Frontal-postorbital suture: (*)</w:t>
            </w:r>
          </w:p>
          <w:p w14:paraId="4C4F02BA" w14:textId="15062C12"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27 modified); Young &amp; Andrade (2009, ch. 27 modified); </w:t>
            </w:r>
            <w:r>
              <w:rPr>
                <w:bCs/>
                <w:i/>
                <w:color w:val="000000"/>
                <w:sz w:val="20"/>
                <w:szCs w:val="20"/>
                <w:lang w:eastAsia="en-US"/>
              </w:rPr>
              <w:t xml:space="preserve">Young et al. (2011, ch. 27); Young et al. (2013a, ch. 51); </w:t>
            </w:r>
            <w:r>
              <w:rPr>
                <w:i/>
                <w:sz w:val="20"/>
                <w:szCs w:val="20"/>
                <w:lang w:eastAsia="en-US"/>
              </w:rPr>
              <w:t xml:space="preserve">Young et al. (2012, ch. 60); Young (2014, ch. 62); Young et al. (2016, ds 2, ch. 73); Ristevski et al. (2018, ds 2, ch. 100); Smith et al. (in review, ds 1, ch. 102); </w:t>
            </w:r>
            <w:r>
              <w:rPr>
                <w:i/>
                <w:sz w:val="20"/>
                <w:szCs w:val="20"/>
              </w:rPr>
              <w:t>Ősi et al. (in review, ds 1, ch. 115)</w:t>
            </w:r>
            <w:r>
              <w:rPr>
                <w:i/>
                <w:sz w:val="20"/>
                <w:szCs w:val="20"/>
                <w:lang w:eastAsia="en-US"/>
              </w:rPr>
              <w:t>.</w:t>
            </w:r>
          </w:p>
          <w:p w14:paraId="0E286DF1"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supratemporal fenestrae (as there is no intertemporal bar).</w:t>
            </w:r>
          </w:p>
          <w:p w14:paraId="400E7E42" w14:textId="77777777" w:rsidR="00091544" w:rsidRDefault="00091544" w:rsidP="00091544">
            <w:pPr>
              <w:rPr>
                <w:color w:val="000000"/>
                <w:sz w:val="20"/>
                <w:szCs w:val="20"/>
                <w:lang w:eastAsia="en-US"/>
              </w:rPr>
            </w:pPr>
            <w:r>
              <w:rPr>
                <w:color w:val="000000"/>
                <w:sz w:val="20"/>
                <w:szCs w:val="20"/>
                <w:lang w:eastAsia="en-US"/>
              </w:rPr>
              <w:lastRenderedPageBreak/>
              <w:t>0. level with the intertemporal bar</w:t>
            </w:r>
          </w:p>
          <w:p w14:paraId="070E7D4D" w14:textId="77777777" w:rsidR="00091544" w:rsidRDefault="00091544" w:rsidP="00091544">
            <w:pPr>
              <w:rPr>
                <w:color w:val="000000"/>
                <w:sz w:val="20"/>
                <w:szCs w:val="20"/>
                <w:lang w:eastAsia="en-US"/>
              </w:rPr>
            </w:pPr>
            <w:r>
              <w:rPr>
                <w:color w:val="000000"/>
                <w:sz w:val="20"/>
                <w:szCs w:val="20"/>
                <w:lang w:eastAsia="en-US"/>
              </w:rPr>
              <w:t>1. lower than the intertemporal bar</w:t>
            </w:r>
          </w:p>
        </w:tc>
      </w:tr>
      <w:tr w:rsidR="00091544" w14:paraId="568B33DC" w14:textId="77777777" w:rsidTr="00091544">
        <w:tc>
          <w:tcPr>
            <w:tcW w:w="516" w:type="dxa"/>
            <w:tcBorders>
              <w:top w:val="single" w:sz="4" w:space="0" w:color="auto"/>
              <w:left w:val="single" w:sz="4" w:space="0" w:color="auto"/>
              <w:bottom w:val="single" w:sz="4" w:space="0" w:color="auto"/>
              <w:right w:val="single" w:sz="4" w:space="0" w:color="auto"/>
            </w:tcBorders>
          </w:tcPr>
          <w:p w14:paraId="0B8C5C7D" w14:textId="0CBE663D" w:rsidR="00091544" w:rsidRDefault="00091544" w:rsidP="00091544">
            <w:pPr>
              <w:rPr>
                <w:color w:val="000000"/>
                <w:sz w:val="20"/>
                <w:szCs w:val="20"/>
                <w:lang w:eastAsia="en-US"/>
              </w:rPr>
            </w:pPr>
            <w:r>
              <w:rPr>
                <w:color w:val="000000"/>
                <w:sz w:val="20"/>
                <w:szCs w:val="20"/>
                <w:lang w:eastAsia="en-US"/>
              </w:rPr>
              <w:lastRenderedPageBreak/>
              <w:t>121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2C4D50B" w14:textId="77777777" w:rsidR="00091544" w:rsidRDefault="00091544" w:rsidP="00091544">
            <w:pPr>
              <w:rPr>
                <w:b/>
                <w:color w:val="000000"/>
                <w:sz w:val="20"/>
                <w:szCs w:val="20"/>
                <w:lang w:eastAsia="en-US"/>
              </w:rPr>
            </w:pPr>
            <w:r>
              <w:rPr>
                <w:b/>
                <w:color w:val="000000"/>
                <w:sz w:val="20"/>
                <w:szCs w:val="20"/>
                <w:lang w:eastAsia="en-US"/>
              </w:rPr>
              <w:t>Frontal-postorbital suture, in dorsal view:</w:t>
            </w:r>
          </w:p>
          <w:p w14:paraId="742DD239" w14:textId="48905D72" w:rsidR="00091544" w:rsidRDefault="00091544" w:rsidP="00091544">
            <w:pPr>
              <w:autoSpaceDE w:val="0"/>
              <w:autoSpaceDN w:val="0"/>
              <w:adjustRightInd w:val="0"/>
              <w:rPr>
                <w:i/>
                <w:sz w:val="20"/>
                <w:szCs w:val="20"/>
                <w:lang w:eastAsia="en-US"/>
              </w:rPr>
            </w:pPr>
            <w:r>
              <w:rPr>
                <w:i/>
                <w:sz w:val="20"/>
                <w:szCs w:val="20"/>
                <w:lang w:eastAsia="en-US"/>
              </w:rPr>
              <w:t xml:space="preserve">Wilkinson et al. (2008, ch. 3 modified); Young &amp; Andrade (2009, ch. 3 modified); Hastings et al. (2010, ch. 40 modified); </w:t>
            </w:r>
            <w:r>
              <w:rPr>
                <w:bCs/>
                <w:i/>
                <w:color w:val="000000"/>
                <w:sz w:val="20"/>
                <w:szCs w:val="20"/>
                <w:lang w:eastAsia="en-US"/>
              </w:rPr>
              <w:t xml:space="preserve">Young et al. (2011, ch. 3 modified); Young et al. (2013a, ch. 52 modified); </w:t>
            </w:r>
            <w:r>
              <w:rPr>
                <w:i/>
                <w:sz w:val="20"/>
                <w:szCs w:val="20"/>
                <w:lang w:eastAsia="en-US"/>
              </w:rPr>
              <w:t xml:space="preserve">Young et al. (2012, ch. 61 modified); Young (2014, ch. 63 modified); Young et al. (2016, ds 2, ch. 74 modified); Ristevski et al. (2018, ds 2, ch. 101); Smith et al. (in review, ds 1, ch. 103); </w:t>
            </w:r>
            <w:r>
              <w:rPr>
                <w:i/>
                <w:sz w:val="20"/>
                <w:szCs w:val="20"/>
              </w:rPr>
              <w:t>Ősi et al. (in review, ds 1, ch. 116)</w:t>
            </w:r>
            <w:r>
              <w:rPr>
                <w:i/>
                <w:sz w:val="20"/>
                <w:szCs w:val="20"/>
                <w:lang w:eastAsia="en-US"/>
              </w:rPr>
              <w:t>.</w:t>
            </w:r>
          </w:p>
          <w:p w14:paraId="1CE6BCA3" w14:textId="7C7B092D" w:rsidR="00091544" w:rsidRDefault="00091544" w:rsidP="00091544">
            <w:pPr>
              <w:autoSpaceDE w:val="0"/>
              <w:autoSpaceDN w:val="0"/>
              <w:adjustRightInd w:val="0"/>
              <w:rPr>
                <w:i/>
                <w:sz w:val="20"/>
                <w:szCs w:val="20"/>
                <w:lang w:eastAsia="en-US"/>
              </w:rPr>
            </w:pPr>
            <w:r>
              <w:rPr>
                <w:i/>
                <w:sz w:val="20"/>
                <w:szCs w:val="20"/>
                <w:lang w:eastAsia="en-US"/>
              </w:rPr>
              <w:t>This character is an amalgam of the Hastings et al. (2010, ch. 40) and Young et al. (2016, ds 2, ch. 74) characters.</w:t>
            </w:r>
          </w:p>
          <w:p w14:paraId="5ADF6A4B" w14:textId="77777777" w:rsidR="00091544" w:rsidRDefault="00091544" w:rsidP="00091544">
            <w:pPr>
              <w:rPr>
                <w:i/>
                <w:color w:val="000000"/>
                <w:sz w:val="20"/>
                <w:szCs w:val="20"/>
                <w:lang w:eastAsia="en-US"/>
              </w:rPr>
            </w:pPr>
            <w:r>
              <w:rPr>
                <w:i/>
                <w:color w:val="000000"/>
                <w:sz w:val="20"/>
                <w:szCs w:val="20"/>
                <w:lang w:eastAsia="en-US"/>
              </w:rPr>
              <w:t>State (1) is a putative apomorphy of Metriorhynchidae.</w:t>
            </w:r>
          </w:p>
          <w:p w14:paraId="47FD981C" w14:textId="77777777" w:rsidR="00091544" w:rsidRDefault="00091544" w:rsidP="00091544">
            <w:pPr>
              <w:rPr>
                <w:b/>
                <w:sz w:val="20"/>
                <w:szCs w:val="20"/>
                <w:lang w:eastAsia="en-US"/>
              </w:rPr>
            </w:pPr>
            <w:r>
              <w:rPr>
                <w:i/>
                <w:sz w:val="20"/>
                <w:szCs w:val="20"/>
                <w:lang w:eastAsia="en-US"/>
              </w:rPr>
              <w:t>State (2) scores the dyrosaurid morphotype.</w:t>
            </w:r>
          </w:p>
          <w:p w14:paraId="66C15458" w14:textId="77777777" w:rsidR="00091544" w:rsidRDefault="00091544" w:rsidP="00091544">
            <w:pPr>
              <w:rPr>
                <w:color w:val="000000"/>
                <w:sz w:val="20"/>
                <w:szCs w:val="20"/>
                <w:lang w:eastAsia="en-US"/>
              </w:rPr>
            </w:pPr>
            <w:r>
              <w:rPr>
                <w:color w:val="000000"/>
                <w:sz w:val="20"/>
                <w:szCs w:val="20"/>
                <w:lang w:eastAsia="en-US"/>
              </w:rPr>
              <w:t>0. irregular and straight or gently curved</w:t>
            </w:r>
          </w:p>
          <w:p w14:paraId="21CD9C92" w14:textId="77777777" w:rsidR="00091544" w:rsidRDefault="00091544" w:rsidP="00091544">
            <w:pPr>
              <w:rPr>
                <w:color w:val="000000"/>
                <w:sz w:val="20"/>
                <w:szCs w:val="20"/>
                <w:lang w:eastAsia="en-US"/>
              </w:rPr>
            </w:pPr>
            <w:r>
              <w:rPr>
                <w:color w:val="000000"/>
                <w:sz w:val="20"/>
                <w:szCs w:val="20"/>
                <w:lang w:eastAsia="en-US"/>
              </w:rPr>
              <w:t>1. frontal overlaps the postorbital, creating a ‘V’-shape directed posteriorly.</w:t>
            </w:r>
          </w:p>
          <w:p w14:paraId="67FC5664" w14:textId="77777777" w:rsidR="00091544" w:rsidRDefault="00091544" w:rsidP="00091544">
            <w:pPr>
              <w:rPr>
                <w:color w:val="000000"/>
                <w:sz w:val="20"/>
                <w:szCs w:val="20"/>
                <w:lang w:eastAsia="en-US"/>
              </w:rPr>
            </w:pPr>
            <w:r>
              <w:rPr>
                <w:color w:val="000000"/>
                <w:sz w:val="20"/>
                <w:szCs w:val="20"/>
                <w:lang w:eastAsia="en-US"/>
              </w:rPr>
              <w:t>2. strongly interdigitating in dorsal view (largely in one plane)</w:t>
            </w:r>
          </w:p>
        </w:tc>
      </w:tr>
      <w:tr w:rsidR="00091544" w14:paraId="5DF8D468" w14:textId="77777777" w:rsidTr="00091544">
        <w:tc>
          <w:tcPr>
            <w:tcW w:w="516" w:type="dxa"/>
            <w:tcBorders>
              <w:top w:val="single" w:sz="4" w:space="0" w:color="auto"/>
              <w:left w:val="single" w:sz="4" w:space="0" w:color="auto"/>
              <w:bottom w:val="single" w:sz="4" w:space="0" w:color="auto"/>
              <w:right w:val="single" w:sz="4" w:space="0" w:color="auto"/>
            </w:tcBorders>
          </w:tcPr>
          <w:p w14:paraId="35517097" w14:textId="7F64D9A5" w:rsidR="00091544" w:rsidRDefault="00091544" w:rsidP="00091544">
            <w:pPr>
              <w:rPr>
                <w:color w:val="000000"/>
                <w:sz w:val="20"/>
                <w:szCs w:val="20"/>
                <w:lang w:eastAsia="en-US"/>
              </w:rPr>
            </w:pPr>
            <w:r>
              <w:rPr>
                <w:color w:val="000000"/>
                <w:sz w:val="20"/>
                <w:szCs w:val="20"/>
                <w:lang w:eastAsia="en-US"/>
              </w:rPr>
              <w:t>122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0591964" w14:textId="77777777" w:rsidR="00091544" w:rsidRDefault="00091544" w:rsidP="00091544">
            <w:pPr>
              <w:rPr>
                <w:b/>
                <w:color w:val="000000"/>
                <w:sz w:val="20"/>
                <w:szCs w:val="20"/>
                <w:lang w:eastAsia="en-US"/>
              </w:rPr>
            </w:pPr>
            <w:r>
              <w:rPr>
                <w:b/>
                <w:color w:val="000000"/>
                <w:sz w:val="20"/>
                <w:szCs w:val="20"/>
                <w:lang w:eastAsia="en-US"/>
              </w:rPr>
              <w:t>Postorbital, shape in dorsal view:</w:t>
            </w:r>
          </w:p>
          <w:p w14:paraId="452FBE36" w14:textId="4ACBD11A"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118); </w:t>
            </w:r>
            <w:r>
              <w:rPr>
                <w:bCs/>
                <w:i/>
                <w:color w:val="000000"/>
                <w:sz w:val="20"/>
                <w:szCs w:val="20"/>
                <w:lang w:eastAsia="en-US"/>
              </w:rPr>
              <w:t xml:space="preserve">Young et al. (2011, ch. 118); Young et al. (2013a, ch. 53); </w:t>
            </w:r>
            <w:r>
              <w:rPr>
                <w:i/>
                <w:sz w:val="20"/>
                <w:szCs w:val="20"/>
                <w:lang w:eastAsia="en-US"/>
              </w:rPr>
              <w:t xml:space="preserve">Young et al. (2012, ch. 62); Young (2014, ch. 64); Young et al. (2016, ds 2, ch. 75); Ristevski et al. (2018, ds 2, ch. 102); Smith et al. (in review, ds 1, ch. 104); </w:t>
            </w:r>
            <w:r>
              <w:rPr>
                <w:i/>
                <w:sz w:val="20"/>
                <w:szCs w:val="20"/>
              </w:rPr>
              <w:t>Ősi et al. (in review, ds 1, ch. 117)</w:t>
            </w:r>
            <w:r>
              <w:rPr>
                <w:i/>
                <w:sz w:val="20"/>
                <w:szCs w:val="20"/>
                <w:lang w:eastAsia="en-US"/>
              </w:rPr>
              <w:t>.</w:t>
            </w:r>
          </w:p>
          <w:p w14:paraId="53A0EFE3" w14:textId="77777777" w:rsidR="00091544" w:rsidRDefault="00091544" w:rsidP="00091544">
            <w:pPr>
              <w:rPr>
                <w:color w:val="000000"/>
                <w:sz w:val="20"/>
                <w:szCs w:val="20"/>
                <w:lang w:eastAsia="en-US"/>
              </w:rPr>
            </w:pPr>
            <w:r>
              <w:rPr>
                <w:color w:val="000000"/>
                <w:sz w:val="20"/>
                <w:szCs w:val="20"/>
                <w:lang w:eastAsia="en-US"/>
              </w:rPr>
              <w:t>0. the outer margin is convex where the postorbital curves posteriorly forming the supratemporal arch</w:t>
            </w:r>
          </w:p>
          <w:p w14:paraId="601FC23C" w14:textId="77777777" w:rsidR="00091544" w:rsidRDefault="00091544" w:rsidP="00091544">
            <w:pPr>
              <w:rPr>
                <w:color w:val="000000"/>
                <w:sz w:val="20"/>
                <w:szCs w:val="20"/>
                <w:lang w:eastAsia="en-US"/>
              </w:rPr>
            </w:pPr>
            <w:r>
              <w:rPr>
                <w:color w:val="000000"/>
                <w:sz w:val="20"/>
                <w:szCs w:val="20"/>
                <w:lang w:eastAsia="en-US"/>
              </w:rPr>
              <w:t>1. forms a 90 degree angle</w:t>
            </w:r>
          </w:p>
          <w:p w14:paraId="3D6B71C8" w14:textId="77777777" w:rsidR="00091544" w:rsidRDefault="00091544" w:rsidP="00091544">
            <w:pPr>
              <w:rPr>
                <w:color w:val="000000"/>
                <w:sz w:val="20"/>
                <w:szCs w:val="20"/>
                <w:lang w:eastAsia="en-US"/>
              </w:rPr>
            </w:pPr>
            <w:r>
              <w:rPr>
                <w:color w:val="000000"/>
                <w:sz w:val="20"/>
                <w:szCs w:val="20"/>
                <w:lang w:eastAsia="en-US"/>
              </w:rPr>
              <w:t>2. anterior extension from the corner</w:t>
            </w:r>
          </w:p>
        </w:tc>
      </w:tr>
      <w:tr w:rsidR="00091544" w14:paraId="0DC2BB48" w14:textId="77777777" w:rsidTr="00091544">
        <w:tc>
          <w:tcPr>
            <w:tcW w:w="516" w:type="dxa"/>
            <w:tcBorders>
              <w:top w:val="single" w:sz="4" w:space="0" w:color="auto"/>
              <w:left w:val="single" w:sz="4" w:space="0" w:color="auto"/>
              <w:bottom w:val="single" w:sz="4" w:space="0" w:color="auto"/>
              <w:right w:val="single" w:sz="4" w:space="0" w:color="auto"/>
            </w:tcBorders>
          </w:tcPr>
          <w:p w14:paraId="2DF96FF3" w14:textId="5AFE8494" w:rsidR="00091544" w:rsidRDefault="00091544" w:rsidP="00091544">
            <w:pPr>
              <w:rPr>
                <w:color w:val="000000"/>
                <w:sz w:val="20"/>
                <w:szCs w:val="20"/>
                <w:lang w:eastAsia="en-US"/>
              </w:rPr>
            </w:pPr>
            <w:r>
              <w:rPr>
                <w:color w:val="000000"/>
                <w:sz w:val="20"/>
                <w:szCs w:val="20"/>
                <w:lang w:eastAsia="en-US"/>
              </w:rPr>
              <w:t>123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54892C5" w14:textId="77777777" w:rsidR="00091544" w:rsidRDefault="00091544" w:rsidP="00091544">
            <w:pPr>
              <w:rPr>
                <w:b/>
                <w:color w:val="000000"/>
                <w:sz w:val="20"/>
                <w:szCs w:val="20"/>
                <w:lang w:eastAsia="en-US"/>
              </w:rPr>
            </w:pPr>
            <w:r>
              <w:rPr>
                <w:b/>
                <w:color w:val="000000"/>
                <w:sz w:val="20"/>
                <w:szCs w:val="20"/>
                <w:lang w:eastAsia="en-US"/>
              </w:rPr>
              <w:t>Postorbital, anterolateral extension:</w:t>
            </w:r>
          </w:p>
          <w:p w14:paraId="5C337312" w14:textId="0A5944DA" w:rsidR="00091544" w:rsidRDefault="00091544" w:rsidP="00091544">
            <w:pPr>
              <w:autoSpaceDE w:val="0"/>
              <w:autoSpaceDN w:val="0"/>
              <w:adjustRightInd w:val="0"/>
              <w:rPr>
                <w:i/>
                <w:sz w:val="20"/>
                <w:szCs w:val="20"/>
                <w:lang w:eastAsia="en-US"/>
              </w:rPr>
            </w:pPr>
            <w:r>
              <w:rPr>
                <w:i/>
                <w:sz w:val="20"/>
                <w:szCs w:val="20"/>
                <w:lang w:eastAsia="en-US"/>
              </w:rPr>
              <w:t>Young &amp; Andrade (2009, ch. 138);</w:t>
            </w:r>
            <w:r>
              <w:rPr>
                <w:bCs/>
                <w:i/>
                <w:color w:val="000000"/>
                <w:sz w:val="20"/>
                <w:szCs w:val="20"/>
                <w:lang w:eastAsia="en-US"/>
              </w:rPr>
              <w:t xml:space="preserve"> Young et al. (2011, ch. 138); Young et al. (2013a, ch. 54);</w:t>
            </w:r>
            <w:r>
              <w:rPr>
                <w:i/>
                <w:sz w:val="20"/>
                <w:szCs w:val="20"/>
                <w:lang w:eastAsia="en-US"/>
              </w:rPr>
              <w:t xml:space="preserve"> Young et al. (2012, ch. 63); Young (2014, ch. 65); Young et al. (2016, ds 2, ch. 76); Ristevski et al. (2018, ds 2, ch. 103); Smith et al. (in review, ds 1, ch. 105); </w:t>
            </w:r>
            <w:r>
              <w:rPr>
                <w:i/>
                <w:sz w:val="20"/>
                <w:szCs w:val="20"/>
              </w:rPr>
              <w:t>Ősi et al. (in review, ds 1, ch. 118)</w:t>
            </w:r>
            <w:r>
              <w:rPr>
                <w:i/>
                <w:sz w:val="20"/>
                <w:szCs w:val="20"/>
                <w:lang w:eastAsia="en-US"/>
              </w:rPr>
              <w:t>.</w:t>
            </w:r>
          </w:p>
          <w:p w14:paraId="3CD25BC5" w14:textId="77777777" w:rsidR="00091544" w:rsidRDefault="00091544" w:rsidP="00091544">
            <w:pPr>
              <w:rPr>
                <w:i/>
                <w:color w:val="000000"/>
                <w:sz w:val="20"/>
                <w:szCs w:val="20"/>
                <w:lang w:eastAsia="en-US"/>
              </w:rPr>
            </w:pPr>
            <w:r>
              <w:rPr>
                <w:i/>
                <w:color w:val="000000"/>
                <w:sz w:val="20"/>
                <w:szCs w:val="20"/>
                <w:lang w:eastAsia="en-US"/>
              </w:rPr>
              <w:t xml:space="preserve">State (1) of this character, and state (2) of the character “anterior extension from the postorbital corner” do not necessarily occur in the same taxon (e.g. </w:t>
            </w:r>
            <w:r>
              <w:rPr>
                <w:color w:val="000000"/>
                <w:sz w:val="20"/>
                <w:szCs w:val="20"/>
                <w:lang w:eastAsia="en-US"/>
              </w:rPr>
              <w:t>Oceanosuchus</w:t>
            </w:r>
            <w:r>
              <w:rPr>
                <w:i/>
                <w:color w:val="000000"/>
                <w:sz w:val="20"/>
                <w:szCs w:val="20"/>
                <w:lang w:eastAsia="en-US"/>
              </w:rPr>
              <w:t>).</w:t>
            </w:r>
          </w:p>
          <w:p w14:paraId="6D17736C" w14:textId="77777777" w:rsidR="00091544" w:rsidRDefault="00091544" w:rsidP="00091544">
            <w:pPr>
              <w:rPr>
                <w:color w:val="000000"/>
                <w:sz w:val="20"/>
                <w:szCs w:val="20"/>
                <w:lang w:eastAsia="en-US"/>
              </w:rPr>
            </w:pPr>
            <w:r>
              <w:rPr>
                <w:color w:val="000000"/>
                <w:sz w:val="20"/>
                <w:szCs w:val="20"/>
                <w:lang w:eastAsia="en-US"/>
              </w:rPr>
              <w:t>0. small or absent</w:t>
            </w:r>
          </w:p>
          <w:p w14:paraId="37B3F4CA" w14:textId="77777777" w:rsidR="00091544" w:rsidRDefault="00091544" w:rsidP="00091544">
            <w:pPr>
              <w:rPr>
                <w:color w:val="000000"/>
                <w:sz w:val="20"/>
                <w:szCs w:val="20"/>
                <w:lang w:eastAsia="en-US"/>
              </w:rPr>
            </w:pPr>
            <w:r>
              <w:rPr>
                <w:color w:val="000000"/>
                <w:sz w:val="20"/>
                <w:szCs w:val="20"/>
                <w:lang w:eastAsia="en-US"/>
              </w:rPr>
              <w:t>1. very large, appearing in lateral view to contact the dorsal surface of the jugal</w:t>
            </w:r>
          </w:p>
        </w:tc>
      </w:tr>
      <w:tr w:rsidR="00091544" w14:paraId="15783E88" w14:textId="77777777" w:rsidTr="00091544">
        <w:tc>
          <w:tcPr>
            <w:tcW w:w="516" w:type="dxa"/>
            <w:tcBorders>
              <w:top w:val="single" w:sz="4" w:space="0" w:color="auto"/>
              <w:left w:val="single" w:sz="4" w:space="0" w:color="auto"/>
              <w:bottom w:val="single" w:sz="4" w:space="0" w:color="auto"/>
              <w:right w:val="single" w:sz="4" w:space="0" w:color="auto"/>
            </w:tcBorders>
          </w:tcPr>
          <w:p w14:paraId="02978117" w14:textId="7131027F" w:rsidR="00091544" w:rsidRDefault="00091544" w:rsidP="00091544">
            <w:pPr>
              <w:rPr>
                <w:color w:val="000000"/>
                <w:sz w:val="20"/>
                <w:szCs w:val="20"/>
                <w:lang w:eastAsia="en-US"/>
              </w:rPr>
            </w:pPr>
            <w:r>
              <w:rPr>
                <w:color w:val="000000"/>
                <w:sz w:val="20"/>
                <w:szCs w:val="20"/>
                <w:lang w:eastAsia="en-US"/>
              </w:rPr>
              <w:t>124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9401139" w14:textId="77777777" w:rsidR="00091544" w:rsidRDefault="00091544" w:rsidP="00091544">
            <w:pPr>
              <w:rPr>
                <w:b/>
                <w:color w:val="000000"/>
                <w:sz w:val="20"/>
                <w:szCs w:val="20"/>
                <w:lang w:eastAsia="en-US"/>
              </w:rPr>
            </w:pPr>
            <w:r>
              <w:rPr>
                <w:b/>
                <w:color w:val="000000"/>
                <w:sz w:val="20"/>
                <w:szCs w:val="20"/>
                <w:lang w:eastAsia="en-US"/>
              </w:rPr>
              <w:t>Postorbital and squamosal, relative lengths in dorsal view:</w:t>
            </w:r>
          </w:p>
          <w:p w14:paraId="79E15E38" w14:textId="75B502B3" w:rsidR="00091544" w:rsidRDefault="00091544" w:rsidP="00091544">
            <w:pPr>
              <w:autoSpaceDE w:val="0"/>
              <w:autoSpaceDN w:val="0"/>
              <w:adjustRightInd w:val="0"/>
              <w:rPr>
                <w:i/>
                <w:sz w:val="20"/>
                <w:szCs w:val="20"/>
                <w:lang w:eastAsia="en-US"/>
              </w:rPr>
            </w:pPr>
            <w:r>
              <w:rPr>
                <w:i/>
                <w:sz w:val="20"/>
                <w:szCs w:val="20"/>
                <w:lang w:eastAsia="en-US"/>
              </w:rPr>
              <w:t xml:space="preserve">Young (2006, ch. 15); Wilkinson et al. (2008, ch. 37); Young &amp; Andrade (2009, ch. 37); </w:t>
            </w:r>
            <w:r>
              <w:rPr>
                <w:bCs/>
                <w:i/>
                <w:color w:val="000000"/>
                <w:sz w:val="20"/>
                <w:szCs w:val="20"/>
                <w:lang w:eastAsia="en-US"/>
              </w:rPr>
              <w:t xml:space="preserve">Young et al. (2011, ch. 37); Young et al. (2013a, ch. 55); </w:t>
            </w:r>
            <w:r>
              <w:rPr>
                <w:i/>
                <w:sz w:val="20"/>
                <w:szCs w:val="20"/>
                <w:lang w:eastAsia="en-US"/>
              </w:rPr>
              <w:t xml:space="preserve">Young et al. (2012, ch. 64); Young (2014, ch. 66); Young et al. (2016, ds 2, ch. 77); Ristevski et al. (2018, ds 2, ch. 104); Smith et al. (in review, ds 1, ch. 106); </w:t>
            </w:r>
            <w:r>
              <w:rPr>
                <w:i/>
                <w:sz w:val="20"/>
                <w:szCs w:val="20"/>
              </w:rPr>
              <w:t>Ősi et al. (in review, ds 1, ch. 119)</w:t>
            </w:r>
            <w:r>
              <w:rPr>
                <w:i/>
                <w:sz w:val="20"/>
                <w:szCs w:val="20"/>
                <w:lang w:eastAsia="en-US"/>
              </w:rPr>
              <w:t>.</w:t>
            </w:r>
          </w:p>
          <w:p w14:paraId="55E8891D" w14:textId="77777777" w:rsidR="00091544" w:rsidRDefault="00091544" w:rsidP="00091544">
            <w:pPr>
              <w:autoSpaceDE w:val="0"/>
              <w:autoSpaceDN w:val="0"/>
              <w:adjustRightInd w:val="0"/>
              <w:rPr>
                <w:i/>
                <w:sz w:val="20"/>
                <w:szCs w:val="20"/>
                <w:lang w:eastAsia="en-US"/>
              </w:rPr>
            </w:pPr>
            <w:r>
              <w:rPr>
                <w:i/>
                <w:sz w:val="20"/>
                <w:szCs w:val="20"/>
                <w:lang w:eastAsia="en-US"/>
              </w:rPr>
              <w:t>State (1) is a putative apomorphy of Thalattosuchia.</w:t>
            </w:r>
          </w:p>
          <w:p w14:paraId="54E0F520" w14:textId="77777777" w:rsidR="00091544" w:rsidRDefault="00091544" w:rsidP="00091544">
            <w:pPr>
              <w:rPr>
                <w:color w:val="000000"/>
                <w:sz w:val="20"/>
                <w:szCs w:val="20"/>
                <w:lang w:eastAsia="en-US"/>
              </w:rPr>
            </w:pPr>
            <w:r>
              <w:rPr>
                <w:color w:val="000000"/>
                <w:sz w:val="20"/>
                <w:szCs w:val="20"/>
                <w:lang w:eastAsia="en-US"/>
              </w:rPr>
              <w:t>0. squamosal is longer</w:t>
            </w:r>
          </w:p>
          <w:p w14:paraId="5528B36D" w14:textId="77777777" w:rsidR="00091544" w:rsidRDefault="00091544" w:rsidP="00091544">
            <w:pPr>
              <w:rPr>
                <w:color w:val="000000"/>
                <w:sz w:val="20"/>
                <w:szCs w:val="20"/>
                <w:lang w:eastAsia="en-US"/>
              </w:rPr>
            </w:pPr>
            <w:r>
              <w:rPr>
                <w:color w:val="000000"/>
                <w:sz w:val="20"/>
                <w:szCs w:val="20"/>
                <w:lang w:eastAsia="en-US"/>
              </w:rPr>
              <w:t>1. postorbital is longer</w:t>
            </w:r>
          </w:p>
        </w:tc>
      </w:tr>
      <w:tr w:rsidR="00091544" w14:paraId="476578EC" w14:textId="77777777" w:rsidTr="00091544">
        <w:tc>
          <w:tcPr>
            <w:tcW w:w="516" w:type="dxa"/>
            <w:tcBorders>
              <w:top w:val="single" w:sz="4" w:space="0" w:color="auto"/>
              <w:left w:val="single" w:sz="4" w:space="0" w:color="auto"/>
              <w:bottom w:val="single" w:sz="4" w:space="0" w:color="auto"/>
              <w:right w:val="single" w:sz="4" w:space="0" w:color="auto"/>
            </w:tcBorders>
          </w:tcPr>
          <w:p w14:paraId="4103AA64" w14:textId="0039AF16" w:rsidR="00091544" w:rsidRDefault="00091544" w:rsidP="00091544">
            <w:pPr>
              <w:rPr>
                <w:color w:val="000000"/>
                <w:sz w:val="20"/>
                <w:szCs w:val="20"/>
                <w:lang w:eastAsia="en-US"/>
              </w:rPr>
            </w:pPr>
            <w:r>
              <w:rPr>
                <w:color w:val="000000"/>
                <w:sz w:val="20"/>
                <w:szCs w:val="20"/>
                <w:lang w:eastAsia="en-US"/>
              </w:rPr>
              <w:t>125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4ACA701" w14:textId="77777777" w:rsidR="00091544" w:rsidRDefault="00091544" w:rsidP="00091544">
            <w:pPr>
              <w:autoSpaceDE w:val="0"/>
              <w:autoSpaceDN w:val="0"/>
              <w:adjustRightInd w:val="0"/>
              <w:rPr>
                <w:b/>
                <w:bCs/>
                <w:color w:val="000000"/>
                <w:sz w:val="20"/>
                <w:szCs w:val="20"/>
                <w:lang w:eastAsia="en-US"/>
              </w:rPr>
            </w:pPr>
            <w:r>
              <w:rPr>
                <w:b/>
                <w:bCs/>
                <w:color w:val="000000"/>
                <w:sz w:val="20"/>
                <w:szCs w:val="20"/>
                <w:lang w:eastAsia="en-US"/>
              </w:rPr>
              <w:t>Supratemporal arch (= upper temporal bar), relative participation of the postorbital:</w:t>
            </w:r>
          </w:p>
          <w:p w14:paraId="2E8FA1B0" w14:textId="53A5B994" w:rsidR="00091544" w:rsidRDefault="00091544" w:rsidP="00091544">
            <w:pPr>
              <w:autoSpaceDE w:val="0"/>
              <w:autoSpaceDN w:val="0"/>
              <w:adjustRightInd w:val="0"/>
              <w:rPr>
                <w:bCs/>
                <w:i/>
                <w:color w:val="000000"/>
                <w:sz w:val="20"/>
                <w:lang w:eastAsia="en-US"/>
              </w:rPr>
            </w:pPr>
            <w:r>
              <w:rPr>
                <w:bCs/>
                <w:i/>
                <w:color w:val="000000"/>
                <w:sz w:val="20"/>
                <w:szCs w:val="20"/>
                <w:lang w:eastAsia="en-US"/>
              </w:rPr>
              <w:t xml:space="preserve">Ortega </w:t>
            </w:r>
            <w:r>
              <w:rPr>
                <w:bCs/>
                <w:i/>
                <w:iCs/>
                <w:color w:val="000000"/>
                <w:sz w:val="20"/>
                <w:szCs w:val="20"/>
                <w:lang w:eastAsia="en-US"/>
              </w:rPr>
              <w:t>et al. (</w:t>
            </w:r>
            <w:r>
              <w:rPr>
                <w:bCs/>
                <w:i/>
                <w:color w:val="000000"/>
                <w:sz w:val="20"/>
                <w:szCs w:val="20"/>
                <w:lang w:eastAsia="en-US"/>
              </w:rPr>
              <w:t>2000, ch. 33 modified);</w:t>
            </w:r>
            <w:r>
              <w:rPr>
                <w:b/>
                <w:bCs/>
                <w:color w:val="000000"/>
                <w:sz w:val="20"/>
                <w:szCs w:val="20"/>
                <w:lang w:eastAsia="en-US"/>
              </w:rPr>
              <w:t xml:space="preserve"> </w:t>
            </w:r>
            <w:r>
              <w:rPr>
                <w:bCs/>
                <w:i/>
                <w:color w:val="000000"/>
                <w:sz w:val="20"/>
                <w:lang w:eastAsia="en-US"/>
              </w:rPr>
              <w:t xml:space="preserve">Andrade et al. (2011, ch. 151); </w:t>
            </w:r>
            <w:r>
              <w:rPr>
                <w:i/>
                <w:sz w:val="20"/>
                <w:szCs w:val="20"/>
                <w:lang w:eastAsia="en-US"/>
              </w:rPr>
              <w:t xml:space="preserve">Ristevski et al. (2018, ds 2, ch. 105); Smith et al. (in review, ds 1, ch. 107); </w:t>
            </w:r>
            <w:r>
              <w:rPr>
                <w:i/>
                <w:sz w:val="20"/>
                <w:szCs w:val="20"/>
              </w:rPr>
              <w:t>Ősi et al. (in review, ds 1, ch. 120)</w:t>
            </w:r>
            <w:r>
              <w:rPr>
                <w:bCs/>
                <w:i/>
                <w:color w:val="000000"/>
                <w:sz w:val="20"/>
                <w:lang w:eastAsia="en-US"/>
              </w:rPr>
              <w:t>.</w:t>
            </w:r>
          </w:p>
          <w:p w14:paraId="573AABFC" w14:textId="77777777"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127); </w:t>
            </w:r>
            <w:r>
              <w:rPr>
                <w:bCs/>
                <w:i/>
                <w:color w:val="000000"/>
                <w:sz w:val="20"/>
                <w:szCs w:val="20"/>
                <w:lang w:eastAsia="en-US"/>
              </w:rPr>
              <w:t xml:space="preserve">Young et al. (2011, ch. 127); Young et al. (2013a, ch. 57); </w:t>
            </w:r>
            <w:r>
              <w:rPr>
                <w:i/>
                <w:sz w:val="20"/>
                <w:szCs w:val="20"/>
                <w:lang w:eastAsia="en-US"/>
              </w:rPr>
              <w:t>Young et al. (2012, ch. 66); Young (2014, ch. 68) and Young et al. (2016, ch. 79) score for the same morphology, however they used the squamosal contribution to the supratemporal arch.</w:t>
            </w:r>
          </w:p>
          <w:p w14:paraId="00E4D498" w14:textId="77777777"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65BC69DD" w14:textId="77777777"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 xml:space="preserve">Note that a </w:t>
            </w:r>
            <w:r>
              <w:rPr>
                <w:i/>
                <w:sz w:val="20"/>
                <w:szCs w:val="20"/>
                <w:lang w:eastAsia="en-US"/>
              </w:rPr>
              <w:t>similar morphology also evolves in some derived dyrosaurids (elongatation of the postorbital posterior processes). In these taxa however, the character relating to the relative participation of the postorbital is not affected (i.e. the squamosal in dorsal view is still longer anteroposteriorly than the postorbital). The postorbital being longer overall, and makes a greater proportional contribution to the supratemporal arch than the squamosal, only co-occurs in Thalattosuchia.</w:t>
            </w:r>
          </w:p>
          <w:p w14:paraId="0836284B" w14:textId="77777777" w:rsidR="00091544" w:rsidRDefault="00091544" w:rsidP="00091544">
            <w:pPr>
              <w:autoSpaceDE w:val="0"/>
              <w:autoSpaceDN w:val="0"/>
              <w:adjustRightInd w:val="0"/>
              <w:rPr>
                <w:color w:val="000000"/>
                <w:sz w:val="20"/>
                <w:szCs w:val="20"/>
                <w:lang w:eastAsia="en-US"/>
              </w:rPr>
            </w:pPr>
            <w:r>
              <w:rPr>
                <w:color w:val="000000"/>
                <w:sz w:val="20"/>
                <w:szCs w:val="20"/>
                <w:lang w:eastAsia="en-US"/>
              </w:rPr>
              <w:t>0. small, postorbital represents approximately 30% of the bar</w:t>
            </w:r>
          </w:p>
          <w:p w14:paraId="20B47E7E" w14:textId="77777777" w:rsidR="00091544" w:rsidRDefault="00091544" w:rsidP="00091544">
            <w:pPr>
              <w:rPr>
                <w:color w:val="000000"/>
                <w:sz w:val="20"/>
                <w:szCs w:val="20"/>
                <w:lang w:eastAsia="en-US"/>
              </w:rPr>
            </w:pPr>
            <w:r>
              <w:rPr>
                <w:color w:val="000000"/>
                <w:sz w:val="20"/>
                <w:szCs w:val="20"/>
                <w:lang w:eastAsia="en-US"/>
              </w:rPr>
              <w:t>1. extensive, postorbital represents approximately 50% (or more) of the bar</w:t>
            </w:r>
          </w:p>
        </w:tc>
      </w:tr>
      <w:tr w:rsidR="00091544" w14:paraId="78AEA6F1" w14:textId="77777777" w:rsidTr="00091544">
        <w:tc>
          <w:tcPr>
            <w:tcW w:w="516" w:type="dxa"/>
            <w:tcBorders>
              <w:top w:val="single" w:sz="4" w:space="0" w:color="auto"/>
              <w:left w:val="single" w:sz="4" w:space="0" w:color="auto"/>
              <w:bottom w:val="single" w:sz="4" w:space="0" w:color="auto"/>
              <w:right w:val="single" w:sz="4" w:space="0" w:color="auto"/>
            </w:tcBorders>
          </w:tcPr>
          <w:p w14:paraId="1ADCC4B6" w14:textId="3FFE96AA" w:rsidR="00091544" w:rsidRDefault="00091544" w:rsidP="00091544">
            <w:pPr>
              <w:rPr>
                <w:color w:val="000000"/>
                <w:sz w:val="20"/>
                <w:szCs w:val="20"/>
                <w:lang w:eastAsia="en-US"/>
              </w:rPr>
            </w:pPr>
            <w:r>
              <w:rPr>
                <w:color w:val="000000"/>
                <w:sz w:val="20"/>
                <w:szCs w:val="20"/>
                <w:lang w:eastAsia="en-US"/>
              </w:rPr>
              <w:t>126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2733ED4" w14:textId="77777777" w:rsidR="00091544" w:rsidRDefault="00091544" w:rsidP="00091544">
            <w:pPr>
              <w:rPr>
                <w:b/>
                <w:sz w:val="20"/>
                <w:szCs w:val="20"/>
                <w:lang w:eastAsia="en-US"/>
              </w:rPr>
            </w:pPr>
            <w:r>
              <w:rPr>
                <w:b/>
                <w:sz w:val="20"/>
                <w:szCs w:val="20"/>
                <w:lang w:eastAsia="en-US"/>
              </w:rPr>
              <w:t>Posterior margin of the squamosal lateral to post-temporal fenestrae:</w:t>
            </w:r>
          </w:p>
          <w:p w14:paraId="3A3E1425" w14:textId="21887BBE" w:rsidR="00091544" w:rsidRDefault="00091544" w:rsidP="00091544">
            <w:pPr>
              <w:rPr>
                <w:i/>
                <w:sz w:val="20"/>
                <w:szCs w:val="20"/>
                <w:lang w:eastAsia="en-US"/>
              </w:rPr>
            </w:pPr>
            <w:r>
              <w:rPr>
                <w:i/>
                <w:sz w:val="20"/>
                <w:szCs w:val="20"/>
                <w:lang w:eastAsia="en-US"/>
              </w:rPr>
              <w:t xml:space="preserve">Jouve et al. (2005b, ch. </w:t>
            </w:r>
            <w:r>
              <w:rPr>
                <w:bCs/>
                <w:i/>
                <w:sz w:val="20"/>
                <w:szCs w:val="20"/>
                <w:lang w:eastAsia="en-US"/>
              </w:rPr>
              <w:t>29), J</w:t>
            </w:r>
            <w:r>
              <w:rPr>
                <w:i/>
                <w:sz w:val="20"/>
                <w:szCs w:val="20"/>
                <w:lang w:eastAsia="en-US"/>
              </w:rPr>
              <w:t xml:space="preserve">ouve et al. (2008, ch. </w:t>
            </w:r>
            <w:r>
              <w:rPr>
                <w:bCs/>
                <w:i/>
                <w:sz w:val="20"/>
                <w:szCs w:val="20"/>
                <w:lang w:eastAsia="en-US"/>
              </w:rPr>
              <w:t xml:space="preserve">29), Hastings et al. (2010, ch. 48); </w:t>
            </w:r>
            <w:r>
              <w:rPr>
                <w:i/>
                <w:sz w:val="20"/>
                <w:szCs w:val="20"/>
                <w:lang w:eastAsia="en-US"/>
              </w:rPr>
              <w:t xml:space="preserve">Ristevski et al. (2018, ds 2, ch. 106); Smith et al. (in review, ds 1, ch. 108); </w:t>
            </w:r>
            <w:r>
              <w:rPr>
                <w:i/>
                <w:sz w:val="20"/>
                <w:szCs w:val="20"/>
              </w:rPr>
              <w:t>Ősi et al. (in review, ds 1, ch. 121)</w:t>
            </w:r>
            <w:r>
              <w:rPr>
                <w:i/>
                <w:sz w:val="20"/>
                <w:szCs w:val="20"/>
                <w:lang w:eastAsia="en-US"/>
              </w:rPr>
              <w:t>.</w:t>
            </w:r>
          </w:p>
          <w:p w14:paraId="7A97B411" w14:textId="77777777" w:rsidR="00091544" w:rsidRDefault="00091544" w:rsidP="00091544">
            <w:pPr>
              <w:rPr>
                <w:i/>
                <w:sz w:val="20"/>
                <w:szCs w:val="20"/>
                <w:lang w:eastAsia="en-US"/>
              </w:rPr>
            </w:pPr>
            <w:r>
              <w:rPr>
                <w:i/>
                <w:sz w:val="20"/>
                <w:szCs w:val="20"/>
                <w:lang w:eastAsia="en-US"/>
              </w:rPr>
              <w:t>State (1) occurs in derived dyrosaurids.</w:t>
            </w:r>
          </w:p>
          <w:p w14:paraId="28E3EE35" w14:textId="77777777" w:rsidR="00091544" w:rsidRDefault="00091544" w:rsidP="00091544">
            <w:pPr>
              <w:rPr>
                <w:sz w:val="20"/>
                <w:szCs w:val="20"/>
                <w:lang w:eastAsia="en-US"/>
              </w:rPr>
            </w:pPr>
            <w:r>
              <w:rPr>
                <w:sz w:val="20"/>
                <w:szCs w:val="20"/>
                <w:lang w:eastAsia="en-US"/>
              </w:rPr>
              <w:t>0. straight</w:t>
            </w:r>
          </w:p>
          <w:p w14:paraId="4B362ECF" w14:textId="77777777" w:rsidR="00091544" w:rsidRDefault="00091544" w:rsidP="00091544">
            <w:pPr>
              <w:rPr>
                <w:b/>
                <w:color w:val="000000"/>
                <w:sz w:val="20"/>
                <w:szCs w:val="20"/>
                <w:lang w:eastAsia="en-US"/>
              </w:rPr>
            </w:pPr>
            <w:r>
              <w:rPr>
                <w:sz w:val="20"/>
                <w:szCs w:val="20"/>
                <w:lang w:eastAsia="en-US"/>
              </w:rPr>
              <w:t xml:space="preserve">1. anteriorly concave </w:t>
            </w:r>
          </w:p>
        </w:tc>
      </w:tr>
      <w:tr w:rsidR="00091544" w14:paraId="232CD261" w14:textId="77777777" w:rsidTr="00091544">
        <w:tc>
          <w:tcPr>
            <w:tcW w:w="516" w:type="dxa"/>
            <w:tcBorders>
              <w:top w:val="single" w:sz="4" w:space="0" w:color="auto"/>
              <w:left w:val="single" w:sz="4" w:space="0" w:color="auto"/>
              <w:bottom w:val="single" w:sz="4" w:space="0" w:color="auto"/>
              <w:right w:val="single" w:sz="4" w:space="0" w:color="auto"/>
            </w:tcBorders>
          </w:tcPr>
          <w:p w14:paraId="5F477365" w14:textId="24E6D007" w:rsidR="00091544" w:rsidRDefault="00091544" w:rsidP="00091544">
            <w:pPr>
              <w:rPr>
                <w:color w:val="000000"/>
                <w:sz w:val="20"/>
                <w:szCs w:val="20"/>
                <w:lang w:eastAsia="en-US"/>
              </w:rPr>
            </w:pPr>
            <w:r>
              <w:rPr>
                <w:color w:val="000000"/>
                <w:sz w:val="20"/>
                <w:szCs w:val="20"/>
                <w:lang w:eastAsia="en-US"/>
              </w:rPr>
              <w:t>127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322CFAB" w14:textId="77777777" w:rsidR="00091544" w:rsidRDefault="00091544" w:rsidP="00091544">
            <w:pPr>
              <w:rPr>
                <w:b/>
                <w:color w:val="000000"/>
                <w:sz w:val="20"/>
                <w:szCs w:val="20"/>
                <w:lang w:eastAsia="en-US"/>
              </w:rPr>
            </w:pPr>
            <w:r>
              <w:rPr>
                <w:b/>
                <w:color w:val="000000"/>
                <w:sz w:val="20"/>
                <w:szCs w:val="20"/>
                <w:lang w:eastAsia="en-US"/>
              </w:rPr>
              <w:t>Squamosal, projects further posteriorly than the occipital condyle:</w:t>
            </w:r>
          </w:p>
          <w:p w14:paraId="7985B520" w14:textId="1D4F4012" w:rsidR="00091544" w:rsidRDefault="00091544" w:rsidP="00091544">
            <w:pPr>
              <w:autoSpaceDE w:val="0"/>
              <w:autoSpaceDN w:val="0"/>
              <w:adjustRightInd w:val="0"/>
              <w:rPr>
                <w:i/>
                <w:sz w:val="20"/>
                <w:szCs w:val="20"/>
                <w:lang w:eastAsia="en-US"/>
              </w:rPr>
            </w:pPr>
            <w:r>
              <w:rPr>
                <w:i/>
                <w:sz w:val="20"/>
                <w:szCs w:val="20"/>
                <w:lang w:eastAsia="en-US"/>
              </w:rPr>
              <w:lastRenderedPageBreak/>
              <w:t xml:space="preserve">Young &amp; Andrade (2009, ch. 125); </w:t>
            </w:r>
            <w:r>
              <w:rPr>
                <w:bCs/>
                <w:i/>
                <w:color w:val="000000"/>
                <w:sz w:val="20"/>
                <w:szCs w:val="20"/>
                <w:lang w:eastAsia="en-US"/>
              </w:rPr>
              <w:t xml:space="preserve">Young et al. (2011, ch. 125); Young et al. (2013a, ch. 56); </w:t>
            </w:r>
            <w:r>
              <w:rPr>
                <w:i/>
                <w:sz w:val="20"/>
                <w:szCs w:val="20"/>
                <w:lang w:eastAsia="en-US"/>
              </w:rPr>
              <w:t xml:space="preserve">Young et al. (2012, ch. 65); Young (2014, ch. 67); Young et al. (2016, ds 2, ch. 78); Ristevski et al. (2018, ds 2, ch. 107); Smith et al. (in review, ds 1, ch. 109); </w:t>
            </w:r>
            <w:r>
              <w:rPr>
                <w:i/>
                <w:sz w:val="20"/>
                <w:szCs w:val="20"/>
              </w:rPr>
              <w:t>Ősi et al. (in review, ds 1, ch. 122)</w:t>
            </w:r>
            <w:r>
              <w:rPr>
                <w:i/>
                <w:sz w:val="20"/>
                <w:szCs w:val="20"/>
                <w:lang w:eastAsia="en-US"/>
              </w:rPr>
              <w:t>.</w:t>
            </w:r>
          </w:p>
          <w:p w14:paraId="19827CF2" w14:textId="77777777" w:rsidR="00091544" w:rsidRDefault="00091544" w:rsidP="00091544">
            <w:pPr>
              <w:rPr>
                <w:color w:val="000000"/>
                <w:sz w:val="20"/>
                <w:szCs w:val="20"/>
                <w:lang w:eastAsia="en-US"/>
              </w:rPr>
            </w:pPr>
            <w:r>
              <w:rPr>
                <w:color w:val="000000"/>
                <w:sz w:val="20"/>
                <w:szCs w:val="20"/>
                <w:lang w:eastAsia="en-US"/>
              </w:rPr>
              <w:t>0. no</w:t>
            </w:r>
          </w:p>
          <w:p w14:paraId="3E000E2E" w14:textId="77777777" w:rsidR="00091544" w:rsidRDefault="00091544" w:rsidP="00091544">
            <w:pPr>
              <w:rPr>
                <w:color w:val="000000"/>
                <w:sz w:val="20"/>
                <w:szCs w:val="20"/>
                <w:lang w:eastAsia="en-US"/>
              </w:rPr>
            </w:pPr>
            <w:r>
              <w:rPr>
                <w:color w:val="000000"/>
                <w:sz w:val="20"/>
                <w:szCs w:val="20"/>
                <w:lang w:eastAsia="en-US"/>
              </w:rPr>
              <w:t>1. yes</w:t>
            </w:r>
          </w:p>
        </w:tc>
      </w:tr>
      <w:tr w:rsidR="00091544" w14:paraId="497B5D22" w14:textId="77777777" w:rsidTr="00091544">
        <w:tc>
          <w:tcPr>
            <w:tcW w:w="516" w:type="dxa"/>
            <w:tcBorders>
              <w:top w:val="single" w:sz="4" w:space="0" w:color="auto"/>
              <w:left w:val="single" w:sz="4" w:space="0" w:color="auto"/>
              <w:bottom w:val="single" w:sz="4" w:space="0" w:color="auto"/>
              <w:right w:val="single" w:sz="4" w:space="0" w:color="auto"/>
            </w:tcBorders>
          </w:tcPr>
          <w:p w14:paraId="098F9AA6" w14:textId="45C75D5B" w:rsidR="00091544" w:rsidRDefault="00091544" w:rsidP="00091544">
            <w:pPr>
              <w:rPr>
                <w:color w:val="000000"/>
                <w:sz w:val="20"/>
                <w:szCs w:val="20"/>
                <w:lang w:eastAsia="en-US"/>
              </w:rPr>
            </w:pPr>
            <w:r>
              <w:rPr>
                <w:color w:val="000000"/>
                <w:sz w:val="20"/>
                <w:szCs w:val="20"/>
                <w:lang w:eastAsia="en-US"/>
              </w:rPr>
              <w:lastRenderedPageBreak/>
              <w:t>128</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52C89C0" w14:textId="77777777" w:rsidR="00091544" w:rsidRDefault="00091544" w:rsidP="00091544">
            <w:pPr>
              <w:rPr>
                <w:b/>
                <w:sz w:val="20"/>
                <w:szCs w:val="20"/>
                <w:lang w:eastAsia="en-US"/>
              </w:rPr>
            </w:pPr>
            <w:r>
              <w:rPr>
                <w:b/>
                <w:sz w:val="20"/>
                <w:szCs w:val="20"/>
                <w:lang w:eastAsia="en-US"/>
              </w:rPr>
              <w:t xml:space="preserve">Squamosal dorsolateral edge, longitudinal groove: </w:t>
            </w:r>
          </w:p>
          <w:p w14:paraId="78AD7478" w14:textId="5900A995" w:rsidR="00091544" w:rsidRDefault="00091544" w:rsidP="00091544">
            <w:pPr>
              <w:rPr>
                <w:i/>
                <w:color w:val="000000"/>
                <w:sz w:val="20"/>
                <w:szCs w:val="20"/>
                <w:lang w:eastAsia="en-US"/>
              </w:rPr>
            </w:pPr>
            <w:r>
              <w:rPr>
                <w:i/>
                <w:sz w:val="20"/>
                <w:szCs w:val="20"/>
                <w:lang w:eastAsia="en-US"/>
              </w:rPr>
              <w:t xml:space="preserve">Young &amp; Andrade (2009, ch. 112 part); </w:t>
            </w:r>
            <w:r>
              <w:rPr>
                <w:i/>
                <w:color w:val="000000"/>
                <w:sz w:val="20"/>
                <w:szCs w:val="20"/>
                <w:lang w:eastAsia="en-US"/>
              </w:rPr>
              <w:t>Nesbitt (2011, ch. 53); Yo</w:t>
            </w:r>
            <w:r>
              <w:rPr>
                <w:i/>
                <w:sz w:val="20"/>
                <w:szCs w:val="20"/>
                <w:lang w:eastAsia="en-US"/>
              </w:rPr>
              <w:t xml:space="preserve">ung et al. (2011, ch. 112 part); Young et al. (2013a, ch. 58 part); </w:t>
            </w:r>
            <w:r>
              <w:rPr>
                <w:i/>
                <w:color w:val="000000"/>
                <w:sz w:val="20"/>
                <w:szCs w:val="20"/>
                <w:lang w:eastAsia="en-US"/>
              </w:rPr>
              <w:t xml:space="preserve">Young et al. (2012, ch. 67 part); Young (2014, ch. 69 part); Young et al. (2016, ds 2, ch. 80); </w:t>
            </w:r>
            <w:r>
              <w:rPr>
                <w:i/>
                <w:sz w:val="20"/>
                <w:szCs w:val="20"/>
                <w:lang w:eastAsia="en-US"/>
              </w:rPr>
              <w:t xml:space="preserve">Ristevski et al. (2018, ds 2, ch. 108); Smith et al. (in review, ds 1, ch. 110); </w:t>
            </w:r>
            <w:r>
              <w:rPr>
                <w:i/>
                <w:sz w:val="20"/>
                <w:szCs w:val="20"/>
              </w:rPr>
              <w:t>Ősi et al. (in review, ds 1, ch. 123)</w:t>
            </w:r>
            <w:r>
              <w:rPr>
                <w:i/>
                <w:color w:val="000000"/>
                <w:sz w:val="20"/>
                <w:szCs w:val="20"/>
                <w:lang w:eastAsia="en-US"/>
              </w:rPr>
              <w:t>.</w:t>
            </w:r>
          </w:p>
          <w:p w14:paraId="315A2B1D" w14:textId="015099C5" w:rsidR="00091544" w:rsidRDefault="00091544" w:rsidP="00091544">
            <w:pPr>
              <w:rPr>
                <w:i/>
                <w:color w:val="000000"/>
                <w:sz w:val="20"/>
                <w:szCs w:val="20"/>
                <w:lang w:eastAsia="en-US"/>
              </w:rPr>
            </w:pPr>
            <w:r>
              <w:rPr>
                <w:i/>
                <w:color w:val="000000"/>
                <w:sz w:val="20"/>
                <w:szCs w:val="20"/>
                <w:lang w:eastAsia="en-US"/>
              </w:rPr>
              <w:t xml:space="preserve">State (1) is a putative apomorphy of Crocodyliformes (reversals in Thalattosuchia and </w:t>
            </w:r>
            <w:r>
              <w:rPr>
                <w:color w:val="000000"/>
                <w:sz w:val="20"/>
                <w:szCs w:val="20"/>
                <w:lang w:eastAsia="en-US"/>
              </w:rPr>
              <w:t>Iharkutosuchus makadii</w:t>
            </w:r>
            <w:r>
              <w:rPr>
                <w:i/>
                <w:color w:val="000000"/>
                <w:sz w:val="20"/>
                <w:szCs w:val="20"/>
                <w:lang w:eastAsia="en-US"/>
              </w:rPr>
              <w:t>), but also occurs in some ‘sphenosuchians’.</w:t>
            </w:r>
          </w:p>
          <w:p w14:paraId="6B34B367" w14:textId="77777777" w:rsidR="00091544" w:rsidRDefault="00091544" w:rsidP="00091544">
            <w:pPr>
              <w:autoSpaceDE w:val="0"/>
              <w:autoSpaceDN w:val="0"/>
              <w:adjustRightInd w:val="0"/>
              <w:rPr>
                <w:rFonts w:ascii="AdvP497E2" w:hAnsi="AdvP497E2" w:cs="AdvP497E2"/>
                <w:sz w:val="19"/>
                <w:szCs w:val="19"/>
                <w:lang w:eastAsia="en-US"/>
              </w:rPr>
            </w:pPr>
            <w:r>
              <w:rPr>
                <w:rFonts w:ascii="AdvP497E2" w:hAnsi="AdvP497E2" w:cs="AdvP497E2"/>
                <w:sz w:val="19"/>
                <w:szCs w:val="19"/>
                <w:lang w:eastAsia="en-US"/>
              </w:rPr>
              <w:t xml:space="preserve">0. absent </w:t>
            </w:r>
          </w:p>
          <w:p w14:paraId="5FD35547" w14:textId="77777777" w:rsidR="00091544" w:rsidRDefault="00091544" w:rsidP="00091544">
            <w:pPr>
              <w:autoSpaceDE w:val="0"/>
              <w:autoSpaceDN w:val="0"/>
              <w:adjustRightInd w:val="0"/>
              <w:rPr>
                <w:rFonts w:ascii="AdvP497E2" w:hAnsi="AdvP497E2" w:cs="AdvP497E2"/>
                <w:sz w:val="19"/>
                <w:szCs w:val="19"/>
                <w:lang w:eastAsia="en-US"/>
              </w:rPr>
            </w:pPr>
            <w:r>
              <w:rPr>
                <w:rFonts w:ascii="AdvP497E2" w:hAnsi="AdvP497E2" w:cs="AdvP497E2"/>
                <w:sz w:val="19"/>
                <w:szCs w:val="19"/>
                <w:lang w:eastAsia="en-US"/>
              </w:rPr>
              <w:t>1. present</w:t>
            </w:r>
          </w:p>
        </w:tc>
      </w:tr>
      <w:tr w:rsidR="00091544" w14:paraId="474FD620" w14:textId="77777777" w:rsidTr="00091544">
        <w:tc>
          <w:tcPr>
            <w:tcW w:w="516" w:type="dxa"/>
            <w:tcBorders>
              <w:top w:val="single" w:sz="4" w:space="0" w:color="auto"/>
              <w:left w:val="single" w:sz="4" w:space="0" w:color="auto"/>
              <w:bottom w:val="single" w:sz="4" w:space="0" w:color="auto"/>
              <w:right w:val="single" w:sz="4" w:space="0" w:color="auto"/>
            </w:tcBorders>
          </w:tcPr>
          <w:p w14:paraId="1CB0C11D" w14:textId="0C554A79" w:rsidR="00091544" w:rsidRDefault="00091544" w:rsidP="00091544">
            <w:pPr>
              <w:rPr>
                <w:color w:val="000000"/>
                <w:sz w:val="20"/>
                <w:szCs w:val="20"/>
                <w:lang w:eastAsia="en-US"/>
              </w:rPr>
            </w:pPr>
            <w:r>
              <w:rPr>
                <w:color w:val="000000"/>
                <w:sz w:val="20"/>
                <w:szCs w:val="20"/>
                <w:lang w:eastAsia="en-US"/>
              </w:rPr>
              <w:t>129</w:t>
            </w:r>
          </w:p>
        </w:tc>
        <w:tc>
          <w:tcPr>
            <w:tcW w:w="8500" w:type="dxa"/>
            <w:tcBorders>
              <w:top w:val="single" w:sz="4" w:space="0" w:color="auto"/>
              <w:left w:val="single" w:sz="4" w:space="0" w:color="auto"/>
              <w:bottom w:val="single" w:sz="4" w:space="0" w:color="auto"/>
              <w:right w:val="single" w:sz="4" w:space="0" w:color="auto"/>
            </w:tcBorders>
            <w:vAlign w:val="bottom"/>
            <w:hideMark/>
          </w:tcPr>
          <w:p w14:paraId="43ED2E42" w14:textId="77777777" w:rsidR="00091544" w:rsidRDefault="00091544" w:rsidP="00091544">
            <w:pPr>
              <w:rPr>
                <w:b/>
                <w:color w:val="000000"/>
                <w:sz w:val="20"/>
                <w:szCs w:val="20"/>
                <w:lang w:eastAsia="en-US"/>
              </w:rPr>
            </w:pPr>
            <w:r>
              <w:rPr>
                <w:b/>
                <w:color w:val="000000"/>
                <w:sz w:val="20"/>
                <w:szCs w:val="20"/>
                <w:lang w:eastAsia="en-US"/>
              </w:rPr>
              <w:t>Squamosal dorsolateral edge, longitudinal groove margins: (*)</w:t>
            </w:r>
          </w:p>
          <w:p w14:paraId="7D1460B5" w14:textId="27EE2F1F" w:rsidR="00091544" w:rsidRDefault="00091544" w:rsidP="00091544">
            <w:pPr>
              <w:autoSpaceDE w:val="0"/>
              <w:autoSpaceDN w:val="0"/>
              <w:adjustRightInd w:val="0"/>
              <w:rPr>
                <w:i/>
                <w:sz w:val="20"/>
                <w:szCs w:val="20"/>
                <w:lang w:eastAsia="en-US"/>
              </w:rPr>
            </w:pPr>
            <w:r>
              <w:rPr>
                <w:i/>
                <w:sz w:val="20"/>
                <w:szCs w:val="20"/>
                <w:lang w:eastAsia="en-US"/>
              </w:rPr>
              <w:t xml:space="preserve">Young &amp; Andrade (2009, ch. 112 part); Young et al. (2011, ch. 112 part); Young et al. (2013a, ch. 58 part); </w:t>
            </w:r>
            <w:r>
              <w:rPr>
                <w:i/>
                <w:color w:val="000000"/>
                <w:sz w:val="20"/>
                <w:szCs w:val="20"/>
                <w:lang w:eastAsia="en-US"/>
              </w:rPr>
              <w:t xml:space="preserve">Young et al. (2012, ch. 67 part); Young (2014, ch. 69 part); </w:t>
            </w:r>
            <w:r>
              <w:rPr>
                <w:i/>
                <w:sz w:val="20"/>
                <w:szCs w:val="20"/>
                <w:lang w:eastAsia="en-US"/>
              </w:rPr>
              <w:t xml:space="preserve">Young et al. (2016, ds 2, ch. 81); Ristevski et al. (2018, ds 2, ch. 109); Smith et al. (in review, ds 1, ch. 111); </w:t>
            </w:r>
            <w:r>
              <w:rPr>
                <w:i/>
                <w:sz w:val="20"/>
                <w:szCs w:val="20"/>
              </w:rPr>
              <w:t>Ősi et al. (in review, ds 1, ch. 124)</w:t>
            </w:r>
            <w:r>
              <w:rPr>
                <w:i/>
                <w:sz w:val="20"/>
                <w:szCs w:val="20"/>
                <w:lang w:eastAsia="en-US"/>
              </w:rPr>
              <w:t>.</w:t>
            </w:r>
          </w:p>
          <w:p w14:paraId="11CEEB94"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the squamosal longitudinal groove.</w:t>
            </w:r>
          </w:p>
          <w:p w14:paraId="4A304EED" w14:textId="77777777" w:rsidR="00091544" w:rsidRDefault="00091544" w:rsidP="00091544">
            <w:pPr>
              <w:rPr>
                <w:color w:val="000000"/>
                <w:sz w:val="20"/>
                <w:szCs w:val="20"/>
                <w:lang w:eastAsia="en-US"/>
              </w:rPr>
            </w:pPr>
            <w:r>
              <w:rPr>
                <w:color w:val="000000"/>
                <w:sz w:val="20"/>
                <w:szCs w:val="20"/>
                <w:lang w:eastAsia="en-US"/>
              </w:rPr>
              <w:t>0. ventral margin of the groove projects more laterally than the dorsal margin</w:t>
            </w:r>
          </w:p>
          <w:p w14:paraId="3A50C2D9" w14:textId="77777777" w:rsidR="00091544" w:rsidRDefault="00091544" w:rsidP="00091544">
            <w:pPr>
              <w:rPr>
                <w:color w:val="000000"/>
                <w:sz w:val="20"/>
                <w:szCs w:val="20"/>
                <w:lang w:eastAsia="en-US"/>
              </w:rPr>
            </w:pPr>
            <w:r>
              <w:rPr>
                <w:color w:val="000000"/>
                <w:sz w:val="20"/>
                <w:szCs w:val="20"/>
                <w:lang w:eastAsia="en-US"/>
              </w:rPr>
              <w:t>1. ventral margin is directly underneath the dorsal margin</w:t>
            </w:r>
          </w:p>
        </w:tc>
      </w:tr>
      <w:tr w:rsidR="00091544" w14:paraId="4B456BCA" w14:textId="77777777" w:rsidTr="00091544">
        <w:tc>
          <w:tcPr>
            <w:tcW w:w="516" w:type="dxa"/>
            <w:tcBorders>
              <w:top w:val="single" w:sz="4" w:space="0" w:color="auto"/>
              <w:left w:val="single" w:sz="4" w:space="0" w:color="auto"/>
              <w:bottom w:val="single" w:sz="4" w:space="0" w:color="auto"/>
              <w:right w:val="single" w:sz="4" w:space="0" w:color="auto"/>
            </w:tcBorders>
          </w:tcPr>
          <w:p w14:paraId="5CD6548D" w14:textId="3F16B257" w:rsidR="00091544" w:rsidRDefault="00091544" w:rsidP="00091544">
            <w:pPr>
              <w:rPr>
                <w:color w:val="000000"/>
                <w:sz w:val="20"/>
                <w:szCs w:val="20"/>
                <w:lang w:eastAsia="en-US"/>
              </w:rPr>
            </w:pPr>
            <w:r>
              <w:rPr>
                <w:color w:val="000000"/>
                <w:sz w:val="20"/>
                <w:szCs w:val="20"/>
                <w:lang w:eastAsia="en-US"/>
              </w:rPr>
              <w:t>130</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57697A4" w14:textId="77777777" w:rsidR="00091544" w:rsidRDefault="00091544" w:rsidP="00091544">
            <w:pPr>
              <w:autoSpaceDE w:val="0"/>
              <w:autoSpaceDN w:val="0"/>
              <w:adjustRightInd w:val="0"/>
              <w:rPr>
                <w:b/>
                <w:sz w:val="20"/>
                <w:szCs w:val="20"/>
                <w:lang w:eastAsia="en-US"/>
              </w:rPr>
            </w:pPr>
            <w:r>
              <w:rPr>
                <w:b/>
                <w:sz w:val="20"/>
                <w:szCs w:val="20"/>
                <w:lang w:eastAsia="en-US"/>
              </w:rPr>
              <w:t xml:space="preserve">Parietals, in presumed adults: </w:t>
            </w:r>
          </w:p>
          <w:p w14:paraId="51A43011" w14:textId="233B6155" w:rsidR="00091544" w:rsidRDefault="00091544" w:rsidP="00091544">
            <w:pPr>
              <w:autoSpaceDE w:val="0"/>
              <w:autoSpaceDN w:val="0"/>
              <w:adjustRightInd w:val="0"/>
              <w:rPr>
                <w:sz w:val="20"/>
                <w:szCs w:val="20"/>
                <w:lang w:eastAsia="en-US"/>
              </w:rPr>
            </w:pPr>
            <w:r>
              <w:rPr>
                <w:i/>
                <w:iCs/>
                <w:color w:val="000000"/>
                <w:sz w:val="20"/>
                <w:szCs w:val="20"/>
                <w:lang w:eastAsia="en-US"/>
              </w:rPr>
              <w:t xml:space="preserve">Nesbitt (2011, ch. 58); Young et al. (2016, ds 2, ch. 82); </w:t>
            </w:r>
            <w:r>
              <w:rPr>
                <w:i/>
                <w:sz w:val="20"/>
                <w:szCs w:val="20"/>
                <w:lang w:eastAsia="en-US"/>
              </w:rPr>
              <w:t xml:space="preserve">Ristevski et al. (2018, ds 2, ch. 110); Smith et al. (in review, ds 1, ch. 111); </w:t>
            </w:r>
            <w:r>
              <w:rPr>
                <w:i/>
                <w:sz w:val="20"/>
                <w:szCs w:val="20"/>
              </w:rPr>
              <w:t>Ősi et al. (in review, ds 1, ch. 125)</w:t>
            </w:r>
            <w:r>
              <w:rPr>
                <w:i/>
                <w:iCs/>
                <w:color w:val="000000"/>
                <w:sz w:val="20"/>
                <w:szCs w:val="20"/>
                <w:lang w:eastAsia="en-US"/>
              </w:rPr>
              <w:t>.</w:t>
            </w:r>
          </w:p>
          <w:p w14:paraId="22D4CC93" w14:textId="77777777" w:rsidR="00091544" w:rsidRDefault="00091544" w:rsidP="00091544">
            <w:pPr>
              <w:autoSpaceDE w:val="0"/>
              <w:autoSpaceDN w:val="0"/>
              <w:adjustRightInd w:val="0"/>
              <w:rPr>
                <w:sz w:val="20"/>
                <w:szCs w:val="20"/>
                <w:lang w:eastAsia="en-US"/>
              </w:rPr>
            </w:pPr>
            <w:r>
              <w:rPr>
                <w:sz w:val="20"/>
                <w:szCs w:val="20"/>
                <w:lang w:eastAsia="en-US"/>
              </w:rPr>
              <w:t>0. separate</w:t>
            </w:r>
          </w:p>
          <w:p w14:paraId="58B8F96B" w14:textId="64E9235C" w:rsidR="00091544" w:rsidRDefault="00091544" w:rsidP="00091544">
            <w:pPr>
              <w:autoSpaceDE w:val="0"/>
              <w:autoSpaceDN w:val="0"/>
              <w:adjustRightInd w:val="0"/>
              <w:rPr>
                <w:sz w:val="20"/>
                <w:szCs w:val="20"/>
                <w:lang w:eastAsia="en-US"/>
              </w:rPr>
            </w:pPr>
            <w:r>
              <w:rPr>
                <w:sz w:val="20"/>
                <w:szCs w:val="20"/>
                <w:lang w:eastAsia="en-US"/>
              </w:rPr>
              <w:t>1. interparietal suture partially or completely absent (i.e. surface fusion)</w:t>
            </w:r>
          </w:p>
        </w:tc>
      </w:tr>
      <w:tr w:rsidR="00091544" w14:paraId="6C7A3BFA" w14:textId="77777777" w:rsidTr="00091544">
        <w:tc>
          <w:tcPr>
            <w:tcW w:w="516" w:type="dxa"/>
            <w:tcBorders>
              <w:top w:val="single" w:sz="4" w:space="0" w:color="auto"/>
              <w:left w:val="single" w:sz="4" w:space="0" w:color="auto"/>
              <w:bottom w:val="single" w:sz="4" w:space="0" w:color="auto"/>
              <w:right w:val="single" w:sz="4" w:space="0" w:color="auto"/>
            </w:tcBorders>
          </w:tcPr>
          <w:p w14:paraId="41451021" w14:textId="64C477CA" w:rsidR="00091544" w:rsidRDefault="00091544" w:rsidP="00091544">
            <w:pPr>
              <w:rPr>
                <w:color w:val="000000"/>
                <w:sz w:val="20"/>
                <w:szCs w:val="20"/>
                <w:lang w:eastAsia="en-US"/>
              </w:rPr>
            </w:pPr>
            <w:r>
              <w:rPr>
                <w:sz w:val="20"/>
                <w:szCs w:val="20"/>
                <w:lang w:eastAsia="en-US"/>
              </w:rPr>
              <w:t>131</w:t>
            </w:r>
          </w:p>
        </w:tc>
        <w:tc>
          <w:tcPr>
            <w:tcW w:w="8500" w:type="dxa"/>
            <w:tcBorders>
              <w:top w:val="single" w:sz="4" w:space="0" w:color="auto"/>
              <w:left w:val="single" w:sz="4" w:space="0" w:color="auto"/>
              <w:bottom w:val="single" w:sz="4" w:space="0" w:color="auto"/>
              <w:right w:val="single" w:sz="4" w:space="0" w:color="auto"/>
            </w:tcBorders>
            <w:vAlign w:val="bottom"/>
            <w:hideMark/>
          </w:tcPr>
          <w:p w14:paraId="1188A379" w14:textId="77777777" w:rsidR="00091544" w:rsidRDefault="00091544" w:rsidP="00091544">
            <w:pPr>
              <w:autoSpaceDE w:val="0"/>
              <w:autoSpaceDN w:val="0"/>
              <w:adjustRightInd w:val="0"/>
              <w:rPr>
                <w:b/>
                <w:sz w:val="20"/>
                <w:szCs w:val="20"/>
                <w:lang w:eastAsia="en-US"/>
              </w:rPr>
            </w:pPr>
            <w:r>
              <w:rPr>
                <w:b/>
                <w:sz w:val="20"/>
                <w:szCs w:val="20"/>
                <w:lang w:eastAsia="en-US"/>
              </w:rPr>
              <w:t>Parietals, supratemporal (= dorsotemporal) fenestrae separated by: (*)</w:t>
            </w:r>
          </w:p>
          <w:p w14:paraId="41F4187F" w14:textId="4D71E0B3"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 xml:space="preserve">Nesbitt (2011, ch. 59 modified); Young et al. (2016, ds 2, ch. 83 modified); </w:t>
            </w:r>
            <w:r>
              <w:rPr>
                <w:i/>
                <w:sz w:val="20"/>
                <w:szCs w:val="20"/>
                <w:lang w:eastAsia="en-US"/>
              </w:rPr>
              <w:t xml:space="preserve">Ristevski et al. (2018, ds 2, ch. 111); Smith et al. (in review, ds 1, ch. 113); </w:t>
            </w:r>
            <w:r>
              <w:rPr>
                <w:i/>
                <w:sz w:val="20"/>
                <w:szCs w:val="20"/>
              </w:rPr>
              <w:t>Ősi et al. (in review, ds 1, ch. 126)</w:t>
            </w:r>
            <w:r>
              <w:rPr>
                <w:i/>
                <w:iCs/>
                <w:color w:val="000000"/>
                <w:sz w:val="20"/>
                <w:szCs w:val="20"/>
                <w:lang w:eastAsia="en-US"/>
              </w:rPr>
              <w:t>.</w:t>
            </w:r>
          </w:p>
          <w:p w14:paraId="4C5C9B2D" w14:textId="77777777"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State (3) added here.</w:t>
            </w:r>
          </w:p>
          <w:p w14:paraId="17B9DB6D" w14:textId="77777777" w:rsidR="00091544" w:rsidRDefault="00091544" w:rsidP="00091544">
            <w:pPr>
              <w:autoSpaceDE w:val="0"/>
              <w:autoSpaceDN w:val="0"/>
              <w:adjustRightInd w:val="0"/>
              <w:rPr>
                <w:i/>
                <w:iCs/>
                <w:color w:val="000000"/>
                <w:sz w:val="20"/>
                <w:szCs w:val="20"/>
                <w:lang w:eastAsia="en-US"/>
              </w:rPr>
            </w:pPr>
            <w:r>
              <w:rPr>
                <w:i/>
                <w:iCs/>
                <w:color w:val="000000"/>
                <w:sz w:val="20"/>
                <w:szCs w:val="20"/>
                <w:lang w:eastAsia="en-US"/>
              </w:rPr>
              <w:t xml:space="preserve">State (3) occurs in </w:t>
            </w:r>
            <w:r>
              <w:rPr>
                <w:iCs/>
                <w:color w:val="000000"/>
                <w:sz w:val="20"/>
                <w:szCs w:val="20"/>
                <w:lang w:eastAsia="en-US"/>
              </w:rPr>
              <w:t>Dromicosuchus</w:t>
            </w:r>
            <w:r>
              <w:rPr>
                <w:i/>
                <w:iCs/>
                <w:color w:val="000000"/>
                <w:sz w:val="20"/>
                <w:szCs w:val="20"/>
                <w:lang w:eastAsia="en-US"/>
              </w:rPr>
              <w:t xml:space="preserve"> and </w:t>
            </w:r>
            <w:r>
              <w:rPr>
                <w:iCs/>
                <w:color w:val="000000"/>
                <w:sz w:val="20"/>
                <w:szCs w:val="20"/>
                <w:lang w:eastAsia="en-US"/>
              </w:rPr>
              <w:t xml:space="preserve">Hesperosuchus </w:t>
            </w:r>
            <w:r>
              <w:rPr>
                <w:i/>
                <w:iCs/>
                <w:color w:val="000000"/>
                <w:sz w:val="20"/>
                <w:szCs w:val="20"/>
                <w:lang w:eastAsia="en-US"/>
              </w:rPr>
              <w:t>cf</w:t>
            </w:r>
            <w:r>
              <w:rPr>
                <w:iCs/>
                <w:color w:val="000000"/>
                <w:sz w:val="20"/>
                <w:szCs w:val="20"/>
                <w:lang w:eastAsia="en-US"/>
              </w:rPr>
              <w:t>. agilis</w:t>
            </w:r>
            <w:r>
              <w:rPr>
                <w:i/>
                <w:iCs/>
                <w:color w:val="000000"/>
                <w:sz w:val="20"/>
                <w:szCs w:val="20"/>
                <w:lang w:eastAsia="en-US"/>
              </w:rPr>
              <w:t>.</w:t>
            </w:r>
          </w:p>
          <w:p w14:paraId="5023A26A"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the supratemporal fenestrae.</w:t>
            </w:r>
          </w:p>
          <w:p w14:paraId="021A90BB" w14:textId="77777777" w:rsidR="00091544" w:rsidRDefault="00091544" w:rsidP="00091544">
            <w:pPr>
              <w:rPr>
                <w:sz w:val="20"/>
                <w:szCs w:val="20"/>
                <w:lang w:eastAsia="en-US"/>
              </w:rPr>
            </w:pPr>
            <w:r>
              <w:rPr>
                <w:sz w:val="20"/>
                <w:szCs w:val="20"/>
                <w:lang w:eastAsia="en-US"/>
              </w:rPr>
              <w:t>0. broad, flat area</w:t>
            </w:r>
          </w:p>
          <w:p w14:paraId="502F0FB4" w14:textId="77777777" w:rsidR="00091544" w:rsidRDefault="00091544" w:rsidP="00091544">
            <w:pPr>
              <w:rPr>
                <w:sz w:val="20"/>
                <w:szCs w:val="20"/>
                <w:lang w:eastAsia="en-US"/>
              </w:rPr>
            </w:pPr>
            <w:r>
              <w:rPr>
                <w:sz w:val="20"/>
                <w:szCs w:val="20"/>
                <w:lang w:eastAsia="en-US"/>
              </w:rPr>
              <w:t>1. supratemporal fossa separated by a mediolaterally thin strip of flat bone</w:t>
            </w:r>
          </w:p>
          <w:p w14:paraId="387A47F5" w14:textId="77777777" w:rsidR="00091544" w:rsidRDefault="00091544" w:rsidP="00091544">
            <w:pPr>
              <w:autoSpaceDE w:val="0"/>
              <w:autoSpaceDN w:val="0"/>
              <w:adjustRightInd w:val="0"/>
              <w:rPr>
                <w:sz w:val="20"/>
                <w:szCs w:val="20"/>
                <w:lang w:eastAsia="en-US"/>
              </w:rPr>
            </w:pPr>
            <w:r>
              <w:rPr>
                <w:sz w:val="20"/>
                <w:szCs w:val="20"/>
                <w:lang w:eastAsia="en-US"/>
              </w:rPr>
              <w:t>2. supratemporal fossa separated by a ‘‘sagittal crest’’ (which may be divided by the interparietal suture)</w:t>
            </w:r>
          </w:p>
          <w:p w14:paraId="46274B22" w14:textId="77777777" w:rsidR="00091544" w:rsidRDefault="00091544" w:rsidP="00091544">
            <w:pPr>
              <w:rPr>
                <w:sz w:val="20"/>
                <w:szCs w:val="20"/>
                <w:lang w:eastAsia="en-US"/>
              </w:rPr>
            </w:pPr>
            <w:r>
              <w:rPr>
                <w:sz w:val="20"/>
                <w:szCs w:val="20"/>
                <w:lang w:eastAsia="en-US"/>
              </w:rPr>
              <w:t>3. supratemporal fossa separated by a median longitudinal groove between paired parietal crests</w:t>
            </w:r>
          </w:p>
        </w:tc>
      </w:tr>
      <w:tr w:rsidR="00091544" w14:paraId="5FA08FA6" w14:textId="77777777" w:rsidTr="00091544">
        <w:tc>
          <w:tcPr>
            <w:tcW w:w="516" w:type="dxa"/>
            <w:tcBorders>
              <w:top w:val="single" w:sz="4" w:space="0" w:color="auto"/>
              <w:left w:val="single" w:sz="4" w:space="0" w:color="auto"/>
              <w:bottom w:val="single" w:sz="4" w:space="0" w:color="auto"/>
              <w:right w:val="single" w:sz="4" w:space="0" w:color="auto"/>
            </w:tcBorders>
          </w:tcPr>
          <w:p w14:paraId="285BE3DA" w14:textId="60346576" w:rsidR="00091544" w:rsidRDefault="00091544" w:rsidP="00091544">
            <w:pPr>
              <w:rPr>
                <w:color w:val="000000"/>
                <w:sz w:val="20"/>
                <w:szCs w:val="20"/>
                <w:lang w:eastAsia="en-US"/>
              </w:rPr>
            </w:pPr>
            <w:r>
              <w:rPr>
                <w:color w:val="000000"/>
                <w:sz w:val="20"/>
                <w:szCs w:val="20"/>
                <w:lang w:eastAsia="en-US"/>
              </w:rPr>
              <w:t>132</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840E9C0" w14:textId="77777777" w:rsidR="00091544" w:rsidRDefault="00091544" w:rsidP="00091544">
            <w:pPr>
              <w:rPr>
                <w:b/>
                <w:sz w:val="20"/>
                <w:szCs w:val="20"/>
                <w:lang w:eastAsia="en-US"/>
              </w:rPr>
            </w:pPr>
            <w:r>
              <w:rPr>
                <w:b/>
                <w:sz w:val="20"/>
                <w:szCs w:val="20"/>
                <w:lang w:eastAsia="en-US"/>
              </w:rPr>
              <w:t>Intertemporal bar (=frontoparietal), modification of the “sagittal crest”: (*)</w:t>
            </w:r>
          </w:p>
          <w:p w14:paraId="1D545680" w14:textId="3C5239E0" w:rsidR="00091544" w:rsidRDefault="00091544" w:rsidP="00091544">
            <w:pPr>
              <w:rPr>
                <w:i/>
                <w:sz w:val="20"/>
                <w:szCs w:val="20"/>
                <w:lang w:eastAsia="en-US"/>
              </w:rPr>
            </w:pPr>
            <w:r>
              <w:rPr>
                <w:i/>
                <w:sz w:val="20"/>
                <w:szCs w:val="20"/>
                <w:lang w:eastAsia="en-US"/>
              </w:rPr>
              <w:t xml:space="preserve">Ristevski et al. (2018, ds 2, ch. 112); Smith et al. (in review, ds 1, ch. 114); </w:t>
            </w:r>
            <w:r>
              <w:rPr>
                <w:i/>
                <w:sz w:val="20"/>
                <w:szCs w:val="20"/>
              </w:rPr>
              <w:t>Ősi et al. (in review, ds 1, ch. 127)</w:t>
            </w:r>
            <w:r>
              <w:rPr>
                <w:i/>
                <w:sz w:val="20"/>
                <w:szCs w:val="20"/>
                <w:lang w:eastAsia="en-US"/>
              </w:rPr>
              <w:t>.</w:t>
            </w:r>
          </w:p>
          <w:p w14:paraId="4787279E" w14:textId="77777777" w:rsidR="00091544" w:rsidRDefault="00091544" w:rsidP="00091544">
            <w:pPr>
              <w:rPr>
                <w:i/>
                <w:sz w:val="20"/>
                <w:szCs w:val="20"/>
                <w:lang w:eastAsia="en-US"/>
              </w:rPr>
            </w:pPr>
            <w:r>
              <w:rPr>
                <w:i/>
                <w:sz w:val="20"/>
                <w:szCs w:val="20"/>
                <w:lang w:eastAsia="en-US"/>
              </w:rPr>
              <w:t>Character following Jouve et al. (2005a: figure 8), Hastings et al. (2010, ch. 9).</w:t>
            </w:r>
          </w:p>
          <w:p w14:paraId="2707BE4E" w14:textId="77777777" w:rsidR="00091544" w:rsidRDefault="00091544" w:rsidP="00091544">
            <w:pPr>
              <w:rPr>
                <w:i/>
                <w:sz w:val="20"/>
                <w:szCs w:val="20"/>
                <w:lang w:eastAsia="en-US"/>
              </w:rPr>
            </w:pPr>
            <w:r>
              <w:rPr>
                <w:i/>
                <w:sz w:val="20"/>
                <w:szCs w:val="20"/>
                <w:lang w:eastAsia="en-US"/>
              </w:rPr>
              <w:t>Note this character scores the distinct thin intertemporal bar of derived dyrosaurids. In Thalattosuchia the bar is not consistently thin along its entire length (being noticeably broad anteriorly).</w:t>
            </w:r>
          </w:p>
          <w:p w14:paraId="6F1C6B02" w14:textId="77777777" w:rsidR="00091544" w:rsidRDefault="00091544" w:rsidP="00091544">
            <w:pPr>
              <w:autoSpaceDE w:val="0"/>
              <w:autoSpaceDN w:val="0"/>
              <w:adjustRightInd w:val="0"/>
              <w:rPr>
                <w:i/>
                <w:sz w:val="20"/>
                <w:szCs w:val="20"/>
                <w:lang w:eastAsia="en-US"/>
              </w:rPr>
            </w:pPr>
            <w:r>
              <w:rPr>
                <w:i/>
                <w:sz w:val="20"/>
                <w:szCs w:val="20"/>
                <w:lang w:eastAsia="en-US"/>
              </w:rPr>
              <w:t>This character is not applicable for taxa that lack the supratemporal fenestrae.</w:t>
            </w:r>
          </w:p>
          <w:p w14:paraId="3042202B" w14:textId="77777777" w:rsidR="00091544" w:rsidRDefault="00091544" w:rsidP="00091544">
            <w:pPr>
              <w:rPr>
                <w:sz w:val="20"/>
                <w:szCs w:val="20"/>
                <w:lang w:eastAsia="en-US"/>
              </w:rPr>
            </w:pPr>
            <w:r>
              <w:rPr>
                <w:sz w:val="20"/>
                <w:szCs w:val="20"/>
                <w:lang w:eastAsia="en-US"/>
              </w:rPr>
              <w:t>0. either not a “sagittal crest”, or does not have the derived dyrosaurid morphotype</w:t>
            </w:r>
          </w:p>
          <w:p w14:paraId="73D8CF95" w14:textId="77777777" w:rsidR="00091544" w:rsidRDefault="00091544" w:rsidP="00091544">
            <w:pPr>
              <w:rPr>
                <w:b/>
                <w:color w:val="000000"/>
                <w:sz w:val="20"/>
                <w:szCs w:val="20"/>
                <w:lang w:eastAsia="en-US"/>
              </w:rPr>
            </w:pPr>
            <w:r>
              <w:rPr>
                <w:sz w:val="20"/>
                <w:szCs w:val="20"/>
                <w:lang w:eastAsia="en-US"/>
              </w:rPr>
              <w:t>1. has the derived dyrosaurid morphotype: the intertemporal bar is composed of the frontal posterior process anteriorly and the parietal anterior process in the middle-and-posterior region, with a consistently thin bar along its entire length, and lateral margins deeply excavated creating a broad lateral supratemporal fossa</w:t>
            </w:r>
          </w:p>
        </w:tc>
      </w:tr>
      <w:tr w:rsidR="00A47145" w14:paraId="0223964A" w14:textId="77777777" w:rsidTr="00091544">
        <w:tc>
          <w:tcPr>
            <w:tcW w:w="516" w:type="dxa"/>
            <w:tcBorders>
              <w:top w:val="single" w:sz="4" w:space="0" w:color="auto"/>
              <w:left w:val="single" w:sz="4" w:space="0" w:color="auto"/>
              <w:bottom w:val="single" w:sz="4" w:space="0" w:color="auto"/>
              <w:right w:val="single" w:sz="4" w:space="0" w:color="auto"/>
            </w:tcBorders>
          </w:tcPr>
          <w:p w14:paraId="2DB3AB59" w14:textId="12341C4C" w:rsidR="00A47145" w:rsidRDefault="00A47145" w:rsidP="00A47145">
            <w:pPr>
              <w:rPr>
                <w:color w:val="000000"/>
                <w:sz w:val="20"/>
                <w:szCs w:val="20"/>
                <w:lang w:eastAsia="en-US"/>
              </w:rPr>
            </w:pPr>
            <w:r>
              <w:rPr>
                <w:color w:val="000000"/>
                <w:sz w:val="20"/>
                <w:szCs w:val="20"/>
                <w:lang w:eastAsia="en-US"/>
              </w:rPr>
              <w:t>133</w:t>
            </w:r>
          </w:p>
        </w:tc>
        <w:tc>
          <w:tcPr>
            <w:tcW w:w="8500" w:type="dxa"/>
            <w:tcBorders>
              <w:top w:val="single" w:sz="4" w:space="0" w:color="auto"/>
              <w:left w:val="single" w:sz="4" w:space="0" w:color="auto"/>
              <w:bottom w:val="single" w:sz="4" w:space="0" w:color="auto"/>
              <w:right w:val="single" w:sz="4" w:space="0" w:color="auto"/>
            </w:tcBorders>
            <w:vAlign w:val="bottom"/>
            <w:hideMark/>
          </w:tcPr>
          <w:p w14:paraId="60C13937" w14:textId="77777777" w:rsidR="00A47145" w:rsidRDefault="00A47145" w:rsidP="00A47145">
            <w:pPr>
              <w:rPr>
                <w:b/>
                <w:sz w:val="20"/>
                <w:szCs w:val="20"/>
                <w:lang w:eastAsia="en-US"/>
              </w:rPr>
            </w:pPr>
            <w:r>
              <w:rPr>
                <w:b/>
                <w:sz w:val="20"/>
                <w:szCs w:val="20"/>
                <w:lang w:eastAsia="en-US"/>
              </w:rPr>
              <w:t xml:space="preserve">Parietal, bifurcation of the parietal in dorsal view, immediately posterior to the intertemporal bar: </w:t>
            </w:r>
          </w:p>
          <w:p w14:paraId="6FBCE28C" w14:textId="64A51E9E" w:rsidR="00A47145" w:rsidRDefault="00A47145" w:rsidP="00A47145">
            <w:pPr>
              <w:autoSpaceDE w:val="0"/>
              <w:autoSpaceDN w:val="0"/>
              <w:adjustRightInd w:val="0"/>
              <w:rPr>
                <w:i/>
                <w:sz w:val="20"/>
                <w:szCs w:val="20"/>
                <w:lang w:eastAsia="en-US"/>
              </w:rPr>
            </w:pPr>
            <w:r>
              <w:rPr>
                <w:i/>
                <w:sz w:val="20"/>
                <w:szCs w:val="20"/>
                <w:lang w:eastAsia="en-US"/>
              </w:rPr>
              <w:t xml:space="preserve">Young et al. (2016, ds 2, ch. 84); Ristevski et al. (2018, ds 2, ch. 113); Smith et al. (in review, ds 1, ch. 115); </w:t>
            </w:r>
            <w:r>
              <w:rPr>
                <w:i/>
                <w:sz w:val="20"/>
                <w:szCs w:val="20"/>
              </w:rPr>
              <w:t>Ősi et al. (in review, ds 1, ch. 128)</w:t>
            </w:r>
            <w:r>
              <w:rPr>
                <w:i/>
                <w:sz w:val="20"/>
                <w:szCs w:val="20"/>
                <w:lang w:eastAsia="en-US"/>
              </w:rPr>
              <w:t>.</w:t>
            </w:r>
          </w:p>
          <w:p w14:paraId="3C4C0075" w14:textId="54B8AE35" w:rsidR="00A47145" w:rsidRDefault="00A47145" w:rsidP="00A47145">
            <w:pPr>
              <w:rPr>
                <w:sz w:val="20"/>
                <w:szCs w:val="20"/>
                <w:lang w:eastAsia="en-US"/>
              </w:rPr>
            </w:pPr>
            <w:r>
              <w:rPr>
                <w:i/>
                <w:sz w:val="20"/>
                <w:szCs w:val="20"/>
                <w:lang w:eastAsia="en-US"/>
              </w:rPr>
              <w:t xml:space="preserve">State (1) is found in </w:t>
            </w:r>
            <w:r>
              <w:rPr>
                <w:sz w:val="20"/>
                <w:szCs w:val="20"/>
                <w:lang w:eastAsia="en-US"/>
              </w:rPr>
              <w:t>‘Dakosaurus’ lissocephalus, Cricosaurus araucanensis</w:t>
            </w:r>
            <w:r>
              <w:rPr>
                <w:i/>
                <w:sz w:val="20"/>
                <w:szCs w:val="20"/>
                <w:lang w:eastAsia="en-US"/>
              </w:rPr>
              <w:t xml:space="preserve">, </w:t>
            </w:r>
            <w:r>
              <w:rPr>
                <w:sz w:val="20"/>
                <w:szCs w:val="20"/>
                <w:lang w:eastAsia="en-US"/>
              </w:rPr>
              <w:t>C. elegans, C. lithographicus, C. schroederi</w:t>
            </w:r>
            <w:r>
              <w:rPr>
                <w:i/>
                <w:sz w:val="20"/>
                <w:szCs w:val="20"/>
                <w:lang w:eastAsia="en-US"/>
              </w:rPr>
              <w:t xml:space="preserve"> and </w:t>
            </w:r>
            <w:r>
              <w:rPr>
                <w:sz w:val="20"/>
                <w:szCs w:val="20"/>
                <w:lang w:eastAsia="en-US"/>
              </w:rPr>
              <w:t xml:space="preserve">C. vignaudi. </w:t>
            </w:r>
          </w:p>
          <w:p w14:paraId="4ABA5C0C" w14:textId="77777777" w:rsidR="00A47145" w:rsidRDefault="00A47145" w:rsidP="00A47145">
            <w:pPr>
              <w:rPr>
                <w:i/>
                <w:sz w:val="20"/>
                <w:szCs w:val="20"/>
                <w:lang w:eastAsia="en-US"/>
              </w:rPr>
            </w:pPr>
            <w:r>
              <w:rPr>
                <w:i/>
                <w:sz w:val="20"/>
                <w:szCs w:val="20"/>
                <w:lang w:eastAsia="en-US"/>
              </w:rPr>
              <w:t>This character replaces the character that described the posterior margin of the parietal-squamosal in dorsal view – Wilkinson et al. (2008, ch. 42); Young &amp; Andrade (2009, ch. 42); Young et al. (2011, ch. 42); Young et al. (2013a, ch. 59); Young et al. (2012, ch. 68); Young (2014, ch. 70).</w:t>
            </w:r>
          </w:p>
          <w:p w14:paraId="6A6A2680" w14:textId="77777777" w:rsidR="00A47145" w:rsidRDefault="00A47145" w:rsidP="00A47145">
            <w:pPr>
              <w:rPr>
                <w:sz w:val="20"/>
                <w:szCs w:val="20"/>
                <w:lang w:eastAsia="en-US"/>
              </w:rPr>
            </w:pPr>
            <w:r>
              <w:rPr>
                <w:sz w:val="20"/>
                <w:szCs w:val="20"/>
                <w:lang w:eastAsia="en-US"/>
              </w:rPr>
              <w:t>0. absent</w:t>
            </w:r>
          </w:p>
          <w:p w14:paraId="0553FD28" w14:textId="77777777" w:rsidR="00A47145" w:rsidRDefault="00A47145" w:rsidP="00A47145">
            <w:pPr>
              <w:rPr>
                <w:lang w:eastAsia="en-US"/>
              </w:rPr>
            </w:pPr>
            <w:r>
              <w:rPr>
                <w:sz w:val="20"/>
                <w:szCs w:val="20"/>
                <w:lang w:eastAsia="en-US"/>
              </w:rPr>
              <w:lastRenderedPageBreak/>
              <w:t>1. present</w:t>
            </w:r>
          </w:p>
        </w:tc>
      </w:tr>
      <w:tr w:rsidR="00A47145" w14:paraId="50B83AB2" w14:textId="77777777" w:rsidTr="00091544">
        <w:tc>
          <w:tcPr>
            <w:tcW w:w="516" w:type="dxa"/>
            <w:tcBorders>
              <w:top w:val="single" w:sz="4" w:space="0" w:color="auto"/>
              <w:left w:val="single" w:sz="4" w:space="0" w:color="auto"/>
              <w:bottom w:val="single" w:sz="4" w:space="0" w:color="auto"/>
              <w:right w:val="single" w:sz="4" w:space="0" w:color="auto"/>
            </w:tcBorders>
          </w:tcPr>
          <w:p w14:paraId="2A49558C" w14:textId="742E41A9" w:rsidR="00A47145" w:rsidRDefault="00A47145" w:rsidP="00A47145">
            <w:pPr>
              <w:rPr>
                <w:color w:val="000000"/>
                <w:sz w:val="20"/>
                <w:szCs w:val="20"/>
                <w:lang w:eastAsia="en-US"/>
              </w:rPr>
            </w:pPr>
            <w:r>
              <w:rPr>
                <w:color w:val="000000"/>
                <w:sz w:val="20"/>
                <w:szCs w:val="20"/>
                <w:lang w:eastAsia="en-US"/>
              </w:rPr>
              <w:lastRenderedPageBreak/>
              <w:t>134</w:t>
            </w:r>
          </w:p>
        </w:tc>
        <w:tc>
          <w:tcPr>
            <w:tcW w:w="8500" w:type="dxa"/>
            <w:tcBorders>
              <w:top w:val="single" w:sz="4" w:space="0" w:color="auto"/>
              <w:left w:val="single" w:sz="4" w:space="0" w:color="auto"/>
              <w:bottom w:val="single" w:sz="4" w:space="0" w:color="auto"/>
              <w:right w:val="single" w:sz="4" w:space="0" w:color="auto"/>
            </w:tcBorders>
            <w:vAlign w:val="bottom"/>
            <w:hideMark/>
          </w:tcPr>
          <w:p w14:paraId="5A63AC55" w14:textId="77777777" w:rsidR="00A47145" w:rsidRDefault="00A47145" w:rsidP="00A47145">
            <w:pPr>
              <w:rPr>
                <w:b/>
                <w:sz w:val="20"/>
                <w:szCs w:val="20"/>
                <w:lang w:eastAsia="en-US"/>
              </w:rPr>
            </w:pPr>
            <w:r>
              <w:rPr>
                <w:b/>
                <w:sz w:val="20"/>
                <w:szCs w:val="20"/>
                <w:lang w:eastAsia="en-US"/>
              </w:rPr>
              <w:t>Parietals, posterodorsal margin:</w:t>
            </w:r>
          </w:p>
          <w:p w14:paraId="3CD72CDE" w14:textId="0FC9B23C" w:rsidR="00A47145" w:rsidRDefault="00A47145" w:rsidP="00A47145">
            <w:pPr>
              <w:rPr>
                <w:i/>
                <w:sz w:val="20"/>
                <w:szCs w:val="20"/>
                <w:lang w:eastAsia="en-US"/>
              </w:rPr>
            </w:pPr>
            <w:r>
              <w:rPr>
                <w:i/>
                <w:sz w:val="20"/>
                <w:szCs w:val="20"/>
                <w:lang w:eastAsia="en-US"/>
              </w:rPr>
              <w:t xml:space="preserve">Jouve (2005, ch. </w:t>
            </w:r>
            <w:r>
              <w:rPr>
                <w:bCs/>
                <w:i/>
                <w:sz w:val="20"/>
                <w:szCs w:val="20"/>
                <w:lang w:eastAsia="en-US"/>
              </w:rPr>
              <w:t xml:space="preserve">7 modified), </w:t>
            </w:r>
            <w:r>
              <w:rPr>
                <w:i/>
                <w:sz w:val="20"/>
                <w:szCs w:val="20"/>
                <w:lang w:eastAsia="en-US"/>
              </w:rPr>
              <w:t xml:space="preserve">Jouve et al. (2005b, ch. </w:t>
            </w:r>
            <w:r>
              <w:rPr>
                <w:bCs/>
                <w:i/>
                <w:sz w:val="20"/>
                <w:szCs w:val="20"/>
                <w:lang w:eastAsia="en-US"/>
              </w:rPr>
              <w:t xml:space="preserve">11 modified), </w:t>
            </w:r>
            <w:r>
              <w:rPr>
                <w:i/>
                <w:sz w:val="20"/>
                <w:szCs w:val="20"/>
                <w:lang w:eastAsia="en-US"/>
              </w:rPr>
              <w:t xml:space="preserve">Jouve et al. (2008, ch. </w:t>
            </w:r>
            <w:r>
              <w:rPr>
                <w:bCs/>
                <w:i/>
                <w:sz w:val="20"/>
                <w:szCs w:val="20"/>
                <w:lang w:eastAsia="en-US"/>
              </w:rPr>
              <w:t xml:space="preserve">11 modified), </w:t>
            </w:r>
            <w:r>
              <w:rPr>
                <w:i/>
                <w:sz w:val="20"/>
                <w:szCs w:val="20"/>
                <w:lang w:eastAsia="en-US"/>
              </w:rPr>
              <w:t xml:space="preserve">Hastings et al. (2010, ch. 42 modified); Ristevski et al. (2018, ds 2, ch. 114); Smith et al. (in review, ds 1, ch. 116); </w:t>
            </w:r>
            <w:r>
              <w:rPr>
                <w:i/>
                <w:sz w:val="20"/>
                <w:szCs w:val="20"/>
              </w:rPr>
              <w:t>Ősi et al. (in review, ds 1, ch. 129)</w:t>
            </w:r>
            <w:r>
              <w:rPr>
                <w:i/>
                <w:sz w:val="20"/>
                <w:szCs w:val="20"/>
                <w:lang w:eastAsia="en-US"/>
              </w:rPr>
              <w:t>.</w:t>
            </w:r>
          </w:p>
          <w:p w14:paraId="25E12162" w14:textId="77777777" w:rsidR="00A47145" w:rsidRDefault="00A47145" w:rsidP="00A47145">
            <w:pPr>
              <w:rPr>
                <w:i/>
                <w:sz w:val="20"/>
                <w:szCs w:val="20"/>
                <w:lang w:eastAsia="en-US"/>
              </w:rPr>
            </w:pPr>
            <w:r>
              <w:rPr>
                <w:i/>
                <w:sz w:val="20"/>
                <w:szCs w:val="20"/>
                <w:lang w:eastAsia="en-US"/>
              </w:rPr>
              <w:t>State (1) occurs in derived dyrosaurids.</w:t>
            </w:r>
          </w:p>
          <w:p w14:paraId="48CA732F" w14:textId="77777777" w:rsidR="00A47145" w:rsidRDefault="00A47145" w:rsidP="00A47145">
            <w:pPr>
              <w:rPr>
                <w:sz w:val="20"/>
                <w:szCs w:val="20"/>
                <w:lang w:eastAsia="en-US"/>
              </w:rPr>
            </w:pPr>
            <w:r>
              <w:rPr>
                <w:sz w:val="20"/>
                <w:szCs w:val="20"/>
                <w:lang w:eastAsia="en-US"/>
              </w:rPr>
              <w:t>0. transversely oriented</w:t>
            </w:r>
          </w:p>
          <w:p w14:paraId="19B1AFF6" w14:textId="77777777" w:rsidR="00A47145" w:rsidRDefault="00A47145" w:rsidP="00A47145">
            <w:pPr>
              <w:autoSpaceDE w:val="0"/>
              <w:autoSpaceDN w:val="0"/>
              <w:adjustRightInd w:val="0"/>
              <w:rPr>
                <w:b/>
                <w:sz w:val="20"/>
                <w:szCs w:val="20"/>
                <w:lang w:eastAsia="en-US"/>
              </w:rPr>
            </w:pPr>
            <w:r>
              <w:rPr>
                <w:sz w:val="20"/>
                <w:szCs w:val="20"/>
                <w:lang w:eastAsia="en-US"/>
              </w:rPr>
              <w:t>1. indented anteriorly</w:t>
            </w:r>
          </w:p>
        </w:tc>
      </w:tr>
      <w:tr w:rsidR="00A47145" w14:paraId="25DD14F2" w14:textId="77777777" w:rsidTr="00091544">
        <w:tc>
          <w:tcPr>
            <w:tcW w:w="516" w:type="dxa"/>
            <w:tcBorders>
              <w:top w:val="single" w:sz="4" w:space="0" w:color="auto"/>
              <w:left w:val="single" w:sz="4" w:space="0" w:color="auto"/>
              <w:bottom w:val="single" w:sz="4" w:space="0" w:color="auto"/>
              <w:right w:val="single" w:sz="4" w:space="0" w:color="auto"/>
            </w:tcBorders>
          </w:tcPr>
          <w:p w14:paraId="46B09FB2" w14:textId="2D99D71F" w:rsidR="00A47145" w:rsidRDefault="00A47145" w:rsidP="00A47145">
            <w:pPr>
              <w:rPr>
                <w:color w:val="000000"/>
                <w:sz w:val="20"/>
                <w:szCs w:val="20"/>
                <w:lang w:eastAsia="en-US"/>
              </w:rPr>
            </w:pPr>
            <w:r>
              <w:rPr>
                <w:color w:val="000000"/>
                <w:sz w:val="20"/>
                <w:szCs w:val="20"/>
                <w:lang w:eastAsia="en-US"/>
              </w:rPr>
              <w:t>135</w:t>
            </w:r>
          </w:p>
        </w:tc>
        <w:tc>
          <w:tcPr>
            <w:tcW w:w="8500" w:type="dxa"/>
            <w:tcBorders>
              <w:top w:val="single" w:sz="4" w:space="0" w:color="auto"/>
              <w:left w:val="single" w:sz="4" w:space="0" w:color="auto"/>
              <w:bottom w:val="single" w:sz="4" w:space="0" w:color="auto"/>
              <w:right w:val="single" w:sz="4" w:space="0" w:color="auto"/>
            </w:tcBorders>
            <w:vAlign w:val="bottom"/>
            <w:hideMark/>
          </w:tcPr>
          <w:p w14:paraId="00EB5220" w14:textId="77777777" w:rsidR="00A47145" w:rsidRDefault="00A47145" w:rsidP="00A47145">
            <w:pPr>
              <w:autoSpaceDE w:val="0"/>
              <w:autoSpaceDN w:val="0"/>
              <w:adjustRightInd w:val="0"/>
              <w:rPr>
                <w:b/>
                <w:sz w:val="20"/>
                <w:szCs w:val="20"/>
                <w:lang w:eastAsia="en-US"/>
              </w:rPr>
            </w:pPr>
            <w:r>
              <w:rPr>
                <w:b/>
                <w:sz w:val="20"/>
                <w:szCs w:val="20"/>
                <w:lang w:eastAsia="en-US"/>
              </w:rPr>
              <w:t xml:space="preserve">Parietals, posteroventral edge: </w:t>
            </w:r>
          </w:p>
          <w:p w14:paraId="5EBA3CA9" w14:textId="31440513"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 xml:space="preserve">Nesbitt (2011, ch. 60); Young et al. (2016, ds 2, ch. 85); </w:t>
            </w:r>
            <w:r>
              <w:rPr>
                <w:i/>
                <w:sz w:val="20"/>
                <w:szCs w:val="20"/>
                <w:lang w:eastAsia="en-US"/>
              </w:rPr>
              <w:t xml:space="preserve">Ristevski et al. (2018, ds 2, ch. 115); Smith et al. (in review, ds 1, ch. 117); </w:t>
            </w:r>
            <w:r>
              <w:rPr>
                <w:i/>
                <w:sz w:val="20"/>
                <w:szCs w:val="20"/>
              </w:rPr>
              <w:t>Ősi et al. (in review, ds 1, ch. 130)</w:t>
            </w:r>
            <w:r>
              <w:rPr>
                <w:i/>
                <w:iCs/>
                <w:color w:val="000000"/>
                <w:sz w:val="20"/>
                <w:szCs w:val="20"/>
                <w:lang w:eastAsia="en-US"/>
              </w:rPr>
              <w:t>.</w:t>
            </w:r>
          </w:p>
          <w:p w14:paraId="29B61197" w14:textId="77777777" w:rsidR="00A47145" w:rsidRDefault="00A47145" w:rsidP="00A47145">
            <w:pPr>
              <w:rPr>
                <w:i/>
                <w:color w:val="000000"/>
                <w:sz w:val="20"/>
                <w:szCs w:val="20"/>
                <w:lang w:eastAsia="en-US"/>
              </w:rPr>
            </w:pPr>
            <w:r>
              <w:rPr>
                <w:i/>
                <w:color w:val="000000"/>
                <w:sz w:val="20"/>
                <w:szCs w:val="20"/>
                <w:lang w:eastAsia="en-US"/>
              </w:rPr>
              <w:t>State (1) is a putative apomorphy of Crocodyliformes.</w:t>
            </w:r>
          </w:p>
          <w:p w14:paraId="48CD85E7" w14:textId="77777777" w:rsidR="00A47145" w:rsidRDefault="00A47145" w:rsidP="00A47145">
            <w:pPr>
              <w:autoSpaceDE w:val="0"/>
              <w:autoSpaceDN w:val="0"/>
              <w:adjustRightInd w:val="0"/>
              <w:rPr>
                <w:sz w:val="20"/>
                <w:szCs w:val="20"/>
                <w:lang w:eastAsia="en-US"/>
              </w:rPr>
            </w:pPr>
            <w:r>
              <w:rPr>
                <w:sz w:val="20"/>
                <w:szCs w:val="20"/>
                <w:lang w:eastAsia="en-US"/>
              </w:rPr>
              <w:t>0. extending more than half the width of the occiput</w:t>
            </w:r>
          </w:p>
          <w:p w14:paraId="0F96C3AA" w14:textId="77777777" w:rsidR="00A47145" w:rsidRDefault="00A47145" w:rsidP="00A47145">
            <w:pPr>
              <w:autoSpaceDE w:val="0"/>
              <w:autoSpaceDN w:val="0"/>
              <w:adjustRightInd w:val="0"/>
              <w:rPr>
                <w:sz w:val="20"/>
                <w:szCs w:val="20"/>
                <w:lang w:eastAsia="en-US"/>
              </w:rPr>
            </w:pPr>
            <w:r>
              <w:rPr>
                <w:sz w:val="20"/>
                <w:szCs w:val="20"/>
                <w:lang w:eastAsia="en-US"/>
              </w:rPr>
              <w:t>1. extending less than half the width of the occiput</w:t>
            </w:r>
          </w:p>
        </w:tc>
      </w:tr>
      <w:tr w:rsidR="00A47145" w14:paraId="229496F7" w14:textId="77777777" w:rsidTr="00091544">
        <w:tc>
          <w:tcPr>
            <w:tcW w:w="516" w:type="dxa"/>
            <w:tcBorders>
              <w:top w:val="single" w:sz="4" w:space="0" w:color="auto"/>
              <w:left w:val="single" w:sz="4" w:space="0" w:color="auto"/>
              <w:bottom w:val="single" w:sz="4" w:space="0" w:color="auto"/>
              <w:right w:val="single" w:sz="4" w:space="0" w:color="auto"/>
            </w:tcBorders>
          </w:tcPr>
          <w:p w14:paraId="2D7946A1" w14:textId="5C143F2F" w:rsidR="00A47145" w:rsidRDefault="00A47145" w:rsidP="00A47145">
            <w:pPr>
              <w:rPr>
                <w:color w:val="000000"/>
                <w:sz w:val="20"/>
                <w:szCs w:val="20"/>
                <w:lang w:eastAsia="en-US"/>
              </w:rPr>
            </w:pPr>
            <w:r>
              <w:rPr>
                <w:color w:val="000000"/>
                <w:sz w:val="20"/>
                <w:szCs w:val="20"/>
                <w:lang w:eastAsia="en-US"/>
              </w:rPr>
              <w:t>136</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097699A" w14:textId="77777777" w:rsidR="00A47145" w:rsidRDefault="00A47145" w:rsidP="00A47145">
            <w:pPr>
              <w:rPr>
                <w:b/>
                <w:sz w:val="20"/>
                <w:szCs w:val="20"/>
                <w:lang w:eastAsia="en-US"/>
              </w:rPr>
            </w:pPr>
            <w:r>
              <w:rPr>
                <w:b/>
                <w:sz w:val="20"/>
                <w:szCs w:val="20"/>
                <w:lang w:eastAsia="en-US"/>
              </w:rPr>
              <w:t>Post-temporal fenestrae obscured in dorsal view by an overhanging posterior extension of the parietal:</w:t>
            </w:r>
          </w:p>
          <w:p w14:paraId="6BBB0DFD" w14:textId="0FA06DBE" w:rsidR="00A47145" w:rsidRDefault="00A47145" w:rsidP="00A47145">
            <w:pPr>
              <w:rPr>
                <w:i/>
                <w:sz w:val="20"/>
                <w:szCs w:val="20"/>
                <w:lang w:eastAsia="en-US"/>
              </w:rPr>
            </w:pPr>
            <w:r>
              <w:rPr>
                <w:i/>
                <w:sz w:val="20"/>
                <w:szCs w:val="20"/>
                <w:lang w:eastAsia="en-US"/>
              </w:rPr>
              <w:t xml:space="preserve">Jouve et al. (2008, ch. </w:t>
            </w:r>
            <w:r>
              <w:rPr>
                <w:bCs/>
                <w:i/>
                <w:sz w:val="20"/>
                <w:szCs w:val="20"/>
                <w:lang w:eastAsia="en-US"/>
              </w:rPr>
              <w:t xml:space="preserve">34 modified); Hastings et al. (2010, ch. 46 modified); </w:t>
            </w:r>
            <w:r>
              <w:rPr>
                <w:i/>
                <w:sz w:val="20"/>
                <w:szCs w:val="20"/>
                <w:lang w:eastAsia="en-US"/>
              </w:rPr>
              <w:t xml:space="preserve">Ristevski et al. (2018, ds 2, ch. 116); Smith et al. (in review, ds 1, ch. 118); </w:t>
            </w:r>
            <w:r>
              <w:rPr>
                <w:i/>
                <w:sz w:val="20"/>
                <w:szCs w:val="20"/>
              </w:rPr>
              <w:t>Ősi et al. (in review, ds 1, ch. 131)</w:t>
            </w:r>
            <w:r>
              <w:rPr>
                <w:i/>
                <w:sz w:val="20"/>
                <w:szCs w:val="20"/>
                <w:lang w:eastAsia="en-US"/>
              </w:rPr>
              <w:t>.</w:t>
            </w:r>
          </w:p>
          <w:p w14:paraId="021482F9" w14:textId="77777777" w:rsidR="00A47145" w:rsidRDefault="00A47145" w:rsidP="00A47145">
            <w:pPr>
              <w:rPr>
                <w:i/>
                <w:sz w:val="20"/>
                <w:szCs w:val="20"/>
                <w:lang w:eastAsia="en-US"/>
              </w:rPr>
            </w:pPr>
            <w:r>
              <w:rPr>
                <w:i/>
                <w:sz w:val="20"/>
                <w:szCs w:val="20"/>
                <w:lang w:eastAsia="en-US"/>
              </w:rPr>
              <w:t>State (1) occurs in derived dyrosaurids.</w:t>
            </w:r>
          </w:p>
          <w:p w14:paraId="67F138D6" w14:textId="77777777" w:rsidR="00A47145" w:rsidRDefault="00A47145" w:rsidP="00A47145">
            <w:pPr>
              <w:rPr>
                <w:sz w:val="20"/>
                <w:szCs w:val="20"/>
                <w:lang w:eastAsia="en-US"/>
              </w:rPr>
            </w:pPr>
            <w:r>
              <w:rPr>
                <w:sz w:val="20"/>
                <w:szCs w:val="20"/>
                <w:lang w:eastAsia="en-US"/>
              </w:rPr>
              <w:t>0. absent</w:t>
            </w:r>
          </w:p>
          <w:p w14:paraId="2C1E544B" w14:textId="77777777" w:rsidR="00A47145" w:rsidRDefault="00A47145" w:rsidP="00A47145">
            <w:pPr>
              <w:rPr>
                <w:b/>
                <w:sz w:val="20"/>
                <w:szCs w:val="20"/>
                <w:lang w:eastAsia="en-US"/>
              </w:rPr>
            </w:pPr>
            <w:r>
              <w:rPr>
                <w:sz w:val="20"/>
                <w:szCs w:val="20"/>
                <w:lang w:eastAsia="en-US"/>
              </w:rPr>
              <w:t>1. present</w:t>
            </w:r>
          </w:p>
        </w:tc>
      </w:tr>
      <w:tr w:rsidR="00A47145" w14:paraId="7C9E8996" w14:textId="77777777" w:rsidTr="00091544">
        <w:tc>
          <w:tcPr>
            <w:tcW w:w="516" w:type="dxa"/>
            <w:tcBorders>
              <w:top w:val="single" w:sz="4" w:space="0" w:color="auto"/>
              <w:left w:val="single" w:sz="4" w:space="0" w:color="auto"/>
              <w:bottom w:val="single" w:sz="4" w:space="0" w:color="auto"/>
              <w:right w:val="single" w:sz="4" w:space="0" w:color="auto"/>
            </w:tcBorders>
          </w:tcPr>
          <w:p w14:paraId="397053C7" w14:textId="0FC8DD32" w:rsidR="00A47145" w:rsidRDefault="00A47145" w:rsidP="00A47145">
            <w:pPr>
              <w:rPr>
                <w:color w:val="000000"/>
                <w:sz w:val="20"/>
                <w:szCs w:val="20"/>
                <w:lang w:eastAsia="en-US"/>
              </w:rPr>
            </w:pPr>
            <w:r>
              <w:rPr>
                <w:sz w:val="20"/>
                <w:szCs w:val="20"/>
                <w:lang w:eastAsia="en-US"/>
              </w:rPr>
              <w:t>137</w:t>
            </w:r>
          </w:p>
        </w:tc>
        <w:tc>
          <w:tcPr>
            <w:tcW w:w="8500" w:type="dxa"/>
            <w:tcBorders>
              <w:top w:val="single" w:sz="4" w:space="0" w:color="auto"/>
              <w:left w:val="single" w:sz="4" w:space="0" w:color="auto"/>
              <w:bottom w:val="single" w:sz="4" w:space="0" w:color="auto"/>
              <w:right w:val="single" w:sz="4" w:space="0" w:color="auto"/>
            </w:tcBorders>
            <w:vAlign w:val="bottom"/>
            <w:hideMark/>
          </w:tcPr>
          <w:p w14:paraId="254ACF2A" w14:textId="77777777" w:rsidR="00A47145" w:rsidRDefault="00A47145" w:rsidP="00A47145">
            <w:pPr>
              <w:rPr>
                <w:b/>
                <w:sz w:val="20"/>
                <w:szCs w:val="20"/>
                <w:lang w:eastAsia="en-US"/>
              </w:rPr>
            </w:pPr>
            <w:r>
              <w:rPr>
                <w:b/>
                <w:sz w:val="20"/>
                <w:szCs w:val="20"/>
                <w:lang w:eastAsia="en-US"/>
              </w:rPr>
              <w:t>Parietal in occipital view:</w:t>
            </w:r>
          </w:p>
          <w:p w14:paraId="41FA37E1" w14:textId="6859C862" w:rsidR="00A47145" w:rsidRDefault="00A47145" w:rsidP="00A47145">
            <w:pPr>
              <w:rPr>
                <w:b/>
                <w:sz w:val="20"/>
                <w:szCs w:val="20"/>
                <w:lang w:eastAsia="en-US"/>
              </w:rPr>
            </w:pPr>
            <w:r>
              <w:rPr>
                <w:i/>
                <w:sz w:val="20"/>
                <w:szCs w:val="20"/>
                <w:lang w:eastAsia="en-US"/>
              </w:rPr>
              <w:t xml:space="preserve">Jouve et al. (2008, ch. </w:t>
            </w:r>
            <w:r>
              <w:rPr>
                <w:bCs/>
                <w:i/>
                <w:sz w:val="20"/>
                <w:szCs w:val="20"/>
                <w:lang w:eastAsia="en-US"/>
              </w:rPr>
              <w:t xml:space="preserve">32 modified); </w:t>
            </w:r>
            <w:r>
              <w:rPr>
                <w:i/>
                <w:sz w:val="20"/>
                <w:szCs w:val="20"/>
                <w:lang w:eastAsia="en-US"/>
              </w:rPr>
              <w:t xml:space="preserve">Hastings et al. (2010, ch. 44 modified); Ristevski et al. (2018, ds 2, ch. 117); Smith et al. (in review, ds 1, ch. 119); </w:t>
            </w:r>
            <w:r>
              <w:rPr>
                <w:i/>
                <w:sz w:val="20"/>
                <w:szCs w:val="20"/>
              </w:rPr>
              <w:t>Ősi et al. (in review, ds 1, ch. 132)</w:t>
            </w:r>
            <w:r>
              <w:rPr>
                <w:i/>
                <w:sz w:val="20"/>
                <w:szCs w:val="20"/>
                <w:lang w:eastAsia="en-US"/>
              </w:rPr>
              <w:t>.</w:t>
            </w:r>
          </w:p>
          <w:p w14:paraId="373E805D" w14:textId="77777777" w:rsidR="00A47145" w:rsidRDefault="00A47145" w:rsidP="00A47145">
            <w:pPr>
              <w:rPr>
                <w:sz w:val="20"/>
                <w:szCs w:val="20"/>
                <w:lang w:eastAsia="en-US"/>
              </w:rPr>
            </w:pPr>
            <w:r>
              <w:rPr>
                <w:sz w:val="20"/>
                <w:szCs w:val="20"/>
                <w:lang w:eastAsia="en-US"/>
              </w:rPr>
              <w:t>0. ‘W-shaped’</w:t>
            </w:r>
          </w:p>
          <w:p w14:paraId="73CF5084" w14:textId="77777777" w:rsidR="00A47145" w:rsidRDefault="00A47145" w:rsidP="00A47145">
            <w:pPr>
              <w:rPr>
                <w:sz w:val="20"/>
                <w:szCs w:val="20"/>
                <w:lang w:eastAsia="en-US"/>
              </w:rPr>
            </w:pPr>
            <w:r>
              <w:rPr>
                <w:sz w:val="20"/>
                <w:szCs w:val="20"/>
                <w:lang w:eastAsia="en-US"/>
              </w:rPr>
              <w:t xml:space="preserve">1. concave </w:t>
            </w:r>
          </w:p>
          <w:p w14:paraId="7350C4E5" w14:textId="77777777" w:rsidR="00A47145" w:rsidRDefault="00A47145" w:rsidP="00A47145">
            <w:pPr>
              <w:rPr>
                <w:sz w:val="20"/>
                <w:szCs w:val="20"/>
                <w:lang w:eastAsia="en-US"/>
              </w:rPr>
            </w:pPr>
            <w:r>
              <w:rPr>
                <w:sz w:val="20"/>
                <w:szCs w:val="20"/>
                <w:lang w:eastAsia="en-US"/>
              </w:rPr>
              <w:t>2. flat or convex</w:t>
            </w:r>
          </w:p>
        </w:tc>
      </w:tr>
    </w:tbl>
    <w:p w14:paraId="69113E32" w14:textId="77777777" w:rsidR="004C76BC" w:rsidRDefault="004C76BC" w:rsidP="004C76BC">
      <w:pPr>
        <w:rPr>
          <w:sz w:val="20"/>
          <w:szCs w:val="20"/>
        </w:rPr>
      </w:pPr>
    </w:p>
    <w:p w14:paraId="558BE3FF" w14:textId="7E57AB0A" w:rsidR="004C76BC" w:rsidRDefault="004C76BC" w:rsidP="004C76BC">
      <w:r>
        <w:rPr>
          <w:b/>
        </w:rPr>
        <w:t xml:space="preserve">Orbit and temporal region </w:t>
      </w:r>
      <w:r>
        <w:t>(Ch. 13</w:t>
      </w:r>
      <w:r w:rsidR="00A47145">
        <w:t>8</w:t>
      </w:r>
      <w:r>
        <w:t xml:space="preserve"> – 16</w:t>
      </w:r>
      <w:r w:rsidR="00A47145">
        <w:t>6</w:t>
      </w:r>
      <w:r>
        <w:t>; 6.388% of characters)</w:t>
      </w:r>
    </w:p>
    <w:p w14:paraId="72B693B0" w14:textId="77777777" w:rsidR="004C76BC" w:rsidRDefault="004C76BC" w:rsidP="004C76BC">
      <w:pPr>
        <w:rPr>
          <w:i/>
        </w:rPr>
      </w:pPr>
      <w:bookmarkStart w:id="53" w:name="_Hlk485723795"/>
      <w:r>
        <w:rPr>
          <w:i/>
        </w:rPr>
        <w:t>[orbit, circumorbital contributions, ossa palpebralia, ossa scleroticalia, dermatocranial bones (= ossa jugalia, ossa postfrontalia, postorbital bars and ossa quadratojugalia), infratemporal fenestrae]</w:t>
      </w:r>
    </w:p>
    <w:bookmarkEnd w:id="53"/>
    <w:p w14:paraId="614CAFE9"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7ACA8A55"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60569EA"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8BD21E8" w14:textId="77777777" w:rsidR="004C76BC" w:rsidRDefault="004C76BC" w:rsidP="00AF438E">
            <w:pPr>
              <w:rPr>
                <w:sz w:val="20"/>
                <w:szCs w:val="20"/>
                <w:lang w:eastAsia="en-US"/>
              </w:rPr>
            </w:pPr>
            <w:r>
              <w:rPr>
                <w:sz w:val="20"/>
                <w:szCs w:val="20"/>
                <w:lang w:eastAsia="en-US"/>
              </w:rPr>
              <w:t>Description</w:t>
            </w:r>
          </w:p>
        </w:tc>
      </w:tr>
      <w:tr w:rsidR="00A47145" w14:paraId="142BA169" w14:textId="77777777" w:rsidTr="00A47145">
        <w:tc>
          <w:tcPr>
            <w:tcW w:w="0" w:type="auto"/>
            <w:tcBorders>
              <w:top w:val="single" w:sz="4" w:space="0" w:color="auto"/>
              <w:left w:val="single" w:sz="4" w:space="0" w:color="auto"/>
              <w:bottom w:val="single" w:sz="4" w:space="0" w:color="auto"/>
              <w:right w:val="single" w:sz="4" w:space="0" w:color="auto"/>
            </w:tcBorders>
          </w:tcPr>
          <w:p w14:paraId="4729E2E7" w14:textId="77CCB22E" w:rsidR="00A47145" w:rsidRDefault="00A47145" w:rsidP="00A47145">
            <w:pPr>
              <w:rPr>
                <w:color w:val="000000"/>
                <w:sz w:val="20"/>
                <w:szCs w:val="20"/>
                <w:lang w:eastAsia="en-US"/>
              </w:rPr>
            </w:pPr>
            <w:r>
              <w:rPr>
                <w:sz w:val="20"/>
                <w:szCs w:val="20"/>
                <w:lang w:eastAsia="en-US"/>
              </w:rPr>
              <w:t>138</w:t>
            </w:r>
          </w:p>
        </w:tc>
        <w:tc>
          <w:tcPr>
            <w:tcW w:w="0" w:type="auto"/>
            <w:tcBorders>
              <w:top w:val="single" w:sz="4" w:space="0" w:color="auto"/>
              <w:left w:val="single" w:sz="4" w:space="0" w:color="auto"/>
              <w:bottom w:val="single" w:sz="4" w:space="0" w:color="auto"/>
              <w:right w:val="single" w:sz="4" w:space="0" w:color="auto"/>
            </w:tcBorders>
            <w:vAlign w:val="bottom"/>
            <w:hideMark/>
          </w:tcPr>
          <w:p w14:paraId="2CF293DB" w14:textId="77777777" w:rsidR="00A47145" w:rsidRDefault="00A47145" w:rsidP="00A47145">
            <w:pPr>
              <w:rPr>
                <w:b/>
                <w:color w:val="000000"/>
                <w:sz w:val="20"/>
                <w:szCs w:val="20"/>
                <w:lang w:eastAsia="en-US"/>
              </w:rPr>
            </w:pPr>
            <w:r>
              <w:rPr>
                <w:b/>
                <w:color w:val="000000"/>
                <w:sz w:val="20"/>
                <w:szCs w:val="20"/>
                <w:lang w:eastAsia="en-US"/>
              </w:rPr>
              <w:t>Orbit, position:</w:t>
            </w:r>
          </w:p>
          <w:p w14:paraId="711F0D86" w14:textId="6C988887" w:rsidR="00A47145" w:rsidRDefault="00A47145" w:rsidP="00A47145">
            <w:pPr>
              <w:autoSpaceDE w:val="0"/>
              <w:autoSpaceDN w:val="0"/>
              <w:adjustRightInd w:val="0"/>
              <w:rPr>
                <w:i/>
                <w:sz w:val="20"/>
                <w:szCs w:val="20"/>
                <w:lang w:eastAsia="en-US"/>
              </w:rPr>
            </w:pPr>
            <w:r>
              <w:rPr>
                <w:i/>
                <w:sz w:val="20"/>
                <w:szCs w:val="20"/>
                <w:lang w:eastAsia="en-US"/>
              </w:rPr>
              <w:t xml:space="preserve">Young (2006, ch. 3 modified); Wilkinson et al. (2008, ch. 18 modified); Young &amp; Andrade (2009, ch. 18 modified); </w:t>
            </w:r>
            <w:r>
              <w:rPr>
                <w:bCs/>
                <w:i/>
                <w:color w:val="000000"/>
                <w:sz w:val="20"/>
                <w:lang w:eastAsia="en-US"/>
              </w:rPr>
              <w:t>Andrade et al. (2011, ch. 157 modified); Yo</w:t>
            </w:r>
            <w:r>
              <w:rPr>
                <w:i/>
                <w:sz w:val="20"/>
                <w:szCs w:val="20"/>
                <w:lang w:eastAsia="en-US"/>
              </w:rPr>
              <w:t xml:space="preserve">ung et al. (2011, ch. 18); Young et al. (2013a, ch. 60); Young et al. (2012, ch. 69); Young (2014, ch. 71); Young et al. (2016, ds 2, ch. 86); Ristevski et al. (2018, ds 2, ch. 118); Smith et al. (in review, ds 1, ch. 120); </w:t>
            </w:r>
            <w:r>
              <w:rPr>
                <w:i/>
                <w:sz w:val="20"/>
                <w:szCs w:val="20"/>
              </w:rPr>
              <w:t>Ősi et al. (in review, ds 1, ch. 133)</w:t>
            </w:r>
            <w:r>
              <w:rPr>
                <w:i/>
                <w:sz w:val="20"/>
                <w:szCs w:val="20"/>
                <w:lang w:eastAsia="en-US"/>
              </w:rPr>
              <w:t>.</w:t>
            </w:r>
          </w:p>
          <w:p w14:paraId="4F56CD22" w14:textId="77777777" w:rsidR="00A47145" w:rsidRDefault="00A47145" w:rsidP="00A47145">
            <w:pPr>
              <w:autoSpaceDE w:val="0"/>
              <w:autoSpaceDN w:val="0"/>
              <w:adjustRightInd w:val="0"/>
              <w:rPr>
                <w:i/>
                <w:iCs/>
                <w:color w:val="000000"/>
                <w:sz w:val="20"/>
                <w:lang w:eastAsia="en-US"/>
              </w:rPr>
            </w:pPr>
            <w:r>
              <w:rPr>
                <w:i/>
                <w:iCs/>
                <w:color w:val="000000"/>
                <w:sz w:val="20"/>
                <w:lang w:eastAsia="en-US"/>
              </w:rPr>
              <w:t>Note, when scoring the orientation of the orbits, the palpebrals must not be considered.</w:t>
            </w:r>
          </w:p>
          <w:p w14:paraId="50086A24" w14:textId="77777777" w:rsidR="00A47145" w:rsidRDefault="00A47145" w:rsidP="00A47145">
            <w:pPr>
              <w:rPr>
                <w:color w:val="000000"/>
                <w:sz w:val="20"/>
                <w:szCs w:val="20"/>
                <w:lang w:eastAsia="en-US"/>
              </w:rPr>
            </w:pPr>
            <w:r>
              <w:rPr>
                <w:color w:val="000000"/>
                <w:sz w:val="20"/>
                <w:szCs w:val="20"/>
                <w:lang w:eastAsia="en-US"/>
              </w:rPr>
              <w:t>0. fully dorsal</w:t>
            </w:r>
          </w:p>
          <w:p w14:paraId="6DDCCA48" w14:textId="77777777" w:rsidR="00A47145" w:rsidRDefault="00A47145" w:rsidP="00A47145">
            <w:pPr>
              <w:rPr>
                <w:color w:val="000000"/>
                <w:sz w:val="20"/>
                <w:szCs w:val="20"/>
                <w:lang w:eastAsia="en-US"/>
              </w:rPr>
            </w:pPr>
            <w:r>
              <w:rPr>
                <w:color w:val="000000"/>
                <w:sz w:val="20"/>
                <w:szCs w:val="20"/>
                <w:lang w:eastAsia="en-US"/>
              </w:rPr>
              <w:t>1. mainly dorsal, but with slight inclination</w:t>
            </w:r>
          </w:p>
          <w:p w14:paraId="4A4918E0" w14:textId="77777777" w:rsidR="00A47145" w:rsidRDefault="00A47145" w:rsidP="00A47145">
            <w:pPr>
              <w:rPr>
                <w:color w:val="000000"/>
                <w:sz w:val="20"/>
                <w:szCs w:val="20"/>
                <w:lang w:eastAsia="en-US"/>
              </w:rPr>
            </w:pPr>
            <w:r>
              <w:rPr>
                <w:color w:val="000000"/>
                <w:sz w:val="20"/>
                <w:szCs w:val="20"/>
                <w:lang w:eastAsia="en-US"/>
              </w:rPr>
              <w:t>2. lateral, but slightly inclined dorsally, usually visible in dorsal view</w:t>
            </w:r>
          </w:p>
          <w:p w14:paraId="714C38CA" w14:textId="77777777" w:rsidR="00A47145" w:rsidRDefault="00A47145" w:rsidP="00A47145">
            <w:pPr>
              <w:rPr>
                <w:color w:val="000000"/>
                <w:sz w:val="20"/>
                <w:szCs w:val="20"/>
                <w:lang w:eastAsia="en-US"/>
              </w:rPr>
            </w:pPr>
            <w:r>
              <w:rPr>
                <w:color w:val="000000"/>
                <w:sz w:val="20"/>
                <w:szCs w:val="20"/>
                <w:lang w:eastAsia="en-US"/>
              </w:rPr>
              <w:t>3. fully lateral with orbit shape only clear in lateral view</w:t>
            </w:r>
          </w:p>
        </w:tc>
      </w:tr>
      <w:tr w:rsidR="00A47145" w14:paraId="326E5819" w14:textId="77777777" w:rsidTr="00A47145">
        <w:tc>
          <w:tcPr>
            <w:tcW w:w="0" w:type="auto"/>
            <w:tcBorders>
              <w:top w:val="single" w:sz="4" w:space="0" w:color="auto"/>
              <w:left w:val="single" w:sz="4" w:space="0" w:color="auto"/>
              <w:bottom w:val="single" w:sz="4" w:space="0" w:color="auto"/>
              <w:right w:val="single" w:sz="4" w:space="0" w:color="auto"/>
            </w:tcBorders>
          </w:tcPr>
          <w:p w14:paraId="68DBEEB7" w14:textId="02DC8DF1" w:rsidR="00A47145" w:rsidRDefault="00A47145" w:rsidP="00A47145">
            <w:pPr>
              <w:rPr>
                <w:color w:val="000000"/>
                <w:sz w:val="20"/>
                <w:szCs w:val="20"/>
                <w:lang w:eastAsia="en-US"/>
              </w:rPr>
            </w:pPr>
            <w:r>
              <w:rPr>
                <w:sz w:val="20"/>
                <w:szCs w:val="20"/>
                <w:lang w:eastAsia="en-US"/>
              </w:rPr>
              <w:t>139</w:t>
            </w:r>
          </w:p>
        </w:tc>
        <w:tc>
          <w:tcPr>
            <w:tcW w:w="0" w:type="auto"/>
            <w:tcBorders>
              <w:top w:val="single" w:sz="4" w:space="0" w:color="auto"/>
              <w:left w:val="single" w:sz="4" w:space="0" w:color="auto"/>
              <w:bottom w:val="single" w:sz="4" w:space="0" w:color="auto"/>
              <w:right w:val="single" w:sz="4" w:space="0" w:color="auto"/>
            </w:tcBorders>
            <w:vAlign w:val="bottom"/>
            <w:hideMark/>
          </w:tcPr>
          <w:p w14:paraId="5861DDD0" w14:textId="77777777" w:rsidR="00A47145" w:rsidRDefault="00A47145" w:rsidP="00A47145">
            <w:pPr>
              <w:rPr>
                <w:b/>
                <w:color w:val="000000"/>
                <w:sz w:val="20"/>
                <w:szCs w:val="20"/>
                <w:lang w:eastAsia="en-US"/>
              </w:rPr>
            </w:pPr>
            <w:r>
              <w:rPr>
                <w:b/>
                <w:color w:val="000000"/>
                <w:sz w:val="20"/>
                <w:szCs w:val="20"/>
                <w:lang w:eastAsia="en-US"/>
              </w:rPr>
              <w:t>Orbit, shape:</w:t>
            </w:r>
          </w:p>
          <w:p w14:paraId="3D874DA7" w14:textId="2B00C86F"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96); </w:t>
            </w:r>
            <w:r>
              <w:rPr>
                <w:bCs/>
                <w:i/>
                <w:color w:val="000000"/>
                <w:sz w:val="20"/>
                <w:lang w:eastAsia="en-US"/>
              </w:rPr>
              <w:t>Yo</w:t>
            </w:r>
            <w:r>
              <w:rPr>
                <w:i/>
                <w:sz w:val="20"/>
                <w:szCs w:val="20"/>
                <w:lang w:eastAsia="en-US"/>
              </w:rPr>
              <w:t xml:space="preserve">ung et al. (2011, ch. 96); Young et al. (2013a, ch. 61); Young et al. (2012, ch. 70); Young (2014, ch. 72); Young et al. (2016, ds 2, ch. 87); Ristevski et al. (2018, ds 2, ch. 119); Smith et al. (in review, ds 1, ch. 121); </w:t>
            </w:r>
            <w:r>
              <w:rPr>
                <w:i/>
                <w:sz w:val="20"/>
                <w:szCs w:val="20"/>
              </w:rPr>
              <w:t>Ősi et al. (in review, ds 1, ch. 134)</w:t>
            </w:r>
            <w:r>
              <w:rPr>
                <w:i/>
                <w:sz w:val="20"/>
                <w:szCs w:val="20"/>
                <w:lang w:eastAsia="en-US"/>
              </w:rPr>
              <w:t>.</w:t>
            </w:r>
          </w:p>
          <w:p w14:paraId="0ABAD863" w14:textId="77777777" w:rsidR="00A47145" w:rsidRDefault="00A47145" w:rsidP="00A47145">
            <w:pPr>
              <w:rPr>
                <w:color w:val="000000"/>
                <w:sz w:val="20"/>
                <w:szCs w:val="20"/>
                <w:lang w:eastAsia="en-US"/>
              </w:rPr>
            </w:pPr>
            <w:r>
              <w:rPr>
                <w:color w:val="000000"/>
                <w:sz w:val="20"/>
                <w:szCs w:val="20"/>
                <w:lang w:eastAsia="en-US"/>
              </w:rPr>
              <w:t>0. circular, anteroposterior and dorsoventral axes subequal (± 5%)</w:t>
            </w:r>
          </w:p>
          <w:p w14:paraId="3D0C03D7" w14:textId="77777777" w:rsidR="00A47145" w:rsidRDefault="00A47145" w:rsidP="00A47145">
            <w:pPr>
              <w:rPr>
                <w:color w:val="000000"/>
                <w:sz w:val="20"/>
                <w:szCs w:val="20"/>
                <w:lang w:eastAsia="en-US"/>
              </w:rPr>
            </w:pPr>
            <w:r>
              <w:rPr>
                <w:color w:val="000000"/>
                <w:sz w:val="20"/>
                <w:szCs w:val="20"/>
                <w:lang w:eastAsia="en-US"/>
              </w:rPr>
              <w:t>1. longitudinal ellipsoid, anteroposterior axis more than 10% longer than mediolateral axis</w:t>
            </w:r>
          </w:p>
          <w:p w14:paraId="10FC1996" w14:textId="77777777" w:rsidR="00A47145" w:rsidRDefault="00A47145" w:rsidP="00A47145">
            <w:pPr>
              <w:rPr>
                <w:color w:val="000000"/>
                <w:sz w:val="20"/>
                <w:szCs w:val="20"/>
                <w:lang w:eastAsia="en-US"/>
              </w:rPr>
            </w:pPr>
            <w:r>
              <w:rPr>
                <w:color w:val="000000"/>
                <w:sz w:val="20"/>
                <w:szCs w:val="20"/>
                <w:lang w:eastAsia="en-US"/>
              </w:rPr>
              <w:t>2. transverse ellipsoid, mediolateral axis more than 10% longer than anteroposterior axis</w:t>
            </w:r>
          </w:p>
        </w:tc>
      </w:tr>
      <w:tr w:rsidR="00A47145" w14:paraId="0FDA6747" w14:textId="77777777" w:rsidTr="00A47145">
        <w:tc>
          <w:tcPr>
            <w:tcW w:w="0" w:type="auto"/>
            <w:tcBorders>
              <w:top w:val="single" w:sz="4" w:space="0" w:color="auto"/>
              <w:left w:val="single" w:sz="4" w:space="0" w:color="auto"/>
              <w:bottom w:val="single" w:sz="4" w:space="0" w:color="auto"/>
              <w:right w:val="single" w:sz="4" w:space="0" w:color="auto"/>
            </w:tcBorders>
          </w:tcPr>
          <w:p w14:paraId="4E36914C" w14:textId="623E1A82" w:rsidR="00A47145" w:rsidRDefault="00A47145" w:rsidP="00A47145">
            <w:pPr>
              <w:rPr>
                <w:color w:val="000000"/>
                <w:sz w:val="20"/>
                <w:szCs w:val="20"/>
                <w:lang w:eastAsia="en-US"/>
              </w:rPr>
            </w:pPr>
            <w:r>
              <w:rPr>
                <w:sz w:val="20"/>
                <w:szCs w:val="20"/>
                <w:lang w:eastAsia="en-US"/>
              </w:rPr>
              <w:t>140</w:t>
            </w:r>
          </w:p>
        </w:tc>
        <w:tc>
          <w:tcPr>
            <w:tcW w:w="0" w:type="auto"/>
            <w:tcBorders>
              <w:top w:val="single" w:sz="4" w:space="0" w:color="auto"/>
              <w:left w:val="single" w:sz="4" w:space="0" w:color="auto"/>
              <w:bottom w:val="single" w:sz="4" w:space="0" w:color="auto"/>
              <w:right w:val="single" w:sz="4" w:space="0" w:color="auto"/>
            </w:tcBorders>
            <w:vAlign w:val="bottom"/>
            <w:hideMark/>
          </w:tcPr>
          <w:p w14:paraId="1E70DEC3" w14:textId="77777777" w:rsidR="00A47145" w:rsidRDefault="00A47145" w:rsidP="00A47145">
            <w:pPr>
              <w:autoSpaceDE w:val="0"/>
              <w:autoSpaceDN w:val="0"/>
              <w:adjustRightInd w:val="0"/>
              <w:rPr>
                <w:b/>
                <w:sz w:val="20"/>
                <w:szCs w:val="20"/>
                <w:lang w:eastAsia="en-US"/>
              </w:rPr>
            </w:pPr>
            <w:r>
              <w:rPr>
                <w:b/>
                <w:sz w:val="20"/>
                <w:szCs w:val="20"/>
                <w:lang w:eastAsia="en-US"/>
              </w:rPr>
              <w:t>Circumorbital dorsal margin, shape:</w:t>
            </w:r>
          </w:p>
          <w:p w14:paraId="6B1EA39F" w14:textId="18C290A2" w:rsidR="00A47145" w:rsidRDefault="00A47145" w:rsidP="00A47145">
            <w:pPr>
              <w:autoSpaceDE w:val="0"/>
              <w:autoSpaceDN w:val="0"/>
              <w:adjustRightInd w:val="0"/>
              <w:rPr>
                <w:i/>
                <w:sz w:val="20"/>
                <w:szCs w:val="20"/>
                <w:lang w:eastAsia="en-US"/>
              </w:rPr>
            </w:pPr>
            <w:r>
              <w:rPr>
                <w:i/>
                <w:sz w:val="20"/>
                <w:szCs w:val="20"/>
                <w:lang w:eastAsia="en-US"/>
              </w:rPr>
              <w:t xml:space="preserve">Brochu (1999, ch. 103 modified); Salas-Gismondi et al. (2016, ch. 137 modified); Smith et al. (in review, ds 1, ch. 122); </w:t>
            </w:r>
            <w:r>
              <w:rPr>
                <w:i/>
                <w:sz w:val="20"/>
                <w:szCs w:val="20"/>
              </w:rPr>
              <w:t>Ősi et al. (in review, ds 1, ch. 135)</w:t>
            </w:r>
            <w:r>
              <w:rPr>
                <w:i/>
                <w:sz w:val="20"/>
                <w:szCs w:val="20"/>
                <w:lang w:eastAsia="en-US"/>
              </w:rPr>
              <w:t>.</w:t>
            </w:r>
          </w:p>
          <w:p w14:paraId="1178013A" w14:textId="77777777" w:rsidR="00A47145" w:rsidRDefault="00A47145" w:rsidP="00A47145">
            <w:pPr>
              <w:autoSpaceDE w:val="0"/>
              <w:autoSpaceDN w:val="0"/>
              <w:adjustRightInd w:val="0"/>
              <w:rPr>
                <w:i/>
                <w:sz w:val="20"/>
                <w:szCs w:val="20"/>
                <w:lang w:eastAsia="en-US"/>
              </w:rPr>
            </w:pPr>
            <w:r>
              <w:rPr>
                <w:i/>
                <w:iCs/>
                <w:color w:val="000000"/>
                <w:sz w:val="20"/>
                <w:szCs w:val="20"/>
                <w:lang w:eastAsia="en-US"/>
              </w:rPr>
              <w:t>See explanation for this character s</w:t>
            </w:r>
            <w:r>
              <w:rPr>
                <w:i/>
                <w:sz w:val="20"/>
                <w:szCs w:val="20"/>
                <w:lang w:eastAsia="en-US"/>
              </w:rPr>
              <w:t>ee Figure 7 in Salas-Gismondi et al. (2016).</w:t>
            </w:r>
          </w:p>
          <w:p w14:paraId="43D3C84A" w14:textId="77777777" w:rsidR="00A47145" w:rsidRDefault="00A47145" w:rsidP="00A47145">
            <w:pPr>
              <w:autoSpaceDE w:val="0"/>
              <w:autoSpaceDN w:val="0"/>
              <w:adjustRightInd w:val="0"/>
              <w:rPr>
                <w:i/>
                <w:sz w:val="20"/>
                <w:szCs w:val="20"/>
                <w:lang w:eastAsia="en-US"/>
              </w:rPr>
            </w:pPr>
            <w:r>
              <w:rPr>
                <w:i/>
                <w:sz w:val="20"/>
                <w:szCs w:val="20"/>
                <w:lang w:eastAsia="en-US"/>
              </w:rPr>
              <w:t xml:space="preserve">State (1) occurs in the French </w:t>
            </w:r>
            <w:r>
              <w:rPr>
                <w:sz w:val="20"/>
                <w:szCs w:val="20"/>
                <w:lang w:eastAsia="en-US"/>
              </w:rPr>
              <w:t>Pholidosaurus</w:t>
            </w:r>
            <w:r>
              <w:rPr>
                <w:i/>
                <w:sz w:val="20"/>
                <w:szCs w:val="20"/>
                <w:lang w:eastAsia="en-US"/>
              </w:rPr>
              <w:t xml:space="preserve">, </w:t>
            </w:r>
            <w:r>
              <w:rPr>
                <w:sz w:val="20"/>
                <w:szCs w:val="20"/>
                <w:lang w:eastAsia="en-US"/>
              </w:rPr>
              <w:t>Elosuchus</w:t>
            </w:r>
            <w:r>
              <w:rPr>
                <w:i/>
                <w:sz w:val="20"/>
                <w:szCs w:val="20"/>
                <w:lang w:eastAsia="en-US"/>
              </w:rPr>
              <w:t xml:space="preserve">, </w:t>
            </w:r>
            <w:r>
              <w:rPr>
                <w:sz w:val="20"/>
                <w:szCs w:val="20"/>
                <w:lang w:eastAsia="en-US"/>
              </w:rPr>
              <w:t>Teleosaurus</w:t>
            </w:r>
            <w:r>
              <w:rPr>
                <w:i/>
                <w:sz w:val="20"/>
                <w:szCs w:val="20"/>
                <w:lang w:eastAsia="en-US"/>
              </w:rPr>
              <w:t xml:space="preserve">, </w:t>
            </w:r>
            <w:r>
              <w:rPr>
                <w:sz w:val="20"/>
                <w:szCs w:val="20"/>
                <w:lang w:eastAsia="en-US"/>
              </w:rPr>
              <w:t>Mycterosuchus</w:t>
            </w:r>
            <w:r>
              <w:rPr>
                <w:i/>
                <w:sz w:val="20"/>
                <w:szCs w:val="20"/>
                <w:lang w:eastAsia="en-US"/>
              </w:rPr>
              <w:t>.</w:t>
            </w:r>
          </w:p>
          <w:p w14:paraId="2EB79DE5" w14:textId="77777777" w:rsidR="00A47145" w:rsidRDefault="00A47145" w:rsidP="00A47145">
            <w:pPr>
              <w:autoSpaceDE w:val="0"/>
              <w:autoSpaceDN w:val="0"/>
              <w:adjustRightInd w:val="0"/>
              <w:rPr>
                <w:i/>
                <w:sz w:val="20"/>
                <w:szCs w:val="20"/>
                <w:lang w:eastAsia="en-US"/>
              </w:rPr>
            </w:pPr>
            <w:r>
              <w:rPr>
                <w:i/>
                <w:sz w:val="20"/>
                <w:szCs w:val="20"/>
                <w:lang w:eastAsia="en-US"/>
              </w:rPr>
              <w:t xml:space="preserve">State (2) occurs in </w:t>
            </w:r>
            <w:r>
              <w:rPr>
                <w:sz w:val="20"/>
                <w:szCs w:val="20"/>
                <w:lang w:eastAsia="en-US"/>
              </w:rPr>
              <w:t>Vectisuchus</w:t>
            </w:r>
            <w:r>
              <w:rPr>
                <w:i/>
                <w:sz w:val="20"/>
                <w:szCs w:val="20"/>
                <w:lang w:eastAsia="en-US"/>
              </w:rPr>
              <w:t xml:space="preserve">, </w:t>
            </w:r>
            <w:r>
              <w:rPr>
                <w:sz w:val="20"/>
                <w:szCs w:val="20"/>
                <w:lang w:eastAsia="en-US"/>
              </w:rPr>
              <w:t>Sarcosuchus</w:t>
            </w:r>
            <w:r>
              <w:rPr>
                <w:i/>
                <w:sz w:val="20"/>
                <w:szCs w:val="20"/>
                <w:lang w:eastAsia="en-US"/>
              </w:rPr>
              <w:t xml:space="preserve">, </w:t>
            </w:r>
            <w:r>
              <w:rPr>
                <w:sz w:val="20"/>
                <w:szCs w:val="20"/>
                <w:lang w:eastAsia="en-US"/>
              </w:rPr>
              <w:t>Gavialis</w:t>
            </w:r>
            <w:r>
              <w:rPr>
                <w:i/>
                <w:sz w:val="20"/>
                <w:szCs w:val="20"/>
                <w:lang w:eastAsia="en-US"/>
              </w:rPr>
              <w:t>.</w:t>
            </w:r>
          </w:p>
          <w:p w14:paraId="553119F4" w14:textId="77777777" w:rsidR="00A47145" w:rsidRDefault="00A47145" w:rsidP="00A47145">
            <w:pPr>
              <w:autoSpaceDE w:val="0"/>
              <w:autoSpaceDN w:val="0"/>
              <w:adjustRightInd w:val="0"/>
              <w:rPr>
                <w:sz w:val="20"/>
                <w:szCs w:val="20"/>
                <w:lang w:eastAsia="en-US"/>
              </w:rPr>
            </w:pPr>
            <w:r>
              <w:rPr>
                <w:sz w:val="20"/>
                <w:szCs w:val="20"/>
                <w:lang w:eastAsia="en-US"/>
              </w:rPr>
              <w:lastRenderedPageBreak/>
              <w:t xml:space="preserve">Chalawan </w:t>
            </w:r>
            <w:r>
              <w:rPr>
                <w:i/>
                <w:sz w:val="20"/>
                <w:szCs w:val="20"/>
                <w:lang w:eastAsia="en-US"/>
              </w:rPr>
              <w:t>has evidence of the dorsal medial margin being upturned, but the posterior margins of the orbits are not preserved (Martin et al., 2014)</w:t>
            </w:r>
            <w:r>
              <w:rPr>
                <w:sz w:val="20"/>
                <w:szCs w:val="20"/>
                <w:lang w:eastAsia="en-US"/>
              </w:rPr>
              <w:t>.</w:t>
            </w:r>
          </w:p>
          <w:p w14:paraId="57BD9595" w14:textId="77777777" w:rsidR="00A47145" w:rsidRDefault="00A47145" w:rsidP="00A47145">
            <w:pPr>
              <w:autoSpaceDE w:val="0"/>
              <w:autoSpaceDN w:val="0"/>
              <w:adjustRightInd w:val="0"/>
              <w:rPr>
                <w:i/>
                <w:sz w:val="20"/>
                <w:szCs w:val="20"/>
                <w:lang w:eastAsia="en-US"/>
              </w:rPr>
            </w:pPr>
            <w:r>
              <w:rPr>
                <w:i/>
                <w:sz w:val="20"/>
                <w:szCs w:val="20"/>
                <w:lang w:eastAsia="en-US"/>
              </w:rPr>
              <w:t>Note this character is not equivalent to having a concave frontal, as here it is the upturning of the orbital margins that are being scored. Among many taxa with ‘telescoped’ orbits the frontal is also concave, but not all tethysuchians with concave frontals have the ‘telescoped’ orbit condition.</w:t>
            </w:r>
          </w:p>
          <w:p w14:paraId="1F205D35" w14:textId="77777777" w:rsidR="00A47145" w:rsidRDefault="00A47145" w:rsidP="00A47145">
            <w:pPr>
              <w:autoSpaceDE w:val="0"/>
              <w:autoSpaceDN w:val="0"/>
              <w:adjustRightInd w:val="0"/>
              <w:rPr>
                <w:i/>
                <w:sz w:val="20"/>
                <w:szCs w:val="20"/>
                <w:lang w:eastAsia="en-US"/>
              </w:rPr>
            </w:pPr>
            <w:r>
              <w:rPr>
                <w:i/>
                <w:sz w:val="20"/>
                <w:szCs w:val="20"/>
                <w:lang w:eastAsia="en-US"/>
              </w:rPr>
              <w:t>This character helps to quantify the ‘telescoped’ orbit morphology.</w:t>
            </w:r>
          </w:p>
          <w:p w14:paraId="37A47932" w14:textId="77777777" w:rsidR="00A47145" w:rsidRDefault="00A47145" w:rsidP="00A47145">
            <w:pPr>
              <w:autoSpaceDE w:val="0"/>
              <w:autoSpaceDN w:val="0"/>
              <w:adjustRightInd w:val="0"/>
              <w:rPr>
                <w:sz w:val="20"/>
                <w:szCs w:val="20"/>
                <w:lang w:eastAsia="en-US"/>
              </w:rPr>
            </w:pPr>
            <w:r>
              <w:rPr>
                <w:sz w:val="20"/>
                <w:szCs w:val="20"/>
                <w:lang w:eastAsia="en-US"/>
              </w:rPr>
              <w:t>0. dorsal margins of orbits are flush with the skull dorsal surface</w:t>
            </w:r>
          </w:p>
          <w:p w14:paraId="3BCA3CD2" w14:textId="77777777" w:rsidR="00A47145" w:rsidRDefault="00A47145" w:rsidP="00A47145">
            <w:pPr>
              <w:autoSpaceDE w:val="0"/>
              <w:autoSpaceDN w:val="0"/>
              <w:adjustRightInd w:val="0"/>
              <w:rPr>
                <w:sz w:val="20"/>
                <w:szCs w:val="20"/>
                <w:lang w:eastAsia="en-US"/>
              </w:rPr>
            </w:pPr>
            <w:r>
              <w:rPr>
                <w:sz w:val="20"/>
                <w:szCs w:val="20"/>
                <w:lang w:eastAsia="en-US"/>
              </w:rPr>
              <w:t>1. dorsal margins of orbits upturned (prominent along the orbital medial margin in dorsal view, with the frontal interorbital margins being upturned)</w:t>
            </w:r>
          </w:p>
          <w:p w14:paraId="588C0CF8" w14:textId="77777777" w:rsidR="00A47145" w:rsidRDefault="00A47145" w:rsidP="00A47145">
            <w:pPr>
              <w:rPr>
                <w:b/>
                <w:color w:val="000000"/>
                <w:sz w:val="20"/>
                <w:szCs w:val="20"/>
                <w:lang w:eastAsia="en-US"/>
              </w:rPr>
            </w:pPr>
            <w:r>
              <w:rPr>
                <w:sz w:val="20"/>
                <w:szCs w:val="20"/>
                <w:lang w:eastAsia="en-US"/>
              </w:rPr>
              <w:t>2. dorsal and posterior margins are upturned (the frontal lateral process anterior margins are also upturned)</w:t>
            </w:r>
          </w:p>
        </w:tc>
      </w:tr>
      <w:tr w:rsidR="00A47145" w14:paraId="6CFE13C6" w14:textId="77777777" w:rsidTr="00A47145">
        <w:tc>
          <w:tcPr>
            <w:tcW w:w="0" w:type="auto"/>
            <w:tcBorders>
              <w:top w:val="single" w:sz="4" w:space="0" w:color="auto"/>
              <w:left w:val="single" w:sz="4" w:space="0" w:color="auto"/>
              <w:bottom w:val="single" w:sz="4" w:space="0" w:color="auto"/>
              <w:right w:val="single" w:sz="4" w:space="0" w:color="auto"/>
            </w:tcBorders>
          </w:tcPr>
          <w:p w14:paraId="48B8D8D2" w14:textId="038BE3C5" w:rsidR="00A47145" w:rsidRDefault="00A47145" w:rsidP="00A47145">
            <w:pPr>
              <w:rPr>
                <w:color w:val="000000"/>
                <w:sz w:val="20"/>
                <w:szCs w:val="20"/>
                <w:lang w:eastAsia="en-US"/>
              </w:rPr>
            </w:pPr>
            <w:r>
              <w:rPr>
                <w:sz w:val="20"/>
                <w:szCs w:val="20"/>
                <w:lang w:eastAsia="en-US"/>
              </w:rPr>
              <w:lastRenderedPageBreak/>
              <w:t>141</w:t>
            </w:r>
          </w:p>
        </w:tc>
        <w:tc>
          <w:tcPr>
            <w:tcW w:w="0" w:type="auto"/>
            <w:tcBorders>
              <w:top w:val="single" w:sz="4" w:space="0" w:color="auto"/>
              <w:left w:val="single" w:sz="4" w:space="0" w:color="auto"/>
              <w:bottom w:val="single" w:sz="4" w:space="0" w:color="auto"/>
              <w:right w:val="single" w:sz="4" w:space="0" w:color="auto"/>
            </w:tcBorders>
            <w:vAlign w:val="bottom"/>
            <w:hideMark/>
          </w:tcPr>
          <w:p w14:paraId="7662DBCF" w14:textId="77777777" w:rsidR="00A47145" w:rsidRDefault="00A47145" w:rsidP="00A47145">
            <w:pPr>
              <w:autoSpaceDE w:val="0"/>
              <w:autoSpaceDN w:val="0"/>
              <w:adjustRightInd w:val="0"/>
              <w:rPr>
                <w:b/>
                <w:bCs/>
                <w:sz w:val="20"/>
                <w:lang w:eastAsia="en-US"/>
              </w:rPr>
            </w:pPr>
            <w:r>
              <w:rPr>
                <w:b/>
                <w:bCs/>
                <w:sz w:val="20"/>
                <w:lang w:eastAsia="en-US"/>
              </w:rPr>
              <w:t>Circumorbital ventral margin, shape:</w:t>
            </w:r>
          </w:p>
          <w:p w14:paraId="49978724" w14:textId="1F1E0707" w:rsidR="00A47145" w:rsidRDefault="00A47145" w:rsidP="00A47145">
            <w:pPr>
              <w:autoSpaceDE w:val="0"/>
              <w:autoSpaceDN w:val="0"/>
              <w:adjustRightInd w:val="0"/>
              <w:rPr>
                <w:i/>
                <w:sz w:val="20"/>
                <w:lang w:eastAsia="en-US"/>
              </w:rPr>
            </w:pPr>
            <w:r>
              <w:rPr>
                <w:i/>
                <w:sz w:val="20"/>
                <w:lang w:eastAsia="en-US"/>
              </w:rPr>
              <w:t xml:space="preserve">Salas-Gismondi et al. (2016, ch. 138 modified); </w:t>
            </w:r>
            <w:r>
              <w:rPr>
                <w:i/>
                <w:sz w:val="20"/>
                <w:szCs w:val="20"/>
                <w:lang w:eastAsia="en-US"/>
              </w:rPr>
              <w:t xml:space="preserve">Smith et al. (in review, ds 1, ch. 123); </w:t>
            </w:r>
            <w:r>
              <w:rPr>
                <w:i/>
                <w:sz w:val="20"/>
                <w:szCs w:val="20"/>
              </w:rPr>
              <w:t>Ősi et al. (in review, ds 1, ch. 136)</w:t>
            </w:r>
            <w:r>
              <w:rPr>
                <w:i/>
                <w:sz w:val="20"/>
                <w:lang w:eastAsia="en-US"/>
              </w:rPr>
              <w:t>.</w:t>
            </w:r>
          </w:p>
          <w:p w14:paraId="55283C21" w14:textId="77777777" w:rsidR="00A47145" w:rsidRDefault="00A47145" w:rsidP="00A47145">
            <w:pPr>
              <w:autoSpaceDE w:val="0"/>
              <w:autoSpaceDN w:val="0"/>
              <w:adjustRightInd w:val="0"/>
              <w:rPr>
                <w:i/>
                <w:sz w:val="20"/>
                <w:lang w:eastAsia="en-US"/>
              </w:rPr>
            </w:pPr>
            <w:r>
              <w:rPr>
                <w:i/>
                <w:sz w:val="20"/>
                <w:lang w:eastAsia="en-US"/>
              </w:rPr>
              <w:t xml:space="preserve">State (1) occurs in </w:t>
            </w:r>
            <w:r>
              <w:rPr>
                <w:sz w:val="20"/>
                <w:lang w:eastAsia="en-US"/>
              </w:rPr>
              <w:t>Vectisuchus</w:t>
            </w:r>
            <w:r>
              <w:rPr>
                <w:i/>
                <w:sz w:val="20"/>
                <w:lang w:eastAsia="en-US"/>
              </w:rPr>
              <w:t xml:space="preserve">, </w:t>
            </w:r>
            <w:r>
              <w:rPr>
                <w:sz w:val="20"/>
                <w:lang w:eastAsia="en-US"/>
              </w:rPr>
              <w:t>Sarcosuchus</w:t>
            </w:r>
            <w:r>
              <w:rPr>
                <w:i/>
                <w:sz w:val="20"/>
                <w:lang w:eastAsia="en-US"/>
              </w:rPr>
              <w:t xml:space="preserve">, </w:t>
            </w:r>
            <w:r>
              <w:rPr>
                <w:sz w:val="20"/>
                <w:lang w:eastAsia="en-US"/>
              </w:rPr>
              <w:t>Gavialis</w:t>
            </w:r>
            <w:r>
              <w:rPr>
                <w:i/>
                <w:sz w:val="20"/>
                <w:lang w:eastAsia="en-US"/>
              </w:rPr>
              <w:t>.</w:t>
            </w:r>
          </w:p>
          <w:p w14:paraId="0397A5D8" w14:textId="77777777" w:rsidR="00A47145" w:rsidRDefault="00A47145" w:rsidP="00A47145">
            <w:pPr>
              <w:autoSpaceDE w:val="0"/>
              <w:autoSpaceDN w:val="0"/>
              <w:adjustRightInd w:val="0"/>
              <w:rPr>
                <w:sz w:val="20"/>
                <w:lang w:eastAsia="en-US"/>
              </w:rPr>
            </w:pPr>
            <w:r>
              <w:rPr>
                <w:sz w:val="20"/>
                <w:lang w:eastAsia="en-US"/>
              </w:rPr>
              <w:t xml:space="preserve">Chalawan </w:t>
            </w:r>
            <w:r>
              <w:rPr>
                <w:i/>
                <w:sz w:val="20"/>
                <w:lang w:eastAsia="en-US"/>
              </w:rPr>
              <w:t>has evidence of the dorsal medial margin being upturned, but the anterior margins of the orbits are not preserved (Martin et al., 2014)</w:t>
            </w:r>
            <w:r>
              <w:rPr>
                <w:sz w:val="20"/>
                <w:lang w:eastAsia="en-US"/>
              </w:rPr>
              <w:t>.</w:t>
            </w:r>
          </w:p>
          <w:p w14:paraId="6BC1F980" w14:textId="77777777" w:rsidR="00A47145" w:rsidRDefault="00A47145" w:rsidP="00A47145">
            <w:pPr>
              <w:autoSpaceDE w:val="0"/>
              <w:autoSpaceDN w:val="0"/>
              <w:adjustRightInd w:val="0"/>
              <w:rPr>
                <w:i/>
                <w:sz w:val="20"/>
                <w:lang w:eastAsia="en-US"/>
              </w:rPr>
            </w:pPr>
            <w:r>
              <w:rPr>
                <w:i/>
                <w:sz w:val="20"/>
                <w:lang w:eastAsia="en-US"/>
              </w:rPr>
              <w:t>State (1) is caused by the ‘upturning’ of the preorbital bones (in particular the lachrymals), changing the shape of the anterior orbit margin. As shown by Salas-Gismondi et al. (2016) the accumulation of characters relating to orbital ‘telescoping’ is gradual, thus not all taxa will score for all character states relating to this morphofunctional complex.</w:t>
            </w:r>
          </w:p>
          <w:p w14:paraId="0B8D9FE2" w14:textId="77777777" w:rsidR="00A47145" w:rsidRDefault="00A47145" w:rsidP="00A47145">
            <w:pPr>
              <w:autoSpaceDE w:val="0"/>
              <w:autoSpaceDN w:val="0"/>
              <w:adjustRightInd w:val="0"/>
              <w:rPr>
                <w:i/>
                <w:sz w:val="20"/>
                <w:lang w:eastAsia="en-US"/>
              </w:rPr>
            </w:pPr>
            <w:r>
              <w:rPr>
                <w:i/>
                <w:sz w:val="20"/>
                <w:lang w:eastAsia="en-US"/>
              </w:rPr>
              <w:t>This character helps to quantify the ‘telescoped’ orbit morphology.</w:t>
            </w:r>
          </w:p>
          <w:p w14:paraId="533B68A8" w14:textId="77777777" w:rsidR="00A47145" w:rsidRDefault="00A47145" w:rsidP="00A47145">
            <w:pPr>
              <w:autoSpaceDE w:val="0"/>
              <w:autoSpaceDN w:val="0"/>
              <w:adjustRightInd w:val="0"/>
              <w:rPr>
                <w:bCs/>
                <w:sz w:val="20"/>
                <w:lang w:eastAsia="en-US"/>
              </w:rPr>
            </w:pPr>
            <w:r>
              <w:rPr>
                <w:bCs/>
                <w:sz w:val="20"/>
                <w:lang w:eastAsia="en-US"/>
              </w:rPr>
              <w:t>0. ventral margin of the orbit is either concave or sub-straight</w:t>
            </w:r>
          </w:p>
          <w:p w14:paraId="292AE0C8" w14:textId="77777777" w:rsidR="00A47145" w:rsidRDefault="00A47145" w:rsidP="00A47145">
            <w:pPr>
              <w:rPr>
                <w:b/>
                <w:color w:val="000000"/>
                <w:sz w:val="20"/>
                <w:szCs w:val="20"/>
                <w:lang w:eastAsia="en-US"/>
              </w:rPr>
            </w:pPr>
            <w:r>
              <w:rPr>
                <w:bCs/>
                <w:sz w:val="20"/>
                <w:lang w:eastAsia="en-US"/>
              </w:rPr>
              <w:t>1. ventral margin of the orbit has a prominent notch</w:t>
            </w:r>
          </w:p>
        </w:tc>
      </w:tr>
      <w:tr w:rsidR="00A47145" w14:paraId="1BC4905B" w14:textId="77777777" w:rsidTr="00A47145">
        <w:tc>
          <w:tcPr>
            <w:tcW w:w="0" w:type="auto"/>
            <w:tcBorders>
              <w:top w:val="single" w:sz="4" w:space="0" w:color="auto"/>
              <w:left w:val="single" w:sz="4" w:space="0" w:color="auto"/>
              <w:bottom w:val="single" w:sz="4" w:space="0" w:color="auto"/>
              <w:right w:val="single" w:sz="4" w:space="0" w:color="auto"/>
            </w:tcBorders>
          </w:tcPr>
          <w:p w14:paraId="6A4978D4" w14:textId="28ADAE52" w:rsidR="00A47145" w:rsidRDefault="00A47145" w:rsidP="00A47145">
            <w:pPr>
              <w:rPr>
                <w:color w:val="000000"/>
                <w:sz w:val="20"/>
                <w:szCs w:val="20"/>
                <w:lang w:eastAsia="en-US"/>
              </w:rPr>
            </w:pPr>
            <w:r>
              <w:rPr>
                <w:color w:val="000000"/>
                <w:sz w:val="20"/>
                <w:szCs w:val="20"/>
                <w:lang w:eastAsia="en-US"/>
              </w:rPr>
              <w:t>142</w:t>
            </w:r>
          </w:p>
        </w:tc>
        <w:tc>
          <w:tcPr>
            <w:tcW w:w="0" w:type="auto"/>
            <w:tcBorders>
              <w:top w:val="single" w:sz="4" w:space="0" w:color="auto"/>
              <w:left w:val="single" w:sz="4" w:space="0" w:color="auto"/>
              <w:bottom w:val="single" w:sz="4" w:space="0" w:color="auto"/>
              <w:right w:val="single" w:sz="4" w:space="0" w:color="auto"/>
            </w:tcBorders>
            <w:vAlign w:val="bottom"/>
            <w:hideMark/>
          </w:tcPr>
          <w:p w14:paraId="1FAD5E6B" w14:textId="77777777" w:rsidR="00A47145" w:rsidRDefault="00A47145" w:rsidP="00A47145">
            <w:pPr>
              <w:rPr>
                <w:b/>
                <w:color w:val="000000"/>
                <w:sz w:val="20"/>
                <w:szCs w:val="20"/>
                <w:lang w:eastAsia="en-US"/>
              </w:rPr>
            </w:pPr>
            <w:r>
              <w:rPr>
                <w:b/>
                <w:color w:val="000000"/>
                <w:sz w:val="20"/>
                <w:szCs w:val="20"/>
                <w:lang w:eastAsia="en-US"/>
              </w:rPr>
              <w:t>Orbit, anterodorsal margin and the lachrymal:</w:t>
            </w:r>
          </w:p>
          <w:p w14:paraId="590BFCF2" w14:textId="425ED216"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124 part); </w:t>
            </w:r>
            <w:r>
              <w:rPr>
                <w:bCs/>
                <w:i/>
                <w:color w:val="000000"/>
                <w:sz w:val="20"/>
                <w:lang w:eastAsia="en-US"/>
              </w:rPr>
              <w:t>Yo</w:t>
            </w:r>
            <w:r>
              <w:rPr>
                <w:i/>
                <w:sz w:val="20"/>
                <w:szCs w:val="20"/>
                <w:lang w:eastAsia="en-US"/>
              </w:rPr>
              <w:t xml:space="preserve">ung et al. (2011, ch. 124 part); Young et al. (2013a, ch. 62 part); Young et al. (2012, ch. 71); Young (2014, ch. 73); Young et al. (2016, ds 2, ch. 88); Ristevski et al. (2018, ds 2, ch. 120); Smith et al. (in review, ds 1, ch. 124); </w:t>
            </w:r>
            <w:r>
              <w:rPr>
                <w:i/>
                <w:sz w:val="20"/>
                <w:szCs w:val="20"/>
              </w:rPr>
              <w:t>Ősi et al. (in review, ds 1, ch. 137)</w:t>
            </w:r>
            <w:r>
              <w:rPr>
                <w:i/>
                <w:sz w:val="20"/>
                <w:szCs w:val="20"/>
                <w:lang w:eastAsia="en-US"/>
              </w:rPr>
              <w:t>.</w:t>
            </w:r>
          </w:p>
          <w:p w14:paraId="3BF3B418" w14:textId="77777777" w:rsidR="00A47145" w:rsidRDefault="00A47145" w:rsidP="00A47145">
            <w:pPr>
              <w:rPr>
                <w:i/>
                <w:color w:val="000000"/>
                <w:sz w:val="20"/>
                <w:szCs w:val="20"/>
                <w:lang w:eastAsia="en-US"/>
              </w:rPr>
            </w:pPr>
            <w:r>
              <w:rPr>
                <w:i/>
                <w:color w:val="000000"/>
                <w:sz w:val="20"/>
                <w:szCs w:val="20"/>
                <w:lang w:eastAsia="en-US"/>
              </w:rPr>
              <w:t xml:space="preserve">In Thalattosuchia, state (1) is a putative autapomorphy of </w:t>
            </w:r>
            <w:r>
              <w:rPr>
                <w:color w:val="000000"/>
                <w:sz w:val="20"/>
                <w:szCs w:val="20"/>
                <w:lang w:eastAsia="en-US"/>
              </w:rPr>
              <w:t>Teleidosaurus calvadosii</w:t>
            </w:r>
          </w:p>
          <w:p w14:paraId="0F50D0F1" w14:textId="77777777" w:rsidR="00A47145" w:rsidRDefault="00A47145" w:rsidP="00A47145">
            <w:pPr>
              <w:rPr>
                <w:color w:val="000000"/>
                <w:sz w:val="20"/>
                <w:szCs w:val="20"/>
                <w:lang w:eastAsia="en-US"/>
              </w:rPr>
            </w:pPr>
            <w:r>
              <w:rPr>
                <w:color w:val="000000"/>
                <w:sz w:val="20"/>
                <w:szCs w:val="20"/>
                <w:lang w:eastAsia="en-US"/>
              </w:rPr>
              <w:t>0. lachrymal is excluded from the orbit anterodorsal margin</w:t>
            </w:r>
          </w:p>
          <w:p w14:paraId="2A6C6752" w14:textId="77777777" w:rsidR="00A47145" w:rsidRDefault="00A47145" w:rsidP="00A47145">
            <w:pPr>
              <w:rPr>
                <w:color w:val="000000"/>
                <w:sz w:val="20"/>
                <w:szCs w:val="20"/>
                <w:lang w:eastAsia="en-US"/>
              </w:rPr>
            </w:pPr>
            <w:r>
              <w:rPr>
                <w:color w:val="000000"/>
                <w:sz w:val="20"/>
                <w:szCs w:val="20"/>
                <w:lang w:eastAsia="en-US"/>
              </w:rPr>
              <w:t>1. lachrymal reaches the orbit anterodorsal margin</w:t>
            </w:r>
          </w:p>
        </w:tc>
      </w:tr>
      <w:tr w:rsidR="00A47145" w14:paraId="20FC18D9" w14:textId="77777777" w:rsidTr="00A47145">
        <w:tc>
          <w:tcPr>
            <w:tcW w:w="0" w:type="auto"/>
            <w:tcBorders>
              <w:top w:val="single" w:sz="4" w:space="0" w:color="auto"/>
              <w:left w:val="single" w:sz="4" w:space="0" w:color="auto"/>
              <w:bottom w:val="single" w:sz="4" w:space="0" w:color="auto"/>
              <w:right w:val="single" w:sz="4" w:space="0" w:color="auto"/>
            </w:tcBorders>
          </w:tcPr>
          <w:p w14:paraId="5EE2A52F" w14:textId="2A054AA5" w:rsidR="00A47145" w:rsidRDefault="00A47145" w:rsidP="00A47145">
            <w:pPr>
              <w:rPr>
                <w:color w:val="000000"/>
                <w:sz w:val="20"/>
                <w:szCs w:val="20"/>
                <w:lang w:eastAsia="en-US"/>
              </w:rPr>
            </w:pPr>
            <w:r>
              <w:rPr>
                <w:color w:val="000000"/>
                <w:sz w:val="20"/>
                <w:szCs w:val="20"/>
                <w:lang w:eastAsia="en-US"/>
              </w:rPr>
              <w:t>143</w:t>
            </w:r>
          </w:p>
        </w:tc>
        <w:tc>
          <w:tcPr>
            <w:tcW w:w="0" w:type="auto"/>
            <w:tcBorders>
              <w:top w:val="single" w:sz="4" w:space="0" w:color="auto"/>
              <w:left w:val="single" w:sz="4" w:space="0" w:color="auto"/>
              <w:bottom w:val="single" w:sz="4" w:space="0" w:color="auto"/>
              <w:right w:val="single" w:sz="4" w:space="0" w:color="auto"/>
            </w:tcBorders>
            <w:vAlign w:val="bottom"/>
            <w:hideMark/>
          </w:tcPr>
          <w:p w14:paraId="37E7E9C5" w14:textId="77777777" w:rsidR="00A47145" w:rsidRDefault="00A47145" w:rsidP="00A47145">
            <w:pPr>
              <w:rPr>
                <w:b/>
                <w:color w:val="000000"/>
                <w:sz w:val="20"/>
                <w:szCs w:val="20"/>
                <w:lang w:eastAsia="en-US"/>
              </w:rPr>
            </w:pPr>
            <w:r>
              <w:rPr>
                <w:b/>
                <w:color w:val="000000"/>
                <w:sz w:val="20"/>
                <w:szCs w:val="20"/>
                <w:lang w:eastAsia="en-US"/>
              </w:rPr>
              <w:t>Orbit, posterodorsal margin and the postorbital:</w:t>
            </w:r>
          </w:p>
          <w:p w14:paraId="57000168" w14:textId="3EEEE0AB"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124 part); </w:t>
            </w:r>
            <w:r>
              <w:rPr>
                <w:bCs/>
                <w:i/>
                <w:color w:val="000000"/>
                <w:sz w:val="20"/>
                <w:lang w:eastAsia="en-US"/>
              </w:rPr>
              <w:t>Yo</w:t>
            </w:r>
            <w:r>
              <w:rPr>
                <w:i/>
                <w:sz w:val="20"/>
                <w:szCs w:val="20"/>
                <w:lang w:eastAsia="en-US"/>
              </w:rPr>
              <w:t xml:space="preserve">ung et al. (2011, ch. 124 part); Young et al. (2013a, ch. 62 part); Young et al. (2012, ch. 72); Young (2014, ch. 74); Young et al. (2016, ds 2, ch. 89); Ristevski et al. (2018, ds 2, ch. 121); Smith et al. (in review, ds 1, ch. 125); </w:t>
            </w:r>
            <w:r>
              <w:rPr>
                <w:i/>
                <w:sz w:val="20"/>
                <w:szCs w:val="20"/>
              </w:rPr>
              <w:t>Ősi et al. (in review, ds 1, ch. 138)</w:t>
            </w:r>
            <w:r>
              <w:rPr>
                <w:i/>
                <w:sz w:val="20"/>
                <w:szCs w:val="20"/>
                <w:lang w:eastAsia="en-US"/>
              </w:rPr>
              <w:t>.</w:t>
            </w:r>
          </w:p>
          <w:p w14:paraId="3642E0A1" w14:textId="77777777" w:rsidR="00A47145" w:rsidRDefault="00A47145" w:rsidP="00A47145">
            <w:pPr>
              <w:rPr>
                <w:i/>
                <w:color w:val="000000"/>
                <w:sz w:val="20"/>
                <w:szCs w:val="20"/>
                <w:lang w:eastAsia="en-US"/>
              </w:rPr>
            </w:pPr>
            <w:r>
              <w:rPr>
                <w:i/>
                <w:color w:val="000000"/>
                <w:sz w:val="20"/>
                <w:szCs w:val="20"/>
                <w:lang w:eastAsia="en-US"/>
              </w:rPr>
              <w:t xml:space="preserve">In Thalattosuchia, state (1) is a putative apomorphy of the clade </w:t>
            </w:r>
            <w:r>
              <w:rPr>
                <w:color w:val="000000"/>
                <w:sz w:val="20"/>
                <w:szCs w:val="20"/>
                <w:lang w:eastAsia="en-US"/>
              </w:rPr>
              <w:t>Teleidosaurus</w:t>
            </w:r>
            <w:r>
              <w:rPr>
                <w:i/>
                <w:color w:val="000000"/>
                <w:sz w:val="20"/>
                <w:szCs w:val="20"/>
                <w:lang w:eastAsia="en-US"/>
              </w:rPr>
              <w:t xml:space="preserve"> + Metriorhynchidae</w:t>
            </w:r>
          </w:p>
          <w:p w14:paraId="3EB03EE7" w14:textId="77777777" w:rsidR="00A47145" w:rsidRDefault="00A47145" w:rsidP="00A47145">
            <w:pPr>
              <w:rPr>
                <w:color w:val="000000"/>
                <w:sz w:val="20"/>
                <w:szCs w:val="20"/>
                <w:lang w:eastAsia="en-US"/>
              </w:rPr>
            </w:pPr>
            <w:r>
              <w:rPr>
                <w:color w:val="000000"/>
                <w:sz w:val="20"/>
                <w:szCs w:val="20"/>
                <w:lang w:eastAsia="en-US"/>
              </w:rPr>
              <w:t>0. postorbital is excluded from the orbit posterodorsal margin</w:t>
            </w:r>
          </w:p>
          <w:p w14:paraId="0A6A0986" w14:textId="77777777" w:rsidR="00A47145" w:rsidRDefault="00A47145" w:rsidP="00A47145">
            <w:pPr>
              <w:rPr>
                <w:b/>
                <w:color w:val="000000"/>
                <w:sz w:val="20"/>
                <w:szCs w:val="20"/>
                <w:lang w:eastAsia="en-US"/>
              </w:rPr>
            </w:pPr>
            <w:r>
              <w:rPr>
                <w:color w:val="000000"/>
                <w:sz w:val="20"/>
                <w:szCs w:val="20"/>
                <w:lang w:eastAsia="en-US"/>
              </w:rPr>
              <w:t>1. postorbital reaches the orbit posterodorsal margin</w:t>
            </w:r>
          </w:p>
        </w:tc>
      </w:tr>
      <w:tr w:rsidR="00A47145" w14:paraId="23FEE5C2" w14:textId="77777777" w:rsidTr="00A47145">
        <w:tc>
          <w:tcPr>
            <w:tcW w:w="0" w:type="auto"/>
            <w:tcBorders>
              <w:top w:val="single" w:sz="4" w:space="0" w:color="auto"/>
              <w:left w:val="single" w:sz="4" w:space="0" w:color="auto"/>
              <w:bottom w:val="single" w:sz="4" w:space="0" w:color="auto"/>
              <w:right w:val="single" w:sz="4" w:space="0" w:color="auto"/>
            </w:tcBorders>
          </w:tcPr>
          <w:p w14:paraId="0251F508" w14:textId="280D6107" w:rsidR="00A47145" w:rsidRDefault="00A47145" w:rsidP="00A47145">
            <w:pPr>
              <w:rPr>
                <w:color w:val="000000"/>
                <w:sz w:val="20"/>
                <w:szCs w:val="20"/>
                <w:lang w:eastAsia="en-US"/>
              </w:rPr>
            </w:pPr>
            <w:r>
              <w:rPr>
                <w:color w:val="000000"/>
                <w:sz w:val="20"/>
                <w:szCs w:val="20"/>
                <w:lang w:eastAsia="en-US"/>
              </w:rPr>
              <w:t>144</w:t>
            </w:r>
          </w:p>
        </w:tc>
        <w:tc>
          <w:tcPr>
            <w:tcW w:w="0" w:type="auto"/>
            <w:tcBorders>
              <w:top w:val="single" w:sz="4" w:space="0" w:color="auto"/>
              <w:left w:val="single" w:sz="4" w:space="0" w:color="auto"/>
              <w:bottom w:val="single" w:sz="4" w:space="0" w:color="auto"/>
              <w:right w:val="single" w:sz="4" w:space="0" w:color="auto"/>
            </w:tcBorders>
            <w:vAlign w:val="bottom"/>
            <w:hideMark/>
          </w:tcPr>
          <w:p w14:paraId="1D31F03A" w14:textId="77777777" w:rsidR="00A47145" w:rsidRDefault="00A47145" w:rsidP="00A47145">
            <w:pPr>
              <w:rPr>
                <w:b/>
                <w:color w:val="000000"/>
                <w:sz w:val="20"/>
                <w:szCs w:val="20"/>
                <w:lang w:eastAsia="en-US"/>
              </w:rPr>
            </w:pPr>
            <w:r>
              <w:rPr>
                <w:b/>
                <w:color w:val="000000"/>
                <w:sz w:val="20"/>
                <w:szCs w:val="20"/>
                <w:lang w:eastAsia="en-US"/>
              </w:rPr>
              <w:t>Orbit, anteroventral margin and the lachrymal:</w:t>
            </w:r>
          </w:p>
          <w:p w14:paraId="1FD99D05" w14:textId="3081AFE7"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95 part); </w:t>
            </w:r>
            <w:r>
              <w:rPr>
                <w:bCs/>
                <w:i/>
                <w:color w:val="000000"/>
                <w:sz w:val="20"/>
                <w:lang w:eastAsia="en-US"/>
              </w:rPr>
              <w:t>Yo</w:t>
            </w:r>
            <w:r>
              <w:rPr>
                <w:i/>
                <w:sz w:val="20"/>
                <w:szCs w:val="20"/>
                <w:lang w:eastAsia="en-US"/>
              </w:rPr>
              <w:t xml:space="preserve">ung et al. (2011, ch. 95 part); Young et al. (2013a, ch. 63 part); Young et al. (2012, ch. 73); Young (2014, ch. 75); Young et al. (2016, ds 2, ch. 90); Ristevski et al. (2018, ds 2, ch. 122); Smith et al. (in review, ds 1, ch. 126); </w:t>
            </w:r>
            <w:r>
              <w:rPr>
                <w:i/>
                <w:sz w:val="20"/>
                <w:szCs w:val="20"/>
              </w:rPr>
              <w:t>Ősi et al. (in review, ds 1, ch. 139)</w:t>
            </w:r>
            <w:r>
              <w:rPr>
                <w:i/>
                <w:sz w:val="20"/>
                <w:szCs w:val="20"/>
                <w:lang w:eastAsia="en-US"/>
              </w:rPr>
              <w:t>.</w:t>
            </w:r>
          </w:p>
          <w:p w14:paraId="7A6978EB" w14:textId="77777777" w:rsidR="00A47145" w:rsidRDefault="00A47145" w:rsidP="00A47145">
            <w:pPr>
              <w:rPr>
                <w:color w:val="000000"/>
                <w:sz w:val="20"/>
                <w:szCs w:val="20"/>
                <w:lang w:eastAsia="en-US"/>
              </w:rPr>
            </w:pPr>
            <w:r>
              <w:rPr>
                <w:color w:val="000000"/>
                <w:sz w:val="20"/>
                <w:szCs w:val="20"/>
                <w:lang w:eastAsia="en-US"/>
              </w:rPr>
              <w:t>0. lachrymal is excluded from the orbit anteroventral margin</w:t>
            </w:r>
          </w:p>
          <w:p w14:paraId="3B50C0BD" w14:textId="77777777" w:rsidR="00A47145" w:rsidRDefault="00A47145" w:rsidP="00A47145">
            <w:pPr>
              <w:rPr>
                <w:b/>
                <w:color w:val="000000"/>
                <w:sz w:val="20"/>
                <w:szCs w:val="20"/>
                <w:lang w:eastAsia="en-US"/>
              </w:rPr>
            </w:pPr>
            <w:r>
              <w:rPr>
                <w:color w:val="000000"/>
                <w:sz w:val="20"/>
                <w:szCs w:val="20"/>
                <w:lang w:eastAsia="en-US"/>
              </w:rPr>
              <w:t>1. lachrymal reaches the orbit anteroventral margin</w:t>
            </w:r>
          </w:p>
        </w:tc>
      </w:tr>
      <w:tr w:rsidR="00A47145" w14:paraId="614EB60F" w14:textId="77777777" w:rsidTr="00A47145">
        <w:tc>
          <w:tcPr>
            <w:tcW w:w="0" w:type="auto"/>
            <w:tcBorders>
              <w:top w:val="single" w:sz="4" w:space="0" w:color="auto"/>
              <w:left w:val="single" w:sz="4" w:space="0" w:color="auto"/>
              <w:bottom w:val="single" w:sz="4" w:space="0" w:color="auto"/>
              <w:right w:val="single" w:sz="4" w:space="0" w:color="auto"/>
            </w:tcBorders>
          </w:tcPr>
          <w:p w14:paraId="04C107D1" w14:textId="24500F27" w:rsidR="00A47145" w:rsidRDefault="00A47145" w:rsidP="00A47145">
            <w:pPr>
              <w:rPr>
                <w:color w:val="000000"/>
                <w:sz w:val="20"/>
                <w:szCs w:val="20"/>
                <w:lang w:eastAsia="en-US"/>
              </w:rPr>
            </w:pPr>
            <w:r>
              <w:rPr>
                <w:color w:val="000000"/>
                <w:sz w:val="20"/>
                <w:szCs w:val="20"/>
                <w:lang w:eastAsia="en-US"/>
              </w:rPr>
              <w:t>145</w:t>
            </w:r>
          </w:p>
        </w:tc>
        <w:tc>
          <w:tcPr>
            <w:tcW w:w="0" w:type="auto"/>
            <w:tcBorders>
              <w:top w:val="single" w:sz="4" w:space="0" w:color="auto"/>
              <w:left w:val="single" w:sz="4" w:space="0" w:color="auto"/>
              <w:bottom w:val="single" w:sz="4" w:space="0" w:color="auto"/>
              <w:right w:val="single" w:sz="4" w:space="0" w:color="auto"/>
            </w:tcBorders>
            <w:vAlign w:val="bottom"/>
            <w:hideMark/>
          </w:tcPr>
          <w:p w14:paraId="7C558336" w14:textId="77777777" w:rsidR="00A47145" w:rsidRDefault="00A47145" w:rsidP="00A47145">
            <w:pPr>
              <w:rPr>
                <w:b/>
                <w:color w:val="000000"/>
                <w:sz w:val="20"/>
                <w:szCs w:val="20"/>
                <w:lang w:eastAsia="en-US"/>
              </w:rPr>
            </w:pPr>
            <w:r>
              <w:rPr>
                <w:b/>
                <w:color w:val="000000"/>
                <w:sz w:val="20"/>
                <w:szCs w:val="20"/>
                <w:lang w:eastAsia="en-US"/>
              </w:rPr>
              <w:t>Orbit, anterior margin and the jugal anterior process:</w:t>
            </w:r>
          </w:p>
          <w:p w14:paraId="7797A7D9" w14:textId="1AC915B2" w:rsidR="00A47145" w:rsidRDefault="00A47145" w:rsidP="00A47145">
            <w:pPr>
              <w:rPr>
                <w:i/>
                <w:color w:val="000000"/>
                <w:sz w:val="20"/>
                <w:szCs w:val="20"/>
                <w:lang w:eastAsia="en-US"/>
              </w:rPr>
            </w:pPr>
            <w:r>
              <w:rPr>
                <w:i/>
                <w:sz w:val="20"/>
                <w:szCs w:val="20"/>
                <w:lang w:eastAsia="en-US"/>
              </w:rPr>
              <w:t xml:space="preserve">Ristevski et al. (2018, ds 2, ch. 123); Smith et al. (in review, ds 1, ch. 127); </w:t>
            </w:r>
            <w:r>
              <w:rPr>
                <w:i/>
                <w:sz w:val="20"/>
                <w:szCs w:val="20"/>
              </w:rPr>
              <w:t>Ősi et al. (in review, ds 1, ch. 140)</w:t>
            </w:r>
            <w:r>
              <w:rPr>
                <w:i/>
                <w:sz w:val="20"/>
                <w:szCs w:val="20"/>
                <w:lang w:eastAsia="en-US"/>
              </w:rPr>
              <w:t>.</w:t>
            </w:r>
          </w:p>
          <w:p w14:paraId="100F2C24" w14:textId="77777777" w:rsidR="00A47145" w:rsidRDefault="00A47145" w:rsidP="00A47145">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Goniopholis </w:t>
            </w:r>
            <w:r>
              <w:rPr>
                <w:i/>
                <w:color w:val="000000"/>
                <w:sz w:val="20"/>
                <w:szCs w:val="20"/>
                <w:lang w:eastAsia="en-US"/>
              </w:rPr>
              <w:t>and</w:t>
            </w:r>
            <w:r>
              <w:rPr>
                <w:color w:val="000000"/>
                <w:sz w:val="20"/>
                <w:szCs w:val="20"/>
                <w:lang w:eastAsia="en-US"/>
              </w:rPr>
              <w:t xml:space="preserve"> Anteophthalmosuchus.</w:t>
            </w:r>
          </w:p>
          <w:p w14:paraId="311D21BE" w14:textId="77777777" w:rsidR="00A47145" w:rsidRDefault="00A47145" w:rsidP="00A47145">
            <w:pPr>
              <w:rPr>
                <w:color w:val="000000"/>
                <w:sz w:val="20"/>
                <w:szCs w:val="20"/>
                <w:lang w:eastAsia="en-US"/>
              </w:rPr>
            </w:pPr>
            <w:r>
              <w:rPr>
                <w:color w:val="000000"/>
                <w:sz w:val="20"/>
                <w:szCs w:val="20"/>
                <w:lang w:eastAsia="en-US"/>
              </w:rPr>
              <w:t>0. the jugal anterior process does not contribute to the anterior margin of the orbit</w:t>
            </w:r>
          </w:p>
          <w:p w14:paraId="45A4467F" w14:textId="77777777" w:rsidR="00A47145" w:rsidRDefault="00A47145" w:rsidP="00A47145">
            <w:pPr>
              <w:rPr>
                <w:color w:val="000000"/>
                <w:sz w:val="20"/>
                <w:szCs w:val="20"/>
                <w:lang w:eastAsia="en-US"/>
              </w:rPr>
            </w:pPr>
            <w:r>
              <w:rPr>
                <w:color w:val="000000"/>
                <w:sz w:val="20"/>
                <w:szCs w:val="20"/>
                <w:lang w:eastAsia="en-US"/>
              </w:rPr>
              <w:t xml:space="preserve">1. the jugal anterior process, along with the lachrymal, forms the anterior margin of the orbit. </w:t>
            </w:r>
          </w:p>
          <w:p w14:paraId="4A31531F" w14:textId="77777777" w:rsidR="00A47145" w:rsidRDefault="00A47145" w:rsidP="00A47145">
            <w:pPr>
              <w:rPr>
                <w:color w:val="000000"/>
                <w:sz w:val="20"/>
                <w:szCs w:val="20"/>
                <w:lang w:eastAsia="en-US"/>
              </w:rPr>
            </w:pPr>
            <w:r>
              <w:rPr>
                <w:color w:val="000000"/>
                <w:sz w:val="20"/>
                <w:szCs w:val="20"/>
                <w:lang w:eastAsia="en-US"/>
              </w:rPr>
              <w:t xml:space="preserve">Note that the broad anterior expansion of the jugal anterior process only occurs in </w:t>
            </w:r>
            <w:r>
              <w:rPr>
                <w:i/>
                <w:color w:val="000000"/>
                <w:sz w:val="20"/>
                <w:szCs w:val="20"/>
                <w:lang w:eastAsia="en-US"/>
              </w:rPr>
              <w:t>Goniopholis</w:t>
            </w:r>
            <w:r>
              <w:rPr>
                <w:color w:val="000000"/>
                <w:sz w:val="20"/>
                <w:szCs w:val="20"/>
                <w:lang w:eastAsia="en-US"/>
              </w:rPr>
              <w:t>,</w:t>
            </w:r>
            <w:r>
              <w:rPr>
                <w:i/>
                <w:color w:val="000000"/>
                <w:sz w:val="20"/>
                <w:szCs w:val="20"/>
                <w:lang w:eastAsia="en-US"/>
              </w:rPr>
              <w:t xml:space="preserve"> </w:t>
            </w:r>
            <w:r>
              <w:rPr>
                <w:color w:val="000000"/>
                <w:sz w:val="20"/>
                <w:szCs w:val="20"/>
                <w:lang w:eastAsia="en-US"/>
              </w:rPr>
              <w:t xml:space="preserve">as </w:t>
            </w:r>
            <w:r>
              <w:rPr>
                <w:i/>
                <w:color w:val="000000"/>
                <w:sz w:val="20"/>
                <w:szCs w:val="20"/>
                <w:lang w:eastAsia="en-US"/>
              </w:rPr>
              <w:t>Anteophthalmosuchus</w:t>
            </w:r>
            <w:r>
              <w:rPr>
                <w:color w:val="000000"/>
                <w:sz w:val="20"/>
                <w:szCs w:val="20"/>
                <w:lang w:eastAsia="en-US"/>
              </w:rPr>
              <w:t xml:space="preserve"> has a narrow jugal anterior process.</w:t>
            </w:r>
          </w:p>
        </w:tc>
      </w:tr>
      <w:tr w:rsidR="00A47145" w14:paraId="48FD0470" w14:textId="77777777" w:rsidTr="00A47145">
        <w:tc>
          <w:tcPr>
            <w:tcW w:w="0" w:type="auto"/>
            <w:tcBorders>
              <w:top w:val="single" w:sz="4" w:space="0" w:color="auto"/>
              <w:left w:val="single" w:sz="4" w:space="0" w:color="auto"/>
              <w:bottom w:val="single" w:sz="4" w:space="0" w:color="auto"/>
              <w:right w:val="single" w:sz="4" w:space="0" w:color="auto"/>
            </w:tcBorders>
          </w:tcPr>
          <w:p w14:paraId="23AB4993" w14:textId="2E621B31" w:rsidR="00A47145" w:rsidRDefault="00A47145" w:rsidP="00A47145">
            <w:pPr>
              <w:rPr>
                <w:color w:val="000000"/>
                <w:sz w:val="20"/>
                <w:szCs w:val="20"/>
                <w:lang w:eastAsia="en-US"/>
              </w:rPr>
            </w:pPr>
            <w:r>
              <w:rPr>
                <w:color w:val="000000"/>
                <w:sz w:val="20"/>
                <w:szCs w:val="20"/>
                <w:lang w:eastAsia="en-US"/>
              </w:rPr>
              <w:t>146</w:t>
            </w:r>
          </w:p>
        </w:tc>
        <w:tc>
          <w:tcPr>
            <w:tcW w:w="0" w:type="auto"/>
            <w:tcBorders>
              <w:top w:val="single" w:sz="4" w:space="0" w:color="auto"/>
              <w:left w:val="single" w:sz="4" w:space="0" w:color="auto"/>
              <w:bottom w:val="single" w:sz="4" w:space="0" w:color="auto"/>
              <w:right w:val="single" w:sz="4" w:space="0" w:color="auto"/>
            </w:tcBorders>
            <w:vAlign w:val="bottom"/>
            <w:hideMark/>
          </w:tcPr>
          <w:p w14:paraId="7D3243FF" w14:textId="77777777" w:rsidR="00A47145" w:rsidRDefault="00A47145" w:rsidP="00A47145">
            <w:pPr>
              <w:rPr>
                <w:b/>
                <w:color w:val="000000"/>
                <w:sz w:val="20"/>
                <w:szCs w:val="20"/>
                <w:lang w:eastAsia="en-US"/>
              </w:rPr>
            </w:pPr>
            <w:r>
              <w:rPr>
                <w:b/>
                <w:color w:val="000000"/>
                <w:sz w:val="20"/>
                <w:szCs w:val="20"/>
                <w:lang w:eastAsia="en-US"/>
              </w:rPr>
              <w:t xml:space="preserve">Orbit, anterior margin and the broadening of the jugal anterior process: </w:t>
            </w:r>
          </w:p>
          <w:p w14:paraId="0C67854D" w14:textId="1436AD9E" w:rsidR="00A47145" w:rsidRDefault="00A47145" w:rsidP="00A47145">
            <w:pPr>
              <w:rPr>
                <w:i/>
                <w:color w:val="000000"/>
                <w:sz w:val="20"/>
                <w:szCs w:val="20"/>
                <w:lang w:eastAsia="en-US"/>
              </w:rPr>
            </w:pPr>
            <w:r>
              <w:rPr>
                <w:i/>
                <w:sz w:val="20"/>
                <w:szCs w:val="20"/>
                <w:lang w:eastAsia="en-US"/>
              </w:rPr>
              <w:t xml:space="preserve">Ristevski et al. (2018, ds 2, ch. 124); Smith et al. (in review, ds 1, ch. 128); </w:t>
            </w:r>
            <w:r>
              <w:rPr>
                <w:i/>
                <w:sz w:val="20"/>
                <w:szCs w:val="20"/>
              </w:rPr>
              <w:t>Ősi et al. (in review, ds 1, ch. 141)</w:t>
            </w:r>
            <w:r>
              <w:rPr>
                <w:i/>
                <w:sz w:val="20"/>
                <w:szCs w:val="20"/>
                <w:lang w:eastAsia="en-US"/>
              </w:rPr>
              <w:t>.</w:t>
            </w:r>
          </w:p>
          <w:p w14:paraId="7A719198" w14:textId="77777777" w:rsidR="00A47145" w:rsidRDefault="00A47145" w:rsidP="00A47145">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Goniopholis</w:t>
            </w:r>
          </w:p>
          <w:p w14:paraId="71EB5E04" w14:textId="77777777" w:rsidR="00A47145" w:rsidRDefault="00A47145" w:rsidP="00A47145">
            <w:pPr>
              <w:rPr>
                <w:color w:val="000000"/>
                <w:sz w:val="20"/>
                <w:szCs w:val="20"/>
                <w:lang w:eastAsia="en-US"/>
              </w:rPr>
            </w:pPr>
            <w:r>
              <w:rPr>
                <w:color w:val="000000"/>
                <w:sz w:val="20"/>
                <w:szCs w:val="20"/>
                <w:lang w:eastAsia="en-US"/>
              </w:rPr>
              <w:t xml:space="preserve">0. the jugal anterior process does not help form the anterior margin of the orbit, or as in </w:t>
            </w:r>
            <w:r>
              <w:rPr>
                <w:i/>
                <w:color w:val="000000"/>
                <w:sz w:val="20"/>
                <w:szCs w:val="20"/>
                <w:lang w:eastAsia="en-US"/>
              </w:rPr>
              <w:t>Anteophthalmosuchus</w:t>
            </w:r>
            <w:r>
              <w:rPr>
                <w:color w:val="000000"/>
                <w:sz w:val="20"/>
                <w:szCs w:val="20"/>
                <w:lang w:eastAsia="en-US"/>
              </w:rPr>
              <w:t>, it does help for the anterior margin of the orbit – but the jugal anterior process is still narrow</w:t>
            </w:r>
          </w:p>
          <w:p w14:paraId="6D82AB92" w14:textId="77777777" w:rsidR="00A47145" w:rsidRDefault="00A47145" w:rsidP="00A47145">
            <w:pPr>
              <w:rPr>
                <w:color w:val="000000"/>
                <w:sz w:val="20"/>
                <w:szCs w:val="20"/>
                <w:lang w:eastAsia="en-US"/>
              </w:rPr>
            </w:pPr>
            <w:r>
              <w:rPr>
                <w:color w:val="000000"/>
                <w:sz w:val="20"/>
                <w:szCs w:val="20"/>
                <w:lang w:eastAsia="en-US"/>
              </w:rPr>
              <w:lastRenderedPageBreak/>
              <w:t>1. the jugal anterior process, along with the lachrymal, forms the anterior margin of the orbit, but it is distinctly broad dorsoventrally – expanded having a broad contact with the lachrymal dorsally and the maxilla anteriorly, much more so than in other derived goniopholidids.</w:t>
            </w:r>
          </w:p>
        </w:tc>
      </w:tr>
      <w:tr w:rsidR="00A47145" w14:paraId="6093388B" w14:textId="77777777" w:rsidTr="00A47145">
        <w:tc>
          <w:tcPr>
            <w:tcW w:w="0" w:type="auto"/>
            <w:tcBorders>
              <w:top w:val="single" w:sz="4" w:space="0" w:color="auto"/>
              <w:left w:val="single" w:sz="4" w:space="0" w:color="auto"/>
              <w:bottom w:val="single" w:sz="4" w:space="0" w:color="auto"/>
              <w:right w:val="single" w:sz="4" w:space="0" w:color="auto"/>
            </w:tcBorders>
          </w:tcPr>
          <w:p w14:paraId="2DA01508" w14:textId="04BA0058" w:rsidR="00A47145" w:rsidRDefault="00A47145" w:rsidP="00A47145">
            <w:pPr>
              <w:rPr>
                <w:color w:val="000000"/>
                <w:sz w:val="20"/>
                <w:szCs w:val="20"/>
                <w:lang w:eastAsia="en-US"/>
              </w:rPr>
            </w:pPr>
            <w:r>
              <w:rPr>
                <w:color w:val="000000"/>
                <w:sz w:val="20"/>
                <w:szCs w:val="20"/>
                <w:lang w:eastAsia="en-US"/>
              </w:rPr>
              <w:lastRenderedPageBreak/>
              <w:t>147</w:t>
            </w:r>
          </w:p>
        </w:tc>
        <w:tc>
          <w:tcPr>
            <w:tcW w:w="0" w:type="auto"/>
            <w:tcBorders>
              <w:top w:val="single" w:sz="4" w:space="0" w:color="auto"/>
              <w:left w:val="single" w:sz="4" w:space="0" w:color="auto"/>
              <w:bottom w:val="single" w:sz="4" w:space="0" w:color="auto"/>
              <w:right w:val="single" w:sz="4" w:space="0" w:color="auto"/>
            </w:tcBorders>
            <w:vAlign w:val="bottom"/>
            <w:hideMark/>
          </w:tcPr>
          <w:p w14:paraId="71538D4C" w14:textId="77777777" w:rsidR="00A47145" w:rsidRDefault="00A47145" w:rsidP="00A47145">
            <w:pPr>
              <w:rPr>
                <w:b/>
                <w:color w:val="000000"/>
                <w:sz w:val="20"/>
                <w:szCs w:val="20"/>
                <w:lang w:eastAsia="en-US"/>
              </w:rPr>
            </w:pPr>
            <w:r>
              <w:rPr>
                <w:b/>
                <w:color w:val="000000"/>
                <w:sz w:val="20"/>
                <w:szCs w:val="20"/>
                <w:lang w:eastAsia="en-US"/>
              </w:rPr>
              <w:t>Orbit, posteroventral margin and the postorbital:</w:t>
            </w:r>
          </w:p>
          <w:p w14:paraId="2D60A20F" w14:textId="07816E42"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95 part); </w:t>
            </w:r>
            <w:r>
              <w:rPr>
                <w:bCs/>
                <w:i/>
                <w:color w:val="000000"/>
                <w:sz w:val="20"/>
                <w:lang w:eastAsia="en-US"/>
              </w:rPr>
              <w:t>Yo</w:t>
            </w:r>
            <w:r>
              <w:rPr>
                <w:i/>
                <w:sz w:val="20"/>
                <w:szCs w:val="20"/>
                <w:lang w:eastAsia="en-US"/>
              </w:rPr>
              <w:t xml:space="preserve">ung et al. (2011, ch. 95 part); Young et al. (2013a, ch. 63 part); Young et al. (2012, ch. 74); Young (2014, ch. 76); Young et al. (2016, ds 2, ch. 91); Ristevski et al. (2018, ds 2, ch. 125); Smith et al. (in review, ds 1, ch. 129); </w:t>
            </w:r>
            <w:r>
              <w:rPr>
                <w:i/>
                <w:sz w:val="20"/>
                <w:szCs w:val="20"/>
              </w:rPr>
              <w:t>Ősi et al. (in review, ds 1, ch. 142)</w:t>
            </w:r>
            <w:r>
              <w:rPr>
                <w:i/>
                <w:sz w:val="20"/>
                <w:szCs w:val="20"/>
                <w:lang w:eastAsia="en-US"/>
              </w:rPr>
              <w:t>.</w:t>
            </w:r>
          </w:p>
          <w:p w14:paraId="6F35E041" w14:textId="51B23B5E" w:rsidR="00A47145" w:rsidRDefault="00A47145" w:rsidP="00A47145">
            <w:pPr>
              <w:rPr>
                <w:b/>
                <w:color w:val="000000"/>
                <w:sz w:val="20"/>
                <w:szCs w:val="20"/>
                <w:lang w:eastAsia="en-US"/>
              </w:rPr>
            </w:pPr>
            <w:r>
              <w:rPr>
                <w:i/>
                <w:color w:val="000000"/>
                <w:sz w:val="20"/>
                <w:szCs w:val="20"/>
                <w:lang w:eastAsia="en-US"/>
              </w:rPr>
              <w:t>In Thalattosuchia, state (1) occurs in basal teleosaur</w:t>
            </w:r>
            <w:r w:rsidR="00007246">
              <w:rPr>
                <w:i/>
                <w:color w:val="000000"/>
                <w:sz w:val="20"/>
                <w:szCs w:val="20"/>
                <w:lang w:eastAsia="en-US"/>
              </w:rPr>
              <w:t>o</w:t>
            </w:r>
            <w:r>
              <w:rPr>
                <w:i/>
                <w:color w:val="000000"/>
                <w:sz w:val="20"/>
                <w:szCs w:val="20"/>
                <w:lang w:eastAsia="en-US"/>
              </w:rPr>
              <w:t>ids (</w:t>
            </w:r>
            <w:r>
              <w:rPr>
                <w:color w:val="000000"/>
                <w:sz w:val="20"/>
                <w:szCs w:val="20"/>
                <w:lang w:eastAsia="en-US"/>
              </w:rPr>
              <w:t xml:space="preserve">Steneosaurus brevior, </w:t>
            </w:r>
            <w:r>
              <w:rPr>
                <w:i/>
                <w:color w:val="000000"/>
                <w:sz w:val="20"/>
                <w:szCs w:val="20"/>
                <w:lang w:eastAsia="en-US"/>
              </w:rPr>
              <w:t xml:space="preserve">the Chinese skull referred to </w:t>
            </w:r>
            <w:r>
              <w:rPr>
                <w:color w:val="000000"/>
                <w:sz w:val="20"/>
                <w:szCs w:val="20"/>
                <w:lang w:eastAsia="en-US"/>
              </w:rPr>
              <w:t xml:space="preserve">Peipehsuchus teleorhinus, Platysuchus multiscrobiculatus </w:t>
            </w:r>
            <w:r>
              <w:rPr>
                <w:i/>
                <w:color w:val="000000"/>
                <w:sz w:val="20"/>
                <w:szCs w:val="20"/>
                <w:lang w:eastAsia="en-US"/>
              </w:rPr>
              <w:t>and</w:t>
            </w:r>
            <w:r>
              <w:rPr>
                <w:color w:val="000000"/>
                <w:sz w:val="20"/>
                <w:szCs w:val="20"/>
                <w:lang w:eastAsia="en-US"/>
              </w:rPr>
              <w:t xml:space="preserve"> Teleosaurus cadomensis).</w:t>
            </w:r>
            <w:r>
              <w:rPr>
                <w:i/>
                <w:color w:val="000000"/>
                <w:sz w:val="20"/>
                <w:szCs w:val="20"/>
                <w:lang w:eastAsia="en-US"/>
              </w:rPr>
              <w:t xml:space="preserve"> Note that some dorsoventral crushed skulls also look as though they have state (1), e.g. </w:t>
            </w:r>
            <w:r>
              <w:rPr>
                <w:color w:val="000000"/>
                <w:sz w:val="20"/>
                <w:szCs w:val="20"/>
                <w:lang w:eastAsia="en-US"/>
              </w:rPr>
              <w:t>S. bollensis.</w:t>
            </w:r>
          </w:p>
          <w:p w14:paraId="00E91068" w14:textId="77777777" w:rsidR="00A47145" w:rsidRDefault="00A47145" w:rsidP="00A47145">
            <w:pPr>
              <w:rPr>
                <w:color w:val="000000"/>
                <w:sz w:val="20"/>
                <w:szCs w:val="20"/>
                <w:lang w:eastAsia="en-US"/>
              </w:rPr>
            </w:pPr>
            <w:r>
              <w:rPr>
                <w:color w:val="000000"/>
                <w:sz w:val="20"/>
                <w:szCs w:val="20"/>
                <w:lang w:eastAsia="en-US"/>
              </w:rPr>
              <w:t>0. postorbital is excluded from the orbit posteroventral margin, or only present in the posteroventral margin</w:t>
            </w:r>
          </w:p>
          <w:p w14:paraId="082723C0" w14:textId="77777777" w:rsidR="00A47145" w:rsidRDefault="00A47145" w:rsidP="00A47145">
            <w:pPr>
              <w:rPr>
                <w:b/>
                <w:color w:val="000000"/>
                <w:sz w:val="20"/>
                <w:szCs w:val="20"/>
                <w:lang w:eastAsia="en-US"/>
              </w:rPr>
            </w:pPr>
            <w:r>
              <w:rPr>
                <w:color w:val="000000"/>
                <w:sz w:val="20"/>
                <w:szCs w:val="20"/>
                <w:lang w:eastAsia="en-US"/>
              </w:rPr>
              <w:t>1. postorbital reaches the orbit posteroventral margin (with the postorbital overlapping the jugal), and extensively forms part of the orbit ventral margin (in some instances excluding the jugal)</w:t>
            </w:r>
          </w:p>
        </w:tc>
      </w:tr>
      <w:tr w:rsidR="00A47145" w14:paraId="15D55BCB" w14:textId="77777777" w:rsidTr="00A47145">
        <w:tc>
          <w:tcPr>
            <w:tcW w:w="0" w:type="auto"/>
            <w:tcBorders>
              <w:top w:val="single" w:sz="4" w:space="0" w:color="auto"/>
              <w:left w:val="single" w:sz="4" w:space="0" w:color="auto"/>
              <w:bottom w:val="single" w:sz="4" w:space="0" w:color="auto"/>
              <w:right w:val="single" w:sz="4" w:space="0" w:color="auto"/>
            </w:tcBorders>
          </w:tcPr>
          <w:p w14:paraId="0AED0FE4" w14:textId="6EABE5C4" w:rsidR="00A47145" w:rsidRDefault="00A47145" w:rsidP="00A47145">
            <w:pPr>
              <w:rPr>
                <w:color w:val="000000"/>
                <w:sz w:val="20"/>
                <w:szCs w:val="20"/>
                <w:lang w:eastAsia="en-US"/>
              </w:rPr>
            </w:pPr>
            <w:r>
              <w:rPr>
                <w:color w:val="000000"/>
                <w:sz w:val="20"/>
                <w:szCs w:val="20"/>
                <w:lang w:eastAsia="en-US"/>
              </w:rPr>
              <w:t>148</w:t>
            </w:r>
          </w:p>
        </w:tc>
        <w:tc>
          <w:tcPr>
            <w:tcW w:w="0" w:type="auto"/>
            <w:tcBorders>
              <w:top w:val="single" w:sz="4" w:space="0" w:color="auto"/>
              <w:left w:val="single" w:sz="4" w:space="0" w:color="auto"/>
              <w:bottom w:val="single" w:sz="4" w:space="0" w:color="auto"/>
              <w:right w:val="single" w:sz="4" w:space="0" w:color="auto"/>
            </w:tcBorders>
            <w:vAlign w:val="bottom"/>
            <w:hideMark/>
          </w:tcPr>
          <w:p w14:paraId="43876276" w14:textId="77777777" w:rsidR="00A47145" w:rsidRDefault="00A47145" w:rsidP="00A47145">
            <w:pPr>
              <w:rPr>
                <w:b/>
                <w:color w:val="000000"/>
                <w:sz w:val="20"/>
                <w:szCs w:val="20"/>
                <w:lang w:eastAsia="en-US"/>
              </w:rPr>
            </w:pPr>
            <w:r>
              <w:rPr>
                <w:b/>
                <w:color w:val="000000"/>
                <w:sz w:val="20"/>
                <w:szCs w:val="20"/>
                <w:lang w:eastAsia="en-US"/>
              </w:rPr>
              <w:t>Orbit, ventral margin and the jugal:</w:t>
            </w:r>
          </w:p>
          <w:p w14:paraId="3BD93165" w14:textId="428F3D7F" w:rsidR="00A47145" w:rsidRDefault="00A47145" w:rsidP="00A47145">
            <w:pPr>
              <w:autoSpaceDE w:val="0"/>
              <w:autoSpaceDN w:val="0"/>
              <w:adjustRightInd w:val="0"/>
              <w:rPr>
                <w:i/>
                <w:sz w:val="20"/>
                <w:szCs w:val="20"/>
                <w:lang w:eastAsia="en-US"/>
              </w:rPr>
            </w:pPr>
            <w:r>
              <w:rPr>
                <w:bCs/>
                <w:i/>
                <w:color w:val="000000"/>
                <w:sz w:val="20"/>
                <w:szCs w:val="20"/>
                <w:lang w:eastAsia="en-US"/>
              </w:rPr>
              <w:t>Mueller-Töwe (2006, ch. 139 modified);</w:t>
            </w:r>
            <w:r>
              <w:rPr>
                <w:b/>
                <w:bCs/>
                <w:color w:val="000000"/>
                <w:sz w:val="20"/>
                <w:szCs w:val="20"/>
                <w:lang w:eastAsia="en-US"/>
              </w:rPr>
              <w:t xml:space="preserve"> </w:t>
            </w:r>
            <w:r>
              <w:rPr>
                <w:i/>
                <w:sz w:val="20"/>
                <w:szCs w:val="20"/>
                <w:lang w:eastAsia="en-US"/>
              </w:rPr>
              <w:t xml:space="preserve">Young &amp; Andrade (2009, ch. 95 part); </w:t>
            </w:r>
            <w:r>
              <w:rPr>
                <w:bCs/>
                <w:i/>
                <w:color w:val="000000"/>
                <w:sz w:val="20"/>
                <w:lang w:eastAsia="en-US"/>
              </w:rPr>
              <w:t>Andrade et al. (2011, ch. 171 modified); Yo</w:t>
            </w:r>
            <w:r>
              <w:rPr>
                <w:i/>
                <w:sz w:val="20"/>
                <w:szCs w:val="20"/>
                <w:lang w:eastAsia="en-US"/>
              </w:rPr>
              <w:t xml:space="preserve">ung et al. (2011, ch. 95 part); Young et al. (2013a, ch. 63 part); Young et al. (2012, ch. 75); Young (2014, ch. 77); Young et al. (2016, ds 2, ch. 92); Ristevski et al. (2018, ds 2, ch. 126); Smith et al. (in review, ds 1, ch. 130); </w:t>
            </w:r>
            <w:r>
              <w:rPr>
                <w:i/>
                <w:sz w:val="20"/>
                <w:szCs w:val="20"/>
              </w:rPr>
              <w:t>Ősi et al. (in review, ds 1, ch. 143)</w:t>
            </w:r>
            <w:r>
              <w:rPr>
                <w:i/>
                <w:sz w:val="20"/>
                <w:szCs w:val="20"/>
                <w:lang w:eastAsia="en-US"/>
              </w:rPr>
              <w:t>.</w:t>
            </w:r>
          </w:p>
          <w:p w14:paraId="1648B215" w14:textId="77777777" w:rsidR="00A47145" w:rsidRDefault="00A47145" w:rsidP="00A47145">
            <w:pPr>
              <w:rPr>
                <w:b/>
                <w:color w:val="000000"/>
                <w:sz w:val="20"/>
                <w:szCs w:val="20"/>
                <w:lang w:eastAsia="en-US"/>
              </w:rPr>
            </w:pPr>
            <w:r>
              <w:rPr>
                <w:i/>
                <w:color w:val="000000"/>
                <w:sz w:val="20"/>
                <w:szCs w:val="20"/>
                <w:lang w:eastAsia="en-US"/>
              </w:rPr>
              <w:t xml:space="preserve">In Thalattosuchia, state (1) is a putative autapomorphy of </w:t>
            </w:r>
            <w:r>
              <w:rPr>
                <w:color w:val="000000"/>
                <w:sz w:val="20"/>
                <w:szCs w:val="20"/>
                <w:lang w:eastAsia="en-US"/>
              </w:rPr>
              <w:t>Platysuchus multiscrobiculatus</w:t>
            </w:r>
          </w:p>
          <w:p w14:paraId="7DE4808E" w14:textId="77777777" w:rsidR="00A47145" w:rsidRDefault="00A47145" w:rsidP="00A47145">
            <w:pPr>
              <w:rPr>
                <w:color w:val="000000"/>
                <w:sz w:val="20"/>
                <w:szCs w:val="20"/>
                <w:lang w:eastAsia="en-US"/>
              </w:rPr>
            </w:pPr>
            <w:r>
              <w:rPr>
                <w:color w:val="000000"/>
                <w:sz w:val="20"/>
                <w:szCs w:val="20"/>
                <w:lang w:eastAsia="en-US"/>
              </w:rPr>
              <w:t>0. jugal participates in the orbit ventral margin</w:t>
            </w:r>
          </w:p>
          <w:p w14:paraId="4224B8E1" w14:textId="77777777" w:rsidR="00A47145" w:rsidRDefault="00A47145" w:rsidP="00A47145">
            <w:pPr>
              <w:rPr>
                <w:color w:val="000000"/>
                <w:sz w:val="20"/>
                <w:szCs w:val="20"/>
                <w:lang w:eastAsia="en-US"/>
              </w:rPr>
            </w:pPr>
            <w:r>
              <w:rPr>
                <w:color w:val="000000"/>
                <w:sz w:val="20"/>
                <w:szCs w:val="20"/>
                <w:lang w:eastAsia="en-US"/>
              </w:rPr>
              <w:t>1. jugal excluded from the orbit by lachrymal-postorbital contact</w:t>
            </w:r>
          </w:p>
        </w:tc>
      </w:tr>
      <w:tr w:rsidR="00A47145" w14:paraId="5805DFB3" w14:textId="77777777" w:rsidTr="00A47145">
        <w:tc>
          <w:tcPr>
            <w:tcW w:w="0" w:type="auto"/>
            <w:tcBorders>
              <w:top w:val="single" w:sz="4" w:space="0" w:color="auto"/>
              <w:left w:val="single" w:sz="4" w:space="0" w:color="auto"/>
              <w:bottom w:val="single" w:sz="4" w:space="0" w:color="auto"/>
              <w:right w:val="single" w:sz="4" w:space="0" w:color="auto"/>
            </w:tcBorders>
          </w:tcPr>
          <w:p w14:paraId="352F3C3C" w14:textId="539A7A13" w:rsidR="00A47145" w:rsidRDefault="00A47145" w:rsidP="00A47145">
            <w:pPr>
              <w:rPr>
                <w:color w:val="000000"/>
                <w:sz w:val="20"/>
                <w:szCs w:val="20"/>
                <w:lang w:eastAsia="en-US"/>
              </w:rPr>
            </w:pPr>
            <w:r>
              <w:rPr>
                <w:color w:val="000000"/>
                <w:sz w:val="20"/>
                <w:szCs w:val="20"/>
                <w:lang w:eastAsia="en-US"/>
              </w:rPr>
              <w:t>149</w:t>
            </w:r>
          </w:p>
        </w:tc>
        <w:tc>
          <w:tcPr>
            <w:tcW w:w="0" w:type="auto"/>
            <w:tcBorders>
              <w:top w:val="single" w:sz="4" w:space="0" w:color="auto"/>
              <w:left w:val="single" w:sz="4" w:space="0" w:color="auto"/>
              <w:bottom w:val="single" w:sz="4" w:space="0" w:color="auto"/>
              <w:right w:val="single" w:sz="4" w:space="0" w:color="auto"/>
            </w:tcBorders>
            <w:vAlign w:val="bottom"/>
            <w:hideMark/>
          </w:tcPr>
          <w:p w14:paraId="70269A31" w14:textId="77777777" w:rsidR="00A47145" w:rsidRDefault="00A47145" w:rsidP="00A47145">
            <w:pPr>
              <w:rPr>
                <w:b/>
                <w:sz w:val="20"/>
                <w:szCs w:val="20"/>
                <w:lang w:eastAsia="en-US"/>
              </w:rPr>
            </w:pPr>
            <w:r>
              <w:rPr>
                <w:b/>
                <w:sz w:val="20"/>
                <w:szCs w:val="20"/>
                <w:lang w:eastAsia="en-US"/>
              </w:rPr>
              <w:t>Supraorbital notch in dorsal view, deeply excavated creating an approximately semi-circular shape, resulting in the frontal being broadly exposed along the lateral margin of the orbits: (*)</w:t>
            </w:r>
          </w:p>
          <w:p w14:paraId="13F6462F" w14:textId="5004EA43" w:rsidR="00A47145" w:rsidRDefault="00A47145" w:rsidP="00A47145">
            <w:pPr>
              <w:autoSpaceDE w:val="0"/>
              <w:autoSpaceDN w:val="0"/>
              <w:adjustRightInd w:val="0"/>
              <w:rPr>
                <w:i/>
                <w:sz w:val="20"/>
                <w:szCs w:val="20"/>
                <w:lang w:eastAsia="en-US"/>
              </w:rPr>
            </w:pPr>
            <w:r>
              <w:rPr>
                <w:i/>
                <w:sz w:val="20"/>
                <w:szCs w:val="20"/>
                <w:lang w:eastAsia="en-US"/>
              </w:rPr>
              <w:t xml:space="preserve">Young et al. (2016, ds 2, ch. 93); Ristevski et al. (2018, ds 2, ch. 127); Smith et al. (in review, ds 1, ch. 131); </w:t>
            </w:r>
            <w:r>
              <w:rPr>
                <w:i/>
                <w:sz w:val="20"/>
                <w:szCs w:val="20"/>
              </w:rPr>
              <w:t>Ősi et al. (in review, ds 1, ch. 144)</w:t>
            </w:r>
            <w:r>
              <w:rPr>
                <w:i/>
                <w:sz w:val="20"/>
                <w:szCs w:val="20"/>
                <w:lang w:eastAsia="en-US"/>
              </w:rPr>
              <w:t>.</w:t>
            </w:r>
          </w:p>
          <w:p w14:paraId="69EF40A1" w14:textId="77777777" w:rsidR="00A47145" w:rsidRDefault="00A47145" w:rsidP="00A47145">
            <w:pPr>
              <w:ind w:left="720" w:hanging="720"/>
              <w:rPr>
                <w:i/>
                <w:sz w:val="20"/>
                <w:szCs w:val="20"/>
                <w:lang w:eastAsia="en-US"/>
              </w:rPr>
            </w:pPr>
            <w:r>
              <w:rPr>
                <w:i/>
                <w:sz w:val="20"/>
                <w:szCs w:val="20"/>
                <w:lang w:eastAsia="en-US"/>
              </w:rPr>
              <w:t>State (1) is a putative apomorphy of a subclade within Rhacheosaurini.</w:t>
            </w:r>
          </w:p>
          <w:p w14:paraId="1A8F4C3D" w14:textId="77777777" w:rsidR="00A47145" w:rsidRDefault="00A47145" w:rsidP="00A47145">
            <w:pPr>
              <w:rPr>
                <w:i/>
                <w:sz w:val="20"/>
                <w:szCs w:val="20"/>
                <w:lang w:eastAsia="en-US"/>
              </w:rPr>
            </w:pPr>
            <w:r>
              <w:rPr>
                <w:i/>
                <w:sz w:val="20"/>
                <w:szCs w:val="20"/>
                <w:lang w:eastAsia="en-US"/>
              </w:rPr>
              <w:t>This character is not applicable for non-metriorhynchids, due to the unique formation of the supraorbital notch in Metriorhynchidae.</w:t>
            </w:r>
          </w:p>
          <w:p w14:paraId="066C7B48" w14:textId="77777777" w:rsidR="00A47145" w:rsidRDefault="00A47145" w:rsidP="00A47145">
            <w:pPr>
              <w:ind w:left="720" w:hanging="720"/>
              <w:rPr>
                <w:sz w:val="20"/>
                <w:szCs w:val="20"/>
                <w:lang w:eastAsia="en-US"/>
              </w:rPr>
            </w:pPr>
            <w:r>
              <w:rPr>
                <w:sz w:val="20"/>
                <w:szCs w:val="20"/>
                <w:lang w:eastAsia="en-US"/>
              </w:rPr>
              <w:t>0. absent</w:t>
            </w:r>
          </w:p>
          <w:p w14:paraId="0AC238B3" w14:textId="77777777" w:rsidR="00A47145" w:rsidRDefault="00A47145" w:rsidP="00A47145">
            <w:pPr>
              <w:ind w:left="720" w:hanging="720"/>
              <w:rPr>
                <w:lang w:eastAsia="en-US"/>
              </w:rPr>
            </w:pPr>
            <w:r>
              <w:rPr>
                <w:sz w:val="20"/>
                <w:szCs w:val="20"/>
                <w:lang w:eastAsia="en-US"/>
              </w:rPr>
              <w:t>1. present</w:t>
            </w:r>
          </w:p>
        </w:tc>
      </w:tr>
      <w:tr w:rsidR="00A47145" w14:paraId="73CC951D" w14:textId="77777777" w:rsidTr="00A47145">
        <w:tc>
          <w:tcPr>
            <w:tcW w:w="0" w:type="auto"/>
            <w:tcBorders>
              <w:top w:val="single" w:sz="4" w:space="0" w:color="auto"/>
              <w:left w:val="single" w:sz="4" w:space="0" w:color="auto"/>
              <w:bottom w:val="single" w:sz="4" w:space="0" w:color="auto"/>
              <w:right w:val="single" w:sz="4" w:space="0" w:color="auto"/>
            </w:tcBorders>
          </w:tcPr>
          <w:p w14:paraId="7463CA77" w14:textId="684A1E11" w:rsidR="00A47145" w:rsidRDefault="00A47145" w:rsidP="00A47145">
            <w:pPr>
              <w:rPr>
                <w:color w:val="000000"/>
                <w:sz w:val="20"/>
                <w:szCs w:val="20"/>
                <w:lang w:eastAsia="en-US"/>
              </w:rPr>
            </w:pPr>
            <w:r>
              <w:rPr>
                <w:color w:val="000000"/>
                <w:sz w:val="20"/>
                <w:szCs w:val="20"/>
                <w:lang w:eastAsia="en-US"/>
              </w:rPr>
              <w:t>150</w:t>
            </w:r>
          </w:p>
        </w:tc>
        <w:tc>
          <w:tcPr>
            <w:tcW w:w="0" w:type="auto"/>
            <w:tcBorders>
              <w:top w:val="single" w:sz="4" w:space="0" w:color="auto"/>
              <w:left w:val="single" w:sz="4" w:space="0" w:color="auto"/>
              <w:bottom w:val="single" w:sz="4" w:space="0" w:color="auto"/>
              <w:right w:val="single" w:sz="4" w:space="0" w:color="auto"/>
            </w:tcBorders>
            <w:vAlign w:val="bottom"/>
            <w:hideMark/>
          </w:tcPr>
          <w:p w14:paraId="335B1B69" w14:textId="77777777" w:rsidR="00A47145" w:rsidRDefault="00A47145" w:rsidP="00A47145">
            <w:pPr>
              <w:autoSpaceDE w:val="0"/>
              <w:autoSpaceDN w:val="0"/>
              <w:adjustRightInd w:val="0"/>
              <w:rPr>
                <w:b/>
                <w:sz w:val="20"/>
                <w:szCs w:val="20"/>
                <w:lang w:eastAsia="en-US"/>
              </w:rPr>
            </w:pPr>
            <w:r>
              <w:rPr>
                <w:b/>
                <w:sz w:val="20"/>
                <w:szCs w:val="20"/>
                <w:lang w:eastAsia="en-US"/>
              </w:rPr>
              <w:t xml:space="preserve">Supraorbital notch in dorsal view, very small, being a tight "U"-shape, created by the prefrontal being expanded posteriorly. This results in the prefrontal making a larger contribution to the orbit dorsal margin and the frontal contribution to the orbit dorsal margin is greatly reduced, and in some taxa being excluded from the centre of the orbital dorsal margin: (*) </w:t>
            </w:r>
          </w:p>
          <w:p w14:paraId="49375F70" w14:textId="6651C8B6" w:rsidR="00A47145" w:rsidRDefault="00A47145" w:rsidP="00A47145">
            <w:pPr>
              <w:autoSpaceDE w:val="0"/>
              <w:autoSpaceDN w:val="0"/>
              <w:adjustRightInd w:val="0"/>
              <w:rPr>
                <w:i/>
                <w:sz w:val="20"/>
                <w:szCs w:val="20"/>
                <w:lang w:eastAsia="en-US"/>
              </w:rPr>
            </w:pPr>
            <w:r>
              <w:rPr>
                <w:i/>
                <w:sz w:val="20"/>
                <w:szCs w:val="20"/>
                <w:lang w:eastAsia="en-US"/>
              </w:rPr>
              <w:t xml:space="preserve">Young et al. (2016, ds 2, ch. 94); Ristevski et al. (2018, ds 2, ch. 128); Smith et al. (in review, ds 1, ch. 132); </w:t>
            </w:r>
            <w:r>
              <w:rPr>
                <w:i/>
                <w:sz w:val="20"/>
                <w:szCs w:val="20"/>
              </w:rPr>
              <w:t>Ősi et al. (in review, ds 1, ch. 145)</w:t>
            </w:r>
            <w:r>
              <w:rPr>
                <w:i/>
                <w:sz w:val="20"/>
                <w:szCs w:val="20"/>
                <w:lang w:eastAsia="en-US"/>
              </w:rPr>
              <w:t>.</w:t>
            </w:r>
          </w:p>
          <w:p w14:paraId="6C5532C9" w14:textId="77777777" w:rsidR="00A47145" w:rsidRDefault="00A47145" w:rsidP="00A47145">
            <w:pPr>
              <w:rPr>
                <w:sz w:val="20"/>
                <w:szCs w:val="20"/>
                <w:lang w:eastAsia="en-US"/>
              </w:rPr>
            </w:pPr>
            <w:r>
              <w:rPr>
                <w:i/>
                <w:sz w:val="20"/>
                <w:szCs w:val="20"/>
                <w:lang w:eastAsia="en-US"/>
              </w:rPr>
              <w:t xml:space="preserve">State (1) is occurs in </w:t>
            </w:r>
            <w:r>
              <w:rPr>
                <w:sz w:val="20"/>
                <w:szCs w:val="20"/>
                <w:lang w:eastAsia="en-US"/>
              </w:rPr>
              <w:t>Metriorhynchus palpebrosus</w:t>
            </w:r>
            <w:r>
              <w:rPr>
                <w:i/>
                <w:sz w:val="20"/>
                <w:szCs w:val="20"/>
                <w:lang w:eastAsia="en-US"/>
              </w:rPr>
              <w:t xml:space="preserve">, </w:t>
            </w:r>
            <w:r>
              <w:rPr>
                <w:sz w:val="20"/>
                <w:szCs w:val="20"/>
                <w:lang w:eastAsia="en-US"/>
              </w:rPr>
              <w:t>Cricosaurus saltillensis</w:t>
            </w:r>
            <w:r>
              <w:rPr>
                <w:i/>
                <w:sz w:val="20"/>
                <w:szCs w:val="20"/>
                <w:lang w:eastAsia="en-US"/>
              </w:rPr>
              <w:t xml:space="preserve"> and </w:t>
            </w:r>
            <w:r>
              <w:rPr>
                <w:sz w:val="20"/>
                <w:szCs w:val="20"/>
                <w:lang w:eastAsia="en-US"/>
              </w:rPr>
              <w:t>C. macrospondylus.</w:t>
            </w:r>
          </w:p>
          <w:p w14:paraId="1B8A46D4" w14:textId="77777777" w:rsidR="00A47145" w:rsidRDefault="00A47145" w:rsidP="00A47145">
            <w:pPr>
              <w:rPr>
                <w:i/>
                <w:sz w:val="20"/>
                <w:szCs w:val="20"/>
                <w:lang w:eastAsia="en-US"/>
              </w:rPr>
            </w:pPr>
            <w:r>
              <w:rPr>
                <w:i/>
                <w:sz w:val="20"/>
                <w:szCs w:val="20"/>
                <w:lang w:eastAsia="en-US"/>
              </w:rPr>
              <w:t>This character is not applicable for non-metriorhynchids, due to the unique formation of the supraorbital notch in Metriorhynchidae.</w:t>
            </w:r>
          </w:p>
          <w:p w14:paraId="22CBE598" w14:textId="77777777" w:rsidR="00A47145" w:rsidRDefault="00A47145" w:rsidP="00A47145">
            <w:pPr>
              <w:rPr>
                <w:sz w:val="20"/>
                <w:szCs w:val="20"/>
                <w:lang w:eastAsia="en-US"/>
              </w:rPr>
            </w:pPr>
            <w:r>
              <w:rPr>
                <w:sz w:val="20"/>
                <w:szCs w:val="20"/>
                <w:lang w:eastAsia="en-US"/>
              </w:rPr>
              <w:t>0. absent</w:t>
            </w:r>
          </w:p>
          <w:p w14:paraId="0333C300" w14:textId="77777777" w:rsidR="00A47145" w:rsidRDefault="00A47145" w:rsidP="00A47145">
            <w:pPr>
              <w:rPr>
                <w:highlight w:val="yellow"/>
                <w:lang w:eastAsia="en-US"/>
              </w:rPr>
            </w:pPr>
            <w:r>
              <w:rPr>
                <w:sz w:val="20"/>
                <w:szCs w:val="20"/>
                <w:lang w:eastAsia="en-US"/>
              </w:rPr>
              <w:t>1. present</w:t>
            </w:r>
          </w:p>
        </w:tc>
      </w:tr>
      <w:tr w:rsidR="00A47145" w14:paraId="58751654" w14:textId="77777777" w:rsidTr="00A47145">
        <w:tc>
          <w:tcPr>
            <w:tcW w:w="0" w:type="auto"/>
            <w:tcBorders>
              <w:top w:val="single" w:sz="4" w:space="0" w:color="auto"/>
              <w:left w:val="single" w:sz="4" w:space="0" w:color="auto"/>
              <w:bottom w:val="single" w:sz="4" w:space="0" w:color="auto"/>
              <w:right w:val="single" w:sz="4" w:space="0" w:color="auto"/>
            </w:tcBorders>
          </w:tcPr>
          <w:p w14:paraId="0A8169A2" w14:textId="7E7052FB" w:rsidR="00A47145" w:rsidRDefault="00A47145" w:rsidP="00A47145">
            <w:pPr>
              <w:rPr>
                <w:color w:val="000000"/>
                <w:sz w:val="20"/>
                <w:szCs w:val="20"/>
                <w:lang w:eastAsia="en-US"/>
              </w:rPr>
            </w:pPr>
            <w:r>
              <w:rPr>
                <w:color w:val="000000"/>
                <w:sz w:val="20"/>
                <w:szCs w:val="20"/>
                <w:lang w:eastAsia="en-US"/>
              </w:rPr>
              <w:t>151</w:t>
            </w:r>
          </w:p>
        </w:tc>
        <w:tc>
          <w:tcPr>
            <w:tcW w:w="0" w:type="auto"/>
            <w:tcBorders>
              <w:top w:val="single" w:sz="4" w:space="0" w:color="auto"/>
              <w:left w:val="single" w:sz="4" w:space="0" w:color="auto"/>
              <w:bottom w:val="single" w:sz="4" w:space="0" w:color="auto"/>
              <w:right w:val="single" w:sz="4" w:space="0" w:color="auto"/>
            </w:tcBorders>
            <w:vAlign w:val="bottom"/>
            <w:hideMark/>
          </w:tcPr>
          <w:p w14:paraId="21BE2C38" w14:textId="77777777"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Palpebrals, presence and number:</w:t>
            </w:r>
          </w:p>
          <w:p w14:paraId="17B314F2" w14:textId="44A125F1" w:rsidR="00A47145" w:rsidRDefault="00A47145" w:rsidP="00A47145">
            <w:pPr>
              <w:autoSpaceDE w:val="0"/>
              <w:autoSpaceDN w:val="0"/>
              <w:adjustRightInd w:val="0"/>
              <w:rPr>
                <w:b/>
                <w:bCs/>
                <w:color w:val="000000"/>
                <w:sz w:val="20"/>
                <w:szCs w:val="20"/>
                <w:lang w:eastAsia="en-US"/>
              </w:rPr>
            </w:pPr>
            <w:r>
              <w:rPr>
                <w:bCs/>
                <w:i/>
                <w:color w:val="000000"/>
                <w:sz w:val="20"/>
                <w:szCs w:val="20"/>
                <w:lang w:eastAsia="en-US"/>
              </w:rPr>
              <w:t xml:space="preserve">Clark (1994, ch. 65 modified); </w:t>
            </w:r>
            <w:r>
              <w:rPr>
                <w:i/>
                <w:sz w:val="20"/>
                <w:szCs w:val="20"/>
                <w:lang w:eastAsia="en-US"/>
              </w:rPr>
              <w:t xml:space="preserve">Young (2006, ch. 52 modified); </w:t>
            </w:r>
            <w:r>
              <w:rPr>
                <w:bCs/>
                <w:i/>
                <w:color w:val="000000"/>
                <w:sz w:val="20"/>
                <w:szCs w:val="20"/>
                <w:lang w:eastAsia="en-US"/>
              </w:rPr>
              <w:t>Turner &amp; Buckley (2008, ch. 65);</w:t>
            </w:r>
            <w:r>
              <w:rPr>
                <w:b/>
                <w:bCs/>
                <w:color w:val="000000"/>
                <w:sz w:val="20"/>
                <w:szCs w:val="20"/>
                <w:lang w:eastAsia="en-US"/>
              </w:rPr>
              <w:t xml:space="preserve"> </w:t>
            </w:r>
            <w:r>
              <w:rPr>
                <w:i/>
                <w:sz w:val="20"/>
                <w:szCs w:val="20"/>
                <w:lang w:eastAsia="en-US"/>
              </w:rPr>
              <w:t xml:space="preserve">Wilkinson et al. (2008, ch. 17 modified); Young &amp; Andrade (2009, ch. 17 modified); </w:t>
            </w:r>
            <w:r>
              <w:rPr>
                <w:bCs/>
                <w:i/>
                <w:color w:val="000000"/>
                <w:sz w:val="20"/>
                <w:lang w:eastAsia="en-US"/>
              </w:rPr>
              <w:t>Andrade et al. (2011, ch. 186);</w:t>
            </w:r>
            <w:r>
              <w:rPr>
                <w:i/>
                <w:sz w:val="20"/>
                <w:szCs w:val="20"/>
                <w:lang w:eastAsia="en-US"/>
              </w:rPr>
              <w:t xml:space="preserve"> </w:t>
            </w:r>
            <w:r>
              <w:rPr>
                <w:bCs/>
                <w:i/>
                <w:color w:val="000000"/>
                <w:sz w:val="20"/>
                <w:lang w:eastAsia="en-US"/>
              </w:rPr>
              <w:t>Yo</w:t>
            </w:r>
            <w:r>
              <w:rPr>
                <w:i/>
                <w:sz w:val="20"/>
                <w:szCs w:val="20"/>
                <w:lang w:eastAsia="en-US"/>
              </w:rPr>
              <w:t xml:space="preserve">ung et al. (2011, ch. 17 modified); Young et al. (2013a, ch. 64 modified); Young et al. (2012, ch. 76 modified); Young (2014, ch. 78 modified); Young et al. (2016, ds2, ch. 95 modified); Ristevski et al. (2018, ds 2, ch. 129); Smith et al. (in review, ds 1, ch. 133); </w:t>
            </w:r>
            <w:r>
              <w:rPr>
                <w:i/>
                <w:sz w:val="20"/>
                <w:szCs w:val="20"/>
              </w:rPr>
              <w:t>Ősi et al. (in review, ds 1, ch. 146)</w:t>
            </w:r>
            <w:r>
              <w:rPr>
                <w:i/>
                <w:sz w:val="20"/>
                <w:szCs w:val="20"/>
                <w:lang w:eastAsia="en-US"/>
              </w:rPr>
              <w:t>.</w:t>
            </w:r>
          </w:p>
          <w:p w14:paraId="4C374F05"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Modified to exclude information about size, which can be sampled as a separate character. The presence and morphology of palpebrals is here considered to be highly devious within the analysis, always poorly sampled and including assumptions (e.g., putative fusion with prefrontals X putative loss in thalattosuchians). Preservation and incomplete descriptions contribute to a poor use of information as a character. Scores were considered only for taxa that actually show meaningful information. The putative absence of palpebrals in thalattosuchians has long been assumed (e.g., Fraas, 1901; Andrews, 1913), but it is actually not possible to exclude that this element may be deeply fused with prefrontal, leading to this modified version of state (0).</w:t>
            </w:r>
          </w:p>
          <w:p w14:paraId="00DF5B1F" w14:textId="77777777" w:rsidR="00A47145" w:rsidRDefault="00A47145" w:rsidP="00A47145">
            <w:pPr>
              <w:rPr>
                <w:i/>
                <w:color w:val="000000"/>
                <w:sz w:val="20"/>
                <w:szCs w:val="20"/>
                <w:lang w:eastAsia="en-US"/>
              </w:rPr>
            </w:pPr>
            <w:r>
              <w:rPr>
                <w:i/>
                <w:color w:val="000000"/>
                <w:sz w:val="20"/>
                <w:szCs w:val="20"/>
                <w:lang w:eastAsia="en-US"/>
              </w:rPr>
              <w:t>Can be determined by the sutural contacts along the periorbital margin.</w:t>
            </w:r>
          </w:p>
          <w:p w14:paraId="13B761BF"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0. absent, or (anterior) palpebral is deeply fused with prefrontal</w:t>
            </w:r>
          </w:p>
          <w:p w14:paraId="7D2D99AD"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1. one large (anterior) palpebral present</w:t>
            </w:r>
          </w:p>
          <w:p w14:paraId="596D7D84" w14:textId="77777777" w:rsidR="00A47145" w:rsidRDefault="00A47145" w:rsidP="00A47145">
            <w:pPr>
              <w:rPr>
                <w:color w:val="000000"/>
                <w:sz w:val="20"/>
                <w:szCs w:val="20"/>
                <w:lang w:eastAsia="en-US"/>
              </w:rPr>
            </w:pPr>
            <w:r>
              <w:rPr>
                <w:color w:val="000000"/>
                <w:sz w:val="20"/>
                <w:szCs w:val="20"/>
                <w:lang w:eastAsia="en-US"/>
              </w:rPr>
              <w:lastRenderedPageBreak/>
              <w:t>2. two large palpebrals (anterior and posterior) present</w:t>
            </w:r>
          </w:p>
        </w:tc>
      </w:tr>
      <w:tr w:rsidR="00A47145" w14:paraId="49CCBB37" w14:textId="77777777" w:rsidTr="00A47145">
        <w:tc>
          <w:tcPr>
            <w:tcW w:w="0" w:type="auto"/>
            <w:tcBorders>
              <w:top w:val="single" w:sz="4" w:space="0" w:color="auto"/>
              <w:left w:val="single" w:sz="4" w:space="0" w:color="auto"/>
              <w:bottom w:val="single" w:sz="4" w:space="0" w:color="auto"/>
              <w:right w:val="single" w:sz="4" w:space="0" w:color="auto"/>
            </w:tcBorders>
          </w:tcPr>
          <w:p w14:paraId="1EE68B81" w14:textId="362C5B19" w:rsidR="00A47145" w:rsidRDefault="00A47145" w:rsidP="00A47145">
            <w:pPr>
              <w:rPr>
                <w:color w:val="000000"/>
                <w:sz w:val="20"/>
                <w:szCs w:val="20"/>
                <w:lang w:eastAsia="en-US"/>
              </w:rPr>
            </w:pPr>
            <w:r>
              <w:rPr>
                <w:color w:val="000000"/>
                <w:sz w:val="20"/>
                <w:szCs w:val="20"/>
                <w:lang w:eastAsia="en-US"/>
              </w:rPr>
              <w:lastRenderedPageBreak/>
              <w:t>152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82986D" w14:textId="77777777" w:rsidR="00A47145" w:rsidRDefault="00A47145" w:rsidP="00A47145">
            <w:pPr>
              <w:rPr>
                <w:b/>
                <w:color w:val="000000"/>
                <w:sz w:val="20"/>
                <w:szCs w:val="20"/>
                <w:lang w:eastAsia="en-US"/>
              </w:rPr>
            </w:pPr>
            <w:r>
              <w:rPr>
                <w:b/>
                <w:color w:val="000000"/>
                <w:sz w:val="20"/>
                <w:szCs w:val="20"/>
                <w:lang w:eastAsia="en-US"/>
              </w:rPr>
              <w:t>Orbits, presence of sclerotic ossicles (composing the sclerotic ring):</w:t>
            </w:r>
          </w:p>
          <w:p w14:paraId="661E48CA" w14:textId="64C445EA" w:rsidR="00A47145" w:rsidRDefault="00A47145" w:rsidP="00A47145">
            <w:pPr>
              <w:autoSpaceDE w:val="0"/>
              <w:autoSpaceDN w:val="0"/>
              <w:adjustRightInd w:val="0"/>
              <w:rPr>
                <w:i/>
                <w:sz w:val="20"/>
                <w:szCs w:val="20"/>
                <w:lang w:eastAsia="en-US"/>
              </w:rPr>
            </w:pPr>
            <w:r>
              <w:rPr>
                <w:i/>
                <w:sz w:val="20"/>
                <w:szCs w:val="20"/>
                <w:lang w:eastAsia="en-US"/>
              </w:rPr>
              <w:t xml:space="preserve">Young (2006, ch. 4); Wilkinson et al. (2008, ch. 19); Young &amp; Andrade (2009, ch. 19); </w:t>
            </w:r>
            <w:r>
              <w:rPr>
                <w:bCs/>
                <w:i/>
                <w:color w:val="000000"/>
                <w:sz w:val="20"/>
                <w:lang w:eastAsia="en-US"/>
              </w:rPr>
              <w:t>Andrade et al. (2011, ch. 159); Yo</w:t>
            </w:r>
            <w:r>
              <w:rPr>
                <w:i/>
                <w:sz w:val="20"/>
                <w:szCs w:val="20"/>
                <w:lang w:eastAsia="en-US"/>
              </w:rPr>
              <w:t xml:space="preserve">ung et al. (2011, ch. 19); Young et al. (2013a, ch. 65); Young et al. (2012, ch. 77); Young (2014, ch. 79); Young et al. (2016, ds 2, ch. 96); Ristevski et al. (2018, ds 2, ch. 130); Smith et al. (in review, ds 1, ch. 134); </w:t>
            </w:r>
            <w:r>
              <w:rPr>
                <w:i/>
                <w:sz w:val="20"/>
                <w:szCs w:val="20"/>
              </w:rPr>
              <w:t>Ősi et al. (in review, ds 1, ch. 147)</w:t>
            </w:r>
            <w:r>
              <w:rPr>
                <w:i/>
                <w:sz w:val="20"/>
                <w:szCs w:val="20"/>
                <w:lang w:eastAsia="en-US"/>
              </w:rPr>
              <w:t>.</w:t>
            </w:r>
          </w:p>
          <w:p w14:paraId="32DB5A41" w14:textId="77777777" w:rsidR="00A47145" w:rsidRDefault="00A47145" w:rsidP="00A47145">
            <w:pPr>
              <w:rPr>
                <w:i/>
                <w:color w:val="000000"/>
                <w:sz w:val="20"/>
                <w:szCs w:val="20"/>
                <w:lang w:eastAsia="en-US"/>
              </w:rPr>
            </w:pPr>
            <w:r>
              <w:rPr>
                <w:i/>
                <w:color w:val="000000"/>
                <w:sz w:val="20"/>
                <w:szCs w:val="20"/>
                <w:lang w:eastAsia="en-US"/>
              </w:rPr>
              <w:t xml:space="preserve">Within Thalattosuchia, state (1) is a putative apomorphy of </w:t>
            </w:r>
            <w:r>
              <w:rPr>
                <w:color w:val="000000"/>
                <w:sz w:val="20"/>
                <w:szCs w:val="20"/>
                <w:lang w:eastAsia="en-US"/>
              </w:rPr>
              <w:t>Pelagosaurus</w:t>
            </w:r>
            <w:r>
              <w:rPr>
                <w:i/>
                <w:color w:val="000000"/>
                <w:sz w:val="20"/>
                <w:szCs w:val="20"/>
                <w:lang w:eastAsia="en-US"/>
              </w:rPr>
              <w:t xml:space="preserve"> + Metriorhynchidae.</w:t>
            </w:r>
          </w:p>
          <w:p w14:paraId="24224688" w14:textId="77777777" w:rsidR="00A47145" w:rsidRDefault="00A47145" w:rsidP="00A47145">
            <w:pPr>
              <w:rPr>
                <w:color w:val="000000"/>
                <w:sz w:val="20"/>
                <w:szCs w:val="20"/>
                <w:lang w:eastAsia="en-US"/>
              </w:rPr>
            </w:pPr>
            <w:r>
              <w:rPr>
                <w:color w:val="000000"/>
                <w:sz w:val="20"/>
                <w:szCs w:val="20"/>
                <w:lang w:eastAsia="en-US"/>
              </w:rPr>
              <w:t xml:space="preserve">0. absent </w:t>
            </w:r>
          </w:p>
          <w:p w14:paraId="51F89DDB" w14:textId="77777777" w:rsidR="00A47145" w:rsidRDefault="00A47145" w:rsidP="00A47145">
            <w:pPr>
              <w:rPr>
                <w:color w:val="000000"/>
                <w:sz w:val="20"/>
                <w:szCs w:val="20"/>
                <w:lang w:eastAsia="en-US"/>
              </w:rPr>
            </w:pPr>
            <w:r>
              <w:rPr>
                <w:color w:val="000000"/>
                <w:sz w:val="20"/>
                <w:szCs w:val="20"/>
                <w:lang w:eastAsia="en-US"/>
              </w:rPr>
              <w:t>1. present</w:t>
            </w:r>
          </w:p>
        </w:tc>
      </w:tr>
      <w:tr w:rsidR="00A47145" w14:paraId="74C1D442" w14:textId="77777777" w:rsidTr="00A47145">
        <w:tc>
          <w:tcPr>
            <w:tcW w:w="0" w:type="auto"/>
            <w:tcBorders>
              <w:top w:val="single" w:sz="4" w:space="0" w:color="auto"/>
              <w:left w:val="single" w:sz="4" w:space="0" w:color="auto"/>
              <w:bottom w:val="single" w:sz="4" w:space="0" w:color="auto"/>
              <w:right w:val="single" w:sz="4" w:space="0" w:color="auto"/>
            </w:tcBorders>
          </w:tcPr>
          <w:p w14:paraId="4E3712F5" w14:textId="5EAFA7EB" w:rsidR="00A47145" w:rsidRDefault="00A47145" w:rsidP="00A47145">
            <w:pPr>
              <w:rPr>
                <w:color w:val="000000"/>
                <w:sz w:val="20"/>
                <w:szCs w:val="20"/>
                <w:lang w:eastAsia="en-US"/>
              </w:rPr>
            </w:pPr>
            <w:r>
              <w:rPr>
                <w:color w:val="000000"/>
                <w:sz w:val="20"/>
                <w:szCs w:val="20"/>
                <w:lang w:eastAsia="en-US"/>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14:paraId="31DF2303" w14:textId="77777777" w:rsidR="00A47145" w:rsidRDefault="00A47145" w:rsidP="00A47145">
            <w:pPr>
              <w:rPr>
                <w:b/>
                <w:color w:val="000000"/>
                <w:sz w:val="20"/>
                <w:szCs w:val="20"/>
                <w:lang w:eastAsia="en-US"/>
              </w:rPr>
            </w:pPr>
            <w:r>
              <w:rPr>
                <w:b/>
                <w:color w:val="000000"/>
                <w:sz w:val="20"/>
                <w:szCs w:val="20"/>
                <w:lang w:eastAsia="en-US"/>
              </w:rPr>
              <w:t>Jugal, width of anterior process relative to posterior process:</w:t>
            </w:r>
          </w:p>
          <w:p w14:paraId="584EF40B" w14:textId="1325D1A7"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111); </w:t>
            </w:r>
            <w:r>
              <w:rPr>
                <w:bCs/>
                <w:i/>
                <w:color w:val="000000"/>
                <w:sz w:val="20"/>
                <w:lang w:eastAsia="en-US"/>
              </w:rPr>
              <w:t>Yo</w:t>
            </w:r>
            <w:r>
              <w:rPr>
                <w:i/>
                <w:sz w:val="20"/>
                <w:szCs w:val="20"/>
                <w:lang w:eastAsia="en-US"/>
              </w:rPr>
              <w:t xml:space="preserve">ung et al. (2011, ch. 111); Young et al. (2013a, ch. 66); Young et al. (2012, ch. 78); Young (2014, ch. 80); Young et al. (2016, ds 2, ch. 97); Ristevski et al. (2018, ds 2, ch. 131); Smith et al. (in review, ds 1, ch. 135); </w:t>
            </w:r>
            <w:r>
              <w:rPr>
                <w:i/>
                <w:sz w:val="20"/>
                <w:szCs w:val="20"/>
              </w:rPr>
              <w:t>Ősi et al. (in review, ds 1, ch. 148)</w:t>
            </w:r>
            <w:r>
              <w:rPr>
                <w:i/>
                <w:sz w:val="20"/>
                <w:szCs w:val="20"/>
                <w:lang w:eastAsia="en-US"/>
              </w:rPr>
              <w:t>.</w:t>
            </w:r>
          </w:p>
          <w:p w14:paraId="67F52E8C" w14:textId="77777777" w:rsidR="00A47145" w:rsidRDefault="00A47145" w:rsidP="00A47145">
            <w:pPr>
              <w:rPr>
                <w:color w:val="000000"/>
                <w:sz w:val="20"/>
                <w:szCs w:val="20"/>
                <w:lang w:eastAsia="en-US"/>
              </w:rPr>
            </w:pPr>
            <w:r>
              <w:rPr>
                <w:color w:val="000000"/>
                <w:sz w:val="20"/>
                <w:szCs w:val="20"/>
                <w:lang w:eastAsia="en-US"/>
              </w:rPr>
              <w:t>0. subequal</w:t>
            </w:r>
          </w:p>
          <w:p w14:paraId="4407A7EC" w14:textId="77777777" w:rsidR="00A47145" w:rsidRDefault="00A47145" w:rsidP="00A47145">
            <w:pPr>
              <w:rPr>
                <w:color w:val="000000"/>
                <w:sz w:val="20"/>
                <w:szCs w:val="20"/>
                <w:lang w:eastAsia="en-US"/>
              </w:rPr>
            </w:pPr>
            <w:r>
              <w:rPr>
                <w:color w:val="000000"/>
                <w:sz w:val="20"/>
                <w:szCs w:val="20"/>
                <w:lang w:eastAsia="en-US"/>
              </w:rPr>
              <w:t>1. about twice as broad</w:t>
            </w:r>
          </w:p>
        </w:tc>
      </w:tr>
      <w:tr w:rsidR="00A47145" w14:paraId="5EF75F0E" w14:textId="77777777" w:rsidTr="00A47145">
        <w:tc>
          <w:tcPr>
            <w:tcW w:w="0" w:type="auto"/>
            <w:tcBorders>
              <w:top w:val="single" w:sz="4" w:space="0" w:color="auto"/>
              <w:left w:val="single" w:sz="4" w:space="0" w:color="auto"/>
              <w:bottom w:val="single" w:sz="4" w:space="0" w:color="auto"/>
              <w:right w:val="single" w:sz="4" w:space="0" w:color="auto"/>
            </w:tcBorders>
          </w:tcPr>
          <w:p w14:paraId="4AF8EBC6" w14:textId="13C9DA69" w:rsidR="00A47145" w:rsidRDefault="00A47145" w:rsidP="00A47145">
            <w:pPr>
              <w:rPr>
                <w:color w:val="000000"/>
                <w:sz w:val="20"/>
                <w:szCs w:val="20"/>
                <w:lang w:eastAsia="en-US"/>
              </w:rPr>
            </w:pPr>
            <w:r>
              <w:rPr>
                <w:sz w:val="20"/>
                <w:szCs w:val="20"/>
                <w:lang w:eastAsia="en-US"/>
              </w:rPr>
              <w:t>154</w:t>
            </w:r>
          </w:p>
        </w:tc>
        <w:tc>
          <w:tcPr>
            <w:tcW w:w="0" w:type="auto"/>
            <w:tcBorders>
              <w:top w:val="single" w:sz="4" w:space="0" w:color="auto"/>
              <w:left w:val="single" w:sz="4" w:space="0" w:color="auto"/>
              <w:bottom w:val="single" w:sz="4" w:space="0" w:color="auto"/>
              <w:right w:val="single" w:sz="4" w:space="0" w:color="auto"/>
            </w:tcBorders>
            <w:vAlign w:val="bottom"/>
            <w:hideMark/>
          </w:tcPr>
          <w:p w14:paraId="4A79F840" w14:textId="77777777" w:rsidR="00A47145" w:rsidRDefault="00A47145" w:rsidP="00A47145">
            <w:pPr>
              <w:rPr>
                <w:b/>
                <w:color w:val="000000"/>
                <w:sz w:val="20"/>
                <w:szCs w:val="20"/>
                <w:lang w:eastAsia="en-US"/>
              </w:rPr>
            </w:pPr>
            <w:r>
              <w:rPr>
                <w:b/>
                <w:color w:val="000000"/>
                <w:sz w:val="20"/>
                <w:szCs w:val="20"/>
                <w:lang w:eastAsia="en-US"/>
              </w:rPr>
              <w:t>Jugal, anterior process is sigmoidal with a noticeable convexity along its dorsal margin:</w:t>
            </w:r>
          </w:p>
          <w:p w14:paraId="4435899D" w14:textId="18FD1496" w:rsidR="00A47145" w:rsidRDefault="00A47145" w:rsidP="00A47145">
            <w:pPr>
              <w:rPr>
                <w:i/>
                <w:sz w:val="20"/>
                <w:szCs w:val="20"/>
                <w:lang w:eastAsia="en-US"/>
              </w:rPr>
            </w:pPr>
            <w:r>
              <w:rPr>
                <w:i/>
                <w:sz w:val="20"/>
                <w:szCs w:val="20"/>
                <w:lang w:eastAsia="en-US"/>
              </w:rPr>
              <w:t xml:space="preserve">Ristevski et al. (2018, ds 2, ch. 132); Smith et al. (in review, ds 1, ch. 136); </w:t>
            </w:r>
            <w:r>
              <w:rPr>
                <w:i/>
                <w:sz w:val="20"/>
                <w:szCs w:val="20"/>
              </w:rPr>
              <w:t>Ősi et al. (in review, ds 1, ch. 149)</w:t>
            </w:r>
            <w:r>
              <w:rPr>
                <w:i/>
                <w:sz w:val="20"/>
                <w:szCs w:val="20"/>
                <w:lang w:eastAsia="en-US"/>
              </w:rPr>
              <w:t>.</w:t>
            </w:r>
          </w:p>
          <w:p w14:paraId="54ED281F" w14:textId="77777777" w:rsidR="00A47145" w:rsidRDefault="00A47145" w:rsidP="00A47145">
            <w:pPr>
              <w:rPr>
                <w:i/>
                <w:sz w:val="20"/>
                <w:szCs w:val="20"/>
                <w:lang w:eastAsia="en-US"/>
              </w:rPr>
            </w:pPr>
            <w:r>
              <w:rPr>
                <w:i/>
                <w:sz w:val="20"/>
                <w:szCs w:val="20"/>
                <w:lang w:eastAsia="en-US"/>
              </w:rPr>
              <w:t xml:space="preserve">State (1) is found in </w:t>
            </w:r>
            <w:r>
              <w:rPr>
                <w:sz w:val="20"/>
                <w:szCs w:val="20"/>
                <w:lang w:eastAsia="en-US"/>
              </w:rPr>
              <w:t>Dakosaurus</w:t>
            </w:r>
            <w:r>
              <w:rPr>
                <w:i/>
                <w:sz w:val="20"/>
                <w:szCs w:val="20"/>
                <w:lang w:eastAsia="en-US"/>
              </w:rPr>
              <w:t xml:space="preserve"> + the Vaches Noire Dakosaur</w:t>
            </w:r>
            <w:r>
              <w:rPr>
                <w:sz w:val="20"/>
                <w:szCs w:val="20"/>
                <w:lang w:eastAsia="en-US"/>
              </w:rPr>
              <w:t>.</w:t>
            </w:r>
          </w:p>
          <w:p w14:paraId="2929102B" w14:textId="77777777" w:rsidR="00A47145" w:rsidRDefault="00A47145" w:rsidP="00A47145">
            <w:pPr>
              <w:rPr>
                <w:sz w:val="20"/>
                <w:szCs w:val="20"/>
                <w:lang w:eastAsia="en-US"/>
              </w:rPr>
            </w:pPr>
            <w:r>
              <w:rPr>
                <w:sz w:val="20"/>
                <w:szCs w:val="20"/>
                <w:lang w:eastAsia="en-US"/>
              </w:rPr>
              <w:t>0. absent</w:t>
            </w:r>
          </w:p>
          <w:p w14:paraId="275E1278" w14:textId="77777777" w:rsidR="00A47145" w:rsidRDefault="00A47145" w:rsidP="00A47145">
            <w:pPr>
              <w:rPr>
                <w:b/>
                <w:color w:val="000000"/>
                <w:sz w:val="20"/>
                <w:szCs w:val="20"/>
                <w:lang w:eastAsia="en-US"/>
              </w:rPr>
            </w:pPr>
            <w:r>
              <w:rPr>
                <w:sz w:val="20"/>
                <w:szCs w:val="20"/>
                <w:lang w:eastAsia="en-US"/>
              </w:rPr>
              <w:t>1. present</w:t>
            </w:r>
          </w:p>
        </w:tc>
      </w:tr>
      <w:tr w:rsidR="00A47145" w14:paraId="10C8C951" w14:textId="77777777" w:rsidTr="00A47145">
        <w:tc>
          <w:tcPr>
            <w:tcW w:w="0" w:type="auto"/>
            <w:tcBorders>
              <w:top w:val="single" w:sz="4" w:space="0" w:color="auto"/>
              <w:left w:val="single" w:sz="4" w:space="0" w:color="auto"/>
              <w:bottom w:val="single" w:sz="4" w:space="0" w:color="auto"/>
              <w:right w:val="single" w:sz="4" w:space="0" w:color="auto"/>
            </w:tcBorders>
          </w:tcPr>
          <w:p w14:paraId="530697A4" w14:textId="41CCA12C" w:rsidR="00A47145" w:rsidRDefault="00A47145" w:rsidP="00A47145">
            <w:pPr>
              <w:rPr>
                <w:color w:val="000000"/>
                <w:sz w:val="20"/>
                <w:szCs w:val="20"/>
                <w:lang w:eastAsia="en-US"/>
              </w:rPr>
            </w:pPr>
            <w:r>
              <w:rPr>
                <w:color w:val="000000"/>
                <w:sz w:val="20"/>
                <w:szCs w:val="20"/>
                <w:lang w:eastAsia="en-US"/>
              </w:rPr>
              <w:t>155</w:t>
            </w:r>
          </w:p>
        </w:tc>
        <w:tc>
          <w:tcPr>
            <w:tcW w:w="0" w:type="auto"/>
            <w:tcBorders>
              <w:top w:val="single" w:sz="4" w:space="0" w:color="auto"/>
              <w:left w:val="single" w:sz="4" w:space="0" w:color="auto"/>
              <w:bottom w:val="single" w:sz="4" w:space="0" w:color="auto"/>
              <w:right w:val="single" w:sz="4" w:space="0" w:color="auto"/>
            </w:tcBorders>
            <w:vAlign w:val="bottom"/>
            <w:hideMark/>
          </w:tcPr>
          <w:p w14:paraId="3EF45C93" w14:textId="77777777" w:rsidR="00A47145" w:rsidRDefault="00A47145" w:rsidP="00A47145">
            <w:pPr>
              <w:rPr>
                <w:b/>
                <w:color w:val="000000"/>
                <w:sz w:val="20"/>
                <w:szCs w:val="20"/>
                <w:lang w:eastAsia="en-US"/>
              </w:rPr>
            </w:pPr>
            <w:r>
              <w:rPr>
                <w:b/>
                <w:color w:val="000000"/>
                <w:sz w:val="20"/>
                <w:szCs w:val="20"/>
                <w:lang w:eastAsia="en-US"/>
              </w:rPr>
              <w:t>Jugal, extends anteriorly in front of the prefrontal:</w:t>
            </w:r>
          </w:p>
          <w:p w14:paraId="3F903FC1" w14:textId="4392B977"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94); </w:t>
            </w:r>
            <w:r>
              <w:rPr>
                <w:bCs/>
                <w:i/>
                <w:color w:val="000000"/>
                <w:sz w:val="20"/>
                <w:lang w:eastAsia="en-US"/>
              </w:rPr>
              <w:t>Yo</w:t>
            </w:r>
            <w:r>
              <w:rPr>
                <w:i/>
                <w:sz w:val="20"/>
                <w:szCs w:val="20"/>
                <w:lang w:eastAsia="en-US"/>
              </w:rPr>
              <w:t xml:space="preserve">ung et al. (2011, ch. 94); Young et al. (2013a, ch. 67); Young et al. (2012, ch. 79); Young (2014, ch. 81); Young et al. (2016, ds 2, ch. 98); Ristevski et al. (2018, ds 2, ch. 133); Smith et al. (in review, ds 1, ch. 137); </w:t>
            </w:r>
            <w:r>
              <w:rPr>
                <w:i/>
                <w:sz w:val="20"/>
                <w:szCs w:val="20"/>
              </w:rPr>
              <w:t>Ősi et al. (in review, ds 1, ch. 150)</w:t>
            </w:r>
            <w:r>
              <w:rPr>
                <w:i/>
                <w:sz w:val="20"/>
                <w:szCs w:val="20"/>
                <w:lang w:eastAsia="en-US"/>
              </w:rPr>
              <w:t>.</w:t>
            </w:r>
          </w:p>
          <w:p w14:paraId="1BEAAC7A" w14:textId="77777777" w:rsidR="00A47145" w:rsidRDefault="00A47145" w:rsidP="00A47145">
            <w:pPr>
              <w:rPr>
                <w:color w:val="000000"/>
                <w:sz w:val="20"/>
                <w:szCs w:val="20"/>
                <w:lang w:eastAsia="en-US"/>
              </w:rPr>
            </w:pPr>
            <w:r>
              <w:rPr>
                <w:color w:val="000000"/>
                <w:sz w:val="20"/>
                <w:szCs w:val="20"/>
                <w:lang w:eastAsia="en-US"/>
              </w:rPr>
              <w:t>0. no</w:t>
            </w:r>
          </w:p>
          <w:p w14:paraId="14E7843D" w14:textId="77777777" w:rsidR="00A47145" w:rsidRDefault="00A47145" w:rsidP="00A47145">
            <w:pPr>
              <w:rPr>
                <w:color w:val="000000"/>
                <w:sz w:val="20"/>
                <w:szCs w:val="20"/>
                <w:lang w:eastAsia="en-US"/>
              </w:rPr>
            </w:pPr>
            <w:r>
              <w:rPr>
                <w:color w:val="000000"/>
                <w:sz w:val="20"/>
                <w:szCs w:val="20"/>
                <w:lang w:eastAsia="en-US"/>
              </w:rPr>
              <w:t>1. yes</w:t>
            </w:r>
          </w:p>
        </w:tc>
      </w:tr>
      <w:tr w:rsidR="00A47145" w14:paraId="172A749D" w14:textId="77777777" w:rsidTr="00A47145">
        <w:tc>
          <w:tcPr>
            <w:tcW w:w="0" w:type="auto"/>
            <w:tcBorders>
              <w:top w:val="single" w:sz="4" w:space="0" w:color="auto"/>
              <w:left w:val="single" w:sz="4" w:space="0" w:color="auto"/>
              <w:bottom w:val="single" w:sz="4" w:space="0" w:color="auto"/>
              <w:right w:val="single" w:sz="4" w:space="0" w:color="auto"/>
            </w:tcBorders>
          </w:tcPr>
          <w:p w14:paraId="01DFE1E6" w14:textId="624FE335" w:rsidR="00A47145" w:rsidRDefault="00A47145" w:rsidP="00A47145">
            <w:pPr>
              <w:rPr>
                <w:color w:val="000000"/>
                <w:sz w:val="20"/>
                <w:szCs w:val="20"/>
                <w:lang w:eastAsia="en-US"/>
              </w:rPr>
            </w:pPr>
            <w:r>
              <w:rPr>
                <w:color w:val="000000"/>
                <w:sz w:val="20"/>
                <w:szCs w:val="20"/>
                <w:lang w:eastAsia="en-US"/>
              </w:rPr>
              <w:t>156</w:t>
            </w:r>
          </w:p>
        </w:tc>
        <w:tc>
          <w:tcPr>
            <w:tcW w:w="0" w:type="auto"/>
            <w:tcBorders>
              <w:top w:val="single" w:sz="4" w:space="0" w:color="auto"/>
              <w:left w:val="single" w:sz="4" w:space="0" w:color="auto"/>
              <w:bottom w:val="single" w:sz="4" w:space="0" w:color="auto"/>
              <w:right w:val="single" w:sz="4" w:space="0" w:color="auto"/>
            </w:tcBorders>
            <w:vAlign w:val="bottom"/>
            <w:hideMark/>
          </w:tcPr>
          <w:p w14:paraId="04E9F43F" w14:textId="77777777" w:rsidR="00A47145" w:rsidRDefault="00A47145" w:rsidP="00A47145">
            <w:pPr>
              <w:rPr>
                <w:b/>
                <w:sz w:val="20"/>
                <w:lang w:eastAsia="en-US"/>
              </w:rPr>
            </w:pPr>
            <w:r>
              <w:rPr>
                <w:b/>
                <w:sz w:val="20"/>
                <w:lang w:eastAsia="en-US"/>
              </w:rPr>
              <w:t>Postorbital bar, inclination:</w:t>
            </w:r>
          </w:p>
          <w:p w14:paraId="1E4BD781" w14:textId="2B15EFB6" w:rsidR="00A47145" w:rsidRDefault="00A47145" w:rsidP="00A47145">
            <w:pPr>
              <w:rPr>
                <w:i/>
                <w:sz w:val="20"/>
                <w:lang w:eastAsia="en-US"/>
              </w:rPr>
            </w:pPr>
            <w:r>
              <w:rPr>
                <w:i/>
                <w:sz w:val="20"/>
                <w:lang w:eastAsia="en-US"/>
              </w:rPr>
              <w:t xml:space="preserve">Jouve et al. (2008, ch. </w:t>
            </w:r>
            <w:r>
              <w:rPr>
                <w:bCs/>
                <w:i/>
                <w:sz w:val="20"/>
                <w:lang w:eastAsia="en-US"/>
              </w:rPr>
              <w:t xml:space="preserve">35 modified); </w:t>
            </w:r>
            <w:r>
              <w:rPr>
                <w:i/>
                <w:sz w:val="20"/>
                <w:szCs w:val="20"/>
                <w:lang w:eastAsia="en-US"/>
              </w:rPr>
              <w:t xml:space="preserve">Young &amp; Andrade (2009, ch. 85 modified); </w:t>
            </w:r>
            <w:r>
              <w:rPr>
                <w:bCs/>
                <w:i/>
                <w:sz w:val="20"/>
                <w:lang w:eastAsia="en-US"/>
              </w:rPr>
              <w:t xml:space="preserve">Hastings et al. (2010, ch. 50 modified); </w:t>
            </w:r>
            <w:r>
              <w:rPr>
                <w:bCs/>
                <w:i/>
                <w:color w:val="000000"/>
                <w:sz w:val="20"/>
                <w:lang w:eastAsia="en-US"/>
              </w:rPr>
              <w:t>Yo</w:t>
            </w:r>
            <w:r>
              <w:rPr>
                <w:i/>
                <w:sz w:val="20"/>
                <w:szCs w:val="20"/>
                <w:lang w:eastAsia="en-US"/>
              </w:rPr>
              <w:t xml:space="preserve">ung et al. (2011, ch. 85 modified); Young et al. (2013a, ch. 68 modified); </w:t>
            </w:r>
            <w:r>
              <w:rPr>
                <w:bCs/>
                <w:i/>
                <w:sz w:val="20"/>
                <w:lang w:eastAsia="en-US"/>
              </w:rPr>
              <w:t xml:space="preserve">Young et al. (2012, ch. 80 modified); Young (2014, ch. 82 modified); </w:t>
            </w:r>
            <w:r>
              <w:rPr>
                <w:i/>
                <w:sz w:val="20"/>
                <w:szCs w:val="20"/>
                <w:lang w:eastAsia="en-US"/>
              </w:rPr>
              <w:t xml:space="preserve">Ristevski et al. (2018, ds 2, ch. 134); Smith et al. (in review, ds 1, ch. 138); </w:t>
            </w:r>
            <w:r>
              <w:rPr>
                <w:i/>
                <w:sz w:val="20"/>
                <w:szCs w:val="20"/>
              </w:rPr>
              <w:t>Ősi et al. (in review, ds 1, ch. 151)</w:t>
            </w:r>
            <w:r>
              <w:rPr>
                <w:i/>
                <w:sz w:val="20"/>
                <w:lang w:eastAsia="en-US"/>
              </w:rPr>
              <w:t>.</w:t>
            </w:r>
          </w:p>
          <w:p w14:paraId="5E972653" w14:textId="77777777" w:rsidR="00A47145" w:rsidRDefault="00A47145" w:rsidP="00A47145">
            <w:pPr>
              <w:rPr>
                <w:sz w:val="20"/>
                <w:lang w:eastAsia="en-US"/>
              </w:rPr>
            </w:pPr>
            <w:r>
              <w:rPr>
                <w:sz w:val="20"/>
                <w:lang w:eastAsia="en-US"/>
              </w:rPr>
              <w:t>0. strongly anterodorsally inclined</w:t>
            </w:r>
          </w:p>
          <w:p w14:paraId="67A63121" w14:textId="77777777" w:rsidR="00A47145" w:rsidRDefault="00A47145" w:rsidP="00A47145">
            <w:pPr>
              <w:rPr>
                <w:color w:val="000000"/>
                <w:sz w:val="20"/>
                <w:szCs w:val="20"/>
                <w:lang w:eastAsia="en-US"/>
              </w:rPr>
            </w:pPr>
            <w:r>
              <w:rPr>
                <w:color w:val="000000"/>
                <w:sz w:val="20"/>
                <w:szCs w:val="20"/>
                <w:lang w:eastAsia="en-US"/>
              </w:rPr>
              <w:t>1. slightly anterodorsally inclined</w:t>
            </w:r>
          </w:p>
          <w:p w14:paraId="6DB7A197" w14:textId="77777777" w:rsidR="00A47145" w:rsidRDefault="00A47145" w:rsidP="00A47145">
            <w:pPr>
              <w:rPr>
                <w:color w:val="000000"/>
                <w:sz w:val="20"/>
                <w:szCs w:val="20"/>
                <w:lang w:eastAsia="en-US"/>
              </w:rPr>
            </w:pPr>
            <w:r>
              <w:rPr>
                <w:color w:val="000000"/>
                <w:sz w:val="20"/>
                <w:szCs w:val="20"/>
                <w:lang w:eastAsia="en-US"/>
              </w:rPr>
              <w:t>2. nearly vertical</w:t>
            </w:r>
          </w:p>
          <w:p w14:paraId="38BF1F8F" w14:textId="77777777" w:rsidR="00A47145" w:rsidRDefault="00A47145" w:rsidP="00A47145">
            <w:pPr>
              <w:rPr>
                <w:sz w:val="20"/>
                <w:lang w:eastAsia="en-US"/>
              </w:rPr>
            </w:pPr>
            <w:r>
              <w:rPr>
                <w:color w:val="000000"/>
                <w:sz w:val="20"/>
                <w:szCs w:val="20"/>
                <w:lang w:eastAsia="en-US"/>
              </w:rPr>
              <w:t xml:space="preserve">3. </w:t>
            </w:r>
            <w:r>
              <w:rPr>
                <w:sz w:val="20"/>
                <w:lang w:eastAsia="en-US"/>
              </w:rPr>
              <w:t>posterodorsally inclined</w:t>
            </w:r>
          </w:p>
        </w:tc>
      </w:tr>
      <w:tr w:rsidR="00A47145" w14:paraId="5621F4D0" w14:textId="77777777" w:rsidTr="00A47145">
        <w:tc>
          <w:tcPr>
            <w:tcW w:w="0" w:type="auto"/>
            <w:tcBorders>
              <w:top w:val="single" w:sz="4" w:space="0" w:color="auto"/>
              <w:left w:val="single" w:sz="4" w:space="0" w:color="auto"/>
              <w:bottom w:val="single" w:sz="4" w:space="0" w:color="auto"/>
              <w:right w:val="single" w:sz="4" w:space="0" w:color="auto"/>
            </w:tcBorders>
          </w:tcPr>
          <w:p w14:paraId="52C85F56" w14:textId="2DCC5A5F" w:rsidR="00A47145" w:rsidRDefault="00A47145" w:rsidP="00A47145">
            <w:pPr>
              <w:rPr>
                <w:color w:val="000000"/>
                <w:sz w:val="20"/>
                <w:szCs w:val="20"/>
                <w:lang w:eastAsia="en-US"/>
              </w:rPr>
            </w:pPr>
            <w:r>
              <w:rPr>
                <w:color w:val="000000"/>
                <w:sz w:val="20"/>
                <w:szCs w:val="20"/>
                <w:lang w:eastAsia="en-US"/>
              </w:rPr>
              <w:t>157</w:t>
            </w:r>
          </w:p>
        </w:tc>
        <w:tc>
          <w:tcPr>
            <w:tcW w:w="0" w:type="auto"/>
            <w:tcBorders>
              <w:top w:val="single" w:sz="4" w:space="0" w:color="auto"/>
              <w:left w:val="single" w:sz="4" w:space="0" w:color="auto"/>
              <w:bottom w:val="single" w:sz="4" w:space="0" w:color="auto"/>
              <w:right w:val="single" w:sz="4" w:space="0" w:color="auto"/>
            </w:tcBorders>
            <w:vAlign w:val="bottom"/>
            <w:hideMark/>
          </w:tcPr>
          <w:p w14:paraId="6BFE37D6" w14:textId="77777777" w:rsidR="00A47145" w:rsidRDefault="00A47145" w:rsidP="00A47145">
            <w:pPr>
              <w:rPr>
                <w:b/>
                <w:color w:val="000000"/>
                <w:sz w:val="20"/>
                <w:szCs w:val="20"/>
                <w:lang w:eastAsia="en-US"/>
              </w:rPr>
            </w:pPr>
            <w:r>
              <w:rPr>
                <w:b/>
                <w:color w:val="000000"/>
                <w:sz w:val="20"/>
                <w:szCs w:val="20"/>
                <w:lang w:eastAsia="en-US"/>
              </w:rPr>
              <w:t>Jugal, well-developed (i.e. greatly enlarged) foramen on the anterior ramus:</w:t>
            </w:r>
          </w:p>
          <w:p w14:paraId="12B10588" w14:textId="15EA4732" w:rsidR="00A47145" w:rsidRDefault="00A47145" w:rsidP="00A47145">
            <w:pPr>
              <w:rPr>
                <w:i/>
                <w:color w:val="000000"/>
                <w:sz w:val="20"/>
                <w:szCs w:val="20"/>
                <w:lang w:eastAsia="en-US"/>
              </w:rPr>
            </w:pPr>
            <w:r>
              <w:rPr>
                <w:i/>
                <w:sz w:val="20"/>
                <w:szCs w:val="20"/>
                <w:lang w:eastAsia="en-US"/>
              </w:rPr>
              <w:t xml:space="preserve">Ristevski et al. (2018, ds 2, ch. 135); Smith et al. (in review, ds 1, ch. 139); </w:t>
            </w:r>
            <w:r>
              <w:rPr>
                <w:i/>
                <w:sz w:val="20"/>
                <w:szCs w:val="20"/>
              </w:rPr>
              <w:t>Ősi et al. (in review, ds 1, ch. 152)</w:t>
            </w:r>
            <w:r>
              <w:rPr>
                <w:i/>
                <w:sz w:val="20"/>
                <w:szCs w:val="20"/>
                <w:lang w:eastAsia="en-US"/>
              </w:rPr>
              <w:t>.</w:t>
            </w:r>
          </w:p>
          <w:p w14:paraId="2C2DDE64" w14:textId="77777777" w:rsidR="00A47145" w:rsidRDefault="00A47145" w:rsidP="00A47145">
            <w:pPr>
              <w:rPr>
                <w:i/>
                <w:color w:val="000000"/>
                <w:sz w:val="20"/>
                <w:szCs w:val="20"/>
                <w:lang w:eastAsia="en-US"/>
              </w:rPr>
            </w:pPr>
            <w:r>
              <w:rPr>
                <w:i/>
                <w:color w:val="000000"/>
                <w:sz w:val="20"/>
                <w:szCs w:val="20"/>
                <w:lang w:eastAsia="en-US"/>
              </w:rPr>
              <w:t>State (1) occurs in derived dyrosarids.</w:t>
            </w:r>
          </w:p>
          <w:p w14:paraId="76B96DB4" w14:textId="77777777" w:rsidR="00A47145" w:rsidRDefault="00A47145" w:rsidP="00A47145">
            <w:pPr>
              <w:rPr>
                <w:color w:val="000000"/>
                <w:sz w:val="20"/>
                <w:szCs w:val="20"/>
                <w:lang w:eastAsia="en-US"/>
              </w:rPr>
            </w:pPr>
            <w:r>
              <w:rPr>
                <w:color w:val="000000"/>
                <w:sz w:val="20"/>
                <w:szCs w:val="20"/>
                <w:lang w:eastAsia="en-US"/>
              </w:rPr>
              <w:t>0. no</w:t>
            </w:r>
          </w:p>
          <w:p w14:paraId="42B28841" w14:textId="77777777" w:rsidR="00A47145" w:rsidRDefault="00A47145" w:rsidP="00A47145">
            <w:pPr>
              <w:rPr>
                <w:color w:val="000000"/>
                <w:sz w:val="20"/>
                <w:szCs w:val="20"/>
                <w:lang w:eastAsia="en-US"/>
              </w:rPr>
            </w:pPr>
            <w:r>
              <w:rPr>
                <w:color w:val="000000"/>
                <w:sz w:val="20"/>
                <w:szCs w:val="20"/>
                <w:lang w:eastAsia="en-US"/>
              </w:rPr>
              <w:t>1.  yes</w:t>
            </w:r>
          </w:p>
        </w:tc>
      </w:tr>
      <w:tr w:rsidR="00A47145" w14:paraId="1A80BA28" w14:textId="77777777" w:rsidTr="00A47145">
        <w:tc>
          <w:tcPr>
            <w:tcW w:w="0" w:type="auto"/>
            <w:tcBorders>
              <w:top w:val="single" w:sz="4" w:space="0" w:color="auto"/>
              <w:left w:val="single" w:sz="4" w:space="0" w:color="auto"/>
              <w:bottom w:val="single" w:sz="4" w:space="0" w:color="auto"/>
              <w:right w:val="single" w:sz="4" w:space="0" w:color="auto"/>
            </w:tcBorders>
          </w:tcPr>
          <w:p w14:paraId="6FB9A92D" w14:textId="13B3BA7E" w:rsidR="00A47145" w:rsidRDefault="00A47145" w:rsidP="00A47145">
            <w:pPr>
              <w:rPr>
                <w:color w:val="000000"/>
                <w:sz w:val="20"/>
                <w:szCs w:val="20"/>
                <w:lang w:eastAsia="en-US"/>
              </w:rPr>
            </w:pPr>
            <w:r>
              <w:rPr>
                <w:color w:val="000000"/>
                <w:sz w:val="20"/>
                <w:szCs w:val="20"/>
                <w:lang w:eastAsia="en-US"/>
              </w:rPr>
              <w:t>158</w:t>
            </w:r>
          </w:p>
        </w:tc>
        <w:tc>
          <w:tcPr>
            <w:tcW w:w="0" w:type="auto"/>
            <w:tcBorders>
              <w:top w:val="single" w:sz="4" w:space="0" w:color="auto"/>
              <w:left w:val="single" w:sz="4" w:space="0" w:color="auto"/>
              <w:bottom w:val="single" w:sz="4" w:space="0" w:color="auto"/>
              <w:right w:val="single" w:sz="4" w:space="0" w:color="auto"/>
            </w:tcBorders>
            <w:vAlign w:val="bottom"/>
            <w:hideMark/>
          </w:tcPr>
          <w:p w14:paraId="409C067A" w14:textId="77777777" w:rsidR="00A47145" w:rsidRDefault="00A47145" w:rsidP="00A47145">
            <w:pPr>
              <w:rPr>
                <w:b/>
                <w:color w:val="000000"/>
                <w:sz w:val="20"/>
                <w:szCs w:val="20"/>
                <w:lang w:eastAsia="en-US"/>
              </w:rPr>
            </w:pPr>
            <w:r>
              <w:rPr>
                <w:b/>
                <w:color w:val="000000"/>
                <w:sz w:val="20"/>
                <w:szCs w:val="20"/>
                <w:lang w:eastAsia="en-US"/>
              </w:rPr>
              <w:t>Postfrontal:</w:t>
            </w:r>
          </w:p>
          <w:p w14:paraId="3CB15C26" w14:textId="6BB3434D" w:rsidR="00A47145" w:rsidRDefault="00A47145" w:rsidP="00A47145">
            <w:pPr>
              <w:autoSpaceDE w:val="0"/>
              <w:autoSpaceDN w:val="0"/>
              <w:adjustRightInd w:val="0"/>
              <w:rPr>
                <w:i/>
                <w:sz w:val="20"/>
                <w:szCs w:val="20"/>
                <w:lang w:eastAsia="en-US"/>
              </w:rPr>
            </w:pPr>
            <w:r>
              <w:rPr>
                <w:i/>
                <w:sz w:val="20"/>
                <w:szCs w:val="20"/>
                <w:lang w:eastAsia="en-US"/>
              </w:rPr>
              <w:t xml:space="preserve">Nesbitt (2011, ch. 44); Young et al. (2012, ch. 81); Young (2014, ch. 83); Young et al. (2016, ds 2, ch. 100); Ristevski et al. (2018, ds 2, ch. 136); Smith et al. (in review, ds 1, ch. 140); </w:t>
            </w:r>
            <w:r>
              <w:rPr>
                <w:i/>
                <w:sz w:val="20"/>
                <w:szCs w:val="20"/>
              </w:rPr>
              <w:t>Ősi et al. (in review, ds 1, ch. 153)</w:t>
            </w:r>
            <w:r>
              <w:rPr>
                <w:i/>
                <w:sz w:val="20"/>
                <w:szCs w:val="20"/>
                <w:lang w:eastAsia="en-US"/>
              </w:rPr>
              <w:t>.</w:t>
            </w:r>
          </w:p>
          <w:p w14:paraId="7B28F1DF" w14:textId="77777777" w:rsidR="00A47145" w:rsidRDefault="00A47145" w:rsidP="00A47145">
            <w:pPr>
              <w:rPr>
                <w:i/>
                <w:color w:val="000000"/>
                <w:sz w:val="20"/>
                <w:szCs w:val="20"/>
                <w:lang w:eastAsia="en-US"/>
              </w:rPr>
            </w:pPr>
            <w:r>
              <w:rPr>
                <w:i/>
                <w:color w:val="000000"/>
                <w:sz w:val="20"/>
                <w:szCs w:val="20"/>
                <w:lang w:eastAsia="en-US"/>
              </w:rPr>
              <w:t>State (1) is a putative apomorphy of Crocodylomorpha.</w:t>
            </w:r>
          </w:p>
          <w:p w14:paraId="6CD3F092" w14:textId="77777777" w:rsidR="00A47145" w:rsidRDefault="00A47145" w:rsidP="00A47145">
            <w:pPr>
              <w:rPr>
                <w:color w:val="000000"/>
                <w:sz w:val="20"/>
                <w:szCs w:val="20"/>
                <w:lang w:eastAsia="en-US"/>
              </w:rPr>
            </w:pPr>
            <w:r>
              <w:rPr>
                <w:color w:val="000000"/>
                <w:sz w:val="20"/>
                <w:szCs w:val="20"/>
                <w:lang w:eastAsia="en-US"/>
              </w:rPr>
              <w:t>0. present</w:t>
            </w:r>
          </w:p>
          <w:p w14:paraId="19C0F4EC" w14:textId="77777777" w:rsidR="00A47145" w:rsidRDefault="00A47145" w:rsidP="00A47145">
            <w:pPr>
              <w:rPr>
                <w:color w:val="000000"/>
                <w:sz w:val="20"/>
                <w:szCs w:val="20"/>
                <w:lang w:eastAsia="en-US"/>
              </w:rPr>
            </w:pPr>
            <w:r>
              <w:rPr>
                <w:color w:val="000000"/>
                <w:sz w:val="20"/>
                <w:szCs w:val="20"/>
                <w:lang w:eastAsia="en-US"/>
              </w:rPr>
              <w:t>1. absent</w:t>
            </w:r>
          </w:p>
        </w:tc>
      </w:tr>
      <w:tr w:rsidR="00A47145" w14:paraId="3E0824B7" w14:textId="77777777" w:rsidTr="00A47145">
        <w:tc>
          <w:tcPr>
            <w:tcW w:w="0" w:type="auto"/>
            <w:tcBorders>
              <w:top w:val="single" w:sz="4" w:space="0" w:color="auto"/>
              <w:left w:val="single" w:sz="4" w:space="0" w:color="auto"/>
              <w:bottom w:val="single" w:sz="4" w:space="0" w:color="auto"/>
              <w:right w:val="single" w:sz="4" w:space="0" w:color="auto"/>
            </w:tcBorders>
          </w:tcPr>
          <w:p w14:paraId="577261C1" w14:textId="71062E4A" w:rsidR="00A47145" w:rsidRDefault="00A47145" w:rsidP="00A47145">
            <w:pPr>
              <w:rPr>
                <w:sz w:val="20"/>
                <w:szCs w:val="20"/>
                <w:lang w:eastAsia="en-US"/>
              </w:rPr>
            </w:pPr>
            <w:r>
              <w:rPr>
                <w:color w:val="000000"/>
                <w:sz w:val="20"/>
                <w:szCs w:val="20"/>
                <w:lang w:eastAsia="en-US"/>
              </w:rPr>
              <w:t>159</w:t>
            </w:r>
          </w:p>
        </w:tc>
        <w:tc>
          <w:tcPr>
            <w:tcW w:w="0" w:type="auto"/>
            <w:tcBorders>
              <w:top w:val="single" w:sz="4" w:space="0" w:color="auto"/>
              <w:left w:val="single" w:sz="4" w:space="0" w:color="auto"/>
              <w:bottom w:val="single" w:sz="4" w:space="0" w:color="auto"/>
              <w:right w:val="single" w:sz="4" w:space="0" w:color="auto"/>
            </w:tcBorders>
            <w:vAlign w:val="bottom"/>
            <w:hideMark/>
          </w:tcPr>
          <w:p w14:paraId="5A1CFF0E" w14:textId="77777777" w:rsidR="00A47145" w:rsidRDefault="00A47145" w:rsidP="00A47145">
            <w:pPr>
              <w:rPr>
                <w:b/>
                <w:color w:val="000000"/>
                <w:sz w:val="20"/>
                <w:szCs w:val="20"/>
                <w:lang w:eastAsia="en-US"/>
              </w:rPr>
            </w:pPr>
            <w:r>
              <w:rPr>
                <w:b/>
                <w:color w:val="000000"/>
                <w:sz w:val="20"/>
                <w:szCs w:val="20"/>
                <w:lang w:eastAsia="en-US"/>
              </w:rPr>
              <w:t>Postorbital bar, morphology of dorsal end:</w:t>
            </w:r>
          </w:p>
          <w:p w14:paraId="2571A30A" w14:textId="47B1AFDC"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90); </w:t>
            </w:r>
            <w:r>
              <w:rPr>
                <w:bCs/>
                <w:i/>
                <w:color w:val="000000"/>
                <w:sz w:val="20"/>
                <w:lang w:eastAsia="en-US"/>
              </w:rPr>
              <w:t>Yo</w:t>
            </w:r>
            <w:r>
              <w:rPr>
                <w:i/>
                <w:sz w:val="20"/>
                <w:szCs w:val="20"/>
                <w:lang w:eastAsia="en-US"/>
              </w:rPr>
              <w:t xml:space="preserve">ung et al. (2011, ch. 90); Young et al. (2013a, ch. 69); Young et al. (2012, ch. 82); Young (2014, ch. 84); Young et al. (2016, ds 2, ch. 101); Ristevski et al. (2018, ds 2, ch. 137); Smith et al. (in review, ds 1, ch. 141); </w:t>
            </w:r>
            <w:r>
              <w:rPr>
                <w:i/>
                <w:sz w:val="20"/>
                <w:szCs w:val="20"/>
              </w:rPr>
              <w:t>Ősi et al. (in review, ds 1, ch. 154)</w:t>
            </w:r>
            <w:r>
              <w:rPr>
                <w:i/>
                <w:sz w:val="20"/>
                <w:szCs w:val="20"/>
                <w:lang w:eastAsia="en-US"/>
              </w:rPr>
              <w:t>.</w:t>
            </w:r>
          </w:p>
          <w:p w14:paraId="13888024" w14:textId="77777777" w:rsidR="00A47145" w:rsidRDefault="00A47145" w:rsidP="00A47145">
            <w:pPr>
              <w:rPr>
                <w:color w:val="000000"/>
                <w:sz w:val="20"/>
                <w:szCs w:val="20"/>
                <w:lang w:eastAsia="en-US"/>
              </w:rPr>
            </w:pPr>
            <w:r>
              <w:rPr>
                <w:color w:val="000000"/>
                <w:sz w:val="20"/>
                <w:szCs w:val="20"/>
                <w:lang w:eastAsia="en-US"/>
              </w:rPr>
              <w:t>0. dorsal end of the postorbital bar broadens dorsally, continuous with dorsal part of the postorbital</w:t>
            </w:r>
          </w:p>
          <w:p w14:paraId="76A89FD2" w14:textId="77777777" w:rsidR="00A47145" w:rsidRDefault="00A47145" w:rsidP="00A47145">
            <w:pPr>
              <w:rPr>
                <w:color w:val="000000"/>
                <w:sz w:val="20"/>
                <w:szCs w:val="20"/>
                <w:lang w:eastAsia="en-US"/>
              </w:rPr>
            </w:pPr>
            <w:r>
              <w:rPr>
                <w:color w:val="000000"/>
                <w:sz w:val="20"/>
                <w:szCs w:val="20"/>
                <w:lang w:eastAsia="en-US"/>
              </w:rPr>
              <w:t>1. dorsal part of the postorbital bar constricted, distinct from the dorsal part of the postorbital</w:t>
            </w:r>
          </w:p>
        </w:tc>
      </w:tr>
      <w:tr w:rsidR="00A47145" w14:paraId="40705846" w14:textId="77777777" w:rsidTr="00A47145">
        <w:tc>
          <w:tcPr>
            <w:tcW w:w="0" w:type="auto"/>
            <w:tcBorders>
              <w:top w:val="single" w:sz="4" w:space="0" w:color="auto"/>
              <w:left w:val="single" w:sz="4" w:space="0" w:color="auto"/>
              <w:bottom w:val="single" w:sz="4" w:space="0" w:color="auto"/>
              <w:right w:val="single" w:sz="4" w:space="0" w:color="auto"/>
            </w:tcBorders>
          </w:tcPr>
          <w:p w14:paraId="597549D6" w14:textId="152AC7C5" w:rsidR="00A47145" w:rsidRDefault="00A47145" w:rsidP="00A47145">
            <w:pPr>
              <w:rPr>
                <w:color w:val="000000"/>
                <w:sz w:val="20"/>
                <w:szCs w:val="20"/>
                <w:lang w:eastAsia="en-US"/>
              </w:rPr>
            </w:pPr>
            <w:r>
              <w:rPr>
                <w:color w:val="000000"/>
                <w:sz w:val="20"/>
                <w:szCs w:val="20"/>
                <w:lang w:eastAsia="en-US"/>
              </w:rPr>
              <w:t>160</w:t>
            </w:r>
          </w:p>
        </w:tc>
        <w:tc>
          <w:tcPr>
            <w:tcW w:w="0" w:type="auto"/>
            <w:tcBorders>
              <w:top w:val="single" w:sz="4" w:space="0" w:color="auto"/>
              <w:left w:val="single" w:sz="4" w:space="0" w:color="auto"/>
              <w:bottom w:val="single" w:sz="4" w:space="0" w:color="auto"/>
              <w:right w:val="single" w:sz="4" w:space="0" w:color="auto"/>
            </w:tcBorders>
            <w:vAlign w:val="bottom"/>
            <w:hideMark/>
          </w:tcPr>
          <w:p w14:paraId="039E69EB" w14:textId="77777777"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Postorbital bar (postorbital), presence of a vascular opening at the lateral edge of the bar, close to the dorsal surface of the postorbital:</w:t>
            </w:r>
          </w:p>
          <w:p w14:paraId="6F52014F" w14:textId="4C132C5B" w:rsidR="00A47145" w:rsidRDefault="00A47145" w:rsidP="00A47145">
            <w:pPr>
              <w:autoSpaceDE w:val="0"/>
              <w:autoSpaceDN w:val="0"/>
              <w:adjustRightInd w:val="0"/>
              <w:rPr>
                <w:i/>
                <w:sz w:val="20"/>
                <w:szCs w:val="20"/>
                <w:lang w:eastAsia="en-US"/>
              </w:rPr>
            </w:pPr>
            <w:r>
              <w:rPr>
                <w:bCs/>
                <w:i/>
                <w:color w:val="000000"/>
                <w:sz w:val="20"/>
                <w:szCs w:val="20"/>
                <w:lang w:eastAsia="en-US"/>
              </w:rPr>
              <w:t>Clark (1994, ch. 27);</w:t>
            </w:r>
            <w:r>
              <w:rPr>
                <w:b/>
                <w:bCs/>
                <w:color w:val="000000"/>
                <w:sz w:val="20"/>
                <w:szCs w:val="20"/>
                <w:lang w:eastAsia="en-US"/>
              </w:rPr>
              <w:t xml:space="preserve"> </w:t>
            </w:r>
            <w:r>
              <w:rPr>
                <w:i/>
                <w:sz w:val="20"/>
                <w:szCs w:val="20"/>
                <w:lang w:eastAsia="en-US"/>
              </w:rPr>
              <w:t xml:space="preserve">Young &amp; Andrade (2009, ch. 114); </w:t>
            </w:r>
            <w:r>
              <w:rPr>
                <w:bCs/>
                <w:i/>
                <w:color w:val="000000"/>
                <w:sz w:val="20"/>
                <w:lang w:eastAsia="en-US"/>
              </w:rPr>
              <w:t>Andrade et al. (2011, ch. 202); Yo</w:t>
            </w:r>
            <w:r>
              <w:rPr>
                <w:i/>
                <w:sz w:val="20"/>
                <w:szCs w:val="20"/>
                <w:lang w:eastAsia="en-US"/>
              </w:rPr>
              <w:t xml:space="preserve">ung et al. (2011, ch. 114); Young et al. (2013a, ch. 70); Young et al. (2012, ch. 83); Young (2014, ch. 85); Young </w:t>
            </w:r>
            <w:r>
              <w:rPr>
                <w:i/>
                <w:sz w:val="20"/>
                <w:szCs w:val="20"/>
                <w:lang w:eastAsia="en-US"/>
              </w:rPr>
              <w:lastRenderedPageBreak/>
              <w:t xml:space="preserve">et al. (2016, ds 2, ch. 102); Ristevski et al. (2018, ds 2, ch. 138); Smith et al. (in review, ds 1, ch. 142); </w:t>
            </w:r>
            <w:r>
              <w:rPr>
                <w:i/>
                <w:sz w:val="20"/>
                <w:szCs w:val="20"/>
              </w:rPr>
              <w:t>Ősi et al. (in review, ds 1, ch. 155)</w:t>
            </w:r>
            <w:r>
              <w:rPr>
                <w:i/>
                <w:sz w:val="20"/>
                <w:szCs w:val="20"/>
                <w:lang w:eastAsia="en-US"/>
              </w:rPr>
              <w:t>.</w:t>
            </w:r>
          </w:p>
          <w:p w14:paraId="38092298"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Note that scoring of state (0) can be highly influenced by preservation.</w:t>
            </w:r>
          </w:p>
          <w:p w14:paraId="5180F477" w14:textId="77777777" w:rsidR="00A47145" w:rsidRDefault="00A47145" w:rsidP="00A47145">
            <w:pPr>
              <w:rPr>
                <w:color w:val="000000"/>
                <w:sz w:val="20"/>
                <w:szCs w:val="20"/>
                <w:lang w:eastAsia="en-US"/>
              </w:rPr>
            </w:pPr>
            <w:r>
              <w:rPr>
                <w:color w:val="000000"/>
                <w:sz w:val="20"/>
                <w:szCs w:val="20"/>
                <w:lang w:eastAsia="en-US"/>
              </w:rPr>
              <w:t>0. absent</w:t>
            </w:r>
          </w:p>
          <w:p w14:paraId="5B2F4B80" w14:textId="77777777" w:rsidR="00A47145" w:rsidRDefault="00A47145" w:rsidP="00A47145">
            <w:pPr>
              <w:rPr>
                <w:color w:val="000000"/>
                <w:sz w:val="20"/>
                <w:szCs w:val="20"/>
                <w:lang w:eastAsia="en-US"/>
              </w:rPr>
            </w:pPr>
            <w:r>
              <w:rPr>
                <w:color w:val="000000"/>
                <w:sz w:val="20"/>
                <w:szCs w:val="20"/>
                <w:lang w:eastAsia="en-US"/>
              </w:rPr>
              <w:t>1. present</w:t>
            </w:r>
          </w:p>
        </w:tc>
      </w:tr>
      <w:tr w:rsidR="00A47145" w14:paraId="3D4552A7" w14:textId="77777777" w:rsidTr="00A47145">
        <w:tc>
          <w:tcPr>
            <w:tcW w:w="0" w:type="auto"/>
            <w:tcBorders>
              <w:top w:val="single" w:sz="4" w:space="0" w:color="auto"/>
              <w:left w:val="single" w:sz="4" w:space="0" w:color="auto"/>
              <w:bottom w:val="single" w:sz="4" w:space="0" w:color="auto"/>
              <w:right w:val="single" w:sz="4" w:space="0" w:color="auto"/>
            </w:tcBorders>
          </w:tcPr>
          <w:p w14:paraId="30F7490D" w14:textId="253E7FD9" w:rsidR="00A47145" w:rsidRDefault="00A47145" w:rsidP="00A47145">
            <w:pPr>
              <w:rPr>
                <w:color w:val="000000"/>
                <w:sz w:val="20"/>
                <w:szCs w:val="20"/>
                <w:lang w:eastAsia="en-US"/>
              </w:rPr>
            </w:pPr>
            <w:r>
              <w:rPr>
                <w:color w:val="000000"/>
                <w:sz w:val="20"/>
                <w:szCs w:val="20"/>
                <w:lang w:eastAsia="en-US"/>
              </w:rPr>
              <w:lastRenderedPageBreak/>
              <w:t>161</w:t>
            </w:r>
          </w:p>
        </w:tc>
        <w:tc>
          <w:tcPr>
            <w:tcW w:w="0" w:type="auto"/>
            <w:tcBorders>
              <w:top w:val="single" w:sz="4" w:space="0" w:color="auto"/>
              <w:left w:val="single" w:sz="4" w:space="0" w:color="auto"/>
              <w:bottom w:val="single" w:sz="4" w:space="0" w:color="auto"/>
              <w:right w:val="single" w:sz="4" w:space="0" w:color="auto"/>
            </w:tcBorders>
            <w:vAlign w:val="bottom"/>
            <w:hideMark/>
          </w:tcPr>
          <w:p w14:paraId="19BA467A" w14:textId="77777777" w:rsidR="00A47145" w:rsidRDefault="00A47145" w:rsidP="00A47145">
            <w:pPr>
              <w:rPr>
                <w:b/>
                <w:color w:val="000000"/>
                <w:sz w:val="20"/>
                <w:szCs w:val="20"/>
                <w:lang w:eastAsia="en-US"/>
              </w:rPr>
            </w:pPr>
            <w:r>
              <w:rPr>
                <w:b/>
                <w:color w:val="000000"/>
                <w:sz w:val="20"/>
                <w:szCs w:val="20"/>
                <w:lang w:eastAsia="en-US"/>
              </w:rPr>
              <w:t>Postorbital bar, morphology of postorbital-jugal contact:</w:t>
            </w:r>
          </w:p>
          <w:p w14:paraId="1A2E6621" w14:textId="390C5295" w:rsidR="00A47145" w:rsidRDefault="00A47145" w:rsidP="00A47145">
            <w:pPr>
              <w:autoSpaceDE w:val="0"/>
              <w:autoSpaceDN w:val="0"/>
              <w:adjustRightInd w:val="0"/>
              <w:rPr>
                <w:i/>
                <w:sz w:val="20"/>
                <w:szCs w:val="20"/>
                <w:lang w:eastAsia="en-US"/>
              </w:rPr>
            </w:pPr>
            <w:r>
              <w:rPr>
                <w:i/>
                <w:sz w:val="20"/>
                <w:szCs w:val="20"/>
                <w:lang w:eastAsia="en-US"/>
              </w:rPr>
              <w:t xml:space="preserve">Wilkinson et al. (2008, ch. 35); Young &amp; Andrade (2009, ch. 35); </w:t>
            </w:r>
            <w:r>
              <w:rPr>
                <w:bCs/>
                <w:i/>
                <w:color w:val="000000"/>
                <w:sz w:val="20"/>
                <w:lang w:eastAsia="en-US"/>
              </w:rPr>
              <w:t>Yo</w:t>
            </w:r>
            <w:r>
              <w:rPr>
                <w:i/>
                <w:sz w:val="20"/>
                <w:szCs w:val="20"/>
                <w:lang w:eastAsia="en-US"/>
              </w:rPr>
              <w:t xml:space="preserve">ung et al. (2011, ch. 35); Young et al. (2013a, ch. 71); Young et al. (2012, ch. 84); Young (2014, ch. 86); Young et al. (2016, ds 2, ch. 103); Ristevski et al. (2018, ds 2, ch. 139); Smith et al. (in review, ds 1, ch. 143) </w:t>
            </w:r>
            <w:r>
              <w:rPr>
                <w:i/>
                <w:sz w:val="20"/>
                <w:szCs w:val="20"/>
              </w:rPr>
              <w:t>Ősi et al. (in review, ds 1, ch. 156)</w:t>
            </w:r>
            <w:r>
              <w:rPr>
                <w:i/>
                <w:sz w:val="20"/>
                <w:szCs w:val="20"/>
                <w:lang w:eastAsia="en-US"/>
              </w:rPr>
              <w:t>.</w:t>
            </w:r>
          </w:p>
          <w:p w14:paraId="0110AF1F" w14:textId="77777777" w:rsidR="00A47145" w:rsidRDefault="00A47145" w:rsidP="00A47145">
            <w:pPr>
              <w:rPr>
                <w:color w:val="000000"/>
                <w:sz w:val="20"/>
                <w:szCs w:val="20"/>
                <w:lang w:eastAsia="en-US"/>
              </w:rPr>
            </w:pPr>
            <w:r>
              <w:rPr>
                <w:color w:val="000000"/>
                <w:sz w:val="20"/>
                <w:szCs w:val="20"/>
                <w:lang w:eastAsia="en-US"/>
              </w:rPr>
              <w:t>0. postorbital medial to jugal</w:t>
            </w:r>
          </w:p>
          <w:p w14:paraId="781AF566" w14:textId="77777777" w:rsidR="00A47145" w:rsidRDefault="00A47145" w:rsidP="00A47145">
            <w:pPr>
              <w:rPr>
                <w:color w:val="000000"/>
                <w:sz w:val="20"/>
                <w:szCs w:val="20"/>
                <w:lang w:eastAsia="en-US"/>
              </w:rPr>
            </w:pPr>
            <w:r>
              <w:rPr>
                <w:color w:val="000000"/>
                <w:sz w:val="20"/>
                <w:szCs w:val="20"/>
                <w:lang w:eastAsia="en-US"/>
              </w:rPr>
              <w:t>1. postorbital lateral to jugal</w:t>
            </w:r>
          </w:p>
        </w:tc>
      </w:tr>
      <w:tr w:rsidR="00A47145" w14:paraId="41C95ED0" w14:textId="77777777" w:rsidTr="00A47145">
        <w:tc>
          <w:tcPr>
            <w:tcW w:w="0" w:type="auto"/>
            <w:tcBorders>
              <w:top w:val="single" w:sz="4" w:space="0" w:color="auto"/>
              <w:left w:val="single" w:sz="4" w:space="0" w:color="auto"/>
              <w:bottom w:val="single" w:sz="4" w:space="0" w:color="auto"/>
              <w:right w:val="single" w:sz="4" w:space="0" w:color="auto"/>
            </w:tcBorders>
          </w:tcPr>
          <w:p w14:paraId="278094C8" w14:textId="4181DC0B" w:rsidR="00A47145" w:rsidRDefault="00A47145" w:rsidP="00A47145">
            <w:pPr>
              <w:rPr>
                <w:color w:val="000000"/>
                <w:sz w:val="20"/>
                <w:szCs w:val="20"/>
                <w:lang w:eastAsia="en-US"/>
              </w:rPr>
            </w:pPr>
            <w:r>
              <w:rPr>
                <w:color w:val="000000"/>
                <w:sz w:val="20"/>
                <w:szCs w:val="20"/>
                <w:lang w:eastAsia="en-US"/>
              </w:rPr>
              <w:t>162</w:t>
            </w:r>
          </w:p>
        </w:tc>
        <w:tc>
          <w:tcPr>
            <w:tcW w:w="0" w:type="auto"/>
            <w:tcBorders>
              <w:top w:val="single" w:sz="4" w:space="0" w:color="auto"/>
              <w:left w:val="single" w:sz="4" w:space="0" w:color="auto"/>
              <w:bottom w:val="single" w:sz="4" w:space="0" w:color="auto"/>
              <w:right w:val="single" w:sz="4" w:space="0" w:color="auto"/>
            </w:tcBorders>
            <w:vAlign w:val="bottom"/>
            <w:hideMark/>
          </w:tcPr>
          <w:p w14:paraId="0AD87468" w14:textId="77777777" w:rsidR="00A47145" w:rsidRDefault="00A47145" w:rsidP="00A47145">
            <w:pPr>
              <w:rPr>
                <w:b/>
                <w:color w:val="000000"/>
                <w:sz w:val="20"/>
                <w:szCs w:val="20"/>
                <w:lang w:eastAsia="en-US"/>
              </w:rPr>
            </w:pPr>
            <w:r>
              <w:rPr>
                <w:b/>
                <w:color w:val="000000"/>
                <w:sz w:val="20"/>
                <w:szCs w:val="20"/>
                <w:lang w:eastAsia="en-US"/>
              </w:rPr>
              <w:t>Postorbital bar, structure:</w:t>
            </w:r>
          </w:p>
          <w:p w14:paraId="2CF672A7" w14:textId="6965CC79" w:rsidR="00A47145" w:rsidRDefault="00A47145" w:rsidP="00A47145">
            <w:pPr>
              <w:rPr>
                <w:i/>
                <w:color w:val="000000"/>
                <w:sz w:val="20"/>
                <w:szCs w:val="20"/>
                <w:lang w:eastAsia="en-US"/>
              </w:rPr>
            </w:pPr>
            <w:r>
              <w:rPr>
                <w:i/>
                <w:color w:val="000000"/>
                <w:sz w:val="20"/>
                <w:szCs w:val="20"/>
                <w:lang w:eastAsia="en-US"/>
              </w:rPr>
              <w:t xml:space="preserve">Clark (1994, ch. 26 modified); Wilkinson et al. (2008, ch. 36 modified); </w:t>
            </w:r>
            <w:r>
              <w:rPr>
                <w:i/>
                <w:sz w:val="20"/>
                <w:szCs w:val="20"/>
                <w:lang w:eastAsia="en-US"/>
              </w:rPr>
              <w:t xml:space="preserve">Young &amp; Andrade (2009, ch. 36 modified); </w:t>
            </w:r>
            <w:r>
              <w:rPr>
                <w:bCs/>
                <w:i/>
                <w:color w:val="000000"/>
                <w:sz w:val="20"/>
                <w:lang w:eastAsia="en-US"/>
              </w:rPr>
              <w:t>Yo</w:t>
            </w:r>
            <w:r>
              <w:rPr>
                <w:i/>
                <w:sz w:val="20"/>
                <w:szCs w:val="20"/>
                <w:lang w:eastAsia="en-US"/>
              </w:rPr>
              <w:t xml:space="preserve">ung et al. (2011, ch. 36 modified); Young et al. (2013a, ch. 72 modified); </w:t>
            </w:r>
            <w:r>
              <w:rPr>
                <w:i/>
                <w:color w:val="000000"/>
                <w:sz w:val="20"/>
                <w:szCs w:val="20"/>
                <w:lang w:eastAsia="en-US"/>
              </w:rPr>
              <w:t xml:space="preserve">Young et al. (2012, ch. 85 modified); Young (2014, ch. 87 modified); Young et al. (2016, ds 2, ch. 104 modified); </w:t>
            </w:r>
            <w:r>
              <w:rPr>
                <w:i/>
                <w:sz w:val="20"/>
                <w:szCs w:val="20"/>
                <w:lang w:eastAsia="en-US"/>
              </w:rPr>
              <w:t xml:space="preserve">Ristevski et al. (2018, ds 2, ch. 140); Smith et al. (in review, ds 1, ch. 144); </w:t>
            </w:r>
            <w:r>
              <w:rPr>
                <w:i/>
                <w:sz w:val="20"/>
                <w:szCs w:val="20"/>
              </w:rPr>
              <w:t>Ősi et al. (in review, ds 1, ch. 157)</w:t>
            </w:r>
            <w:r>
              <w:rPr>
                <w:i/>
                <w:color w:val="000000"/>
                <w:sz w:val="20"/>
                <w:szCs w:val="20"/>
                <w:lang w:eastAsia="en-US"/>
              </w:rPr>
              <w:t>.</w:t>
            </w:r>
          </w:p>
          <w:p w14:paraId="05994557" w14:textId="77777777" w:rsidR="00A47145" w:rsidRDefault="00A47145" w:rsidP="00A47145">
            <w:pPr>
              <w:rPr>
                <w:i/>
                <w:color w:val="000000"/>
                <w:sz w:val="20"/>
                <w:szCs w:val="20"/>
                <w:lang w:eastAsia="en-US"/>
              </w:rPr>
            </w:pPr>
            <w:r>
              <w:rPr>
                <w:i/>
                <w:color w:val="000000"/>
                <w:sz w:val="20"/>
                <w:szCs w:val="20"/>
                <w:lang w:eastAsia="en-US"/>
              </w:rPr>
              <w:t>State (1) occurs in Metasuchia.</w:t>
            </w:r>
          </w:p>
          <w:p w14:paraId="6405D7D2" w14:textId="77777777" w:rsidR="00A47145" w:rsidRDefault="00A47145" w:rsidP="00A47145">
            <w:pPr>
              <w:rPr>
                <w:i/>
                <w:color w:val="000000"/>
                <w:sz w:val="20"/>
                <w:szCs w:val="20"/>
                <w:lang w:eastAsia="en-US"/>
              </w:rPr>
            </w:pPr>
            <w:r>
              <w:rPr>
                <w:i/>
                <w:color w:val="000000"/>
                <w:sz w:val="20"/>
                <w:szCs w:val="20"/>
                <w:lang w:eastAsia="en-US"/>
              </w:rPr>
              <w:t>State (2) describes the flattened morphology of tethysuchians.</w:t>
            </w:r>
          </w:p>
          <w:p w14:paraId="4F357C7D" w14:textId="77777777" w:rsidR="00A47145" w:rsidRDefault="00A47145" w:rsidP="00A47145">
            <w:pPr>
              <w:rPr>
                <w:color w:val="000000"/>
                <w:sz w:val="20"/>
                <w:szCs w:val="20"/>
                <w:lang w:eastAsia="en-US"/>
              </w:rPr>
            </w:pPr>
            <w:r>
              <w:rPr>
                <w:color w:val="000000"/>
                <w:sz w:val="20"/>
                <w:szCs w:val="20"/>
                <w:lang w:eastAsia="en-US"/>
              </w:rPr>
              <w:t>0. dermal bar that is either not columnal or transversely flattened</w:t>
            </w:r>
          </w:p>
          <w:p w14:paraId="51F5A226" w14:textId="77777777" w:rsidR="00A47145" w:rsidRDefault="00A47145" w:rsidP="00A47145">
            <w:pPr>
              <w:rPr>
                <w:color w:val="000000"/>
                <w:sz w:val="20"/>
                <w:szCs w:val="20"/>
                <w:lang w:eastAsia="en-US"/>
              </w:rPr>
            </w:pPr>
            <w:r>
              <w:rPr>
                <w:color w:val="000000"/>
                <w:sz w:val="20"/>
                <w:szCs w:val="20"/>
                <w:lang w:eastAsia="en-US"/>
              </w:rPr>
              <w:t>1. subdermal bar that is distinctly columnar and cylindrical or oval-shaped</w:t>
            </w:r>
          </w:p>
          <w:p w14:paraId="575A645E" w14:textId="77777777" w:rsidR="00A47145" w:rsidRDefault="00A47145" w:rsidP="00A47145">
            <w:pPr>
              <w:rPr>
                <w:color w:val="000000"/>
                <w:sz w:val="20"/>
                <w:szCs w:val="20"/>
                <w:lang w:eastAsia="en-US"/>
              </w:rPr>
            </w:pPr>
            <w:r>
              <w:rPr>
                <w:color w:val="000000"/>
                <w:sz w:val="20"/>
                <w:szCs w:val="20"/>
                <w:lang w:eastAsia="en-US"/>
              </w:rPr>
              <w:t>2. subdermal bar that is distinctly columnar and transversely flattened</w:t>
            </w:r>
          </w:p>
        </w:tc>
      </w:tr>
      <w:tr w:rsidR="00A47145" w14:paraId="5D724709" w14:textId="77777777" w:rsidTr="00A47145">
        <w:tc>
          <w:tcPr>
            <w:tcW w:w="0" w:type="auto"/>
            <w:tcBorders>
              <w:top w:val="single" w:sz="4" w:space="0" w:color="auto"/>
              <w:left w:val="single" w:sz="4" w:space="0" w:color="auto"/>
              <w:bottom w:val="single" w:sz="4" w:space="0" w:color="auto"/>
              <w:right w:val="single" w:sz="4" w:space="0" w:color="auto"/>
            </w:tcBorders>
          </w:tcPr>
          <w:p w14:paraId="65472448" w14:textId="2DE37C52" w:rsidR="00A47145" w:rsidRDefault="00A47145" w:rsidP="00A47145">
            <w:pPr>
              <w:rPr>
                <w:color w:val="000000"/>
                <w:sz w:val="20"/>
                <w:szCs w:val="20"/>
                <w:lang w:eastAsia="en-US"/>
              </w:rPr>
            </w:pPr>
            <w:r>
              <w:rPr>
                <w:color w:val="000000"/>
                <w:sz w:val="20"/>
                <w:szCs w:val="20"/>
                <w:lang w:eastAsia="en-US"/>
              </w:rPr>
              <w:t>163</w:t>
            </w:r>
          </w:p>
        </w:tc>
        <w:tc>
          <w:tcPr>
            <w:tcW w:w="0" w:type="auto"/>
            <w:tcBorders>
              <w:top w:val="single" w:sz="4" w:space="0" w:color="auto"/>
              <w:left w:val="single" w:sz="4" w:space="0" w:color="auto"/>
              <w:bottom w:val="single" w:sz="4" w:space="0" w:color="auto"/>
              <w:right w:val="single" w:sz="4" w:space="0" w:color="auto"/>
            </w:tcBorders>
            <w:vAlign w:val="bottom"/>
            <w:hideMark/>
          </w:tcPr>
          <w:p w14:paraId="7547CC5F" w14:textId="77777777"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Postorbital bar, composition of lateral surface:</w:t>
            </w:r>
          </w:p>
          <w:p w14:paraId="5E786021" w14:textId="2EB78B43" w:rsidR="00A47145" w:rsidRDefault="00A47145" w:rsidP="00A47145">
            <w:pPr>
              <w:autoSpaceDE w:val="0"/>
              <w:autoSpaceDN w:val="0"/>
              <w:adjustRightInd w:val="0"/>
              <w:rPr>
                <w:b/>
                <w:bCs/>
                <w:color w:val="000000"/>
                <w:sz w:val="20"/>
                <w:szCs w:val="20"/>
                <w:lang w:eastAsia="en-US"/>
              </w:rPr>
            </w:pPr>
            <w:r>
              <w:rPr>
                <w:bCs/>
                <w:i/>
                <w:color w:val="000000"/>
                <w:sz w:val="20"/>
                <w:szCs w:val="20"/>
                <w:lang w:eastAsia="en-US"/>
              </w:rPr>
              <w:t xml:space="preserve">Gasparini </w:t>
            </w:r>
            <w:r>
              <w:rPr>
                <w:bCs/>
                <w:i/>
                <w:iCs/>
                <w:color w:val="000000"/>
                <w:sz w:val="20"/>
                <w:szCs w:val="20"/>
                <w:lang w:eastAsia="en-US"/>
              </w:rPr>
              <w:t>et al. (</w:t>
            </w:r>
            <w:r>
              <w:rPr>
                <w:bCs/>
                <w:i/>
                <w:color w:val="000000"/>
                <w:sz w:val="20"/>
                <w:szCs w:val="20"/>
                <w:lang w:eastAsia="en-US"/>
              </w:rPr>
              <w:t>2006, ch. 244);</w:t>
            </w:r>
            <w:r>
              <w:rPr>
                <w:b/>
                <w:bCs/>
                <w:color w:val="000000"/>
                <w:sz w:val="20"/>
                <w:szCs w:val="20"/>
                <w:lang w:eastAsia="en-US"/>
              </w:rPr>
              <w:t xml:space="preserve"> </w:t>
            </w:r>
            <w:r>
              <w:rPr>
                <w:bCs/>
                <w:i/>
                <w:color w:val="000000"/>
                <w:sz w:val="20"/>
                <w:lang w:eastAsia="en-US"/>
              </w:rPr>
              <w:t xml:space="preserve">Andrade et al. (2011, ch. 199); </w:t>
            </w:r>
            <w:r>
              <w:rPr>
                <w:i/>
                <w:sz w:val="20"/>
                <w:szCs w:val="20"/>
                <w:lang w:eastAsia="en-US"/>
              </w:rPr>
              <w:t xml:space="preserve">Ristevski et al. (2018, ds 2, ch. 141); Smith et al. (in review, ds 1, ch. 145); </w:t>
            </w:r>
            <w:r>
              <w:rPr>
                <w:i/>
                <w:sz w:val="20"/>
                <w:szCs w:val="20"/>
              </w:rPr>
              <w:t>Ősi et al. (in review, ds 1, ch. 158)</w:t>
            </w:r>
            <w:r>
              <w:rPr>
                <w:bCs/>
                <w:i/>
                <w:color w:val="000000"/>
                <w:sz w:val="20"/>
                <w:lang w:eastAsia="en-US"/>
              </w:rPr>
              <w:t>.</w:t>
            </w:r>
          </w:p>
          <w:p w14:paraId="4B0CC980"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State (1) is putative apomorphy of Thalattosuchia</w:t>
            </w:r>
          </w:p>
          <w:p w14:paraId="449B0279"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0. lateral surface formed by the postorbital and jugal</w:t>
            </w:r>
          </w:p>
          <w:p w14:paraId="09BAC708" w14:textId="77777777" w:rsidR="00A47145" w:rsidRDefault="00A47145" w:rsidP="00A47145">
            <w:pPr>
              <w:rPr>
                <w:b/>
                <w:color w:val="000000"/>
                <w:sz w:val="20"/>
                <w:szCs w:val="20"/>
                <w:lang w:eastAsia="en-US"/>
              </w:rPr>
            </w:pPr>
            <w:r>
              <w:rPr>
                <w:color w:val="000000"/>
                <w:sz w:val="20"/>
                <w:szCs w:val="20"/>
                <w:lang w:eastAsia="en-US"/>
              </w:rPr>
              <w:t>1. lateral surface formed by solely by the postorbital, with the jugal only exposed on the medial face of the bar</w:t>
            </w:r>
          </w:p>
        </w:tc>
      </w:tr>
      <w:tr w:rsidR="00A47145" w14:paraId="613DAF38" w14:textId="77777777" w:rsidTr="00A47145">
        <w:tc>
          <w:tcPr>
            <w:tcW w:w="0" w:type="auto"/>
            <w:tcBorders>
              <w:top w:val="single" w:sz="4" w:space="0" w:color="auto"/>
              <w:left w:val="single" w:sz="4" w:space="0" w:color="auto"/>
              <w:bottom w:val="single" w:sz="4" w:space="0" w:color="auto"/>
              <w:right w:val="single" w:sz="4" w:space="0" w:color="auto"/>
            </w:tcBorders>
          </w:tcPr>
          <w:p w14:paraId="041C08E7" w14:textId="0B2525F7" w:rsidR="00A47145" w:rsidRDefault="00A47145" w:rsidP="00A47145">
            <w:pPr>
              <w:rPr>
                <w:color w:val="000000"/>
                <w:sz w:val="20"/>
                <w:szCs w:val="20"/>
                <w:lang w:eastAsia="en-US"/>
              </w:rPr>
            </w:pPr>
            <w:r>
              <w:rPr>
                <w:color w:val="000000"/>
                <w:sz w:val="20"/>
                <w:szCs w:val="20"/>
                <w:lang w:eastAsia="en-US"/>
              </w:rPr>
              <w:t>164</w:t>
            </w:r>
          </w:p>
        </w:tc>
        <w:tc>
          <w:tcPr>
            <w:tcW w:w="0" w:type="auto"/>
            <w:tcBorders>
              <w:top w:val="single" w:sz="4" w:space="0" w:color="auto"/>
              <w:left w:val="single" w:sz="4" w:space="0" w:color="auto"/>
              <w:bottom w:val="single" w:sz="4" w:space="0" w:color="auto"/>
              <w:right w:val="single" w:sz="4" w:space="0" w:color="auto"/>
            </w:tcBorders>
            <w:vAlign w:val="bottom"/>
            <w:hideMark/>
          </w:tcPr>
          <w:p w14:paraId="428E3739" w14:textId="77777777" w:rsidR="00A47145" w:rsidRDefault="00A47145" w:rsidP="00A47145">
            <w:pPr>
              <w:autoSpaceDE w:val="0"/>
              <w:autoSpaceDN w:val="0"/>
              <w:adjustRightInd w:val="0"/>
              <w:rPr>
                <w:b/>
                <w:sz w:val="20"/>
                <w:szCs w:val="20"/>
                <w:lang w:eastAsia="en-US"/>
              </w:rPr>
            </w:pPr>
            <w:r>
              <w:rPr>
                <w:b/>
                <w:sz w:val="20"/>
                <w:szCs w:val="20"/>
                <w:lang w:eastAsia="en-US"/>
              </w:rPr>
              <w:t xml:space="preserve">Quadratojugal-postorbital, contact: </w:t>
            </w:r>
          </w:p>
          <w:p w14:paraId="64E94D1D" w14:textId="1F773549"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 xml:space="preserve">Ortega et al. (2000, ch. 49); Nesbitt (2011, ch. 64); Young et al. (2016, ds 2, ch. 105); </w:t>
            </w:r>
            <w:r>
              <w:rPr>
                <w:i/>
                <w:sz w:val="20"/>
                <w:szCs w:val="20"/>
                <w:lang w:eastAsia="en-US"/>
              </w:rPr>
              <w:t xml:space="preserve">Ristevski et al. (2018, ds 2, ch. 142); Smith et al. (in review, ds 1, ch. 146); </w:t>
            </w:r>
            <w:r>
              <w:rPr>
                <w:i/>
                <w:sz w:val="20"/>
                <w:szCs w:val="20"/>
              </w:rPr>
              <w:t>Ősi et al. (in review, ds 1, ch. 159)</w:t>
            </w:r>
            <w:r>
              <w:rPr>
                <w:i/>
                <w:iCs/>
                <w:color w:val="000000"/>
                <w:sz w:val="20"/>
                <w:szCs w:val="20"/>
                <w:lang w:eastAsia="en-US"/>
              </w:rPr>
              <w:t>.</w:t>
            </w:r>
          </w:p>
          <w:p w14:paraId="65402F58" w14:textId="77777777" w:rsidR="00A47145" w:rsidRDefault="00A47145" w:rsidP="00A47145">
            <w:pPr>
              <w:rPr>
                <w:i/>
                <w:color w:val="000000"/>
                <w:sz w:val="20"/>
                <w:szCs w:val="20"/>
                <w:lang w:eastAsia="en-US"/>
              </w:rPr>
            </w:pPr>
            <w:r>
              <w:rPr>
                <w:i/>
                <w:color w:val="000000"/>
                <w:sz w:val="20"/>
                <w:szCs w:val="20"/>
                <w:lang w:eastAsia="en-US"/>
              </w:rPr>
              <w:t>State (1) is a putative apomorphy of Crocodyliformes.</w:t>
            </w:r>
          </w:p>
          <w:p w14:paraId="6A652CB1" w14:textId="77777777" w:rsidR="00A47145" w:rsidRDefault="00A47145" w:rsidP="00A47145">
            <w:pPr>
              <w:autoSpaceDE w:val="0"/>
              <w:autoSpaceDN w:val="0"/>
              <w:adjustRightInd w:val="0"/>
              <w:rPr>
                <w:sz w:val="20"/>
                <w:szCs w:val="20"/>
                <w:lang w:eastAsia="en-US"/>
              </w:rPr>
            </w:pPr>
            <w:r>
              <w:rPr>
                <w:sz w:val="20"/>
                <w:szCs w:val="20"/>
                <w:lang w:eastAsia="en-US"/>
              </w:rPr>
              <w:t>0. absent</w:t>
            </w:r>
          </w:p>
          <w:p w14:paraId="46706774" w14:textId="77777777" w:rsidR="00A47145" w:rsidRDefault="00A47145" w:rsidP="00A47145">
            <w:pPr>
              <w:autoSpaceDE w:val="0"/>
              <w:autoSpaceDN w:val="0"/>
              <w:adjustRightInd w:val="0"/>
              <w:rPr>
                <w:sz w:val="20"/>
                <w:szCs w:val="20"/>
                <w:lang w:eastAsia="en-US"/>
              </w:rPr>
            </w:pPr>
            <w:r>
              <w:rPr>
                <w:sz w:val="20"/>
                <w:szCs w:val="20"/>
                <w:lang w:eastAsia="en-US"/>
              </w:rPr>
              <w:t>1. present</w:t>
            </w:r>
          </w:p>
        </w:tc>
      </w:tr>
      <w:tr w:rsidR="00A47145" w14:paraId="4BC2A29D" w14:textId="77777777" w:rsidTr="00A47145">
        <w:tc>
          <w:tcPr>
            <w:tcW w:w="0" w:type="auto"/>
            <w:tcBorders>
              <w:top w:val="single" w:sz="4" w:space="0" w:color="auto"/>
              <w:left w:val="single" w:sz="4" w:space="0" w:color="auto"/>
              <w:bottom w:val="single" w:sz="4" w:space="0" w:color="auto"/>
              <w:right w:val="single" w:sz="4" w:space="0" w:color="auto"/>
            </w:tcBorders>
          </w:tcPr>
          <w:p w14:paraId="1677EEA2" w14:textId="2B2E35D8" w:rsidR="00A47145" w:rsidRDefault="00A47145" w:rsidP="00A47145">
            <w:pPr>
              <w:rPr>
                <w:color w:val="000000"/>
                <w:sz w:val="20"/>
                <w:szCs w:val="20"/>
                <w:lang w:eastAsia="en-US"/>
              </w:rPr>
            </w:pPr>
            <w:r>
              <w:rPr>
                <w:color w:val="000000"/>
                <w:sz w:val="20"/>
                <w:szCs w:val="20"/>
                <w:lang w:eastAsia="en-US"/>
              </w:rPr>
              <w:t>165</w:t>
            </w:r>
          </w:p>
        </w:tc>
        <w:tc>
          <w:tcPr>
            <w:tcW w:w="0" w:type="auto"/>
            <w:tcBorders>
              <w:top w:val="single" w:sz="4" w:space="0" w:color="auto"/>
              <w:left w:val="single" w:sz="4" w:space="0" w:color="auto"/>
              <w:bottom w:val="single" w:sz="4" w:space="0" w:color="auto"/>
              <w:right w:val="single" w:sz="4" w:space="0" w:color="auto"/>
            </w:tcBorders>
            <w:vAlign w:val="bottom"/>
            <w:hideMark/>
          </w:tcPr>
          <w:p w14:paraId="120A76ED" w14:textId="1F80EC8A" w:rsidR="00A47145" w:rsidRDefault="00A47145" w:rsidP="00A47145">
            <w:pPr>
              <w:rPr>
                <w:b/>
                <w:color w:val="000000"/>
                <w:sz w:val="20"/>
                <w:szCs w:val="20"/>
                <w:lang w:eastAsia="en-US"/>
              </w:rPr>
            </w:pPr>
            <w:r>
              <w:rPr>
                <w:b/>
                <w:color w:val="000000"/>
                <w:sz w:val="20"/>
                <w:szCs w:val="20"/>
                <w:lang w:eastAsia="en-US"/>
              </w:rPr>
              <w:t>Infratemporal fenestra (= laterotemporal fenestra), in lateral view:</w:t>
            </w:r>
          </w:p>
          <w:p w14:paraId="36810CCF" w14:textId="6FBC2268" w:rsidR="00A47145" w:rsidRDefault="00A47145" w:rsidP="00A47145">
            <w:pPr>
              <w:autoSpaceDE w:val="0"/>
              <w:autoSpaceDN w:val="0"/>
              <w:adjustRightInd w:val="0"/>
              <w:rPr>
                <w:i/>
                <w:sz w:val="20"/>
                <w:szCs w:val="20"/>
                <w:lang w:eastAsia="en-US"/>
              </w:rPr>
            </w:pPr>
            <w:r>
              <w:rPr>
                <w:i/>
                <w:sz w:val="20"/>
                <w:szCs w:val="20"/>
                <w:lang w:eastAsia="en-US"/>
              </w:rPr>
              <w:t xml:space="preserve">Young (2006, ch. 12); Wilkinson et al. (2008, ch. 32); Young &amp; Andrade (2009, ch. 32); </w:t>
            </w:r>
            <w:r>
              <w:rPr>
                <w:bCs/>
                <w:i/>
                <w:color w:val="000000"/>
                <w:sz w:val="20"/>
                <w:lang w:eastAsia="en-US"/>
              </w:rPr>
              <w:t>Yo</w:t>
            </w:r>
            <w:r>
              <w:rPr>
                <w:i/>
                <w:sz w:val="20"/>
                <w:szCs w:val="20"/>
                <w:lang w:eastAsia="en-US"/>
              </w:rPr>
              <w:t xml:space="preserve">ung et al. (2011, ch. 32); Young et al. (2013a, ch. 73); Young et al. (2012, ch. 86); Young (2014, ch. 88); Young et al. (2016, ds 2, ch. 106); Ristevski et al. (2018, ds 2, ch. 143); Smith et al. (in review, ds 1, ch. 147); </w:t>
            </w:r>
            <w:r>
              <w:rPr>
                <w:i/>
                <w:sz w:val="20"/>
                <w:szCs w:val="20"/>
              </w:rPr>
              <w:t>Ősi et al. (in review, ds 1, ch. 160)</w:t>
            </w:r>
            <w:r>
              <w:rPr>
                <w:i/>
                <w:sz w:val="20"/>
                <w:szCs w:val="20"/>
                <w:lang w:eastAsia="en-US"/>
              </w:rPr>
              <w:t>.</w:t>
            </w:r>
          </w:p>
          <w:p w14:paraId="0FD52935" w14:textId="77777777" w:rsidR="00A47145" w:rsidRDefault="00A47145" w:rsidP="00A47145">
            <w:pPr>
              <w:rPr>
                <w:color w:val="000000"/>
                <w:sz w:val="20"/>
                <w:szCs w:val="20"/>
                <w:lang w:eastAsia="en-US"/>
              </w:rPr>
            </w:pPr>
            <w:r>
              <w:rPr>
                <w:color w:val="000000"/>
                <w:sz w:val="20"/>
                <w:szCs w:val="20"/>
                <w:lang w:eastAsia="en-US"/>
              </w:rPr>
              <w:t>0. considerably longer in length than the orbit (greater than 25%)</w:t>
            </w:r>
          </w:p>
          <w:p w14:paraId="7F9A9F15" w14:textId="77777777" w:rsidR="00A47145" w:rsidRDefault="00A47145" w:rsidP="00A47145">
            <w:pPr>
              <w:rPr>
                <w:color w:val="000000"/>
                <w:sz w:val="20"/>
                <w:szCs w:val="20"/>
                <w:lang w:eastAsia="en-US"/>
              </w:rPr>
            </w:pPr>
            <w:r>
              <w:rPr>
                <w:color w:val="000000"/>
                <w:sz w:val="20"/>
                <w:szCs w:val="20"/>
                <w:lang w:eastAsia="en-US"/>
              </w:rPr>
              <w:t>1. equal/subequal in length than the orbit (± 10%)</w:t>
            </w:r>
          </w:p>
          <w:p w14:paraId="69D5D7BF" w14:textId="77777777" w:rsidR="00A47145" w:rsidRDefault="00A47145" w:rsidP="00A47145">
            <w:pPr>
              <w:rPr>
                <w:color w:val="000000"/>
                <w:sz w:val="20"/>
                <w:szCs w:val="20"/>
                <w:lang w:eastAsia="en-US"/>
              </w:rPr>
            </w:pPr>
            <w:r>
              <w:rPr>
                <w:color w:val="000000"/>
                <w:sz w:val="20"/>
                <w:szCs w:val="20"/>
                <w:lang w:eastAsia="en-US"/>
              </w:rPr>
              <w:t>2. shorter in length than the orbit (less than 25%)</w:t>
            </w:r>
          </w:p>
        </w:tc>
      </w:tr>
      <w:tr w:rsidR="00A47145" w14:paraId="4F65ED66" w14:textId="77777777" w:rsidTr="00A47145">
        <w:tc>
          <w:tcPr>
            <w:tcW w:w="0" w:type="auto"/>
            <w:tcBorders>
              <w:top w:val="single" w:sz="4" w:space="0" w:color="auto"/>
              <w:left w:val="single" w:sz="4" w:space="0" w:color="auto"/>
              <w:bottom w:val="single" w:sz="4" w:space="0" w:color="auto"/>
              <w:right w:val="single" w:sz="4" w:space="0" w:color="auto"/>
            </w:tcBorders>
          </w:tcPr>
          <w:p w14:paraId="04E52DEA" w14:textId="26D47364" w:rsidR="00A47145" w:rsidRDefault="00A47145" w:rsidP="00A47145">
            <w:pPr>
              <w:rPr>
                <w:color w:val="000000"/>
                <w:sz w:val="20"/>
                <w:szCs w:val="20"/>
                <w:lang w:eastAsia="en-US"/>
              </w:rPr>
            </w:pPr>
            <w:r>
              <w:rPr>
                <w:color w:val="000000"/>
                <w:sz w:val="20"/>
                <w:szCs w:val="20"/>
                <w:lang w:eastAsia="en-US"/>
              </w:rPr>
              <w:t>166</w:t>
            </w:r>
          </w:p>
        </w:tc>
        <w:tc>
          <w:tcPr>
            <w:tcW w:w="0" w:type="auto"/>
            <w:tcBorders>
              <w:top w:val="single" w:sz="4" w:space="0" w:color="auto"/>
              <w:left w:val="single" w:sz="4" w:space="0" w:color="auto"/>
              <w:bottom w:val="single" w:sz="4" w:space="0" w:color="auto"/>
              <w:right w:val="single" w:sz="4" w:space="0" w:color="auto"/>
            </w:tcBorders>
            <w:vAlign w:val="bottom"/>
            <w:hideMark/>
          </w:tcPr>
          <w:p w14:paraId="671F2B6B" w14:textId="77777777" w:rsidR="00A47145" w:rsidRDefault="00A47145" w:rsidP="00A47145">
            <w:pPr>
              <w:rPr>
                <w:b/>
                <w:color w:val="000000"/>
                <w:sz w:val="20"/>
                <w:szCs w:val="20"/>
                <w:lang w:eastAsia="en-US"/>
              </w:rPr>
            </w:pPr>
            <w:r>
              <w:rPr>
                <w:b/>
                <w:color w:val="000000"/>
                <w:sz w:val="20"/>
                <w:szCs w:val="20"/>
                <w:lang w:eastAsia="en-US"/>
              </w:rPr>
              <w:t>Quadratojugal, spine (= spina quadratojugalis):</w:t>
            </w:r>
          </w:p>
          <w:p w14:paraId="31D197AA" w14:textId="5582E2D8" w:rsidR="00A47145" w:rsidRDefault="00A47145" w:rsidP="00A47145">
            <w:pPr>
              <w:autoSpaceDE w:val="0"/>
              <w:autoSpaceDN w:val="0"/>
              <w:adjustRightInd w:val="0"/>
              <w:rPr>
                <w:i/>
                <w:sz w:val="20"/>
                <w:szCs w:val="20"/>
                <w:lang w:eastAsia="en-US"/>
              </w:rPr>
            </w:pPr>
            <w:r>
              <w:rPr>
                <w:bCs/>
                <w:i/>
                <w:color w:val="000000"/>
                <w:sz w:val="20"/>
                <w:szCs w:val="20"/>
                <w:lang w:eastAsia="en-US"/>
              </w:rPr>
              <w:t xml:space="preserve">Brochu (1999, ch. 114); </w:t>
            </w:r>
            <w:r>
              <w:rPr>
                <w:i/>
                <w:sz w:val="20"/>
                <w:szCs w:val="20"/>
                <w:lang w:eastAsia="en-US"/>
              </w:rPr>
              <w:t xml:space="preserve">Young &amp; Andrade (2009, ch. 133); </w:t>
            </w:r>
            <w:r>
              <w:rPr>
                <w:bCs/>
                <w:i/>
                <w:color w:val="000000"/>
                <w:sz w:val="20"/>
                <w:lang w:eastAsia="en-US"/>
              </w:rPr>
              <w:t>Yo</w:t>
            </w:r>
            <w:r>
              <w:rPr>
                <w:i/>
                <w:sz w:val="20"/>
                <w:szCs w:val="20"/>
                <w:lang w:eastAsia="en-US"/>
              </w:rPr>
              <w:t xml:space="preserve">ung et al. (2011, ch. 133); Young et al. (2013a, ch. 74); </w:t>
            </w:r>
            <w:r>
              <w:rPr>
                <w:bCs/>
                <w:i/>
                <w:color w:val="000000"/>
                <w:sz w:val="20"/>
                <w:lang w:eastAsia="en-US"/>
              </w:rPr>
              <w:t xml:space="preserve">Andrade et al. (2011, ch. 167 + 170). </w:t>
            </w:r>
            <w:r>
              <w:rPr>
                <w:i/>
                <w:sz w:val="20"/>
                <w:szCs w:val="20"/>
                <w:lang w:eastAsia="en-US"/>
              </w:rPr>
              <w:t xml:space="preserve">Young et al. (2012, ch. 87); Young (2014, ch. 89); Young et al. (2016, ds 2, ch. 107); Ristevski et al. (2018, ds 2, ch. 144); Smith et al. (in review, ds 1, ch. 148); </w:t>
            </w:r>
            <w:r>
              <w:rPr>
                <w:i/>
                <w:sz w:val="20"/>
                <w:szCs w:val="20"/>
              </w:rPr>
              <w:t>Ősi et al. (in review, ds 1, ch. 161)</w:t>
            </w:r>
            <w:r>
              <w:rPr>
                <w:i/>
                <w:sz w:val="20"/>
                <w:szCs w:val="20"/>
                <w:lang w:eastAsia="en-US"/>
              </w:rPr>
              <w:t>.</w:t>
            </w:r>
          </w:p>
          <w:p w14:paraId="50B42EE5" w14:textId="77777777" w:rsidR="00A47145" w:rsidRDefault="00A47145" w:rsidP="00A47145">
            <w:pPr>
              <w:rPr>
                <w:color w:val="000000"/>
                <w:sz w:val="20"/>
                <w:szCs w:val="20"/>
                <w:lang w:eastAsia="en-US"/>
              </w:rPr>
            </w:pPr>
            <w:r>
              <w:rPr>
                <w:color w:val="000000"/>
                <w:sz w:val="20"/>
                <w:szCs w:val="20"/>
                <w:lang w:eastAsia="en-US"/>
              </w:rPr>
              <w:t>0. absent</w:t>
            </w:r>
          </w:p>
          <w:p w14:paraId="2B77F4BD" w14:textId="77777777" w:rsidR="00A47145" w:rsidRDefault="00A47145" w:rsidP="00A47145">
            <w:pPr>
              <w:rPr>
                <w:color w:val="000000"/>
                <w:sz w:val="20"/>
                <w:szCs w:val="20"/>
                <w:lang w:eastAsia="en-US"/>
              </w:rPr>
            </w:pPr>
            <w:r>
              <w:rPr>
                <w:color w:val="000000"/>
                <w:sz w:val="20"/>
                <w:szCs w:val="20"/>
                <w:lang w:eastAsia="en-US"/>
              </w:rPr>
              <w:t>1. either small or low crest</w:t>
            </w:r>
          </w:p>
          <w:p w14:paraId="33F4BF91" w14:textId="77777777" w:rsidR="00A47145" w:rsidRDefault="00A47145" w:rsidP="00A47145">
            <w:pPr>
              <w:rPr>
                <w:color w:val="000000"/>
                <w:sz w:val="20"/>
                <w:szCs w:val="20"/>
                <w:lang w:eastAsia="en-US"/>
              </w:rPr>
            </w:pPr>
            <w:r>
              <w:rPr>
                <w:color w:val="000000"/>
                <w:sz w:val="20"/>
                <w:szCs w:val="20"/>
                <w:lang w:eastAsia="en-US"/>
              </w:rPr>
              <w:t>2. prominent</w:t>
            </w:r>
          </w:p>
        </w:tc>
      </w:tr>
    </w:tbl>
    <w:p w14:paraId="14514616" w14:textId="77777777" w:rsidR="004C76BC" w:rsidRDefault="004C76BC" w:rsidP="004C76BC">
      <w:pPr>
        <w:rPr>
          <w:sz w:val="20"/>
          <w:szCs w:val="20"/>
        </w:rPr>
      </w:pPr>
    </w:p>
    <w:p w14:paraId="0CFA8047" w14:textId="153CD7B9" w:rsidR="004C76BC" w:rsidRDefault="004C76BC" w:rsidP="004C76BC">
      <w:r>
        <w:rPr>
          <w:b/>
        </w:rPr>
        <w:t xml:space="preserve">Palate and perichoanal structures </w:t>
      </w:r>
      <w:r>
        <w:t>(Ch. 16</w:t>
      </w:r>
      <w:r w:rsidR="00A47145">
        <w:t>7</w:t>
      </w:r>
      <w:r>
        <w:t xml:space="preserve"> – 18</w:t>
      </w:r>
      <w:r w:rsidR="007A6B86">
        <w:t>8</w:t>
      </w:r>
      <w:r>
        <w:t>; 4.846% of characters)</w:t>
      </w:r>
    </w:p>
    <w:p w14:paraId="0117E5CF" w14:textId="77777777" w:rsidR="004C76BC" w:rsidRDefault="004C76BC" w:rsidP="004C76BC">
      <w:pPr>
        <w:rPr>
          <w:rFonts w:eastAsiaTheme="minorHAnsi"/>
          <w:i/>
        </w:rPr>
      </w:pPr>
      <w:bookmarkStart w:id="54" w:name="_Hlk479756788"/>
      <w:r>
        <w:rPr>
          <w:i/>
        </w:rPr>
        <w:t>[palate contribution of the dermatocranium facial series (= os præmaxillare and os maxillare), and dermatocranium palatal series (= ossa palatina, ossa pterygoidea, ossa ectopterygoidea and ossa vomeria)]</w:t>
      </w:r>
      <w:bookmarkEnd w:id="54"/>
    </w:p>
    <w:p w14:paraId="0CD7EAA7"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272442BA"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251C1D7"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5862ACA" w14:textId="77777777" w:rsidR="004C76BC" w:rsidRDefault="004C76BC" w:rsidP="00AF438E">
            <w:pPr>
              <w:rPr>
                <w:sz w:val="20"/>
                <w:szCs w:val="20"/>
                <w:lang w:eastAsia="en-US"/>
              </w:rPr>
            </w:pPr>
            <w:r>
              <w:rPr>
                <w:sz w:val="20"/>
                <w:szCs w:val="20"/>
                <w:lang w:eastAsia="en-US"/>
              </w:rPr>
              <w:t>Description</w:t>
            </w:r>
          </w:p>
        </w:tc>
      </w:tr>
      <w:tr w:rsidR="00A47145" w14:paraId="3613A98E" w14:textId="77777777" w:rsidTr="00A47145">
        <w:tc>
          <w:tcPr>
            <w:tcW w:w="0" w:type="auto"/>
            <w:tcBorders>
              <w:top w:val="single" w:sz="4" w:space="0" w:color="auto"/>
              <w:left w:val="single" w:sz="4" w:space="0" w:color="auto"/>
              <w:bottom w:val="single" w:sz="4" w:space="0" w:color="auto"/>
              <w:right w:val="single" w:sz="4" w:space="0" w:color="auto"/>
            </w:tcBorders>
          </w:tcPr>
          <w:p w14:paraId="3520AE04" w14:textId="4CF1DB79" w:rsidR="00A47145" w:rsidRDefault="00A47145" w:rsidP="00A47145">
            <w:pPr>
              <w:rPr>
                <w:sz w:val="20"/>
                <w:szCs w:val="20"/>
                <w:lang w:eastAsia="en-US"/>
              </w:rPr>
            </w:pPr>
            <w:r>
              <w:rPr>
                <w:color w:val="000000"/>
                <w:sz w:val="20"/>
                <w:szCs w:val="20"/>
                <w:lang w:eastAsia="en-US"/>
              </w:rPr>
              <w:lastRenderedPageBreak/>
              <w:t>167</w:t>
            </w:r>
          </w:p>
        </w:tc>
        <w:tc>
          <w:tcPr>
            <w:tcW w:w="0" w:type="auto"/>
            <w:tcBorders>
              <w:top w:val="single" w:sz="4" w:space="0" w:color="auto"/>
              <w:left w:val="single" w:sz="4" w:space="0" w:color="auto"/>
              <w:bottom w:val="single" w:sz="4" w:space="0" w:color="auto"/>
              <w:right w:val="single" w:sz="4" w:space="0" w:color="auto"/>
            </w:tcBorders>
            <w:vAlign w:val="bottom"/>
            <w:hideMark/>
          </w:tcPr>
          <w:p w14:paraId="41C09E21" w14:textId="15229EFA"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Premaxillae, presence of a subelliptic naso-oral fossa (= incisive foramen, = fossa premaxillaris) at medial contact of ventral rami:</w:t>
            </w:r>
          </w:p>
          <w:p w14:paraId="157F2731" w14:textId="283B8CC8" w:rsidR="00A47145" w:rsidRDefault="00A47145" w:rsidP="00A47145">
            <w:pPr>
              <w:autoSpaceDE w:val="0"/>
              <w:autoSpaceDN w:val="0"/>
              <w:adjustRightInd w:val="0"/>
              <w:rPr>
                <w:i/>
                <w:sz w:val="20"/>
                <w:szCs w:val="20"/>
                <w:lang w:eastAsia="en-US"/>
              </w:rPr>
            </w:pPr>
            <w:r>
              <w:rPr>
                <w:bCs/>
                <w:i/>
                <w:color w:val="000000"/>
                <w:sz w:val="20"/>
                <w:szCs w:val="20"/>
                <w:lang w:eastAsia="en-US"/>
              </w:rPr>
              <w:t>Brochu (1999, ch. 124 part);</w:t>
            </w:r>
            <w:r>
              <w:rPr>
                <w:b/>
                <w:bCs/>
                <w:color w:val="000000"/>
                <w:sz w:val="20"/>
                <w:szCs w:val="20"/>
                <w:lang w:eastAsia="en-US"/>
              </w:rPr>
              <w:t xml:space="preserve"> </w:t>
            </w:r>
            <w:r>
              <w:rPr>
                <w:bCs/>
                <w:i/>
                <w:color w:val="000000"/>
                <w:sz w:val="20"/>
                <w:lang w:eastAsia="en-US"/>
              </w:rPr>
              <w:t xml:space="preserve">Andrade et al. (2011, ch. 66); </w:t>
            </w:r>
            <w:r>
              <w:rPr>
                <w:i/>
                <w:sz w:val="20"/>
                <w:szCs w:val="20"/>
                <w:lang w:eastAsia="en-US"/>
              </w:rPr>
              <w:t xml:space="preserve">Young et al. (2012, ch. 89 modified); Young (2014, ch. 91 part); Young et al. (2016, ds 2, ch. 109 modified); Ristevski et al. (2018, ds 2, ch. 145); Smith et al. (in review, ds 1, ch. 149); </w:t>
            </w:r>
            <w:r>
              <w:rPr>
                <w:i/>
                <w:sz w:val="20"/>
                <w:szCs w:val="20"/>
              </w:rPr>
              <w:t>Ősi et al. (in review, ds 1, ch. 162)</w:t>
            </w:r>
            <w:r>
              <w:rPr>
                <w:bCs/>
                <w:i/>
                <w:color w:val="000000"/>
                <w:sz w:val="20"/>
                <w:lang w:eastAsia="en-US"/>
              </w:rPr>
              <w:t>.</w:t>
            </w:r>
          </w:p>
          <w:p w14:paraId="4A0F360D"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When the palate does not close completely, the passage will involve both premaxilla and maxilla, assuming a diamond-shaped profile, with edges straight to irregular, but never rounded and smooth. When the palate is incompletely closed, it is most likely that the vomer is also exposed at the opening; however, the vomer may not be preserved; or may be covered by sediment and not evident. The use of 'sub-elliptic' allows that simple openings on the palatal surface, considered as non-homologous to the naso-oral fossa, to be scored as (0).</w:t>
            </w:r>
          </w:p>
          <w:p w14:paraId="449973DA"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0. absent, premaxillae fully in contact medially along the palate</w:t>
            </w:r>
          </w:p>
          <w:p w14:paraId="4DFE57F3"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1. present as a discrete fossa or foramen, less than half the greatest width of premaxillae</w:t>
            </w:r>
          </w:p>
          <w:p w14:paraId="3180D261" w14:textId="77777777" w:rsidR="00A47145" w:rsidRDefault="00A47145" w:rsidP="00A47145">
            <w:pPr>
              <w:rPr>
                <w:b/>
                <w:color w:val="000000"/>
                <w:sz w:val="20"/>
                <w:szCs w:val="20"/>
                <w:lang w:eastAsia="en-US"/>
              </w:rPr>
            </w:pPr>
            <w:r>
              <w:rPr>
                <w:color w:val="000000"/>
                <w:sz w:val="20"/>
                <w:szCs w:val="20"/>
                <w:lang w:eastAsia="en-US"/>
              </w:rPr>
              <w:t>2. large, more than half the greatest width of premaxillae</w:t>
            </w:r>
          </w:p>
        </w:tc>
      </w:tr>
      <w:tr w:rsidR="00A47145" w14:paraId="29594D82" w14:textId="77777777" w:rsidTr="00A47145">
        <w:tc>
          <w:tcPr>
            <w:tcW w:w="0" w:type="auto"/>
            <w:tcBorders>
              <w:top w:val="single" w:sz="4" w:space="0" w:color="auto"/>
              <w:left w:val="single" w:sz="4" w:space="0" w:color="auto"/>
              <w:bottom w:val="single" w:sz="4" w:space="0" w:color="auto"/>
              <w:right w:val="single" w:sz="4" w:space="0" w:color="auto"/>
            </w:tcBorders>
          </w:tcPr>
          <w:p w14:paraId="2B5C9004" w14:textId="757D98A8" w:rsidR="00A47145" w:rsidRDefault="00A47145" w:rsidP="00A47145">
            <w:pPr>
              <w:rPr>
                <w:color w:val="000000"/>
                <w:sz w:val="20"/>
                <w:szCs w:val="20"/>
                <w:lang w:eastAsia="en-US"/>
              </w:rPr>
            </w:pPr>
            <w:r>
              <w:rPr>
                <w:color w:val="000000"/>
                <w:sz w:val="20"/>
                <w:szCs w:val="20"/>
                <w:lang w:eastAsia="en-US"/>
              </w:rPr>
              <w:t>168</w:t>
            </w:r>
          </w:p>
        </w:tc>
        <w:tc>
          <w:tcPr>
            <w:tcW w:w="0" w:type="auto"/>
            <w:tcBorders>
              <w:top w:val="single" w:sz="4" w:space="0" w:color="auto"/>
              <w:left w:val="single" w:sz="4" w:space="0" w:color="auto"/>
              <w:bottom w:val="single" w:sz="4" w:space="0" w:color="auto"/>
              <w:right w:val="single" w:sz="4" w:space="0" w:color="auto"/>
            </w:tcBorders>
            <w:vAlign w:val="bottom"/>
            <w:hideMark/>
          </w:tcPr>
          <w:p w14:paraId="190DC4B8" w14:textId="77777777"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Premaxillae, shape of naso-oral fenestra (= incisive foramen):</w:t>
            </w:r>
            <w:r>
              <w:rPr>
                <w:b/>
                <w:sz w:val="20"/>
                <w:szCs w:val="20"/>
                <w:lang w:eastAsia="en-US"/>
              </w:rPr>
              <w:t xml:space="preserve"> (*)</w:t>
            </w:r>
          </w:p>
          <w:p w14:paraId="40408376" w14:textId="266BE55D" w:rsidR="00A47145" w:rsidRDefault="00A47145" w:rsidP="00A47145">
            <w:pPr>
              <w:autoSpaceDE w:val="0"/>
              <w:autoSpaceDN w:val="0"/>
              <w:adjustRightInd w:val="0"/>
              <w:rPr>
                <w:i/>
                <w:sz w:val="20"/>
                <w:szCs w:val="20"/>
                <w:lang w:eastAsia="en-US"/>
              </w:rPr>
            </w:pPr>
            <w:r>
              <w:rPr>
                <w:i/>
                <w:sz w:val="20"/>
                <w:szCs w:val="20"/>
                <w:lang w:eastAsia="en-US"/>
              </w:rPr>
              <w:t xml:space="preserve">Young et al. (2016, ds 2, ch. 7 modified); Ristevski et al. (2018, ds 2, ch. 146); Smith et al. (in review, ds 1, ch. 150); </w:t>
            </w:r>
            <w:r>
              <w:rPr>
                <w:i/>
                <w:sz w:val="20"/>
                <w:szCs w:val="20"/>
              </w:rPr>
              <w:t>Ősi et al. (in review, ds 1, ch. 163)</w:t>
            </w:r>
            <w:r>
              <w:rPr>
                <w:i/>
                <w:sz w:val="20"/>
                <w:szCs w:val="20"/>
                <w:lang w:eastAsia="en-US"/>
              </w:rPr>
              <w:t>.</w:t>
            </w:r>
          </w:p>
          <w:p w14:paraId="06001DB0" w14:textId="66017EA1" w:rsidR="00A47145" w:rsidRDefault="00A47145" w:rsidP="00A47145">
            <w:pPr>
              <w:rPr>
                <w:sz w:val="20"/>
                <w:szCs w:val="20"/>
                <w:lang w:eastAsia="en-US"/>
              </w:rPr>
            </w:pPr>
            <w:r>
              <w:rPr>
                <w:i/>
                <w:sz w:val="20"/>
                <w:szCs w:val="20"/>
                <w:lang w:eastAsia="en-US"/>
              </w:rPr>
              <w:t>In Metriorhynchidae, state (1) occurs in</w:t>
            </w:r>
            <w:r>
              <w:rPr>
                <w:sz w:val="20"/>
                <w:szCs w:val="20"/>
                <w:lang w:eastAsia="en-US"/>
              </w:rPr>
              <w:t xml:space="preserve"> Torvoneustes, </w:t>
            </w:r>
            <w:r>
              <w:rPr>
                <w:i/>
                <w:sz w:val="20"/>
                <w:szCs w:val="20"/>
                <w:lang w:eastAsia="en-US"/>
              </w:rPr>
              <w:t>Mr Passmore’s specimen</w:t>
            </w:r>
            <w:r>
              <w:rPr>
                <w:sz w:val="20"/>
                <w:szCs w:val="20"/>
                <w:lang w:eastAsia="en-US"/>
              </w:rPr>
              <w:t xml:space="preserve"> + ‘M.’ hastifer.</w:t>
            </w:r>
          </w:p>
          <w:p w14:paraId="4D7F97EB" w14:textId="77777777" w:rsidR="00A47145" w:rsidRDefault="00A47145" w:rsidP="00A47145">
            <w:pPr>
              <w:rPr>
                <w:i/>
                <w:sz w:val="20"/>
                <w:szCs w:val="20"/>
                <w:lang w:eastAsia="en-US"/>
              </w:rPr>
            </w:pPr>
            <w:r>
              <w:rPr>
                <w:i/>
                <w:sz w:val="20"/>
                <w:szCs w:val="20"/>
                <w:lang w:eastAsia="en-US"/>
              </w:rPr>
              <w:t>This character is not applicable for taxa that lack the naso-oral fenestra.</w:t>
            </w:r>
          </w:p>
          <w:p w14:paraId="32F3E7F1" w14:textId="77777777" w:rsidR="00A47145" w:rsidRDefault="00A47145" w:rsidP="00A47145">
            <w:pPr>
              <w:rPr>
                <w:sz w:val="20"/>
                <w:szCs w:val="20"/>
                <w:lang w:eastAsia="en-US"/>
              </w:rPr>
            </w:pPr>
            <w:r>
              <w:rPr>
                <w:sz w:val="20"/>
                <w:szCs w:val="20"/>
                <w:lang w:eastAsia="en-US"/>
              </w:rPr>
              <w:t>0. subcircular or longer than wide (but not an elongate oval)</w:t>
            </w:r>
          </w:p>
          <w:p w14:paraId="5215CCA9" w14:textId="77777777" w:rsidR="00A47145" w:rsidRDefault="00A47145" w:rsidP="00A47145">
            <w:pPr>
              <w:rPr>
                <w:sz w:val="20"/>
                <w:szCs w:val="20"/>
                <w:lang w:eastAsia="en-US"/>
              </w:rPr>
            </w:pPr>
            <w:r>
              <w:rPr>
                <w:sz w:val="20"/>
                <w:szCs w:val="20"/>
                <w:lang w:eastAsia="en-US"/>
              </w:rPr>
              <w:t>1. elongate anteroposterior oval-shape (can be as long or longer than the premaxillary alveoli, but not as mediolaterally broad)</w:t>
            </w:r>
          </w:p>
        </w:tc>
      </w:tr>
      <w:tr w:rsidR="00A47145" w14:paraId="3C5A33F2" w14:textId="77777777" w:rsidTr="00A47145">
        <w:tc>
          <w:tcPr>
            <w:tcW w:w="0" w:type="auto"/>
            <w:tcBorders>
              <w:top w:val="single" w:sz="4" w:space="0" w:color="auto"/>
              <w:left w:val="single" w:sz="4" w:space="0" w:color="auto"/>
              <w:bottom w:val="single" w:sz="4" w:space="0" w:color="auto"/>
              <w:right w:val="single" w:sz="4" w:space="0" w:color="auto"/>
            </w:tcBorders>
          </w:tcPr>
          <w:p w14:paraId="61FF2D18" w14:textId="6E564DDA" w:rsidR="00A47145" w:rsidRDefault="00A47145" w:rsidP="00A47145">
            <w:pPr>
              <w:rPr>
                <w:color w:val="000000"/>
                <w:sz w:val="20"/>
                <w:szCs w:val="20"/>
                <w:lang w:eastAsia="en-US"/>
              </w:rPr>
            </w:pPr>
            <w:r>
              <w:rPr>
                <w:color w:val="000000"/>
                <w:sz w:val="20"/>
                <w:szCs w:val="20"/>
                <w:lang w:eastAsia="en-US"/>
              </w:rPr>
              <w:t>169</w:t>
            </w:r>
          </w:p>
        </w:tc>
        <w:tc>
          <w:tcPr>
            <w:tcW w:w="0" w:type="auto"/>
            <w:tcBorders>
              <w:top w:val="single" w:sz="4" w:space="0" w:color="auto"/>
              <w:left w:val="single" w:sz="4" w:space="0" w:color="auto"/>
              <w:bottom w:val="single" w:sz="4" w:space="0" w:color="auto"/>
              <w:right w:val="single" w:sz="4" w:space="0" w:color="auto"/>
            </w:tcBorders>
            <w:vAlign w:val="bottom"/>
            <w:hideMark/>
          </w:tcPr>
          <w:p w14:paraId="1571ECC1" w14:textId="77777777" w:rsidR="00A47145" w:rsidRDefault="00A47145" w:rsidP="00A47145">
            <w:pPr>
              <w:autoSpaceDE w:val="0"/>
              <w:autoSpaceDN w:val="0"/>
              <w:adjustRightInd w:val="0"/>
              <w:rPr>
                <w:b/>
                <w:bCs/>
                <w:sz w:val="20"/>
                <w:szCs w:val="20"/>
                <w:lang w:eastAsia="en-US"/>
              </w:rPr>
            </w:pPr>
            <w:r>
              <w:rPr>
                <w:b/>
                <w:bCs/>
                <w:sz w:val="20"/>
                <w:szCs w:val="20"/>
                <w:lang w:eastAsia="en-US"/>
              </w:rPr>
              <w:t>Suborbital fenestrae, presence and size: (ORDERED)</w:t>
            </w:r>
          </w:p>
          <w:p w14:paraId="4E946554" w14:textId="49FC59A4" w:rsidR="00A47145" w:rsidRDefault="00A47145" w:rsidP="00A47145">
            <w:pPr>
              <w:autoSpaceDE w:val="0"/>
              <w:autoSpaceDN w:val="0"/>
              <w:adjustRightInd w:val="0"/>
              <w:rPr>
                <w:sz w:val="20"/>
                <w:szCs w:val="20"/>
                <w:lang w:eastAsia="en-US"/>
              </w:rPr>
            </w:pPr>
            <w:r>
              <w:rPr>
                <w:bCs/>
                <w:i/>
                <w:sz w:val="20"/>
                <w:lang w:eastAsia="en-US"/>
              </w:rPr>
              <w:t>Andrade et al. (2011, ch. 206);</w:t>
            </w:r>
            <w:r>
              <w:rPr>
                <w:i/>
                <w:sz w:val="20"/>
                <w:szCs w:val="20"/>
                <w:lang w:eastAsia="en-US"/>
              </w:rPr>
              <w:t xml:space="preserve"> Ristevski et al. (2018, ds 1, ch. 206); Smith et al. (in review, ds 2, ch. 206); </w:t>
            </w:r>
            <w:r>
              <w:rPr>
                <w:i/>
                <w:sz w:val="20"/>
                <w:szCs w:val="20"/>
              </w:rPr>
              <w:t>Ősi et al. (in review, ds 1, ch. 164)</w:t>
            </w:r>
            <w:r>
              <w:rPr>
                <w:bCs/>
                <w:i/>
                <w:sz w:val="20"/>
                <w:lang w:eastAsia="en-US"/>
              </w:rPr>
              <w:t>.</w:t>
            </w:r>
          </w:p>
          <w:p w14:paraId="2E0030B7" w14:textId="77777777" w:rsidR="00A47145" w:rsidRDefault="00A47145" w:rsidP="00A47145">
            <w:pPr>
              <w:autoSpaceDE w:val="0"/>
              <w:autoSpaceDN w:val="0"/>
              <w:adjustRightInd w:val="0"/>
              <w:rPr>
                <w:sz w:val="20"/>
                <w:szCs w:val="20"/>
                <w:lang w:eastAsia="en-US"/>
              </w:rPr>
            </w:pPr>
            <w:r>
              <w:rPr>
                <w:sz w:val="20"/>
                <w:szCs w:val="20"/>
                <w:lang w:eastAsia="en-US"/>
              </w:rPr>
              <w:t>0. absent</w:t>
            </w:r>
          </w:p>
          <w:p w14:paraId="5859B738" w14:textId="77777777" w:rsidR="00A47145" w:rsidRDefault="00A47145" w:rsidP="00A47145">
            <w:pPr>
              <w:autoSpaceDE w:val="0"/>
              <w:autoSpaceDN w:val="0"/>
              <w:adjustRightInd w:val="0"/>
              <w:rPr>
                <w:sz w:val="20"/>
                <w:szCs w:val="20"/>
                <w:lang w:eastAsia="en-US"/>
              </w:rPr>
            </w:pPr>
            <w:r>
              <w:rPr>
                <w:sz w:val="20"/>
                <w:szCs w:val="20"/>
                <w:lang w:eastAsia="en-US"/>
              </w:rPr>
              <w:t>1. present, much smaller than orbits</w:t>
            </w:r>
          </w:p>
          <w:p w14:paraId="04D6B7EA" w14:textId="77777777" w:rsidR="00A47145" w:rsidRDefault="00A47145" w:rsidP="00A47145">
            <w:pPr>
              <w:autoSpaceDE w:val="0"/>
              <w:autoSpaceDN w:val="0"/>
              <w:adjustRightInd w:val="0"/>
              <w:rPr>
                <w:b/>
                <w:bCs/>
                <w:color w:val="000000"/>
                <w:sz w:val="20"/>
                <w:szCs w:val="20"/>
                <w:lang w:eastAsia="en-US"/>
              </w:rPr>
            </w:pPr>
            <w:r>
              <w:rPr>
                <w:sz w:val="20"/>
                <w:szCs w:val="20"/>
                <w:lang w:eastAsia="en-US"/>
              </w:rPr>
              <w:t>2. present, subequal or larger than orbits</w:t>
            </w:r>
          </w:p>
        </w:tc>
      </w:tr>
      <w:tr w:rsidR="00A47145" w14:paraId="1810B32B" w14:textId="77777777" w:rsidTr="00A47145">
        <w:tc>
          <w:tcPr>
            <w:tcW w:w="0" w:type="auto"/>
            <w:tcBorders>
              <w:top w:val="single" w:sz="4" w:space="0" w:color="auto"/>
              <w:left w:val="single" w:sz="4" w:space="0" w:color="auto"/>
              <w:bottom w:val="single" w:sz="4" w:space="0" w:color="auto"/>
              <w:right w:val="single" w:sz="4" w:space="0" w:color="auto"/>
            </w:tcBorders>
          </w:tcPr>
          <w:p w14:paraId="6B879DA2" w14:textId="7FF5A8E4" w:rsidR="00A47145" w:rsidRDefault="00A47145" w:rsidP="00A47145">
            <w:pPr>
              <w:rPr>
                <w:color w:val="000000"/>
                <w:sz w:val="20"/>
                <w:szCs w:val="20"/>
                <w:lang w:eastAsia="en-US"/>
              </w:rPr>
            </w:pPr>
            <w:r>
              <w:rPr>
                <w:color w:val="000000"/>
                <w:sz w:val="20"/>
                <w:szCs w:val="20"/>
                <w:lang w:eastAsia="en-US"/>
              </w:rPr>
              <w:t>170</w:t>
            </w:r>
          </w:p>
        </w:tc>
        <w:tc>
          <w:tcPr>
            <w:tcW w:w="0" w:type="auto"/>
            <w:tcBorders>
              <w:top w:val="single" w:sz="4" w:space="0" w:color="auto"/>
              <w:left w:val="single" w:sz="4" w:space="0" w:color="auto"/>
              <w:bottom w:val="single" w:sz="4" w:space="0" w:color="auto"/>
              <w:right w:val="single" w:sz="4" w:space="0" w:color="auto"/>
            </w:tcBorders>
            <w:vAlign w:val="bottom"/>
            <w:hideMark/>
          </w:tcPr>
          <w:p w14:paraId="4CB73E12" w14:textId="77777777" w:rsidR="00A47145" w:rsidRDefault="00A47145" w:rsidP="00A47145">
            <w:pPr>
              <w:autoSpaceDE w:val="0"/>
              <w:autoSpaceDN w:val="0"/>
              <w:adjustRightInd w:val="0"/>
              <w:rPr>
                <w:b/>
                <w:bCs/>
                <w:sz w:val="20"/>
                <w:szCs w:val="20"/>
                <w:lang w:eastAsia="en-US"/>
              </w:rPr>
            </w:pPr>
            <w:r>
              <w:rPr>
                <w:b/>
                <w:bCs/>
                <w:sz w:val="20"/>
                <w:szCs w:val="20"/>
                <w:lang w:eastAsia="en-US"/>
              </w:rPr>
              <w:t>Suborbital fenestrae, shape of anterior border: (*)</w:t>
            </w:r>
          </w:p>
          <w:p w14:paraId="2CD519DF" w14:textId="1FE65A99" w:rsidR="00A47145" w:rsidRDefault="00A47145" w:rsidP="00A47145">
            <w:pPr>
              <w:autoSpaceDE w:val="0"/>
              <w:autoSpaceDN w:val="0"/>
              <w:adjustRightInd w:val="0"/>
              <w:rPr>
                <w:b/>
                <w:bCs/>
                <w:sz w:val="20"/>
                <w:szCs w:val="20"/>
                <w:lang w:eastAsia="en-US"/>
              </w:rPr>
            </w:pPr>
            <w:r>
              <w:rPr>
                <w:bCs/>
                <w:i/>
                <w:sz w:val="20"/>
                <w:szCs w:val="20"/>
                <w:lang w:eastAsia="en-US"/>
              </w:rPr>
              <w:t>Andrade &amp; Bertini (2008, ch. 86);</w:t>
            </w:r>
            <w:r>
              <w:rPr>
                <w:b/>
                <w:bCs/>
                <w:sz w:val="20"/>
                <w:szCs w:val="20"/>
                <w:lang w:eastAsia="en-US"/>
              </w:rPr>
              <w:t xml:space="preserve"> </w:t>
            </w:r>
            <w:r>
              <w:rPr>
                <w:bCs/>
                <w:i/>
                <w:sz w:val="20"/>
                <w:lang w:eastAsia="en-US"/>
              </w:rPr>
              <w:t>Andrade et al. (2011, ch. 207);</w:t>
            </w:r>
            <w:r>
              <w:rPr>
                <w:i/>
                <w:sz w:val="20"/>
                <w:szCs w:val="20"/>
                <w:lang w:eastAsia="en-US"/>
              </w:rPr>
              <w:t xml:space="preserve"> Ristevski et al. (2018, ds 1, ch. 207); Smith et al. (in review, ds 2, ch. 207); </w:t>
            </w:r>
            <w:r>
              <w:rPr>
                <w:i/>
                <w:sz w:val="20"/>
                <w:szCs w:val="20"/>
              </w:rPr>
              <w:t>Ősi et al. (in review, ds 1, ch. 165)</w:t>
            </w:r>
            <w:r>
              <w:rPr>
                <w:bCs/>
                <w:i/>
                <w:sz w:val="20"/>
                <w:lang w:eastAsia="en-US"/>
              </w:rPr>
              <w:t>.</w:t>
            </w:r>
          </w:p>
          <w:p w14:paraId="064E57FB" w14:textId="04B386ED" w:rsidR="00A47145" w:rsidRDefault="00A47145" w:rsidP="00A47145">
            <w:pPr>
              <w:autoSpaceDE w:val="0"/>
              <w:autoSpaceDN w:val="0"/>
              <w:adjustRightInd w:val="0"/>
              <w:rPr>
                <w:i/>
                <w:iCs/>
                <w:sz w:val="20"/>
                <w:szCs w:val="20"/>
                <w:lang w:eastAsia="en-US"/>
              </w:rPr>
            </w:pPr>
            <w:r>
              <w:rPr>
                <w:i/>
                <w:iCs/>
                <w:sz w:val="20"/>
                <w:szCs w:val="20"/>
                <w:lang w:eastAsia="en-US"/>
              </w:rPr>
              <w:t xml:space="preserve">The original scoring in Andrade &amp; Bertini (2008) for </w:t>
            </w:r>
            <w:r>
              <w:rPr>
                <w:sz w:val="20"/>
                <w:szCs w:val="20"/>
                <w:lang w:eastAsia="en-US"/>
              </w:rPr>
              <w:t xml:space="preserve">Malawisuchus </w:t>
            </w:r>
            <w:r>
              <w:rPr>
                <w:i/>
                <w:iCs/>
                <w:sz w:val="20"/>
                <w:szCs w:val="20"/>
                <w:lang w:eastAsia="en-US"/>
              </w:rPr>
              <w:t xml:space="preserve">and </w:t>
            </w:r>
            <w:r>
              <w:rPr>
                <w:sz w:val="20"/>
                <w:szCs w:val="20"/>
                <w:lang w:eastAsia="en-US"/>
              </w:rPr>
              <w:t xml:space="preserve">Candidodon </w:t>
            </w:r>
            <w:r>
              <w:rPr>
                <w:i/>
                <w:iCs/>
                <w:sz w:val="20"/>
                <w:szCs w:val="20"/>
                <w:lang w:eastAsia="en-US"/>
              </w:rPr>
              <w:t>was state (1), but this could be due to taphonomic deformation, therefore both taxa should be scored as (?) until a detailed description is provided for each taxon.</w:t>
            </w:r>
          </w:p>
          <w:p w14:paraId="0691F51B" w14:textId="77777777" w:rsidR="00A47145" w:rsidRDefault="00A47145" w:rsidP="00A47145">
            <w:pPr>
              <w:autoSpaceDE w:val="0"/>
              <w:autoSpaceDN w:val="0"/>
              <w:adjustRightInd w:val="0"/>
              <w:rPr>
                <w:i/>
                <w:iCs/>
                <w:sz w:val="20"/>
                <w:szCs w:val="20"/>
                <w:lang w:eastAsia="en-US"/>
              </w:rPr>
            </w:pPr>
            <w:r>
              <w:rPr>
                <w:i/>
                <w:iCs/>
                <w:sz w:val="20"/>
                <w:szCs w:val="20"/>
                <w:lang w:eastAsia="en-US"/>
              </w:rPr>
              <w:t>Nonetheless, state (1) is present in Thalattosuchia.</w:t>
            </w:r>
          </w:p>
          <w:p w14:paraId="2874B3C6" w14:textId="77777777" w:rsidR="00A47145" w:rsidRDefault="00A47145" w:rsidP="00A47145">
            <w:pPr>
              <w:rPr>
                <w:i/>
                <w:sz w:val="20"/>
                <w:szCs w:val="20"/>
                <w:lang w:eastAsia="en-US"/>
              </w:rPr>
            </w:pPr>
            <w:r>
              <w:rPr>
                <w:bCs/>
                <w:i/>
                <w:sz w:val="20"/>
                <w:szCs w:val="20"/>
                <w:lang w:eastAsia="en-US"/>
              </w:rPr>
              <w:t>This character is not applicable for taxa that lack suborbital fenestrae.</w:t>
            </w:r>
          </w:p>
          <w:p w14:paraId="202177CB" w14:textId="77777777" w:rsidR="00A47145" w:rsidRDefault="00A47145" w:rsidP="00A47145">
            <w:pPr>
              <w:autoSpaceDE w:val="0"/>
              <w:autoSpaceDN w:val="0"/>
              <w:adjustRightInd w:val="0"/>
              <w:rPr>
                <w:sz w:val="20"/>
                <w:szCs w:val="20"/>
                <w:lang w:eastAsia="en-US"/>
              </w:rPr>
            </w:pPr>
            <w:r>
              <w:rPr>
                <w:sz w:val="20"/>
                <w:szCs w:val="20"/>
                <w:lang w:eastAsia="en-US"/>
              </w:rPr>
              <w:t>0. rounded, smooth</w:t>
            </w:r>
          </w:p>
          <w:p w14:paraId="3EFD5773" w14:textId="77777777" w:rsidR="00A47145" w:rsidRDefault="00A47145" w:rsidP="00A47145">
            <w:pPr>
              <w:autoSpaceDE w:val="0"/>
              <w:autoSpaceDN w:val="0"/>
              <w:adjustRightInd w:val="0"/>
              <w:rPr>
                <w:b/>
                <w:bCs/>
                <w:sz w:val="20"/>
                <w:szCs w:val="20"/>
                <w:lang w:eastAsia="en-US"/>
              </w:rPr>
            </w:pPr>
            <w:r>
              <w:rPr>
                <w:sz w:val="20"/>
                <w:szCs w:val="20"/>
                <w:lang w:eastAsia="en-US"/>
              </w:rPr>
              <w:t>1. in sharp angle, forming a notch, fissure-like</w:t>
            </w:r>
          </w:p>
        </w:tc>
      </w:tr>
      <w:tr w:rsidR="00A47145" w14:paraId="559D89FD" w14:textId="77777777" w:rsidTr="00A47145">
        <w:tc>
          <w:tcPr>
            <w:tcW w:w="0" w:type="auto"/>
            <w:tcBorders>
              <w:top w:val="single" w:sz="4" w:space="0" w:color="auto"/>
              <w:left w:val="single" w:sz="4" w:space="0" w:color="auto"/>
              <w:bottom w:val="single" w:sz="4" w:space="0" w:color="auto"/>
              <w:right w:val="single" w:sz="4" w:space="0" w:color="auto"/>
            </w:tcBorders>
          </w:tcPr>
          <w:p w14:paraId="53B62AAC" w14:textId="0E5D270C" w:rsidR="00A47145" w:rsidRDefault="00A47145" w:rsidP="00A47145">
            <w:pPr>
              <w:rPr>
                <w:sz w:val="20"/>
                <w:szCs w:val="20"/>
                <w:lang w:eastAsia="en-US"/>
              </w:rPr>
            </w:pPr>
            <w:r>
              <w:rPr>
                <w:color w:val="000000"/>
                <w:sz w:val="20"/>
                <w:szCs w:val="20"/>
                <w:lang w:eastAsia="en-US"/>
              </w:rPr>
              <w:t>171</w:t>
            </w:r>
          </w:p>
        </w:tc>
        <w:tc>
          <w:tcPr>
            <w:tcW w:w="0" w:type="auto"/>
            <w:tcBorders>
              <w:top w:val="single" w:sz="4" w:space="0" w:color="auto"/>
              <w:left w:val="single" w:sz="4" w:space="0" w:color="auto"/>
              <w:bottom w:val="single" w:sz="4" w:space="0" w:color="auto"/>
              <w:right w:val="single" w:sz="4" w:space="0" w:color="auto"/>
            </w:tcBorders>
            <w:vAlign w:val="bottom"/>
            <w:hideMark/>
          </w:tcPr>
          <w:p w14:paraId="0E8FEF37" w14:textId="77777777" w:rsidR="00A47145" w:rsidRDefault="00A47145" w:rsidP="00A47145">
            <w:pPr>
              <w:autoSpaceDE w:val="0"/>
              <w:autoSpaceDN w:val="0"/>
              <w:adjustRightInd w:val="0"/>
              <w:rPr>
                <w:rFonts w:eastAsiaTheme="minorHAnsi"/>
                <w:b/>
                <w:sz w:val="20"/>
                <w:szCs w:val="20"/>
                <w:lang w:eastAsia="en-US"/>
              </w:rPr>
            </w:pPr>
            <w:r>
              <w:rPr>
                <w:rFonts w:eastAsiaTheme="minorHAnsi"/>
                <w:b/>
                <w:sz w:val="20"/>
                <w:szCs w:val="20"/>
                <w:lang w:eastAsia="en-US"/>
              </w:rPr>
              <w:t>Maxilla, palatal processes: (ORDERED)</w:t>
            </w:r>
          </w:p>
          <w:p w14:paraId="42D8C595" w14:textId="445CE37D" w:rsidR="00A47145" w:rsidRDefault="00A47145" w:rsidP="00A47145">
            <w:pPr>
              <w:rPr>
                <w:i/>
                <w:color w:val="000000"/>
                <w:sz w:val="20"/>
                <w:szCs w:val="20"/>
                <w:lang w:eastAsia="en-US"/>
              </w:rPr>
            </w:pPr>
            <w:r>
              <w:rPr>
                <w:i/>
                <w:color w:val="000000"/>
                <w:sz w:val="20"/>
                <w:szCs w:val="20"/>
                <w:lang w:eastAsia="en-US"/>
              </w:rPr>
              <w:t xml:space="preserve">Nesbitt (2011, ch. 32); </w:t>
            </w:r>
            <w:r>
              <w:rPr>
                <w:i/>
                <w:sz w:val="20"/>
                <w:szCs w:val="20"/>
                <w:lang w:eastAsia="en-US"/>
              </w:rPr>
              <w:t xml:space="preserve">Ristevski et al. (2018, ds 2, ch. 147); Smith et al. (in review, ds 1, ch. 151); </w:t>
            </w:r>
            <w:r>
              <w:rPr>
                <w:i/>
                <w:sz w:val="20"/>
                <w:szCs w:val="20"/>
              </w:rPr>
              <w:t>Ősi et al. (in review, ds 1, ch. 166)</w:t>
            </w:r>
            <w:r>
              <w:rPr>
                <w:i/>
                <w:color w:val="000000"/>
                <w:sz w:val="20"/>
                <w:szCs w:val="20"/>
                <w:lang w:eastAsia="en-US"/>
              </w:rPr>
              <w:t>.</w:t>
            </w:r>
          </w:p>
          <w:p w14:paraId="1120AC3D" w14:textId="77777777" w:rsidR="00A47145" w:rsidRDefault="00A47145" w:rsidP="00A47145">
            <w:pPr>
              <w:rPr>
                <w:i/>
                <w:color w:val="000000"/>
                <w:sz w:val="20"/>
                <w:szCs w:val="20"/>
                <w:lang w:eastAsia="en-US"/>
              </w:rPr>
            </w:pPr>
            <w:r>
              <w:rPr>
                <w:i/>
                <w:color w:val="000000"/>
                <w:sz w:val="20"/>
                <w:szCs w:val="20"/>
                <w:lang w:eastAsia="en-US"/>
              </w:rPr>
              <w:t>Character helps to quantify the development of the secondary palate.</w:t>
            </w:r>
          </w:p>
          <w:p w14:paraId="2D7C6219" w14:textId="77777777" w:rsidR="00A47145" w:rsidRDefault="00A47145" w:rsidP="00A47145">
            <w:pPr>
              <w:rPr>
                <w:i/>
                <w:color w:val="000000"/>
                <w:sz w:val="20"/>
                <w:szCs w:val="20"/>
                <w:lang w:eastAsia="en-US"/>
              </w:rPr>
            </w:pPr>
            <w:r>
              <w:rPr>
                <w:i/>
                <w:color w:val="000000"/>
                <w:sz w:val="20"/>
                <w:szCs w:val="20"/>
                <w:lang w:eastAsia="en-US"/>
              </w:rPr>
              <w:t>State (2) occurs in crocodylomorphs.</w:t>
            </w:r>
          </w:p>
          <w:p w14:paraId="17CC2CEE" w14:textId="77777777" w:rsidR="00A47145" w:rsidRDefault="00A47145" w:rsidP="00A47145">
            <w:pPr>
              <w:autoSpaceDE w:val="0"/>
              <w:autoSpaceDN w:val="0"/>
              <w:adjustRightInd w:val="0"/>
              <w:rPr>
                <w:rFonts w:eastAsiaTheme="minorHAnsi"/>
                <w:sz w:val="20"/>
                <w:szCs w:val="20"/>
                <w:lang w:eastAsia="en-US"/>
              </w:rPr>
            </w:pPr>
            <w:r>
              <w:rPr>
                <w:rFonts w:eastAsiaTheme="minorHAnsi"/>
                <w:sz w:val="20"/>
                <w:szCs w:val="20"/>
                <w:lang w:eastAsia="en-US"/>
              </w:rPr>
              <w:t>0. do not meet at the midline</w:t>
            </w:r>
          </w:p>
          <w:p w14:paraId="0EE463C1" w14:textId="77777777" w:rsidR="00A47145" w:rsidRDefault="00A47145" w:rsidP="00A47145">
            <w:pPr>
              <w:autoSpaceDE w:val="0"/>
              <w:autoSpaceDN w:val="0"/>
              <w:adjustRightInd w:val="0"/>
              <w:rPr>
                <w:rFonts w:eastAsiaTheme="minorHAnsi"/>
                <w:sz w:val="20"/>
                <w:szCs w:val="20"/>
                <w:lang w:eastAsia="en-US"/>
              </w:rPr>
            </w:pPr>
            <w:r>
              <w:rPr>
                <w:rFonts w:eastAsiaTheme="minorHAnsi"/>
                <w:sz w:val="20"/>
                <w:szCs w:val="20"/>
                <w:lang w:eastAsia="en-US"/>
              </w:rPr>
              <w:t>1. meet at the midline</w:t>
            </w:r>
          </w:p>
          <w:p w14:paraId="6AD3ACEA" w14:textId="77777777" w:rsidR="00A47145" w:rsidRDefault="00A47145" w:rsidP="00A47145">
            <w:pPr>
              <w:autoSpaceDE w:val="0"/>
              <w:autoSpaceDN w:val="0"/>
              <w:adjustRightInd w:val="0"/>
              <w:rPr>
                <w:rFonts w:eastAsiaTheme="minorHAnsi"/>
                <w:sz w:val="20"/>
                <w:szCs w:val="20"/>
                <w:lang w:eastAsia="en-US"/>
              </w:rPr>
            </w:pPr>
            <w:r>
              <w:rPr>
                <w:rFonts w:eastAsiaTheme="minorHAnsi"/>
                <w:sz w:val="20"/>
                <w:szCs w:val="20"/>
                <w:lang w:eastAsia="en-US"/>
              </w:rPr>
              <w:t>2. meet at the midline and expand anteriorly and posteriorly</w:t>
            </w:r>
          </w:p>
        </w:tc>
      </w:tr>
      <w:tr w:rsidR="00A47145" w14:paraId="01CAFF9B" w14:textId="77777777" w:rsidTr="00A47145">
        <w:tc>
          <w:tcPr>
            <w:tcW w:w="0" w:type="auto"/>
            <w:tcBorders>
              <w:top w:val="single" w:sz="4" w:space="0" w:color="auto"/>
              <w:left w:val="single" w:sz="4" w:space="0" w:color="auto"/>
              <w:bottom w:val="single" w:sz="4" w:space="0" w:color="auto"/>
              <w:right w:val="single" w:sz="4" w:space="0" w:color="auto"/>
            </w:tcBorders>
          </w:tcPr>
          <w:p w14:paraId="17C387DA" w14:textId="26AFA059" w:rsidR="00A47145" w:rsidRDefault="00A47145" w:rsidP="00A47145">
            <w:pPr>
              <w:rPr>
                <w:sz w:val="20"/>
                <w:szCs w:val="20"/>
                <w:lang w:eastAsia="en-US"/>
              </w:rPr>
            </w:pPr>
            <w:r>
              <w:rPr>
                <w:color w:val="000000"/>
                <w:sz w:val="20"/>
                <w:szCs w:val="20"/>
                <w:lang w:eastAsia="en-US"/>
              </w:rPr>
              <w:t>172</w:t>
            </w:r>
          </w:p>
        </w:tc>
        <w:tc>
          <w:tcPr>
            <w:tcW w:w="0" w:type="auto"/>
            <w:tcBorders>
              <w:top w:val="single" w:sz="4" w:space="0" w:color="auto"/>
              <w:left w:val="single" w:sz="4" w:space="0" w:color="auto"/>
              <w:bottom w:val="single" w:sz="4" w:space="0" w:color="auto"/>
              <w:right w:val="single" w:sz="4" w:space="0" w:color="auto"/>
            </w:tcBorders>
            <w:vAlign w:val="bottom"/>
            <w:hideMark/>
          </w:tcPr>
          <w:p w14:paraId="433F80F9" w14:textId="77777777" w:rsidR="00A47145" w:rsidRDefault="00A47145" w:rsidP="00A47145">
            <w:pPr>
              <w:rPr>
                <w:b/>
                <w:color w:val="000000"/>
                <w:sz w:val="20"/>
                <w:szCs w:val="20"/>
                <w:lang w:eastAsia="en-US"/>
              </w:rPr>
            </w:pPr>
            <w:r>
              <w:rPr>
                <w:b/>
                <w:color w:val="000000"/>
                <w:sz w:val="20"/>
                <w:szCs w:val="20"/>
                <w:lang w:eastAsia="en-US"/>
              </w:rPr>
              <w:t xml:space="preserve">Maxilla, posterior margin of palatal processes contact with the anterior margin of palatine anterior processes: </w:t>
            </w:r>
          </w:p>
          <w:p w14:paraId="7643B4EF" w14:textId="62963357" w:rsidR="00A47145" w:rsidRDefault="00A47145" w:rsidP="00A47145">
            <w:pPr>
              <w:autoSpaceDE w:val="0"/>
              <w:autoSpaceDN w:val="0"/>
              <w:adjustRightInd w:val="0"/>
              <w:rPr>
                <w:i/>
                <w:sz w:val="20"/>
                <w:szCs w:val="20"/>
                <w:lang w:eastAsia="en-US"/>
              </w:rPr>
            </w:pPr>
            <w:r>
              <w:rPr>
                <w:i/>
                <w:color w:val="000000"/>
                <w:sz w:val="20"/>
                <w:szCs w:val="20"/>
                <w:lang w:eastAsia="en-US"/>
              </w:rPr>
              <w:t xml:space="preserve">Young et al. (2012, ch. 90 modified); Young (2014, ch. 92 modified); </w:t>
            </w:r>
            <w:r>
              <w:rPr>
                <w:i/>
                <w:sz w:val="20"/>
                <w:szCs w:val="20"/>
                <w:lang w:eastAsia="en-US"/>
              </w:rPr>
              <w:t xml:space="preserve">Young et al. (2016, ds 2, ch. 110 modified); Ristevski et al. (2018, ds 2, ch. 148); Smith et al. (in review, ds 1, ch. 152); </w:t>
            </w:r>
            <w:r>
              <w:rPr>
                <w:i/>
                <w:sz w:val="20"/>
                <w:szCs w:val="20"/>
              </w:rPr>
              <w:t>Ősi et al. (in review, ds 1, ch. 167)</w:t>
            </w:r>
            <w:r>
              <w:rPr>
                <w:i/>
                <w:sz w:val="20"/>
                <w:szCs w:val="20"/>
                <w:lang w:eastAsia="en-US"/>
              </w:rPr>
              <w:t>.</w:t>
            </w:r>
          </w:p>
          <w:p w14:paraId="1E8124EB" w14:textId="77777777" w:rsidR="00A47145" w:rsidRDefault="00A47145" w:rsidP="00A47145">
            <w:pPr>
              <w:rPr>
                <w:i/>
                <w:color w:val="000000"/>
                <w:sz w:val="20"/>
                <w:szCs w:val="20"/>
                <w:lang w:eastAsia="en-US"/>
              </w:rPr>
            </w:pPr>
            <w:r>
              <w:rPr>
                <w:i/>
                <w:color w:val="000000"/>
                <w:sz w:val="20"/>
                <w:szCs w:val="20"/>
                <w:lang w:eastAsia="en-US"/>
              </w:rPr>
              <w:t>Character helps to quantify the development of the secondary palate.</w:t>
            </w:r>
          </w:p>
          <w:p w14:paraId="5B721B05" w14:textId="77777777" w:rsidR="00A47145" w:rsidRDefault="00A47145" w:rsidP="00A47145">
            <w:pPr>
              <w:rPr>
                <w:i/>
                <w:color w:val="000000"/>
                <w:sz w:val="20"/>
                <w:szCs w:val="20"/>
                <w:lang w:eastAsia="en-US"/>
              </w:rPr>
            </w:pPr>
            <w:r>
              <w:rPr>
                <w:i/>
                <w:color w:val="000000"/>
                <w:sz w:val="20"/>
                <w:szCs w:val="20"/>
                <w:lang w:eastAsia="en-US"/>
              </w:rPr>
              <w:t xml:space="preserve">State (1) occurs in Mesoeucrocodylia. </w:t>
            </w:r>
          </w:p>
          <w:p w14:paraId="43836BE1" w14:textId="77777777" w:rsidR="00A47145" w:rsidRDefault="00A47145" w:rsidP="00A47145">
            <w:pPr>
              <w:rPr>
                <w:i/>
                <w:color w:val="000000"/>
                <w:sz w:val="20"/>
                <w:szCs w:val="20"/>
                <w:lang w:eastAsia="en-US"/>
              </w:rPr>
            </w:pPr>
            <w:r>
              <w:rPr>
                <w:i/>
                <w:color w:val="000000"/>
                <w:sz w:val="20"/>
                <w:szCs w:val="20"/>
                <w:lang w:eastAsia="en-US"/>
              </w:rPr>
              <w:t xml:space="preserve">Note, for </w:t>
            </w:r>
            <w:r>
              <w:rPr>
                <w:color w:val="000000"/>
                <w:sz w:val="20"/>
                <w:szCs w:val="20"/>
                <w:lang w:eastAsia="en-US"/>
              </w:rPr>
              <w:t>Calsoyasuchus</w:t>
            </w:r>
            <w:r>
              <w:rPr>
                <w:i/>
                <w:color w:val="000000"/>
                <w:sz w:val="20"/>
                <w:szCs w:val="20"/>
                <w:lang w:eastAsia="en-US"/>
              </w:rPr>
              <w:t xml:space="preserve"> we interpret the ‘primary choanae’ as maxillo-palatine fenestrae.</w:t>
            </w:r>
          </w:p>
          <w:p w14:paraId="23CE6125" w14:textId="77777777" w:rsidR="00A47145" w:rsidRDefault="00A47145" w:rsidP="00A47145">
            <w:pPr>
              <w:rPr>
                <w:color w:val="000000"/>
                <w:sz w:val="20"/>
                <w:szCs w:val="20"/>
                <w:lang w:eastAsia="en-US"/>
              </w:rPr>
            </w:pPr>
            <w:r>
              <w:rPr>
                <w:color w:val="000000"/>
                <w:sz w:val="20"/>
                <w:szCs w:val="20"/>
                <w:lang w:eastAsia="en-US"/>
              </w:rPr>
              <w:t>0. the maxilla-palatine contact only along a margin medial to the alveolar row</w:t>
            </w:r>
          </w:p>
          <w:p w14:paraId="3F718A14" w14:textId="77777777" w:rsidR="00A47145" w:rsidRDefault="00A47145" w:rsidP="00A47145">
            <w:pPr>
              <w:rPr>
                <w:color w:val="000000"/>
                <w:sz w:val="20"/>
                <w:szCs w:val="20"/>
                <w:lang w:eastAsia="en-US"/>
              </w:rPr>
            </w:pPr>
            <w:r>
              <w:rPr>
                <w:color w:val="000000"/>
                <w:sz w:val="20"/>
                <w:szCs w:val="20"/>
                <w:lang w:eastAsia="en-US"/>
              </w:rPr>
              <w:t xml:space="preserve">1. the maxilla posterior palatal margin has an extensive contact with the palatine anterior palatal margin. This results in either the vomer being excluded from the palatal surface, or if maxillo-palatine fenestrae are present, the vomer is visible within. The maxillo-palatine contact forms a continuous surface as the two elements contact one another, or when maxillo-palatine fenestrae are present, the anterior-most region of the contact is interrupted. </w:t>
            </w:r>
          </w:p>
        </w:tc>
      </w:tr>
      <w:tr w:rsidR="00A47145" w14:paraId="6EE8AB8F" w14:textId="77777777" w:rsidTr="00A47145">
        <w:tc>
          <w:tcPr>
            <w:tcW w:w="0" w:type="auto"/>
            <w:tcBorders>
              <w:top w:val="single" w:sz="4" w:space="0" w:color="auto"/>
              <w:left w:val="single" w:sz="4" w:space="0" w:color="auto"/>
              <w:bottom w:val="single" w:sz="4" w:space="0" w:color="auto"/>
              <w:right w:val="single" w:sz="4" w:space="0" w:color="auto"/>
            </w:tcBorders>
          </w:tcPr>
          <w:p w14:paraId="63BC84B8" w14:textId="3AA73785" w:rsidR="00A47145" w:rsidRDefault="00A47145" w:rsidP="00A47145">
            <w:pPr>
              <w:rPr>
                <w:color w:val="000000"/>
                <w:sz w:val="20"/>
                <w:szCs w:val="20"/>
                <w:lang w:eastAsia="en-US"/>
              </w:rPr>
            </w:pPr>
            <w:r>
              <w:rPr>
                <w:color w:val="000000"/>
                <w:sz w:val="20"/>
                <w:szCs w:val="20"/>
                <w:lang w:eastAsia="en-US"/>
              </w:rPr>
              <w:lastRenderedPageBreak/>
              <w:t>173</w:t>
            </w:r>
          </w:p>
        </w:tc>
        <w:tc>
          <w:tcPr>
            <w:tcW w:w="0" w:type="auto"/>
            <w:tcBorders>
              <w:top w:val="single" w:sz="4" w:space="0" w:color="auto"/>
              <w:left w:val="single" w:sz="4" w:space="0" w:color="auto"/>
              <w:bottom w:val="single" w:sz="4" w:space="0" w:color="auto"/>
              <w:right w:val="single" w:sz="4" w:space="0" w:color="auto"/>
            </w:tcBorders>
            <w:vAlign w:val="bottom"/>
            <w:hideMark/>
          </w:tcPr>
          <w:p w14:paraId="523C7584" w14:textId="77777777"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Palate canals, presence: (*)</w:t>
            </w:r>
          </w:p>
          <w:p w14:paraId="74751E4B" w14:textId="76D75E88" w:rsidR="00A47145" w:rsidRDefault="00A47145" w:rsidP="00A47145">
            <w:pPr>
              <w:autoSpaceDE w:val="0"/>
              <w:autoSpaceDN w:val="0"/>
              <w:adjustRightInd w:val="0"/>
              <w:rPr>
                <w:bCs/>
                <w:i/>
                <w:color w:val="000000"/>
                <w:sz w:val="20"/>
                <w:lang w:eastAsia="en-US"/>
              </w:rPr>
            </w:pPr>
            <w:r>
              <w:rPr>
                <w:bCs/>
                <w:i/>
                <w:color w:val="000000"/>
                <w:sz w:val="20"/>
                <w:lang w:eastAsia="en-US"/>
              </w:rPr>
              <w:t xml:space="preserve">Andrade et al. (2011, ch. 220); </w:t>
            </w:r>
            <w:r>
              <w:rPr>
                <w:i/>
                <w:sz w:val="20"/>
                <w:szCs w:val="20"/>
                <w:lang w:eastAsia="en-US"/>
              </w:rPr>
              <w:t xml:space="preserve">Ristevski et al. (2018, ds 2, ch. 149); Smith et al. (in review, ds 1, ch. 153); </w:t>
            </w:r>
            <w:r>
              <w:rPr>
                <w:i/>
                <w:sz w:val="20"/>
                <w:szCs w:val="20"/>
              </w:rPr>
              <w:t>Ősi et al. (in review, ds 1, ch. 168)</w:t>
            </w:r>
            <w:r>
              <w:rPr>
                <w:bCs/>
                <w:i/>
                <w:color w:val="000000"/>
                <w:sz w:val="20"/>
                <w:lang w:eastAsia="en-US"/>
              </w:rPr>
              <w:t>.</w:t>
            </w:r>
          </w:p>
          <w:p w14:paraId="4C181F2D" w14:textId="77777777" w:rsidR="00A47145" w:rsidRDefault="00A47145" w:rsidP="00A47145">
            <w:pPr>
              <w:autoSpaceDE w:val="0"/>
              <w:autoSpaceDN w:val="0"/>
              <w:adjustRightInd w:val="0"/>
              <w:rPr>
                <w:bCs/>
                <w:i/>
                <w:color w:val="000000"/>
                <w:sz w:val="20"/>
                <w:lang w:eastAsia="en-US"/>
              </w:rPr>
            </w:pPr>
            <w:r>
              <w:rPr>
                <w:bCs/>
                <w:i/>
                <w:color w:val="000000"/>
                <w:sz w:val="20"/>
                <w:lang w:eastAsia="en-US"/>
              </w:rPr>
              <w:t>State (1) is a putative apomorphy of Thalattosuchia.</w:t>
            </w:r>
          </w:p>
          <w:p w14:paraId="5470EBF8" w14:textId="77777777" w:rsidR="00A47145" w:rsidRDefault="00A47145" w:rsidP="00A47145">
            <w:pPr>
              <w:autoSpaceDE w:val="0"/>
              <w:autoSpaceDN w:val="0"/>
              <w:adjustRightInd w:val="0"/>
              <w:rPr>
                <w:i/>
                <w:iCs/>
                <w:color w:val="000000"/>
                <w:sz w:val="20"/>
                <w:szCs w:val="20"/>
                <w:lang w:eastAsia="en-US"/>
              </w:rPr>
            </w:pPr>
            <w:r>
              <w:rPr>
                <w:bCs/>
                <w:i/>
                <w:color w:val="000000"/>
                <w:sz w:val="20"/>
                <w:lang w:eastAsia="en-US"/>
              </w:rPr>
              <w:t>This character is not applicable for taxa that lack maxillary and palatine palatal processes which meet along the skull midline.</w:t>
            </w:r>
          </w:p>
          <w:p w14:paraId="0B197525" w14:textId="35114945"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Palate canals are a paired, parallel, elongated, tubular ducts connecting the internal nasal cavity to the oral cavity, through the palatines. The orientation is almost coincident with the horizontal plane and longitudinal axis, with very little deviation (0-5 degrees). The internal openings are located anterior to the internal end of the nasopharyngeal duct. The external openings are located at the anterior end of palatines and, because of its sub-horizontal orientation, they progress as paired shallow (but well-defined) gutter-like grooves through the palatine laminae of the maxillae, at least to mid-rostrum. In teleosauroids (the Chinese teleosaur</w:t>
            </w:r>
            <w:r w:rsidR="00007246">
              <w:rPr>
                <w:i/>
                <w:iCs/>
                <w:color w:val="000000"/>
                <w:sz w:val="20"/>
                <w:szCs w:val="20"/>
                <w:lang w:eastAsia="en-US"/>
              </w:rPr>
              <w:t>o</w:t>
            </w:r>
            <w:r>
              <w:rPr>
                <w:i/>
                <w:iCs/>
                <w:color w:val="000000"/>
                <w:sz w:val="20"/>
                <w:szCs w:val="20"/>
                <w:lang w:eastAsia="en-US"/>
              </w:rPr>
              <w:t xml:space="preserve">id, </w:t>
            </w:r>
            <w:r>
              <w:rPr>
                <w:iCs/>
                <w:color w:val="000000"/>
                <w:sz w:val="20"/>
                <w:szCs w:val="20"/>
                <w:lang w:eastAsia="en-US"/>
              </w:rPr>
              <w:t xml:space="preserve">Steneosaurus leedsi, S. edwardsi, </w:t>
            </w:r>
            <w:r>
              <w:rPr>
                <w:i/>
                <w:iCs/>
                <w:color w:val="000000"/>
                <w:sz w:val="20"/>
                <w:szCs w:val="20"/>
                <w:lang w:eastAsia="en-US"/>
              </w:rPr>
              <w:t xml:space="preserve">specimens attributed to </w:t>
            </w:r>
            <w:r>
              <w:rPr>
                <w:iCs/>
                <w:color w:val="000000"/>
                <w:sz w:val="20"/>
                <w:szCs w:val="20"/>
                <w:lang w:eastAsia="en-US"/>
              </w:rPr>
              <w:t>Steneosaurus latifrons</w:t>
            </w:r>
            <w:r>
              <w:rPr>
                <w:i/>
                <w:iCs/>
                <w:color w:val="000000"/>
                <w:sz w:val="20"/>
                <w:szCs w:val="20"/>
                <w:lang w:eastAsia="en-US"/>
              </w:rPr>
              <w:t>) and basal metriorhynchoids (</w:t>
            </w:r>
            <w:r>
              <w:rPr>
                <w:color w:val="000000"/>
                <w:sz w:val="20"/>
                <w:szCs w:val="20"/>
                <w:lang w:eastAsia="en-US"/>
              </w:rPr>
              <w:t>Pelagosaurus typus</w:t>
            </w:r>
            <w:r>
              <w:rPr>
                <w:i/>
                <w:iCs/>
                <w:color w:val="000000"/>
                <w:sz w:val="20"/>
                <w:szCs w:val="20"/>
                <w:lang w:eastAsia="en-US"/>
              </w:rPr>
              <w:t xml:space="preserve"> and </w:t>
            </w:r>
            <w:r>
              <w:rPr>
                <w:iCs/>
                <w:color w:val="000000"/>
                <w:sz w:val="20"/>
                <w:szCs w:val="20"/>
                <w:lang w:eastAsia="en-US"/>
              </w:rPr>
              <w:t>Eoneustes gaudryi</w:t>
            </w:r>
            <w:r>
              <w:rPr>
                <w:i/>
                <w:iCs/>
                <w:color w:val="000000"/>
                <w:sz w:val="20"/>
                <w:szCs w:val="20"/>
                <w:lang w:eastAsia="en-US"/>
              </w:rPr>
              <w:t>)</w:t>
            </w:r>
            <w:r>
              <w:rPr>
                <w:iCs/>
                <w:color w:val="000000"/>
                <w:sz w:val="20"/>
                <w:szCs w:val="20"/>
                <w:lang w:eastAsia="en-US"/>
              </w:rPr>
              <w:t xml:space="preserve"> </w:t>
            </w:r>
            <w:r>
              <w:rPr>
                <w:i/>
                <w:iCs/>
                <w:color w:val="000000"/>
                <w:sz w:val="20"/>
                <w:szCs w:val="20"/>
                <w:lang w:eastAsia="en-US"/>
              </w:rPr>
              <w:t>these passages are located next to the medial line of the palate, very close to each other, while in Metriorhynchidae</w:t>
            </w:r>
            <w:r>
              <w:rPr>
                <w:color w:val="000000"/>
                <w:sz w:val="20"/>
                <w:szCs w:val="20"/>
                <w:lang w:eastAsia="en-US"/>
              </w:rPr>
              <w:t xml:space="preserve"> </w:t>
            </w:r>
            <w:r>
              <w:rPr>
                <w:i/>
                <w:iCs/>
                <w:color w:val="000000"/>
                <w:sz w:val="20"/>
                <w:szCs w:val="20"/>
                <w:lang w:eastAsia="en-US"/>
              </w:rPr>
              <w:t>the grooves diverge anteriorly (e.g. see Andrews, 1913; Young et al. 2013). This anterior divergence is also seen in some well preserved teleosaur</w:t>
            </w:r>
            <w:r w:rsidR="00007246">
              <w:rPr>
                <w:i/>
                <w:iCs/>
                <w:color w:val="000000"/>
                <w:sz w:val="20"/>
                <w:szCs w:val="20"/>
                <w:lang w:eastAsia="en-US"/>
              </w:rPr>
              <w:t>o</w:t>
            </w:r>
            <w:r>
              <w:rPr>
                <w:i/>
                <w:iCs/>
                <w:color w:val="000000"/>
                <w:sz w:val="20"/>
                <w:szCs w:val="20"/>
                <w:lang w:eastAsia="en-US"/>
              </w:rPr>
              <w:t>ids (MTY pers. obs). It is unclear if these canals constitute passages for nerves, vessels, or gland ducts.</w:t>
            </w:r>
          </w:p>
          <w:p w14:paraId="6AAFBD11"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In specimens which have experienced dorsoventral compression, and/or are highly broken, these canals can be very hard to discern.</w:t>
            </w:r>
          </w:p>
          <w:p w14:paraId="72F530F4"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0. absent</w:t>
            </w:r>
          </w:p>
          <w:p w14:paraId="4364038A" w14:textId="77777777" w:rsidR="00A47145" w:rsidRDefault="00A47145" w:rsidP="00A47145">
            <w:pPr>
              <w:rPr>
                <w:b/>
                <w:color w:val="000000"/>
                <w:sz w:val="20"/>
                <w:szCs w:val="20"/>
                <w:lang w:eastAsia="en-US"/>
              </w:rPr>
            </w:pPr>
            <w:r>
              <w:rPr>
                <w:color w:val="000000"/>
                <w:sz w:val="20"/>
                <w:szCs w:val="20"/>
                <w:lang w:eastAsia="en-US"/>
              </w:rPr>
              <w:t>1. present</w:t>
            </w:r>
          </w:p>
        </w:tc>
      </w:tr>
      <w:tr w:rsidR="00A47145" w14:paraId="0AEAAB35" w14:textId="77777777" w:rsidTr="00A47145">
        <w:tc>
          <w:tcPr>
            <w:tcW w:w="0" w:type="auto"/>
            <w:tcBorders>
              <w:top w:val="single" w:sz="4" w:space="0" w:color="auto"/>
              <w:left w:val="single" w:sz="4" w:space="0" w:color="auto"/>
              <w:bottom w:val="single" w:sz="4" w:space="0" w:color="auto"/>
              <w:right w:val="single" w:sz="4" w:space="0" w:color="auto"/>
            </w:tcBorders>
          </w:tcPr>
          <w:p w14:paraId="6F0A7266" w14:textId="3C09C434" w:rsidR="00A47145" w:rsidRDefault="00A47145" w:rsidP="00A47145">
            <w:pPr>
              <w:rPr>
                <w:sz w:val="20"/>
                <w:szCs w:val="20"/>
                <w:lang w:eastAsia="en-US"/>
              </w:rPr>
            </w:pPr>
            <w:r>
              <w:rPr>
                <w:color w:val="000000"/>
                <w:sz w:val="20"/>
                <w:szCs w:val="20"/>
                <w:lang w:eastAsia="en-US"/>
              </w:rPr>
              <w:t>174</w:t>
            </w:r>
          </w:p>
        </w:tc>
        <w:tc>
          <w:tcPr>
            <w:tcW w:w="0" w:type="auto"/>
            <w:tcBorders>
              <w:top w:val="single" w:sz="4" w:space="0" w:color="auto"/>
              <w:left w:val="single" w:sz="4" w:space="0" w:color="auto"/>
              <w:bottom w:val="single" w:sz="4" w:space="0" w:color="auto"/>
              <w:right w:val="single" w:sz="4" w:space="0" w:color="auto"/>
            </w:tcBorders>
            <w:vAlign w:val="bottom"/>
            <w:hideMark/>
          </w:tcPr>
          <w:p w14:paraId="7ED3B128" w14:textId="77777777" w:rsidR="00A47145" w:rsidRDefault="00A47145" w:rsidP="00A47145">
            <w:pPr>
              <w:rPr>
                <w:b/>
                <w:color w:val="000000"/>
                <w:sz w:val="20"/>
                <w:szCs w:val="20"/>
                <w:lang w:eastAsia="en-US"/>
              </w:rPr>
            </w:pPr>
            <w:r>
              <w:rPr>
                <w:b/>
                <w:color w:val="000000"/>
                <w:sz w:val="20"/>
                <w:szCs w:val="20"/>
                <w:lang w:eastAsia="en-US"/>
              </w:rPr>
              <w:t>Palatine, anterior extent of the palatine relative to the maxillary tooth row:</w:t>
            </w:r>
          </w:p>
          <w:p w14:paraId="1A404059" w14:textId="4DACAB29" w:rsidR="00A47145" w:rsidRDefault="00A47145" w:rsidP="00A47145">
            <w:pPr>
              <w:autoSpaceDE w:val="0"/>
              <w:autoSpaceDN w:val="0"/>
              <w:adjustRightInd w:val="0"/>
              <w:rPr>
                <w:i/>
                <w:sz w:val="20"/>
                <w:szCs w:val="20"/>
                <w:lang w:eastAsia="en-US"/>
              </w:rPr>
            </w:pPr>
            <w:r>
              <w:rPr>
                <w:i/>
                <w:sz w:val="20"/>
                <w:szCs w:val="20"/>
                <w:lang w:eastAsia="en-US"/>
              </w:rPr>
              <w:t xml:space="preserve">Young (2014, ch. 93); Young et al. (2016, ds 2, ch. 111); Ristevski et al. (2018, ds 2, ch. 150); Smith et al. (in review, ds 1, ch. 154); </w:t>
            </w:r>
            <w:r>
              <w:rPr>
                <w:i/>
                <w:sz w:val="20"/>
                <w:szCs w:val="20"/>
              </w:rPr>
              <w:t>Ősi et al. (in review, ds 1, ch. 169)</w:t>
            </w:r>
            <w:r>
              <w:rPr>
                <w:i/>
                <w:sz w:val="20"/>
                <w:szCs w:val="20"/>
                <w:lang w:eastAsia="en-US"/>
              </w:rPr>
              <w:t>.</w:t>
            </w:r>
          </w:p>
          <w:p w14:paraId="2DF150B4" w14:textId="77777777" w:rsidR="00A47145" w:rsidRDefault="00A47145" w:rsidP="00A47145">
            <w:pPr>
              <w:rPr>
                <w:color w:val="000000"/>
                <w:sz w:val="20"/>
                <w:szCs w:val="20"/>
                <w:lang w:eastAsia="en-US"/>
              </w:rPr>
            </w:pPr>
            <w:r>
              <w:rPr>
                <w:i/>
                <w:color w:val="000000"/>
                <w:sz w:val="20"/>
                <w:szCs w:val="20"/>
                <w:lang w:eastAsia="en-US"/>
              </w:rPr>
              <w:t>State (5) is a putative autapomorphy of</w:t>
            </w:r>
            <w:r>
              <w:rPr>
                <w:color w:val="000000"/>
                <w:sz w:val="20"/>
                <w:szCs w:val="20"/>
                <w:lang w:eastAsia="en-US"/>
              </w:rPr>
              <w:t xml:space="preserve"> Plesiosuchus manselii.</w:t>
            </w:r>
          </w:p>
          <w:p w14:paraId="1DB1CFFA" w14:textId="77777777" w:rsidR="00A47145" w:rsidRDefault="00A47145" w:rsidP="00A47145">
            <w:pPr>
              <w:rPr>
                <w:color w:val="000000"/>
                <w:sz w:val="20"/>
                <w:szCs w:val="20"/>
                <w:lang w:eastAsia="en-US"/>
              </w:rPr>
            </w:pPr>
            <w:r>
              <w:rPr>
                <w:color w:val="000000"/>
                <w:sz w:val="20"/>
                <w:szCs w:val="20"/>
                <w:lang w:eastAsia="en-US"/>
              </w:rPr>
              <w:t>0. palatine anterior margin terminates level to 20th maxillary alveoli, or more distal alveoli</w:t>
            </w:r>
          </w:p>
          <w:p w14:paraId="49846158" w14:textId="77777777" w:rsidR="00A47145" w:rsidRDefault="00A47145" w:rsidP="00A47145">
            <w:pPr>
              <w:rPr>
                <w:color w:val="000000"/>
                <w:sz w:val="20"/>
                <w:szCs w:val="20"/>
                <w:lang w:eastAsia="en-US"/>
              </w:rPr>
            </w:pPr>
            <w:r>
              <w:rPr>
                <w:color w:val="000000"/>
                <w:sz w:val="20"/>
                <w:szCs w:val="20"/>
                <w:lang w:eastAsia="en-US"/>
              </w:rPr>
              <w:t>1. palatine anterior margin terminates level to 15th to 19th maxillary alveoli</w:t>
            </w:r>
          </w:p>
          <w:p w14:paraId="7697374B" w14:textId="77777777" w:rsidR="00A47145" w:rsidRDefault="00A47145" w:rsidP="00A47145">
            <w:pPr>
              <w:rPr>
                <w:color w:val="000000"/>
                <w:sz w:val="20"/>
                <w:szCs w:val="20"/>
                <w:lang w:eastAsia="en-US"/>
              </w:rPr>
            </w:pPr>
            <w:r>
              <w:rPr>
                <w:color w:val="000000"/>
                <w:sz w:val="20"/>
                <w:szCs w:val="20"/>
                <w:lang w:eastAsia="en-US"/>
              </w:rPr>
              <w:t>2. palatine anterior margin terminates level to 11th to 14th maxillary alveoli</w:t>
            </w:r>
          </w:p>
          <w:p w14:paraId="22313FA5" w14:textId="77777777" w:rsidR="00A47145" w:rsidRDefault="00A47145" w:rsidP="00A47145">
            <w:pPr>
              <w:rPr>
                <w:color w:val="000000"/>
                <w:sz w:val="20"/>
                <w:szCs w:val="20"/>
                <w:lang w:eastAsia="en-US"/>
              </w:rPr>
            </w:pPr>
            <w:r>
              <w:rPr>
                <w:color w:val="000000"/>
                <w:sz w:val="20"/>
                <w:szCs w:val="20"/>
                <w:lang w:eastAsia="en-US"/>
              </w:rPr>
              <w:t>3. palatine anterior margin terminates level to 8th to 10th maxillary alveoli</w:t>
            </w:r>
          </w:p>
          <w:p w14:paraId="5663591C" w14:textId="77777777" w:rsidR="00A47145" w:rsidRDefault="00A47145" w:rsidP="00A47145">
            <w:pPr>
              <w:rPr>
                <w:color w:val="000000"/>
                <w:sz w:val="20"/>
                <w:szCs w:val="20"/>
                <w:lang w:eastAsia="en-US"/>
              </w:rPr>
            </w:pPr>
            <w:r>
              <w:rPr>
                <w:color w:val="000000"/>
                <w:sz w:val="20"/>
                <w:szCs w:val="20"/>
                <w:lang w:eastAsia="en-US"/>
              </w:rPr>
              <w:t>4. palatine anterior margin terminates level to 5th to 7th maxillary alveoli</w:t>
            </w:r>
          </w:p>
          <w:p w14:paraId="3C5E5B8B" w14:textId="77777777" w:rsidR="00A47145" w:rsidRDefault="00A47145" w:rsidP="00A47145">
            <w:pPr>
              <w:rPr>
                <w:color w:val="000000"/>
                <w:sz w:val="20"/>
                <w:szCs w:val="20"/>
                <w:lang w:eastAsia="en-US"/>
              </w:rPr>
            </w:pPr>
            <w:r>
              <w:rPr>
                <w:color w:val="000000"/>
                <w:sz w:val="20"/>
                <w:szCs w:val="20"/>
                <w:lang w:eastAsia="en-US"/>
              </w:rPr>
              <w:t>5. palatine anterior margin terminates level to 4th maxillary alveoli, or more anterior alveoli</w:t>
            </w:r>
          </w:p>
        </w:tc>
      </w:tr>
      <w:tr w:rsidR="00A47145" w14:paraId="02A5C045" w14:textId="77777777" w:rsidTr="00A47145">
        <w:tc>
          <w:tcPr>
            <w:tcW w:w="0" w:type="auto"/>
            <w:tcBorders>
              <w:top w:val="single" w:sz="4" w:space="0" w:color="auto"/>
              <w:left w:val="single" w:sz="4" w:space="0" w:color="auto"/>
              <w:bottom w:val="single" w:sz="4" w:space="0" w:color="auto"/>
              <w:right w:val="single" w:sz="4" w:space="0" w:color="auto"/>
            </w:tcBorders>
          </w:tcPr>
          <w:p w14:paraId="67B6BD35" w14:textId="5DB8E564" w:rsidR="00A47145" w:rsidRDefault="00A47145" w:rsidP="00A47145">
            <w:pPr>
              <w:rPr>
                <w:sz w:val="20"/>
                <w:szCs w:val="20"/>
                <w:lang w:eastAsia="en-US"/>
              </w:rPr>
            </w:pPr>
            <w:r>
              <w:rPr>
                <w:color w:val="000000"/>
                <w:sz w:val="20"/>
                <w:szCs w:val="20"/>
                <w:lang w:eastAsia="en-US"/>
              </w:rPr>
              <w:t>175</w:t>
            </w:r>
          </w:p>
        </w:tc>
        <w:tc>
          <w:tcPr>
            <w:tcW w:w="0" w:type="auto"/>
            <w:tcBorders>
              <w:top w:val="single" w:sz="4" w:space="0" w:color="auto"/>
              <w:left w:val="single" w:sz="4" w:space="0" w:color="auto"/>
              <w:bottom w:val="single" w:sz="4" w:space="0" w:color="auto"/>
              <w:right w:val="single" w:sz="4" w:space="0" w:color="auto"/>
            </w:tcBorders>
            <w:vAlign w:val="bottom"/>
            <w:hideMark/>
          </w:tcPr>
          <w:p w14:paraId="688599DB" w14:textId="77777777" w:rsidR="00A47145" w:rsidRDefault="00A47145" w:rsidP="00A47145">
            <w:pPr>
              <w:rPr>
                <w:b/>
                <w:color w:val="000000"/>
                <w:sz w:val="20"/>
                <w:szCs w:val="20"/>
                <w:lang w:eastAsia="en-US"/>
              </w:rPr>
            </w:pPr>
            <w:r>
              <w:rPr>
                <w:b/>
                <w:color w:val="000000"/>
                <w:sz w:val="20"/>
                <w:szCs w:val="20"/>
                <w:lang w:eastAsia="en-US"/>
              </w:rPr>
              <w:t>Palatine, anterior margin has a mid-line anterior process:</w:t>
            </w:r>
          </w:p>
          <w:p w14:paraId="686C4D35" w14:textId="43A6AB40" w:rsidR="00A47145" w:rsidRDefault="00A47145" w:rsidP="00A47145">
            <w:pPr>
              <w:autoSpaceDE w:val="0"/>
              <w:autoSpaceDN w:val="0"/>
              <w:adjustRightInd w:val="0"/>
              <w:rPr>
                <w:i/>
                <w:sz w:val="20"/>
                <w:szCs w:val="20"/>
                <w:lang w:eastAsia="en-US"/>
              </w:rPr>
            </w:pPr>
            <w:r>
              <w:rPr>
                <w:i/>
                <w:sz w:val="20"/>
                <w:szCs w:val="20"/>
                <w:lang w:eastAsia="en-US"/>
              </w:rPr>
              <w:t xml:space="preserve">Wilkinson et al. (2008, ch. 6 part); Young &amp; Andrade (2009, ch. 6 part); </w:t>
            </w:r>
            <w:r>
              <w:rPr>
                <w:bCs/>
                <w:i/>
                <w:color w:val="000000"/>
                <w:sz w:val="20"/>
                <w:szCs w:val="20"/>
                <w:lang w:eastAsia="en-US"/>
              </w:rPr>
              <w:t xml:space="preserve">Young et al. (2011, ch. 6 part); Young et al. (2013a, ch. 76 part); </w:t>
            </w:r>
            <w:r>
              <w:rPr>
                <w:i/>
                <w:sz w:val="20"/>
                <w:szCs w:val="20"/>
                <w:lang w:eastAsia="en-US"/>
              </w:rPr>
              <w:t xml:space="preserve">Young et al. (2012, ch. 91); Young (2014, ch. 94); Young et al. (2016, ds 2, ch. 112); Ristevski et al. (2018, ds 2, ch. 151); Smith et al. (in review, ds 1, ch. 155); </w:t>
            </w:r>
            <w:r>
              <w:rPr>
                <w:i/>
                <w:sz w:val="20"/>
                <w:szCs w:val="20"/>
              </w:rPr>
              <w:t>Ősi et al. (in review, ds 1, ch. 170)</w:t>
            </w:r>
            <w:r>
              <w:rPr>
                <w:i/>
                <w:sz w:val="20"/>
                <w:szCs w:val="20"/>
                <w:lang w:eastAsia="en-US"/>
              </w:rPr>
              <w:t>.</w:t>
            </w:r>
          </w:p>
          <w:p w14:paraId="1DDAE49D" w14:textId="77777777" w:rsidR="00A47145" w:rsidRDefault="00A47145" w:rsidP="00A47145">
            <w:pPr>
              <w:rPr>
                <w:color w:val="000000"/>
                <w:sz w:val="20"/>
                <w:szCs w:val="20"/>
                <w:lang w:eastAsia="en-US"/>
              </w:rPr>
            </w:pPr>
            <w:r>
              <w:rPr>
                <w:color w:val="000000"/>
                <w:sz w:val="20"/>
                <w:szCs w:val="20"/>
                <w:lang w:eastAsia="en-US"/>
              </w:rPr>
              <w:t>0. present</w:t>
            </w:r>
          </w:p>
          <w:p w14:paraId="71812643" w14:textId="77777777" w:rsidR="00A47145" w:rsidRDefault="00A47145" w:rsidP="00A47145">
            <w:pPr>
              <w:rPr>
                <w:b/>
                <w:color w:val="000000"/>
                <w:sz w:val="20"/>
                <w:szCs w:val="20"/>
                <w:lang w:eastAsia="en-US"/>
              </w:rPr>
            </w:pPr>
            <w:r>
              <w:rPr>
                <w:color w:val="000000"/>
                <w:sz w:val="20"/>
                <w:szCs w:val="20"/>
                <w:lang w:eastAsia="en-US"/>
              </w:rPr>
              <w:t>1. absent</w:t>
            </w:r>
          </w:p>
        </w:tc>
      </w:tr>
      <w:tr w:rsidR="00A47145" w14:paraId="35FE0129" w14:textId="77777777" w:rsidTr="00A47145">
        <w:tc>
          <w:tcPr>
            <w:tcW w:w="0" w:type="auto"/>
            <w:tcBorders>
              <w:top w:val="single" w:sz="4" w:space="0" w:color="auto"/>
              <w:left w:val="single" w:sz="4" w:space="0" w:color="auto"/>
              <w:bottom w:val="single" w:sz="4" w:space="0" w:color="auto"/>
              <w:right w:val="single" w:sz="4" w:space="0" w:color="auto"/>
            </w:tcBorders>
          </w:tcPr>
          <w:p w14:paraId="2BCDC825" w14:textId="194519C1" w:rsidR="00A47145" w:rsidRDefault="00A47145" w:rsidP="00A47145">
            <w:pPr>
              <w:rPr>
                <w:sz w:val="20"/>
                <w:szCs w:val="20"/>
                <w:lang w:eastAsia="en-US"/>
              </w:rPr>
            </w:pPr>
            <w:r>
              <w:rPr>
                <w:color w:val="000000"/>
                <w:sz w:val="20"/>
                <w:szCs w:val="20"/>
                <w:lang w:eastAsia="en-US"/>
              </w:rPr>
              <w:t>176</w:t>
            </w:r>
          </w:p>
        </w:tc>
        <w:tc>
          <w:tcPr>
            <w:tcW w:w="0" w:type="auto"/>
            <w:tcBorders>
              <w:top w:val="single" w:sz="4" w:space="0" w:color="auto"/>
              <w:left w:val="single" w:sz="4" w:space="0" w:color="auto"/>
              <w:bottom w:val="single" w:sz="4" w:space="0" w:color="auto"/>
              <w:right w:val="single" w:sz="4" w:space="0" w:color="auto"/>
            </w:tcBorders>
            <w:vAlign w:val="bottom"/>
            <w:hideMark/>
          </w:tcPr>
          <w:p w14:paraId="10840C50" w14:textId="77777777" w:rsidR="00A47145" w:rsidRDefault="00A47145" w:rsidP="00A47145">
            <w:pPr>
              <w:rPr>
                <w:b/>
                <w:color w:val="000000"/>
                <w:sz w:val="20"/>
                <w:szCs w:val="20"/>
                <w:lang w:eastAsia="en-US"/>
              </w:rPr>
            </w:pPr>
            <w:r>
              <w:rPr>
                <w:b/>
                <w:color w:val="000000"/>
                <w:sz w:val="20"/>
                <w:szCs w:val="20"/>
                <w:lang w:eastAsia="en-US"/>
              </w:rPr>
              <w:t>Palatine, mid-line anterior process shape, in palatal view: (*)</w:t>
            </w:r>
          </w:p>
          <w:p w14:paraId="34D90D83" w14:textId="1E0AE664" w:rsidR="00A47145" w:rsidRDefault="00A47145" w:rsidP="00A47145">
            <w:pPr>
              <w:autoSpaceDE w:val="0"/>
              <w:autoSpaceDN w:val="0"/>
              <w:adjustRightInd w:val="0"/>
              <w:rPr>
                <w:i/>
                <w:sz w:val="20"/>
                <w:szCs w:val="20"/>
                <w:lang w:eastAsia="en-US"/>
              </w:rPr>
            </w:pPr>
            <w:r>
              <w:rPr>
                <w:i/>
                <w:sz w:val="20"/>
                <w:szCs w:val="20"/>
                <w:lang w:eastAsia="en-US"/>
              </w:rPr>
              <w:t xml:space="preserve">Wilkinson et al. (2008, ch. 6 part); Young &amp; Andrade (2009, ch. 6 part); </w:t>
            </w:r>
            <w:r>
              <w:rPr>
                <w:bCs/>
                <w:i/>
                <w:color w:val="000000"/>
                <w:sz w:val="20"/>
                <w:szCs w:val="20"/>
                <w:lang w:eastAsia="en-US"/>
              </w:rPr>
              <w:t xml:space="preserve">Young et al. (2011, ch. 6 part); Young et al. (2013a, ch. 76 part); </w:t>
            </w:r>
            <w:r>
              <w:rPr>
                <w:i/>
                <w:sz w:val="20"/>
                <w:szCs w:val="20"/>
                <w:lang w:eastAsia="en-US"/>
              </w:rPr>
              <w:t xml:space="preserve">Young et al. (2012, ch. 92); Young (2014, ch. 95); Young et al. (2016, ds 2, ch. 113); Ristevski et al. (2018, ds 2, ch. 152); Smith et al. (in review, ds 1, ch. 156); </w:t>
            </w:r>
            <w:r>
              <w:rPr>
                <w:i/>
                <w:sz w:val="20"/>
                <w:szCs w:val="20"/>
              </w:rPr>
              <w:t>Ősi et al. (in review, ds 1, ch. 171)</w:t>
            </w:r>
            <w:r>
              <w:rPr>
                <w:i/>
                <w:sz w:val="20"/>
                <w:szCs w:val="20"/>
                <w:lang w:eastAsia="en-US"/>
              </w:rPr>
              <w:t>.</w:t>
            </w:r>
          </w:p>
          <w:p w14:paraId="05E83A21" w14:textId="77777777" w:rsidR="00A47145" w:rsidRDefault="00A47145" w:rsidP="00A47145">
            <w:pPr>
              <w:autoSpaceDE w:val="0"/>
              <w:autoSpaceDN w:val="0"/>
              <w:adjustRightInd w:val="0"/>
              <w:rPr>
                <w:i/>
                <w:iCs/>
                <w:color w:val="000000"/>
                <w:sz w:val="20"/>
                <w:szCs w:val="20"/>
                <w:lang w:eastAsia="en-US"/>
              </w:rPr>
            </w:pPr>
            <w:r>
              <w:rPr>
                <w:bCs/>
                <w:i/>
                <w:color w:val="000000"/>
                <w:sz w:val="20"/>
                <w:lang w:eastAsia="en-US"/>
              </w:rPr>
              <w:t>This character is not applicable for taxa that lack mid-line palatine palatal processes.</w:t>
            </w:r>
          </w:p>
          <w:p w14:paraId="390AA7CE" w14:textId="77777777" w:rsidR="00A47145" w:rsidRDefault="00A47145" w:rsidP="00A47145">
            <w:pPr>
              <w:rPr>
                <w:color w:val="000000"/>
                <w:sz w:val="20"/>
                <w:szCs w:val="20"/>
                <w:lang w:eastAsia="en-US"/>
              </w:rPr>
            </w:pPr>
            <w:r>
              <w:rPr>
                <w:color w:val="000000"/>
                <w:sz w:val="20"/>
                <w:szCs w:val="20"/>
                <w:lang w:eastAsia="en-US"/>
              </w:rPr>
              <w:t>0. lateral margins of the mid-line anterior process converge: anteriorly orientated “V”-shape</w:t>
            </w:r>
          </w:p>
          <w:p w14:paraId="68D45CEE" w14:textId="77777777" w:rsidR="00A47145" w:rsidRDefault="00A47145" w:rsidP="00A47145">
            <w:pPr>
              <w:rPr>
                <w:color w:val="000000"/>
                <w:sz w:val="20"/>
                <w:szCs w:val="20"/>
                <w:lang w:eastAsia="en-US"/>
              </w:rPr>
            </w:pPr>
            <w:r>
              <w:rPr>
                <w:color w:val="000000"/>
                <w:sz w:val="20"/>
                <w:szCs w:val="20"/>
                <w:lang w:eastAsia="en-US"/>
              </w:rPr>
              <w:t>1. lateral margins of the mid-line anterior process largely parallel: anteriorly orientated “U”-shape</w:t>
            </w:r>
          </w:p>
        </w:tc>
      </w:tr>
      <w:tr w:rsidR="00A47145" w14:paraId="0458328C" w14:textId="77777777" w:rsidTr="00A47145">
        <w:tc>
          <w:tcPr>
            <w:tcW w:w="0" w:type="auto"/>
            <w:tcBorders>
              <w:top w:val="single" w:sz="4" w:space="0" w:color="auto"/>
              <w:left w:val="single" w:sz="4" w:space="0" w:color="auto"/>
              <w:bottom w:val="single" w:sz="4" w:space="0" w:color="auto"/>
              <w:right w:val="single" w:sz="4" w:space="0" w:color="auto"/>
            </w:tcBorders>
          </w:tcPr>
          <w:p w14:paraId="6C7F4E8B" w14:textId="0AF9AE39" w:rsidR="00A47145" w:rsidRDefault="00A47145" w:rsidP="00A47145">
            <w:pPr>
              <w:rPr>
                <w:color w:val="000000"/>
                <w:sz w:val="20"/>
                <w:szCs w:val="20"/>
                <w:lang w:eastAsia="en-US"/>
              </w:rPr>
            </w:pPr>
            <w:r>
              <w:rPr>
                <w:color w:val="000000"/>
                <w:sz w:val="20"/>
                <w:szCs w:val="20"/>
                <w:lang w:eastAsia="en-US"/>
              </w:rPr>
              <w:t>177</w:t>
            </w:r>
          </w:p>
        </w:tc>
        <w:tc>
          <w:tcPr>
            <w:tcW w:w="0" w:type="auto"/>
            <w:tcBorders>
              <w:top w:val="single" w:sz="4" w:space="0" w:color="auto"/>
              <w:left w:val="single" w:sz="4" w:space="0" w:color="auto"/>
              <w:bottom w:val="single" w:sz="4" w:space="0" w:color="auto"/>
              <w:right w:val="single" w:sz="4" w:space="0" w:color="auto"/>
            </w:tcBorders>
            <w:vAlign w:val="bottom"/>
            <w:hideMark/>
          </w:tcPr>
          <w:p w14:paraId="6AF523BA" w14:textId="77777777" w:rsidR="00A47145" w:rsidRDefault="00A47145" w:rsidP="00A47145">
            <w:pPr>
              <w:rPr>
                <w:b/>
                <w:color w:val="000000"/>
                <w:sz w:val="20"/>
                <w:szCs w:val="20"/>
                <w:lang w:eastAsia="en-US"/>
              </w:rPr>
            </w:pPr>
            <w:r>
              <w:rPr>
                <w:b/>
                <w:color w:val="000000"/>
                <w:sz w:val="20"/>
                <w:szCs w:val="20"/>
                <w:lang w:eastAsia="en-US"/>
              </w:rPr>
              <w:t>Palatine, anterior margin has two non-midline anterior processes:</w:t>
            </w:r>
          </w:p>
          <w:p w14:paraId="596892E0" w14:textId="5261BBCC" w:rsidR="00A47145" w:rsidRDefault="00A47145" w:rsidP="00A47145">
            <w:pPr>
              <w:autoSpaceDE w:val="0"/>
              <w:autoSpaceDN w:val="0"/>
              <w:adjustRightInd w:val="0"/>
              <w:rPr>
                <w:i/>
                <w:sz w:val="20"/>
                <w:szCs w:val="20"/>
                <w:lang w:eastAsia="en-US"/>
              </w:rPr>
            </w:pPr>
            <w:r>
              <w:rPr>
                <w:i/>
                <w:sz w:val="20"/>
                <w:szCs w:val="20"/>
                <w:lang w:eastAsia="en-US"/>
              </w:rPr>
              <w:t xml:space="preserve">Wilkinson et al. (2008, ch. 6 part); Young &amp; Andrade (2009, ch. 6 part); </w:t>
            </w:r>
            <w:r>
              <w:rPr>
                <w:bCs/>
                <w:i/>
                <w:color w:val="000000"/>
                <w:sz w:val="20"/>
                <w:szCs w:val="20"/>
                <w:lang w:eastAsia="en-US"/>
              </w:rPr>
              <w:t xml:space="preserve">Young et al. (2011, ch. 6 part); Young et al. (2013a, ch. 76 part); </w:t>
            </w:r>
            <w:r>
              <w:rPr>
                <w:i/>
                <w:sz w:val="20"/>
                <w:szCs w:val="20"/>
                <w:lang w:eastAsia="en-US"/>
              </w:rPr>
              <w:t xml:space="preserve">Young et al. (2012, ch. 93); Young (2014, ch. 96); Young et al. (2016, ds 2, ch. 114); Ristevski et al. (2018, ds 2, ch. 153); Smith et al. (in review, ds 1, ch. 157); </w:t>
            </w:r>
            <w:r>
              <w:rPr>
                <w:i/>
                <w:sz w:val="20"/>
                <w:szCs w:val="20"/>
              </w:rPr>
              <w:t>Ősi et al. (in review, ds 1, ch. 172)</w:t>
            </w:r>
            <w:r>
              <w:rPr>
                <w:i/>
                <w:sz w:val="20"/>
                <w:szCs w:val="20"/>
                <w:lang w:eastAsia="en-US"/>
              </w:rPr>
              <w:t>.</w:t>
            </w:r>
          </w:p>
          <w:p w14:paraId="1BD78267" w14:textId="77777777" w:rsidR="00A47145" w:rsidRDefault="00A47145" w:rsidP="00A47145">
            <w:pPr>
              <w:rPr>
                <w:i/>
                <w:color w:val="000000"/>
                <w:sz w:val="20"/>
                <w:szCs w:val="20"/>
                <w:lang w:eastAsia="en-US"/>
              </w:rPr>
            </w:pPr>
            <w:r>
              <w:rPr>
                <w:i/>
                <w:color w:val="000000"/>
                <w:sz w:val="20"/>
                <w:szCs w:val="20"/>
                <w:lang w:eastAsia="en-US"/>
              </w:rPr>
              <w:t>In Thalattosuchia, state (1) is a putative apomorphy of Metriorhynchinae.</w:t>
            </w:r>
          </w:p>
          <w:p w14:paraId="35B279E4" w14:textId="77777777" w:rsidR="00A47145" w:rsidRDefault="00A47145" w:rsidP="00A47145">
            <w:pPr>
              <w:rPr>
                <w:i/>
                <w:color w:val="000000"/>
                <w:sz w:val="20"/>
                <w:szCs w:val="20"/>
                <w:lang w:eastAsia="en-US"/>
              </w:rPr>
            </w:pPr>
            <w:r>
              <w:rPr>
                <w:i/>
                <w:color w:val="000000"/>
                <w:sz w:val="20"/>
                <w:szCs w:val="20"/>
                <w:lang w:eastAsia="en-US"/>
              </w:rPr>
              <w:t xml:space="preserve">In </w:t>
            </w:r>
            <w:r>
              <w:rPr>
                <w:color w:val="000000"/>
                <w:sz w:val="20"/>
                <w:szCs w:val="20"/>
                <w:lang w:eastAsia="en-US"/>
              </w:rPr>
              <w:t>Montealtosuchus</w:t>
            </w:r>
            <w:r>
              <w:rPr>
                <w:i/>
                <w:color w:val="000000"/>
                <w:sz w:val="20"/>
                <w:szCs w:val="20"/>
                <w:lang w:eastAsia="en-US"/>
              </w:rPr>
              <w:t xml:space="preserve"> and </w:t>
            </w:r>
            <w:r>
              <w:rPr>
                <w:color w:val="000000"/>
                <w:sz w:val="20"/>
                <w:szCs w:val="20"/>
                <w:lang w:eastAsia="en-US"/>
              </w:rPr>
              <w:t>Hamadasuchus</w:t>
            </w:r>
            <w:r>
              <w:rPr>
                <w:i/>
                <w:color w:val="000000"/>
                <w:sz w:val="20"/>
                <w:szCs w:val="20"/>
                <w:lang w:eastAsia="en-US"/>
              </w:rPr>
              <w:t xml:space="preserve"> the mid-line anterior process has a concave anterior margin, creating two “non-midline” processes.</w:t>
            </w:r>
          </w:p>
          <w:p w14:paraId="1AFAFCD1" w14:textId="77777777" w:rsidR="00A47145" w:rsidRDefault="00A47145" w:rsidP="00A47145">
            <w:pPr>
              <w:rPr>
                <w:color w:val="000000"/>
                <w:sz w:val="20"/>
                <w:szCs w:val="20"/>
                <w:lang w:eastAsia="en-US"/>
              </w:rPr>
            </w:pPr>
            <w:r>
              <w:rPr>
                <w:color w:val="000000"/>
                <w:sz w:val="20"/>
                <w:szCs w:val="20"/>
                <w:lang w:eastAsia="en-US"/>
              </w:rPr>
              <w:t>0. absent</w:t>
            </w:r>
          </w:p>
          <w:p w14:paraId="29C1A15D" w14:textId="77777777" w:rsidR="00A47145" w:rsidRDefault="00A47145" w:rsidP="00A47145">
            <w:pPr>
              <w:rPr>
                <w:color w:val="000000"/>
                <w:sz w:val="20"/>
                <w:szCs w:val="20"/>
                <w:lang w:eastAsia="en-US"/>
              </w:rPr>
            </w:pPr>
            <w:r>
              <w:rPr>
                <w:color w:val="000000"/>
                <w:sz w:val="20"/>
                <w:szCs w:val="20"/>
                <w:lang w:eastAsia="en-US"/>
              </w:rPr>
              <w:t>1. present</w:t>
            </w:r>
          </w:p>
        </w:tc>
      </w:tr>
      <w:tr w:rsidR="00A47145" w14:paraId="4E905123" w14:textId="77777777" w:rsidTr="00A47145">
        <w:tc>
          <w:tcPr>
            <w:tcW w:w="0" w:type="auto"/>
            <w:tcBorders>
              <w:top w:val="single" w:sz="4" w:space="0" w:color="auto"/>
              <w:left w:val="single" w:sz="4" w:space="0" w:color="auto"/>
              <w:bottom w:val="single" w:sz="4" w:space="0" w:color="auto"/>
              <w:right w:val="single" w:sz="4" w:space="0" w:color="auto"/>
            </w:tcBorders>
          </w:tcPr>
          <w:p w14:paraId="4697DC75" w14:textId="279D8186" w:rsidR="00A47145" w:rsidRDefault="00A47145" w:rsidP="00A47145">
            <w:pPr>
              <w:rPr>
                <w:color w:val="000000"/>
                <w:sz w:val="20"/>
                <w:szCs w:val="20"/>
                <w:lang w:eastAsia="en-US"/>
              </w:rPr>
            </w:pPr>
            <w:r>
              <w:rPr>
                <w:color w:val="000000"/>
                <w:sz w:val="20"/>
                <w:szCs w:val="20"/>
                <w:lang w:eastAsia="en-US"/>
              </w:rPr>
              <w:t>178</w:t>
            </w:r>
          </w:p>
        </w:tc>
        <w:tc>
          <w:tcPr>
            <w:tcW w:w="0" w:type="auto"/>
            <w:tcBorders>
              <w:top w:val="single" w:sz="4" w:space="0" w:color="auto"/>
              <w:left w:val="single" w:sz="4" w:space="0" w:color="auto"/>
              <w:bottom w:val="single" w:sz="4" w:space="0" w:color="auto"/>
              <w:right w:val="single" w:sz="4" w:space="0" w:color="auto"/>
            </w:tcBorders>
            <w:vAlign w:val="bottom"/>
            <w:hideMark/>
          </w:tcPr>
          <w:p w14:paraId="4AF145CD" w14:textId="77777777" w:rsidR="00A47145" w:rsidRDefault="00A47145" w:rsidP="00A47145">
            <w:pPr>
              <w:rPr>
                <w:b/>
                <w:color w:val="000000"/>
                <w:sz w:val="20"/>
                <w:szCs w:val="20"/>
                <w:lang w:eastAsia="en-US"/>
              </w:rPr>
            </w:pPr>
            <w:r>
              <w:rPr>
                <w:b/>
                <w:color w:val="000000"/>
                <w:sz w:val="20"/>
                <w:szCs w:val="20"/>
                <w:lang w:eastAsia="en-US"/>
              </w:rPr>
              <w:t xml:space="preserve">Palatine, at the suborbital fenestrae the palatine anterior margin curves anterolaterally towards it, creating two “small processes” projecting laterally: </w:t>
            </w:r>
          </w:p>
          <w:p w14:paraId="250FA663" w14:textId="265380B5" w:rsidR="00A47145" w:rsidRDefault="00A47145" w:rsidP="00A47145">
            <w:pPr>
              <w:autoSpaceDE w:val="0"/>
              <w:autoSpaceDN w:val="0"/>
              <w:adjustRightInd w:val="0"/>
              <w:rPr>
                <w:i/>
                <w:sz w:val="20"/>
                <w:szCs w:val="20"/>
                <w:lang w:eastAsia="en-US"/>
              </w:rPr>
            </w:pPr>
            <w:r>
              <w:rPr>
                <w:i/>
                <w:sz w:val="20"/>
                <w:szCs w:val="20"/>
                <w:lang w:eastAsia="en-US"/>
              </w:rPr>
              <w:lastRenderedPageBreak/>
              <w:t xml:space="preserve">Young &amp; Andrade (2009, ch. 161); </w:t>
            </w:r>
            <w:r>
              <w:rPr>
                <w:bCs/>
                <w:i/>
                <w:color w:val="000000"/>
                <w:sz w:val="20"/>
                <w:szCs w:val="20"/>
                <w:lang w:eastAsia="en-US"/>
              </w:rPr>
              <w:t xml:space="preserve">Young et al. (2011, ch. 161); Young et al. (2013a, ch. 77); </w:t>
            </w:r>
            <w:r>
              <w:rPr>
                <w:i/>
                <w:sz w:val="20"/>
                <w:szCs w:val="20"/>
                <w:lang w:eastAsia="en-US"/>
              </w:rPr>
              <w:t xml:space="preserve">Young et al. (2012, ch. 94); Young (2014, ch. 97); Young et al. (2016, ds 2, ch. 115); Ristevski et al. (2018, ds 2, ch. 154); Smith et al. (in review, ds 1, ch. 158); </w:t>
            </w:r>
            <w:r>
              <w:rPr>
                <w:i/>
                <w:sz w:val="20"/>
                <w:szCs w:val="20"/>
              </w:rPr>
              <w:t>Ősi et al. (in review, ds 1, ch. 173)</w:t>
            </w:r>
            <w:r>
              <w:rPr>
                <w:i/>
                <w:sz w:val="20"/>
                <w:szCs w:val="20"/>
                <w:lang w:eastAsia="en-US"/>
              </w:rPr>
              <w:t>.</w:t>
            </w:r>
          </w:p>
          <w:p w14:paraId="646EE06E" w14:textId="77777777" w:rsidR="00A47145" w:rsidRDefault="00A47145" w:rsidP="00A47145">
            <w:pPr>
              <w:rPr>
                <w:i/>
                <w:color w:val="000000"/>
                <w:sz w:val="20"/>
                <w:szCs w:val="20"/>
                <w:lang w:eastAsia="en-US"/>
              </w:rPr>
            </w:pPr>
            <w:r>
              <w:rPr>
                <w:i/>
                <w:color w:val="000000"/>
                <w:sz w:val="20"/>
                <w:szCs w:val="20"/>
                <w:lang w:eastAsia="en-US"/>
              </w:rPr>
              <w:t>This morphology is variably observed in derived neosuchians and eusuchians.</w:t>
            </w:r>
          </w:p>
          <w:p w14:paraId="0CA4CC35" w14:textId="77777777" w:rsidR="00A47145" w:rsidRDefault="00A47145" w:rsidP="00A47145">
            <w:pPr>
              <w:rPr>
                <w:color w:val="000000"/>
                <w:sz w:val="20"/>
                <w:szCs w:val="20"/>
                <w:lang w:eastAsia="en-US"/>
              </w:rPr>
            </w:pPr>
            <w:r>
              <w:rPr>
                <w:color w:val="000000"/>
                <w:sz w:val="20"/>
                <w:szCs w:val="20"/>
                <w:lang w:eastAsia="en-US"/>
              </w:rPr>
              <w:t>0. absent</w:t>
            </w:r>
          </w:p>
          <w:p w14:paraId="293AC47A" w14:textId="77777777" w:rsidR="00A47145" w:rsidRDefault="00A47145" w:rsidP="00A47145">
            <w:pPr>
              <w:rPr>
                <w:color w:val="000000"/>
                <w:sz w:val="20"/>
                <w:szCs w:val="20"/>
                <w:lang w:eastAsia="en-US"/>
              </w:rPr>
            </w:pPr>
            <w:r>
              <w:rPr>
                <w:color w:val="000000"/>
                <w:sz w:val="20"/>
                <w:szCs w:val="20"/>
                <w:lang w:eastAsia="en-US"/>
              </w:rPr>
              <w:t>1. present</w:t>
            </w:r>
          </w:p>
        </w:tc>
      </w:tr>
      <w:tr w:rsidR="00A47145" w14:paraId="4C87413E" w14:textId="77777777" w:rsidTr="00A47145">
        <w:tc>
          <w:tcPr>
            <w:tcW w:w="0" w:type="auto"/>
            <w:tcBorders>
              <w:top w:val="single" w:sz="4" w:space="0" w:color="auto"/>
              <w:left w:val="single" w:sz="4" w:space="0" w:color="auto"/>
              <w:bottom w:val="single" w:sz="4" w:space="0" w:color="auto"/>
              <w:right w:val="single" w:sz="4" w:space="0" w:color="auto"/>
            </w:tcBorders>
          </w:tcPr>
          <w:p w14:paraId="11859D3C" w14:textId="607EA9B9" w:rsidR="00A47145" w:rsidRDefault="00A47145" w:rsidP="00A47145">
            <w:pPr>
              <w:rPr>
                <w:color w:val="000000"/>
                <w:sz w:val="20"/>
                <w:szCs w:val="20"/>
                <w:lang w:eastAsia="en-US"/>
              </w:rPr>
            </w:pPr>
            <w:r>
              <w:rPr>
                <w:color w:val="000000"/>
                <w:sz w:val="20"/>
                <w:szCs w:val="20"/>
                <w:lang w:eastAsia="en-US"/>
              </w:rPr>
              <w:lastRenderedPageBreak/>
              <w:t>179</w:t>
            </w:r>
          </w:p>
        </w:tc>
        <w:tc>
          <w:tcPr>
            <w:tcW w:w="0" w:type="auto"/>
            <w:tcBorders>
              <w:top w:val="single" w:sz="4" w:space="0" w:color="auto"/>
              <w:left w:val="single" w:sz="4" w:space="0" w:color="auto"/>
              <w:bottom w:val="single" w:sz="4" w:space="0" w:color="auto"/>
              <w:right w:val="single" w:sz="4" w:space="0" w:color="auto"/>
            </w:tcBorders>
            <w:vAlign w:val="bottom"/>
            <w:hideMark/>
          </w:tcPr>
          <w:p w14:paraId="4DEDC164" w14:textId="77777777" w:rsidR="00A47145" w:rsidRDefault="00A47145" w:rsidP="00A47145">
            <w:pPr>
              <w:autoSpaceDE w:val="0"/>
              <w:autoSpaceDN w:val="0"/>
              <w:adjustRightInd w:val="0"/>
              <w:rPr>
                <w:b/>
                <w:bCs/>
                <w:sz w:val="20"/>
                <w:szCs w:val="20"/>
                <w:lang w:eastAsia="en-US"/>
              </w:rPr>
            </w:pPr>
            <w:r>
              <w:rPr>
                <w:b/>
                <w:bCs/>
                <w:sz w:val="20"/>
                <w:szCs w:val="20"/>
                <w:lang w:eastAsia="en-US"/>
              </w:rPr>
              <w:t>Palate, presence of palatal shelves of palatines, and their relation with the narial passage: (ORDERED)</w:t>
            </w:r>
          </w:p>
          <w:p w14:paraId="3520F4D1" w14:textId="26CC75B6" w:rsidR="00A47145" w:rsidRDefault="00A47145" w:rsidP="00A47145">
            <w:pPr>
              <w:autoSpaceDE w:val="0"/>
              <w:autoSpaceDN w:val="0"/>
              <w:adjustRightInd w:val="0"/>
              <w:rPr>
                <w:b/>
                <w:bCs/>
                <w:sz w:val="20"/>
                <w:szCs w:val="20"/>
                <w:lang w:eastAsia="en-US"/>
              </w:rPr>
            </w:pPr>
            <w:r>
              <w:rPr>
                <w:bCs/>
                <w:i/>
                <w:sz w:val="20"/>
                <w:szCs w:val="20"/>
                <w:lang w:eastAsia="en-US"/>
              </w:rPr>
              <w:t>Clark (1994, ch. 37 part);</w:t>
            </w:r>
            <w:r>
              <w:rPr>
                <w:b/>
                <w:bCs/>
                <w:sz w:val="20"/>
                <w:szCs w:val="20"/>
                <w:lang w:eastAsia="en-US"/>
              </w:rPr>
              <w:t xml:space="preserve"> </w:t>
            </w:r>
            <w:r>
              <w:rPr>
                <w:i/>
                <w:sz w:val="20"/>
                <w:szCs w:val="20"/>
                <w:lang w:eastAsia="en-US"/>
              </w:rPr>
              <w:t xml:space="preserve">Wilkinson et al. (2008, ch. 8 part); Young &amp; Andrade (2009, ch. 8 part); </w:t>
            </w:r>
            <w:r>
              <w:rPr>
                <w:bCs/>
                <w:i/>
                <w:sz w:val="20"/>
                <w:lang w:eastAsia="en-US"/>
              </w:rPr>
              <w:t>Andrade et al. (2011, ch. 212);</w:t>
            </w:r>
            <w:r>
              <w:rPr>
                <w:i/>
                <w:sz w:val="20"/>
                <w:szCs w:val="20"/>
                <w:lang w:eastAsia="en-US"/>
              </w:rPr>
              <w:t xml:space="preserve"> </w:t>
            </w:r>
            <w:r>
              <w:rPr>
                <w:bCs/>
                <w:i/>
                <w:color w:val="000000"/>
                <w:sz w:val="20"/>
                <w:szCs w:val="20"/>
                <w:lang w:eastAsia="en-US"/>
              </w:rPr>
              <w:t xml:space="preserve">Young et al. (2011, ch. 8 part); Young et al. (2013a, ch. 78 part); </w:t>
            </w:r>
            <w:r>
              <w:rPr>
                <w:i/>
                <w:sz w:val="20"/>
                <w:szCs w:val="20"/>
                <w:lang w:eastAsia="en-US"/>
              </w:rPr>
              <w:t xml:space="preserve">Young et al. (2012, ch. 95 part); </w:t>
            </w:r>
            <w:r>
              <w:rPr>
                <w:bCs/>
                <w:i/>
                <w:sz w:val="20"/>
                <w:szCs w:val="20"/>
                <w:lang w:eastAsia="en-US"/>
              </w:rPr>
              <w:t>Pol et al. (2013, ch. 67</w:t>
            </w:r>
            <w:r>
              <w:rPr>
                <w:bCs/>
                <w:i/>
                <w:sz w:val="20"/>
                <w:lang w:eastAsia="en-US"/>
              </w:rPr>
              <w:t xml:space="preserve"> part</w:t>
            </w:r>
            <w:r>
              <w:rPr>
                <w:bCs/>
                <w:i/>
                <w:sz w:val="20"/>
                <w:szCs w:val="20"/>
                <w:lang w:eastAsia="en-US"/>
              </w:rPr>
              <w:t xml:space="preserve">); </w:t>
            </w:r>
            <w:r>
              <w:rPr>
                <w:i/>
                <w:sz w:val="20"/>
                <w:szCs w:val="20"/>
                <w:lang w:eastAsia="en-US"/>
              </w:rPr>
              <w:t xml:space="preserve">Young (2014, ch. 98 part); Young et al. (2016, ds 2, ch. 116 part); </w:t>
            </w:r>
            <w:r>
              <w:rPr>
                <w:bCs/>
                <w:i/>
                <w:sz w:val="20"/>
                <w:szCs w:val="20"/>
                <w:lang w:eastAsia="en-US"/>
              </w:rPr>
              <w:t>Leardi et al. (2017, ch. 67</w:t>
            </w:r>
            <w:r>
              <w:rPr>
                <w:bCs/>
                <w:i/>
                <w:sz w:val="20"/>
                <w:lang w:eastAsia="en-US"/>
              </w:rPr>
              <w:t xml:space="preserve"> part); </w:t>
            </w:r>
            <w:r>
              <w:rPr>
                <w:i/>
                <w:sz w:val="20"/>
                <w:szCs w:val="20"/>
                <w:lang w:eastAsia="en-US"/>
              </w:rPr>
              <w:t xml:space="preserve">Ristevski et al. (2018, ds 1, ch. 212; ds 2, ch. 155 part); Smith et al. (in review, ds 1 ch. 159 part; ds 2, ch. 212); </w:t>
            </w:r>
            <w:r>
              <w:rPr>
                <w:i/>
                <w:sz w:val="20"/>
                <w:szCs w:val="20"/>
              </w:rPr>
              <w:t>Ősi et al. (in review, ds 1, ch. 174)</w:t>
            </w:r>
            <w:r>
              <w:rPr>
                <w:bCs/>
                <w:i/>
                <w:sz w:val="20"/>
                <w:lang w:eastAsia="en-US"/>
              </w:rPr>
              <w:t>.</w:t>
            </w:r>
          </w:p>
          <w:p w14:paraId="4C5CC773" w14:textId="77777777" w:rsidR="00A47145" w:rsidRDefault="00A47145" w:rsidP="00A47145">
            <w:pPr>
              <w:rPr>
                <w:i/>
                <w:color w:val="000000"/>
                <w:sz w:val="20"/>
                <w:szCs w:val="20"/>
                <w:lang w:eastAsia="en-US"/>
              </w:rPr>
            </w:pPr>
            <w:r>
              <w:rPr>
                <w:i/>
                <w:color w:val="000000"/>
                <w:sz w:val="20"/>
                <w:szCs w:val="20"/>
                <w:lang w:eastAsia="en-US"/>
              </w:rPr>
              <w:t>Character helps to quantify the development of the secondary palate.</w:t>
            </w:r>
          </w:p>
          <w:p w14:paraId="1E5C523C" w14:textId="77777777" w:rsidR="00A47145" w:rsidRDefault="00A47145" w:rsidP="00A47145">
            <w:pPr>
              <w:rPr>
                <w:i/>
                <w:color w:val="000000"/>
                <w:sz w:val="20"/>
                <w:szCs w:val="20"/>
                <w:lang w:eastAsia="en-US"/>
              </w:rPr>
            </w:pPr>
            <w:r>
              <w:rPr>
                <w:i/>
                <w:color w:val="000000"/>
                <w:sz w:val="20"/>
                <w:szCs w:val="20"/>
                <w:lang w:eastAsia="en-US"/>
              </w:rPr>
              <w:t>State (2) occurs in Mesoeucrocodylia, and in some more basal taxa.</w:t>
            </w:r>
          </w:p>
          <w:p w14:paraId="56CB77E6" w14:textId="77777777" w:rsidR="00A47145" w:rsidRDefault="00A47145" w:rsidP="00A47145">
            <w:pPr>
              <w:autoSpaceDE w:val="0"/>
              <w:autoSpaceDN w:val="0"/>
              <w:adjustRightInd w:val="0"/>
              <w:rPr>
                <w:i/>
                <w:iCs/>
                <w:sz w:val="20"/>
                <w:szCs w:val="20"/>
                <w:lang w:eastAsia="en-US"/>
              </w:rPr>
            </w:pPr>
            <w:r>
              <w:rPr>
                <w:i/>
                <w:iCs/>
                <w:sz w:val="20"/>
                <w:szCs w:val="20"/>
                <w:lang w:eastAsia="en-US"/>
              </w:rPr>
              <w:t xml:space="preserve">Note that in state (2) the palatal laminae may not be in contact for taxa with extensive maxillopalatine fenestrae and elongate choanae (e.g. </w:t>
            </w:r>
            <w:r>
              <w:rPr>
                <w:sz w:val="20"/>
                <w:szCs w:val="20"/>
                <w:lang w:eastAsia="en-US"/>
              </w:rPr>
              <w:t>Eutretauranosuchus</w:t>
            </w:r>
            <w:r>
              <w:rPr>
                <w:i/>
                <w:iCs/>
                <w:sz w:val="20"/>
                <w:szCs w:val="20"/>
                <w:lang w:eastAsia="en-US"/>
              </w:rPr>
              <w:t>).</w:t>
            </w:r>
          </w:p>
          <w:p w14:paraId="56C3A3EC" w14:textId="77777777" w:rsidR="00A47145" w:rsidRDefault="00A47145" w:rsidP="00A47145">
            <w:pPr>
              <w:autoSpaceDE w:val="0"/>
              <w:autoSpaceDN w:val="0"/>
              <w:adjustRightInd w:val="0"/>
              <w:rPr>
                <w:sz w:val="20"/>
                <w:szCs w:val="20"/>
                <w:lang w:eastAsia="en-US"/>
              </w:rPr>
            </w:pPr>
            <w:r>
              <w:rPr>
                <w:sz w:val="20"/>
                <w:szCs w:val="20"/>
                <w:lang w:eastAsia="en-US"/>
              </w:rPr>
              <w:t>0. palatal shelves of palatine absent, narial passage only bounded dorsally, by the pterygoid</w:t>
            </w:r>
          </w:p>
          <w:p w14:paraId="2A7467C2" w14:textId="77777777" w:rsidR="00A47145" w:rsidRDefault="00A47145" w:rsidP="00A47145">
            <w:pPr>
              <w:autoSpaceDE w:val="0"/>
              <w:autoSpaceDN w:val="0"/>
              <w:adjustRightInd w:val="0"/>
              <w:rPr>
                <w:sz w:val="20"/>
                <w:szCs w:val="20"/>
                <w:lang w:eastAsia="en-US"/>
              </w:rPr>
            </w:pPr>
            <w:r>
              <w:rPr>
                <w:sz w:val="20"/>
                <w:szCs w:val="20"/>
                <w:lang w:eastAsia="en-US"/>
              </w:rPr>
              <w:t>1. narial passage at least partially bounded by palatal shelves of the palatine, laterally, creating the choanal grove</w:t>
            </w:r>
          </w:p>
          <w:p w14:paraId="4EBD3AD8" w14:textId="77777777" w:rsidR="00A47145" w:rsidRDefault="00A47145" w:rsidP="00A47145">
            <w:pPr>
              <w:pStyle w:val="SOMText"/>
              <w:ind w:firstLine="0"/>
              <w:rPr>
                <w:b/>
                <w:sz w:val="20"/>
              </w:rPr>
            </w:pPr>
            <w:r>
              <w:rPr>
                <w:sz w:val="20"/>
              </w:rPr>
              <w:t>2. narial passage at least mostly bounded by palatal shelves of the palatine, laterally and ventrally, forming the nasopharyngeal duct</w:t>
            </w:r>
          </w:p>
        </w:tc>
      </w:tr>
      <w:tr w:rsidR="00A47145" w14:paraId="73AB6702" w14:textId="77777777" w:rsidTr="00A47145">
        <w:tc>
          <w:tcPr>
            <w:tcW w:w="0" w:type="auto"/>
            <w:tcBorders>
              <w:top w:val="single" w:sz="4" w:space="0" w:color="auto"/>
              <w:left w:val="single" w:sz="4" w:space="0" w:color="auto"/>
              <w:bottom w:val="single" w:sz="4" w:space="0" w:color="auto"/>
              <w:right w:val="single" w:sz="4" w:space="0" w:color="auto"/>
            </w:tcBorders>
          </w:tcPr>
          <w:p w14:paraId="7BDEBA04" w14:textId="76421950" w:rsidR="00A47145" w:rsidRDefault="00A47145" w:rsidP="00A47145">
            <w:pPr>
              <w:rPr>
                <w:color w:val="000000"/>
                <w:sz w:val="20"/>
                <w:szCs w:val="20"/>
                <w:lang w:eastAsia="en-US"/>
              </w:rPr>
            </w:pPr>
            <w:r>
              <w:rPr>
                <w:color w:val="000000"/>
                <w:sz w:val="20"/>
                <w:szCs w:val="20"/>
                <w:lang w:eastAsia="en-US"/>
              </w:rPr>
              <w:t>180</w:t>
            </w:r>
          </w:p>
        </w:tc>
        <w:tc>
          <w:tcPr>
            <w:tcW w:w="0" w:type="auto"/>
            <w:tcBorders>
              <w:top w:val="single" w:sz="4" w:space="0" w:color="auto"/>
              <w:left w:val="single" w:sz="4" w:space="0" w:color="auto"/>
              <w:bottom w:val="single" w:sz="4" w:space="0" w:color="auto"/>
              <w:right w:val="single" w:sz="4" w:space="0" w:color="auto"/>
            </w:tcBorders>
            <w:hideMark/>
          </w:tcPr>
          <w:p w14:paraId="2A932B22" w14:textId="77777777" w:rsidR="00A47145" w:rsidRDefault="00A47145" w:rsidP="00A47145">
            <w:pPr>
              <w:rPr>
                <w:b/>
                <w:sz w:val="20"/>
                <w:szCs w:val="20"/>
                <w:lang w:eastAsia="en-US"/>
              </w:rPr>
            </w:pPr>
            <w:r>
              <w:rPr>
                <w:b/>
                <w:sz w:val="20"/>
                <w:szCs w:val="20"/>
                <w:lang w:eastAsia="en-US"/>
              </w:rPr>
              <w:t>Palatine, presence of a posterior extension to the choanae:</w:t>
            </w:r>
          </w:p>
          <w:p w14:paraId="6AEA7E9B" w14:textId="4F006E30" w:rsidR="00A47145" w:rsidRDefault="00A47145" w:rsidP="00A47145">
            <w:pPr>
              <w:rPr>
                <w:i/>
                <w:sz w:val="20"/>
                <w:szCs w:val="20"/>
                <w:lang w:eastAsia="en-US"/>
              </w:rPr>
            </w:pPr>
            <w:r>
              <w:rPr>
                <w:i/>
                <w:sz w:val="20"/>
                <w:szCs w:val="20"/>
                <w:lang w:eastAsia="en-US"/>
              </w:rPr>
              <w:t xml:space="preserve">Jouve et al. (2005b, ch. </w:t>
            </w:r>
            <w:r>
              <w:rPr>
                <w:bCs/>
                <w:i/>
                <w:sz w:val="20"/>
                <w:szCs w:val="20"/>
                <w:lang w:eastAsia="en-US"/>
              </w:rPr>
              <w:t xml:space="preserve">4); </w:t>
            </w:r>
            <w:r>
              <w:rPr>
                <w:i/>
                <w:sz w:val="20"/>
                <w:szCs w:val="20"/>
                <w:lang w:eastAsia="en-US"/>
              </w:rPr>
              <w:t xml:space="preserve">Jouve et al. (2008, ch. </w:t>
            </w:r>
            <w:r>
              <w:rPr>
                <w:bCs/>
                <w:i/>
                <w:sz w:val="20"/>
                <w:szCs w:val="20"/>
                <w:lang w:eastAsia="en-US"/>
              </w:rPr>
              <w:t xml:space="preserve">4); Hastings et al. (2010, ch. 61); </w:t>
            </w:r>
            <w:r>
              <w:rPr>
                <w:i/>
                <w:sz w:val="20"/>
                <w:szCs w:val="20"/>
                <w:lang w:eastAsia="en-US"/>
              </w:rPr>
              <w:t xml:space="preserve">Ristevski et al. (2018, ds 2, ch. 156); Smith et al. (in review, ds 1, ch. 160); </w:t>
            </w:r>
            <w:r>
              <w:rPr>
                <w:i/>
                <w:sz w:val="20"/>
                <w:szCs w:val="20"/>
              </w:rPr>
              <w:t>Ősi et al. (in review, ds 1, ch. 175)</w:t>
            </w:r>
            <w:r>
              <w:rPr>
                <w:i/>
                <w:sz w:val="20"/>
                <w:szCs w:val="20"/>
                <w:lang w:eastAsia="en-US"/>
              </w:rPr>
              <w:t>.</w:t>
            </w:r>
          </w:p>
          <w:p w14:paraId="4107F68C" w14:textId="77777777" w:rsidR="00A47145" w:rsidRDefault="00A47145" w:rsidP="00A47145">
            <w:pPr>
              <w:rPr>
                <w:sz w:val="20"/>
                <w:szCs w:val="20"/>
                <w:lang w:eastAsia="en-US"/>
              </w:rPr>
            </w:pPr>
            <w:r>
              <w:rPr>
                <w:sz w:val="20"/>
                <w:szCs w:val="20"/>
                <w:lang w:eastAsia="en-US"/>
              </w:rPr>
              <w:t>0. do not contact or only contact along the anterior margin</w:t>
            </w:r>
          </w:p>
          <w:p w14:paraId="698A249C" w14:textId="77777777" w:rsidR="00A47145" w:rsidRDefault="00A47145" w:rsidP="00A47145">
            <w:pPr>
              <w:rPr>
                <w:sz w:val="20"/>
                <w:szCs w:val="20"/>
                <w:lang w:eastAsia="en-US"/>
              </w:rPr>
            </w:pPr>
            <w:r>
              <w:rPr>
                <w:sz w:val="20"/>
                <w:szCs w:val="20"/>
                <w:lang w:eastAsia="en-US"/>
              </w:rPr>
              <w:t xml:space="preserve">1. contact along the anterior and medial margins </w:t>
            </w:r>
          </w:p>
        </w:tc>
      </w:tr>
      <w:tr w:rsidR="00A47145" w14:paraId="138C4CCA" w14:textId="77777777" w:rsidTr="00A47145">
        <w:tc>
          <w:tcPr>
            <w:tcW w:w="0" w:type="auto"/>
            <w:tcBorders>
              <w:top w:val="single" w:sz="4" w:space="0" w:color="auto"/>
              <w:left w:val="single" w:sz="4" w:space="0" w:color="auto"/>
              <w:bottom w:val="single" w:sz="4" w:space="0" w:color="auto"/>
              <w:right w:val="single" w:sz="4" w:space="0" w:color="auto"/>
            </w:tcBorders>
          </w:tcPr>
          <w:p w14:paraId="119BBEFA" w14:textId="60D1FC9C" w:rsidR="00A47145" w:rsidRDefault="00A47145" w:rsidP="00A47145">
            <w:pPr>
              <w:rPr>
                <w:color w:val="000000"/>
                <w:sz w:val="20"/>
                <w:szCs w:val="20"/>
                <w:lang w:eastAsia="en-US"/>
              </w:rPr>
            </w:pPr>
            <w:r>
              <w:rPr>
                <w:color w:val="000000"/>
                <w:sz w:val="20"/>
                <w:szCs w:val="20"/>
                <w:lang w:eastAsia="en-US"/>
              </w:rPr>
              <w:t>181</w:t>
            </w:r>
          </w:p>
        </w:tc>
        <w:tc>
          <w:tcPr>
            <w:tcW w:w="0" w:type="auto"/>
            <w:tcBorders>
              <w:top w:val="single" w:sz="4" w:space="0" w:color="auto"/>
              <w:left w:val="single" w:sz="4" w:space="0" w:color="auto"/>
              <w:bottom w:val="single" w:sz="4" w:space="0" w:color="auto"/>
              <w:right w:val="single" w:sz="4" w:space="0" w:color="auto"/>
            </w:tcBorders>
            <w:vAlign w:val="bottom"/>
            <w:hideMark/>
          </w:tcPr>
          <w:p w14:paraId="1EFA2B0E" w14:textId="77777777" w:rsidR="00A47145" w:rsidRDefault="00A47145" w:rsidP="00A47145">
            <w:pPr>
              <w:rPr>
                <w:b/>
                <w:color w:val="000000"/>
                <w:sz w:val="20"/>
                <w:szCs w:val="20"/>
                <w:lang w:eastAsia="en-US"/>
              </w:rPr>
            </w:pPr>
            <w:r>
              <w:rPr>
                <w:b/>
                <w:color w:val="000000"/>
                <w:sz w:val="20"/>
                <w:szCs w:val="20"/>
                <w:lang w:eastAsia="en-US"/>
              </w:rPr>
              <w:t>Palatine-pterygoid suture, lateral protrusions by palatine into the pterygoids:</w:t>
            </w:r>
          </w:p>
          <w:p w14:paraId="7E526E55" w14:textId="17A4B5D2" w:rsidR="00A47145" w:rsidRDefault="00A47145" w:rsidP="00A47145">
            <w:pPr>
              <w:autoSpaceDE w:val="0"/>
              <w:autoSpaceDN w:val="0"/>
              <w:adjustRightInd w:val="0"/>
              <w:rPr>
                <w:i/>
                <w:sz w:val="20"/>
                <w:szCs w:val="20"/>
                <w:lang w:eastAsia="en-US"/>
              </w:rPr>
            </w:pPr>
            <w:r>
              <w:rPr>
                <w:i/>
                <w:sz w:val="20"/>
                <w:szCs w:val="20"/>
                <w:lang w:eastAsia="en-US"/>
              </w:rPr>
              <w:t xml:space="preserve">Young &amp; Andrade (2009, ch. 132); </w:t>
            </w:r>
            <w:r>
              <w:rPr>
                <w:bCs/>
                <w:i/>
                <w:color w:val="000000"/>
                <w:sz w:val="20"/>
                <w:szCs w:val="20"/>
                <w:lang w:eastAsia="en-US"/>
              </w:rPr>
              <w:t xml:space="preserve">Young et al. (2011, ch. 132); Young et al. (2013a, ch. 80); </w:t>
            </w:r>
            <w:r>
              <w:rPr>
                <w:i/>
                <w:sz w:val="20"/>
                <w:szCs w:val="20"/>
                <w:lang w:eastAsia="en-US"/>
              </w:rPr>
              <w:t xml:space="preserve">Young et al. (2012, ch. 97); Young (2014, ch. 100); Young et al. (2016, ds 2, ch. 118); Ristevski et al. (2018, ds 2, ch. 157); Smith et al. (in review, ds 1, ch. 161); </w:t>
            </w:r>
            <w:r>
              <w:rPr>
                <w:i/>
                <w:sz w:val="20"/>
                <w:szCs w:val="20"/>
              </w:rPr>
              <w:t>Ősi et al. (in review, ds 1, ch. 176)</w:t>
            </w:r>
            <w:r>
              <w:rPr>
                <w:i/>
                <w:sz w:val="20"/>
                <w:szCs w:val="20"/>
                <w:lang w:eastAsia="en-US"/>
              </w:rPr>
              <w:t>.</w:t>
            </w:r>
          </w:p>
          <w:p w14:paraId="3B5FA033" w14:textId="77777777" w:rsidR="00A47145" w:rsidRDefault="00A47145" w:rsidP="00A47145">
            <w:pPr>
              <w:rPr>
                <w:color w:val="000000"/>
                <w:sz w:val="20"/>
                <w:szCs w:val="20"/>
                <w:lang w:eastAsia="en-US"/>
              </w:rPr>
            </w:pPr>
            <w:r>
              <w:rPr>
                <w:color w:val="000000"/>
                <w:sz w:val="20"/>
                <w:szCs w:val="20"/>
                <w:lang w:eastAsia="en-US"/>
              </w:rPr>
              <w:t>0. absent</w:t>
            </w:r>
          </w:p>
          <w:p w14:paraId="5E919EF7" w14:textId="77777777" w:rsidR="00A47145" w:rsidRDefault="00A47145" w:rsidP="00A47145">
            <w:pPr>
              <w:rPr>
                <w:color w:val="000000"/>
                <w:sz w:val="20"/>
                <w:szCs w:val="20"/>
                <w:lang w:eastAsia="en-US"/>
              </w:rPr>
            </w:pPr>
            <w:r>
              <w:rPr>
                <w:color w:val="000000"/>
                <w:sz w:val="20"/>
                <w:szCs w:val="20"/>
                <w:lang w:eastAsia="en-US"/>
              </w:rPr>
              <w:t>1. present</w:t>
            </w:r>
          </w:p>
        </w:tc>
      </w:tr>
      <w:tr w:rsidR="00A47145" w14:paraId="1B255E9D" w14:textId="77777777" w:rsidTr="00A47145">
        <w:tc>
          <w:tcPr>
            <w:tcW w:w="0" w:type="auto"/>
            <w:tcBorders>
              <w:top w:val="single" w:sz="4" w:space="0" w:color="auto"/>
              <w:left w:val="single" w:sz="4" w:space="0" w:color="auto"/>
              <w:bottom w:val="single" w:sz="4" w:space="0" w:color="auto"/>
              <w:right w:val="single" w:sz="4" w:space="0" w:color="auto"/>
            </w:tcBorders>
          </w:tcPr>
          <w:p w14:paraId="086A99CF" w14:textId="72D4D1E6" w:rsidR="00A47145" w:rsidRDefault="00A47145" w:rsidP="00A47145">
            <w:pPr>
              <w:rPr>
                <w:color w:val="000000"/>
                <w:sz w:val="20"/>
                <w:szCs w:val="20"/>
                <w:lang w:eastAsia="en-US"/>
              </w:rPr>
            </w:pPr>
            <w:r>
              <w:rPr>
                <w:color w:val="000000"/>
                <w:sz w:val="20"/>
                <w:szCs w:val="20"/>
                <w:lang w:eastAsia="en-US"/>
              </w:rPr>
              <w:t>182</w:t>
            </w:r>
          </w:p>
        </w:tc>
        <w:tc>
          <w:tcPr>
            <w:tcW w:w="0" w:type="auto"/>
            <w:tcBorders>
              <w:top w:val="single" w:sz="4" w:space="0" w:color="auto"/>
              <w:left w:val="single" w:sz="4" w:space="0" w:color="auto"/>
              <w:bottom w:val="single" w:sz="4" w:space="0" w:color="auto"/>
              <w:right w:val="single" w:sz="4" w:space="0" w:color="auto"/>
            </w:tcBorders>
            <w:vAlign w:val="bottom"/>
            <w:hideMark/>
          </w:tcPr>
          <w:p w14:paraId="7C9B450E" w14:textId="77777777" w:rsidR="00A47145" w:rsidRDefault="00A47145" w:rsidP="00A47145">
            <w:pPr>
              <w:autoSpaceDE w:val="0"/>
              <w:autoSpaceDN w:val="0"/>
              <w:adjustRightInd w:val="0"/>
              <w:rPr>
                <w:b/>
                <w:bCs/>
                <w:color w:val="000000"/>
                <w:sz w:val="20"/>
                <w:szCs w:val="20"/>
                <w:lang w:eastAsia="en-US"/>
              </w:rPr>
            </w:pPr>
            <w:r>
              <w:rPr>
                <w:b/>
                <w:bCs/>
                <w:color w:val="000000"/>
                <w:sz w:val="20"/>
                <w:szCs w:val="20"/>
                <w:lang w:eastAsia="en-US"/>
              </w:rPr>
              <w:t>Ectopterygoid, presence of broad contact with palatine ramus of maxilla:</w:t>
            </w:r>
          </w:p>
          <w:p w14:paraId="6BB52664" w14:textId="3476A507" w:rsidR="00A47145" w:rsidRDefault="00A47145" w:rsidP="00A47145">
            <w:pPr>
              <w:autoSpaceDE w:val="0"/>
              <w:autoSpaceDN w:val="0"/>
              <w:adjustRightInd w:val="0"/>
              <w:rPr>
                <w:i/>
                <w:iCs/>
                <w:color w:val="000000"/>
                <w:sz w:val="20"/>
                <w:szCs w:val="20"/>
                <w:lang w:eastAsia="en-US"/>
              </w:rPr>
            </w:pPr>
            <w:r>
              <w:rPr>
                <w:i/>
                <w:sz w:val="20"/>
                <w:szCs w:val="20"/>
                <w:lang w:eastAsia="en-US"/>
              </w:rPr>
              <w:t xml:space="preserve">Ristevski et al. (2018, ds 2, ch. 158); Smith et al. (in review, ds 1, ch. 162); </w:t>
            </w:r>
            <w:r>
              <w:rPr>
                <w:i/>
                <w:sz w:val="20"/>
                <w:szCs w:val="20"/>
              </w:rPr>
              <w:t>Ősi et al. (in review, ds 1, ch. 177)</w:t>
            </w:r>
            <w:r>
              <w:rPr>
                <w:i/>
                <w:sz w:val="20"/>
                <w:szCs w:val="20"/>
                <w:lang w:eastAsia="en-US"/>
              </w:rPr>
              <w:t>.</w:t>
            </w:r>
          </w:p>
          <w:p w14:paraId="1F8EB15B"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 xml:space="preserve">Character based on Brochu (1997, ch. 91 modified); </w:t>
            </w:r>
            <w:r>
              <w:rPr>
                <w:bCs/>
                <w:i/>
                <w:color w:val="000000"/>
                <w:sz w:val="20"/>
                <w:lang w:eastAsia="en-US"/>
              </w:rPr>
              <w:t>Andrade et al. (2011, ch. 253).</w:t>
            </w:r>
          </w:p>
          <w:p w14:paraId="4036C09B"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 xml:space="preserve">Basal forms within Sphenosuchia will show no (or very limited) contact between ectopterygoid and maxilla (0). As </w:t>
            </w:r>
            <w:r>
              <w:rPr>
                <w:iCs/>
                <w:color w:val="000000"/>
                <w:sz w:val="20"/>
                <w:szCs w:val="20"/>
                <w:lang w:eastAsia="en-US"/>
              </w:rPr>
              <w:t xml:space="preserve">Fruitachampsa </w:t>
            </w:r>
            <w:r>
              <w:rPr>
                <w:i/>
                <w:iCs/>
                <w:color w:val="000000"/>
                <w:sz w:val="20"/>
                <w:szCs w:val="20"/>
                <w:lang w:eastAsia="en-US"/>
              </w:rPr>
              <w:t>has a jugal-ectopterygoid contact (Clark, 2011), here we find this character to be a putative apomorphy of Mesoeucrocodylia +</w:t>
            </w:r>
            <w:r>
              <w:rPr>
                <w:iCs/>
                <w:color w:val="000000"/>
                <w:sz w:val="20"/>
                <w:szCs w:val="20"/>
                <w:lang w:eastAsia="en-US"/>
              </w:rPr>
              <w:t>Hsisosuchus</w:t>
            </w:r>
            <w:r>
              <w:rPr>
                <w:i/>
                <w:iCs/>
                <w:color w:val="000000"/>
                <w:sz w:val="20"/>
                <w:szCs w:val="20"/>
                <w:lang w:eastAsia="en-US"/>
              </w:rPr>
              <w:t xml:space="preserve">, rather than Crocodyliformes as in Andrade et al. (2011). Note, </w:t>
            </w:r>
            <w:r>
              <w:rPr>
                <w:iCs/>
                <w:color w:val="000000"/>
                <w:sz w:val="20"/>
                <w:szCs w:val="20"/>
                <w:lang w:eastAsia="en-US"/>
              </w:rPr>
              <w:t>Hsisosuchus</w:t>
            </w:r>
            <w:r>
              <w:rPr>
                <w:i/>
                <w:iCs/>
                <w:color w:val="000000"/>
                <w:sz w:val="20"/>
                <w:szCs w:val="20"/>
                <w:lang w:eastAsia="en-US"/>
              </w:rPr>
              <w:t xml:space="preserve"> is not in our matrix, but scores as (1) in Andrade et al. (2011)</w:t>
            </w:r>
          </w:p>
          <w:p w14:paraId="0F87DE44" w14:textId="46A5D103"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 xml:space="preserve">State (1) is putative apomorphy of Mesoeucrocodylia + </w:t>
            </w:r>
            <w:r>
              <w:rPr>
                <w:iCs/>
                <w:color w:val="000000"/>
                <w:sz w:val="20"/>
                <w:szCs w:val="20"/>
                <w:lang w:eastAsia="en-US"/>
              </w:rPr>
              <w:t>Hsisosuchus</w:t>
            </w:r>
            <w:r>
              <w:rPr>
                <w:i/>
                <w:iCs/>
                <w:color w:val="000000"/>
                <w:sz w:val="20"/>
                <w:szCs w:val="20"/>
                <w:lang w:eastAsia="en-US"/>
              </w:rPr>
              <w:t xml:space="preserve"> (reversals in: French </w:t>
            </w:r>
            <w:r>
              <w:rPr>
                <w:iCs/>
                <w:color w:val="000000"/>
                <w:sz w:val="20"/>
                <w:szCs w:val="20"/>
                <w:lang w:eastAsia="en-US"/>
              </w:rPr>
              <w:t>Pholidosaurus</w:t>
            </w:r>
            <w:r>
              <w:rPr>
                <w:i/>
                <w:iCs/>
                <w:color w:val="000000"/>
                <w:sz w:val="20"/>
                <w:szCs w:val="20"/>
                <w:lang w:eastAsia="en-US"/>
              </w:rPr>
              <w:t xml:space="preserve">, and </w:t>
            </w:r>
            <w:r>
              <w:rPr>
                <w:iCs/>
                <w:color w:val="000000"/>
                <w:sz w:val="20"/>
                <w:szCs w:val="20"/>
                <w:lang w:eastAsia="en-US"/>
              </w:rPr>
              <w:t>Zoneait</w:t>
            </w:r>
            <w:r>
              <w:rPr>
                <w:i/>
                <w:iCs/>
                <w:color w:val="000000"/>
                <w:sz w:val="20"/>
                <w:szCs w:val="20"/>
                <w:lang w:eastAsia="en-US"/>
              </w:rPr>
              <w:t xml:space="preserve"> + Metriorhynchidae – the ectopterygoid solely contacts the jugal).</w:t>
            </w:r>
          </w:p>
          <w:p w14:paraId="6A669604" w14:textId="77777777" w:rsidR="00A47145" w:rsidRDefault="00A47145" w:rsidP="00A47145">
            <w:pPr>
              <w:autoSpaceDE w:val="0"/>
              <w:autoSpaceDN w:val="0"/>
              <w:adjustRightInd w:val="0"/>
              <w:rPr>
                <w:i/>
                <w:iCs/>
                <w:color w:val="000000"/>
                <w:sz w:val="20"/>
                <w:szCs w:val="20"/>
                <w:lang w:eastAsia="en-US"/>
              </w:rPr>
            </w:pPr>
            <w:r>
              <w:rPr>
                <w:i/>
                <w:iCs/>
                <w:color w:val="000000"/>
                <w:sz w:val="20"/>
                <w:szCs w:val="20"/>
                <w:lang w:eastAsia="en-US"/>
              </w:rPr>
              <w:t xml:space="preserve">Note that in metriorhynchids the ectopterygoid is rarely preserved, and thus hard to score. It can be scored for </w:t>
            </w:r>
            <w:r>
              <w:rPr>
                <w:iCs/>
                <w:color w:val="000000"/>
                <w:sz w:val="20"/>
                <w:szCs w:val="20"/>
                <w:lang w:eastAsia="en-US"/>
              </w:rPr>
              <w:t>Metriorhynchus superciliosus</w:t>
            </w:r>
            <w:r>
              <w:rPr>
                <w:i/>
                <w:iCs/>
                <w:color w:val="000000"/>
                <w:sz w:val="20"/>
                <w:szCs w:val="20"/>
                <w:lang w:eastAsia="en-US"/>
              </w:rPr>
              <w:t xml:space="preserve"> as it has what looks like the jugal-ectopterygoid articulation in NHMUK PV R 6860. However, the ectopterygoids are complete and in articulation in both </w:t>
            </w:r>
            <w:r>
              <w:rPr>
                <w:iCs/>
                <w:color w:val="000000"/>
                <w:sz w:val="20"/>
                <w:szCs w:val="20"/>
                <w:lang w:eastAsia="en-US"/>
              </w:rPr>
              <w:t>Zoneait</w:t>
            </w:r>
            <w:r>
              <w:rPr>
                <w:i/>
                <w:iCs/>
                <w:color w:val="000000"/>
                <w:sz w:val="20"/>
                <w:szCs w:val="20"/>
                <w:lang w:eastAsia="en-US"/>
              </w:rPr>
              <w:t xml:space="preserve"> and </w:t>
            </w:r>
            <w:r>
              <w:rPr>
                <w:iCs/>
                <w:color w:val="000000"/>
                <w:sz w:val="20"/>
                <w:szCs w:val="20"/>
                <w:lang w:eastAsia="en-US"/>
              </w:rPr>
              <w:t>Maledictosuchus</w:t>
            </w:r>
            <w:r>
              <w:rPr>
                <w:i/>
                <w:iCs/>
                <w:color w:val="000000"/>
                <w:sz w:val="20"/>
                <w:szCs w:val="20"/>
                <w:lang w:eastAsia="en-US"/>
              </w:rPr>
              <w:t>.</w:t>
            </w:r>
          </w:p>
          <w:p w14:paraId="7C9603F2" w14:textId="77777777" w:rsidR="00A47145" w:rsidRDefault="00A47145" w:rsidP="00A47145">
            <w:pPr>
              <w:autoSpaceDE w:val="0"/>
              <w:autoSpaceDN w:val="0"/>
              <w:adjustRightInd w:val="0"/>
              <w:rPr>
                <w:color w:val="000000"/>
                <w:sz w:val="20"/>
                <w:szCs w:val="20"/>
                <w:lang w:eastAsia="en-US"/>
              </w:rPr>
            </w:pPr>
            <w:r>
              <w:rPr>
                <w:color w:val="000000"/>
                <w:sz w:val="20"/>
                <w:szCs w:val="20"/>
                <w:lang w:eastAsia="en-US"/>
              </w:rPr>
              <w:t>0. absent, ectopterygoid does not contact maxilla, or barely contacts its caudal end, medial to jugal</w:t>
            </w:r>
          </w:p>
          <w:p w14:paraId="22225BB8" w14:textId="77777777" w:rsidR="00A47145" w:rsidRDefault="00A47145" w:rsidP="00A47145">
            <w:pPr>
              <w:rPr>
                <w:b/>
                <w:color w:val="000000"/>
                <w:sz w:val="20"/>
                <w:szCs w:val="20"/>
                <w:lang w:eastAsia="en-US"/>
              </w:rPr>
            </w:pPr>
            <w:r>
              <w:rPr>
                <w:color w:val="000000"/>
                <w:sz w:val="20"/>
                <w:szCs w:val="20"/>
                <w:lang w:eastAsia="en-US"/>
              </w:rPr>
              <w:t>1. present</w:t>
            </w:r>
          </w:p>
        </w:tc>
      </w:tr>
      <w:tr w:rsidR="00A47145" w14:paraId="327F3C3B" w14:textId="77777777" w:rsidTr="00A47145">
        <w:tc>
          <w:tcPr>
            <w:tcW w:w="0" w:type="auto"/>
            <w:tcBorders>
              <w:top w:val="single" w:sz="4" w:space="0" w:color="auto"/>
              <w:left w:val="single" w:sz="4" w:space="0" w:color="auto"/>
              <w:bottom w:val="single" w:sz="4" w:space="0" w:color="auto"/>
              <w:right w:val="single" w:sz="4" w:space="0" w:color="auto"/>
            </w:tcBorders>
          </w:tcPr>
          <w:p w14:paraId="03AB6C6E" w14:textId="69854D9A" w:rsidR="00A47145" w:rsidRDefault="00A47145" w:rsidP="00A47145">
            <w:pPr>
              <w:rPr>
                <w:color w:val="000000"/>
                <w:sz w:val="20"/>
                <w:szCs w:val="20"/>
                <w:lang w:eastAsia="en-US"/>
              </w:rPr>
            </w:pPr>
            <w:r>
              <w:rPr>
                <w:color w:val="000000"/>
                <w:sz w:val="20"/>
                <w:szCs w:val="20"/>
                <w:lang w:eastAsia="en-US"/>
              </w:rPr>
              <w:t>183</w:t>
            </w:r>
          </w:p>
        </w:tc>
        <w:tc>
          <w:tcPr>
            <w:tcW w:w="0" w:type="auto"/>
            <w:tcBorders>
              <w:top w:val="single" w:sz="4" w:space="0" w:color="auto"/>
              <w:left w:val="single" w:sz="4" w:space="0" w:color="auto"/>
              <w:bottom w:val="single" w:sz="4" w:space="0" w:color="auto"/>
              <w:right w:val="single" w:sz="4" w:space="0" w:color="auto"/>
            </w:tcBorders>
            <w:vAlign w:val="bottom"/>
            <w:hideMark/>
          </w:tcPr>
          <w:p w14:paraId="626B5EB2" w14:textId="77777777" w:rsidR="00A47145" w:rsidRDefault="00A47145" w:rsidP="00A47145">
            <w:pPr>
              <w:autoSpaceDE w:val="0"/>
              <w:autoSpaceDN w:val="0"/>
              <w:adjustRightInd w:val="0"/>
              <w:rPr>
                <w:rFonts w:eastAsiaTheme="minorHAnsi"/>
                <w:b/>
                <w:bCs/>
                <w:sz w:val="20"/>
                <w:szCs w:val="20"/>
                <w:lang w:eastAsia="en-US"/>
              </w:rPr>
            </w:pPr>
            <w:r>
              <w:rPr>
                <w:b/>
                <w:bCs/>
                <w:sz w:val="20"/>
                <w:szCs w:val="20"/>
                <w:lang w:eastAsia="en-US"/>
              </w:rPr>
              <w:t>Ectopterygoid, morphology of the distal ramus: (*)</w:t>
            </w:r>
          </w:p>
          <w:p w14:paraId="4C1CCF58" w14:textId="4BB81BAF" w:rsidR="00A47145" w:rsidRDefault="00A47145" w:rsidP="00A47145">
            <w:pPr>
              <w:autoSpaceDE w:val="0"/>
              <w:autoSpaceDN w:val="0"/>
              <w:adjustRightInd w:val="0"/>
              <w:rPr>
                <w:i/>
                <w:iCs/>
                <w:sz w:val="20"/>
                <w:szCs w:val="20"/>
                <w:lang w:eastAsia="en-US"/>
              </w:rPr>
            </w:pPr>
            <w:r>
              <w:rPr>
                <w:bCs/>
                <w:i/>
                <w:sz w:val="20"/>
                <w:lang w:eastAsia="en-US"/>
              </w:rPr>
              <w:t>Andrade et al. (2011, ch. 256);</w:t>
            </w:r>
            <w:r>
              <w:rPr>
                <w:i/>
                <w:sz w:val="20"/>
                <w:szCs w:val="20"/>
                <w:lang w:eastAsia="en-US"/>
              </w:rPr>
              <w:t xml:space="preserve"> Ristevski et al. (2018, ds 1, ch. 256); Smith et al. (in review, ds 2, ch. 256); </w:t>
            </w:r>
            <w:r>
              <w:rPr>
                <w:i/>
                <w:sz w:val="20"/>
                <w:szCs w:val="20"/>
              </w:rPr>
              <w:t>Ősi et al. (in review, ds 1, ch. 178)</w:t>
            </w:r>
            <w:r>
              <w:rPr>
                <w:bCs/>
                <w:i/>
                <w:sz w:val="20"/>
                <w:lang w:eastAsia="en-US"/>
              </w:rPr>
              <w:t>.</w:t>
            </w:r>
          </w:p>
          <w:p w14:paraId="4AD89251" w14:textId="6263D1C9" w:rsidR="00A47145" w:rsidRDefault="00A47145" w:rsidP="00A47145">
            <w:pPr>
              <w:autoSpaceDE w:val="0"/>
              <w:autoSpaceDN w:val="0"/>
              <w:adjustRightInd w:val="0"/>
              <w:rPr>
                <w:i/>
                <w:iCs/>
                <w:sz w:val="20"/>
                <w:szCs w:val="20"/>
                <w:lang w:eastAsia="en-US"/>
              </w:rPr>
            </w:pPr>
            <w:r>
              <w:rPr>
                <w:i/>
                <w:iCs/>
                <w:sz w:val="20"/>
                <w:szCs w:val="20"/>
                <w:lang w:eastAsia="en-US"/>
              </w:rPr>
              <w:t xml:space="preserve">Based on description by Pol &amp; Apesteguia (2005: p. 8), where the subcylindrical profile of the distal ramus (1) was noted in </w:t>
            </w:r>
            <w:r>
              <w:rPr>
                <w:iCs/>
                <w:sz w:val="20"/>
                <w:szCs w:val="20"/>
                <w:lang w:eastAsia="en-US"/>
              </w:rPr>
              <w:t>Araripesuchus buitreraensis</w:t>
            </w:r>
            <w:r>
              <w:rPr>
                <w:i/>
                <w:iCs/>
                <w:sz w:val="20"/>
                <w:szCs w:val="20"/>
                <w:lang w:eastAsia="en-US"/>
              </w:rPr>
              <w:t>.</w:t>
            </w:r>
          </w:p>
          <w:p w14:paraId="71721067" w14:textId="77777777" w:rsidR="00A47145" w:rsidRDefault="00A47145" w:rsidP="00A47145">
            <w:pPr>
              <w:autoSpaceDE w:val="0"/>
              <w:autoSpaceDN w:val="0"/>
              <w:adjustRightInd w:val="0"/>
              <w:rPr>
                <w:i/>
                <w:iCs/>
                <w:sz w:val="20"/>
                <w:szCs w:val="20"/>
                <w:lang w:eastAsia="en-US"/>
              </w:rPr>
            </w:pPr>
            <w:r>
              <w:rPr>
                <w:i/>
                <w:iCs/>
                <w:sz w:val="20"/>
                <w:szCs w:val="20"/>
                <w:lang w:eastAsia="en-US"/>
              </w:rPr>
              <w:t xml:space="preserve">The condition is shared at least by other </w:t>
            </w:r>
            <w:r>
              <w:rPr>
                <w:sz w:val="20"/>
                <w:szCs w:val="20"/>
                <w:lang w:eastAsia="en-US"/>
              </w:rPr>
              <w:t>Araripesuchus</w:t>
            </w:r>
            <w:r>
              <w:rPr>
                <w:i/>
                <w:iCs/>
                <w:sz w:val="20"/>
                <w:szCs w:val="20"/>
                <w:lang w:eastAsia="en-US"/>
              </w:rPr>
              <w:t xml:space="preserve">, </w:t>
            </w:r>
            <w:r>
              <w:rPr>
                <w:sz w:val="20"/>
                <w:szCs w:val="20"/>
                <w:lang w:eastAsia="en-US"/>
              </w:rPr>
              <w:t xml:space="preserve">Montealtosuchus </w:t>
            </w:r>
            <w:r>
              <w:rPr>
                <w:i/>
                <w:iCs/>
                <w:sz w:val="20"/>
                <w:szCs w:val="20"/>
                <w:lang w:eastAsia="en-US"/>
              </w:rPr>
              <w:t>and a few other basal notosuchians.</w:t>
            </w:r>
          </w:p>
          <w:p w14:paraId="3FEC3D99" w14:textId="77777777" w:rsidR="00A47145" w:rsidRDefault="00A47145" w:rsidP="00A47145">
            <w:pPr>
              <w:rPr>
                <w:i/>
                <w:sz w:val="20"/>
                <w:szCs w:val="20"/>
                <w:lang w:eastAsia="en-US"/>
              </w:rPr>
            </w:pPr>
            <w:r>
              <w:rPr>
                <w:bCs/>
                <w:i/>
                <w:sz w:val="20"/>
                <w:szCs w:val="20"/>
                <w:lang w:eastAsia="en-US"/>
              </w:rPr>
              <w:t>This character is not applicable for taxa in which the ectopterygoid does not extend over the pterygoid wing.</w:t>
            </w:r>
          </w:p>
          <w:p w14:paraId="6503EBEC" w14:textId="77777777" w:rsidR="00A47145" w:rsidRDefault="00A47145" w:rsidP="00A47145">
            <w:pPr>
              <w:autoSpaceDE w:val="0"/>
              <w:autoSpaceDN w:val="0"/>
              <w:adjustRightInd w:val="0"/>
              <w:rPr>
                <w:sz w:val="20"/>
                <w:szCs w:val="20"/>
                <w:lang w:eastAsia="en-US"/>
              </w:rPr>
            </w:pPr>
            <w:r>
              <w:rPr>
                <w:sz w:val="20"/>
                <w:szCs w:val="20"/>
                <w:lang w:eastAsia="en-US"/>
              </w:rPr>
              <w:lastRenderedPageBreak/>
              <w:t>0. laminar, extending as a flattened sheet over the pterygoid wing</w:t>
            </w:r>
          </w:p>
          <w:p w14:paraId="627EB8AA" w14:textId="77777777" w:rsidR="00A47145" w:rsidRDefault="00A47145" w:rsidP="00A47145">
            <w:pPr>
              <w:autoSpaceDE w:val="0"/>
              <w:autoSpaceDN w:val="0"/>
              <w:adjustRightInd w:val="0"/>
              <w:rPr>
                <w:b/>
                <w:bCs/>
                <w:color w:val="000000"/>
                <w:sz w:val="20"/>
                <w:szCs w:val="20"/>
                <w:lang w:eastAsia="en-US"/>
              </w:rPr>
            </w:pPr>
            <w:r>
              <w:rPr>
                <w:sz w:val="20"/>
                <w:szCs w:val="20"/>
                <w:lang w:eastAsia="en-US"/>
              </w:rPr>
              <w:t>1. robust, extending as a rod over most of the pterygoid wing, with subcircular cross-section through most of its length</w:t>
            </w:r>
          </w:p>
        </w:tc>
      </w:tr>
      <w:tr w:rsidR="007A6B86" w14:paraId="21EAECE3" w14:textId="77777777" w:rsidTr="00A47145">
        <w:tc>
          <w:tcPr>
            <w:tcW w:w="0" w:type="auto"/>
            <w:tcBorders>
              <w:top w:val="single" w:sz="4" w:space="0" w:color="auto"/>
              <w:left w:val="single" w:sz="4" w:space="0" w:color="auto"/>
              <w:bottom w:val="single" w:sz="4" w:space="0" w:color="auto"/>
              <w:right w:val="single" w:sz="4" w:space="0" w:color="auto"/>
            </w:tcBorders>
          </w:tcPr>
          <w:p w14:paraId="5636818B" w14:textId="13E7A922" w:rsidR="007A6B86" w:rsidRDefault="007A6B86" w:rsidP="007A6B86">
            <w:pPr>
              <w:rPr>
                <w:color w:val="000000"/>
                <w:sz w:val="20"/>
                <w:szCs w:val="20"/>
                <w:lang w:eastAsia="en-US"/>
              </w:rPr>
            </w:pPr>
            <w:r>
              <w:rPr>
                <w:color w:val="000000"/>
                <w:sz w:val="20"/>
                <w:szCs w:val="20"/>
                <w:lang w:eastAsia="en-US"/>
              </w:rPr>
              <w:lastRenderedPageBreak/>
              <w:t>184</w:t>
            </w:r>
          </w:p>
        </w:tc>
        <w:tc>
          <w:tcPr>
            <w:tcW w:w="0" w:type="auto"/>
            <w:tcBorders>
              <w:top w:val="single" w:sz="4" w:space="0" w:color="auto"/>
              <w:left w:val="single" w:sz="4" w:space="0" w:color="auto"/>
              <w:bottom w:val="single" w:sz="4" w:space="0" w:color="auto"/>
              <w:right w:val="single" w:sz="4" w:space="0" w:color="auto"/>
            </w:tcBorders>
            <w:vAlign w:val="bottom"/>
            <w:hideMark/>
          </w:tcPr>
          <w:p w14:paraId="041490BC" w14:textId="77777777" w:rsidR="007A6B86" w:rsidRDefault="007A6B86" w:rsidP="007A6B86">
            <w:pPr>
              <w:rPr>
                <w:b/>
                <w:color w:val="000000"/>
                <w:sz w:val="20"/>
                <w:szCs w:val="20"/>
                <w:lang w:eastAsia="en-US"/>
              </w:rPr>
            </w:pPr>
            <w:r>
              <w:rPr>
                <w:b/>
                <w:color w:val="000000"/>
                <w:sz w:val="20"/>
                <w:szCs w:val="20"/>
                <w:lang w:eastAsia="en-US"/>
              </w:rPr>
              <w:t>Pterygoid flange, orientation (in palatal view):</w:t>
            </w:r>
          </w:p>
          <w:p w14:paraId="24012A9B" w14:textId="6CE6F564" w:rsidR="007A6B86" w:rsidRDefault="007A6B86" w:rsidP="007A6B86">
            <w:pPr>
              <w:autoSpaceDE w:val="0"/>
              <w:autoSpaceDN w:val="0"/>
              <w:adjustRightInd w:val="0"/>
              <w:rPr>
                <w:i/>
                <w:sz w:val="20"/>
                <w:szCs w:val="20"/>
                <w:lang w:eastAsia="en-US"/>
              </w:rPr>
            </w:pPr>
            <w:r>
              <w:rPr>
                <w:bCs/>
                <w:i/>
                <w:color w:val="000000"/>
                <w:sz w:val="20"/>
                <w:szCs w:val="20"/>
                <w:lang w:eastAsia="en-US"/>
              </w:rPr>
              <w:t xml:space="preserve">Young et al. (2011, ch. 186); Young et al. (2013a, ch. 81); </w:t>
            </w:r>
            <w:r>
              <w:rPr>
                <w:i/>
                <w:sz w:val="20"/>
                <w:szCs w:val="20"/>
                <w:lang w:eastAsia="en-US"/>
              </w:rPr>
              <w:t xml:space="preserve">Young et al. (2012, ch. 98); Young (2014, ch. 101); Young et al. (2016, ds 2, ch. 119); Ristevski et al. (2018, ds 2, ch. 159); Smith et al. (in review, ds 1, ch. 163); </w:t>
            </w:r>
            <w:r>
              <w:rPr>
                <w:i/>
                <w:sz w:val="20"/>
                <w:szCs w:val="20"/>
              </w:rPr>
              <w:t>Ősi et al. (in review, ds 1, ch. 179)</w:t>
            </w:r>
            <w:r>
              <w:rPr>
                <w:i/>
                <w:sz w:val="20"/>
                <w:szCs w:val="20"/>
                <w:lang w:eastAsia="en-US"/>
              </w:rPr>
              <w:t>.</w:t>
            </w:r>
          </w:p>
          <w:p w14:paraId="5BCC3986" w14:textId="77777777" w:rsidR="007A6B86" w:rsidRDefault="007A6B86" w:rsidP="007A6B86">
            <w:pPr>
              <w:rPr>
                <w:color w:val="000000"/>
                <w:sz w:val="20"/>
                <w:szCs w:val="20"/>
                <w:lang w:eastAsia="en-US"/>
              </w:rPr>
            </w:pPr>
            <w:r>
              <w:rPr>
                <w:color w:val="000000"/>
                <w:sz w:val="20"/>
                <w:szCs w:val="20"/>
                <w:lang w:eastAsia="en-US"/>
              </w:rPr>
              <w:t xml:space="preserve">0. horizontal </w:t>
            </w:r>
          </w:p>
          <w:p w14:paraId="44C7B2E1" w14:textId="77777777" w:rsidR="007A6B86" w:rsidRDefault="007A6B86" w:rsidP="007A6B86">
            <w:pPr>
              <w:rPr>
                <w:color w:val="000000"/>
                <w:sz w:val="20"/>
                <w:szCs w:val="20"/>
                <w:lang w:eastAsia="en-US"/>
              </w:rPr>
            </w:pPr>
            <w:r>
              <w:rPr>
                <w:color w:val="000000"/>
                <w:sz w:val="20"/>
                <w:szCs w:val="20"/>
                <w:lang w:eastAsia="en-US"/>
              </w:rPr>
              <w:t>1. largely horizontal, but with a distinct posterolateral orientation</w:t>
            </w:r>
          </w:p>
          <w:p w14:paraId="3C263C7A" w14:textId="77777777" w:rsidR="007A6B86" w:rsidRDefault="007A6B86" w:rsidP="007A6B86">
            <w:pPr>
              <w:rPr>
                <w:color w:val="000000"/>
                <w:sz w:val="20"/>
                <w:szCs w:val="20"/>
                <w:lang w:eastAsia="en-US"/>
              </w:rPr>
            </w:pPr>
            <w:r>
              <w:rPr>
                <w:color w:val="000000"/>
                <w:sz w:val="20"/>
                <w:szCs w:val="20"/>
                <w:lang w:eastAsia="en-US"/>
              </w:rPr>
              <w:t>2. strongly orientated posteriorly</w:t>
            </w:r>
          </w:p>
        </w:tc>
      </w:tr>
      <w:tr w:rsidR="007A6B86" w14:paraId="6B0513E1" w14:textId="77777777" w:rsidTr="00A47145">
        <w:tc>
          <w:tcPr>
            <w:tcW w:w="0" w:type="auto"/>
            <w:tcBorders>
              <w:top w:val="single" w:sz="4" w:space="0" w:color="auto"/>
              <w:left w:val="single" w:sz="4" w:space="0" w:color="auto"/>
              <w:bottom w:val="single" w:sz="4" w:space="0" w:color="auto"/>
              <w:right w:val="single" w:sz="4" w:space="0" w:color="auto"/>
            </w:tcBorders>
          </w:tcPr>
          <w:p w14:paraId="4C8E8EC4" w14:textId="395032DA" w:rsidR="007A6B86" w:rsidRDefault="007A6B86" w:rsidP="007A6B86">
            <w:pPr>
              <w:rPr>
                <w:color w:val="000000"/>
                <w:sz w:val="20"/>
                <w:szCs w:val="20"/>
                <w:lang w:eastAsia="en-US"/>
              </w:rPr>
            </w:pPr>
            <w:r>
              <w:rPr>
                <w:color w:val="000000"/>
                <w:sz w:val="20"/>
                <w:szCs w:val="20"/>
                <w:lang w:eastAsia="en-US"/>
              </w:rPr>
              <w:t>185</w:t>
            </w:r>
          </w:p>
        </w:tc>
        <w:tc>
          <w:tcPr>
            <w:tcW w:w="0" w:type="auto"/>
            <w:tcBorders>
              <w:top w:val="single" w:sz="4" w:space="0" w:color="auto"/>
              <w:left w:val="single" w:sz="4" w:space="0" w:color="auto"/>
              <w:bottom w:val="single" w:sz="4" w:space="0" w:color="auto"/>
              <w:right w:val="single" w:sz="4" w:space="0" w:color="auto"/>
            </w:tcBorders>
            <w:vAlign w:val="bottom"/>
            <w:hideMark/>
          </w:tcPr>
          <w:p w14:paraId="1407C7ED" w14:textId="77777777" w:rsidR="007A6B86" w:rsidRDefault="007A6B86" w:rsidP="007A6B86">
            <w:pPr>
              <w:autoSpaceDE w:val="0"/>
              <w:autoSpaceDN w:val="0"/>
              <w:adjustRightInd w:val="0"/>
              <w:rPr>
                <w:b/>
                <w:bCs/>
                <w:color w:val="000000"/>
                <w:sz w:val="20"/>
                <w:szCs w:val="20"/>
                <w:lang w:eastAsia="en-US"/>
              </w:rPr>
            </w:pPr>
            <w:r>
              <w:rPr>
                <w:b/>
                <w:bCs/>
                <w:color w:val="000000"/>
                <w:sz w:val="20"/>
                <w:szCs w:val="20"/>
                <w:lang w:eastAsia="en-US"/>
              </w:rPr>
              <w:t>Choanae, participation of pterygoid in the choanal border: (*)</w:t>
            </w:r>
          </w:p>
          <w:p w14:paraId="098D96F5" w14:textId="4A84AD25" w:rsidR="007A6B86" w:rsidRPr="004A56FA" w:rsidRDefault="007A6B86" w:rsidP="007A6B86">
            <w:pPr>
              <w:pStyle w:val="ListParagraph"/>
              <w:spacing w:after="0" w:line="240" w:lineRule="auto"/>
              <w:ind w:left="0"/>
              <w:rPr>
                <w:rFonts w:ascii="Times New Roman" w:hAnsi="Times New Roman"/>
                <w:i/>
                <w:sz w:val="20"/>
                <w:szCs w:val="20"/>
              </w:rPr>
            </w:pPr>
            <w:r w:rsidRPr="004A56FA">
              <w:rPr>
                <w:rFonts w:ascii="Times New Roman" w:hAnsi="Times New Roman"/>
                <w:bCs/>
                <w:i/>
                <w:color w:val="000000"/>
                <w:sz w:val="20"/>
                <w:szCs w:val="20"/>
              </w:rPr>
              <w:t xml:space="preserve">Clark (1994, ch. 43 modified); Brochu (1999, ch. 71 modified); Jouve </w:t>
            </w:r>
            <w:r w:rsidRPr="004A56FA">
              <w:rPr>
                <w:rFonts w:ascii="Times New Roman" w:hAnsi="Times New Roman"/>
                <w:bCs/>
                <w:i/>
                <w:iCs/>
                <w:color w:val="000000"/>
                <w:sz w:val="20"/>
                <w:szCs w:val="20"/>
              </w:rPr>
              <w:t>et al. (</w:t>
            </w:r>
            <w:r w:rsidRPr="004A56FA">
              <w:rPr>
                <w:rFonts w:ascii="Times New Roman" w:hAnsi="Times New Roman"/>
                <w:bCs/>
                <w:i/>
                <w:color w:val="000000"/>
                <w:sz w:val="20"/>
                <w:szCs w:val="20"/>
              </w:rPr>
              <w:t>2005, ch. 4 modified); Turner &amp; Buckley (2008, ch. 43 modified);</w:t>
            </w:r>
            <w:r w:rsidRPr="004A56FA">
              <w:rPr>
                <w:rFonts w:ascii="Times New Roman" w:hAnsi="Times New Roman"/>
                <w:b/>
                <w:bCs/>
                <w:color w:val="000000"/>
                <w:sz w:val="20"/>
                <w:szCs w:val="20"/>
              </w:rPr>
              <w:t xml:space="preserve"> </w:t>
            </w:r>
            <w:r w:rsidRPr="004A56FA">
              <w:rPr>
                <w:rFonts w:ascii="Times New Roman" w:hAnsi="Times New Roman"/>
                <w:i/>
                <w:sz w:val="20"/>
                <w:szCs w:val="20"/>
              </w:rPr>
              <w:t xml:space="preserve">Young &amp; Andrade (2009, ch. 131 + 139 modified); </w:t>
            </w:r>
            <w:r w:rsidRPr="004370E7">
              <w:rPr>
                <w:rFonts w:ascii="Times New Roman" w:hAnsi="Times New Roman"/>
                <w:bCs/>
                <w:i/>
                <w:color w:val="000000"/>
                <w:sz w:val="20"/>
              </w:rPr>
              <w:t xml:space="preserve">Andrade et al. (2011, ch. 242); Young et al. (2011, ch. 131 + 139 modified); Young et al. (2013a, ch. 79 + 82 modified); </w:t>
            </w:r>
            <w:r w:rsidRPr="009362E4">
              <w:rPr>
                <w:rFonts w:ascii="Times New Roman" w:hAnsi="Times New Roman"/>
                <w:i/>
                <w:sz w:val="20"/>
                <w:szCs w:val="20"/>
              </w:rPr>
              <w:t>Young et al. (2012, ch. 96 + 99 modified); Young (2014 ch. 99 + 102); Young et al. (2016, ds 2, ch. 117 + 120 modified); Ristevski et al. (2018, ds 2, ch. 160); Smith et al. (in review, ds 1, ch. 164)</w:t>
            </w:r>
            <w:r w:rsidRPr="00524E0E">
              <w:rPr>
                <w:rFonts w:ascii="Times New Roman" w:hAnsi="Times New Roman"/>
                <w:i/>
                <w:sz w:val="20"/>
                <w:szCs w:val="20"/>
              </w:rPr>
              <w:t xml:space="preserve">; </w:t>
            </w:r>
            <w:r w:rsidRPr="004A56FA">
              <w:rPr>
                <w:rFonts w:ascii="Times New Roman" w:hAnsi="Times New Roman"/>
                <w:i/>
                <w:sz w:val="20"/>
                <w:szCs w:val="20"/>
              </w:rPr>
              <w:t>Ősi et al. (in review, ds 1, ch. 180)</w:t>
            </w:r>
            <w:r w:rsidRPr="004A56FA">
              <w:rPr>
                <w:rFonts w:ascii="Times New Roman" w:hAnsi="Times New Roman"/>
                <w:bCs/>
                <w:i/>
                <w:color w:val="000000"/>
                <w:sz w:val="20"/>
              </w:rPr>
              <w:t>.</w:t>
            </w:r>
          </w:p>
          <w:p w14:paraId="17E4EFE6"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 xml:space="preserve">Note that the palatines may be excluded from the choanal border either in states (2) and (3), but the eusuchian condition is only achieved in state (3). State (2) corresponds directly to state (1) of Jouve et al. (2005, ch. 4), apomorphic for </w:t>
            </w:r>
            <w:r>
              <w:rPr>
                <w:color w:val="000000"/>
                <w:sz w:val="20"/>
                <w:szCs w:val="20"/>
                <w:lang w:eastAsia="en-US"/>
              </w:rPr>
              <w:t xml:space="preserve">Elosuchus, Terminonaris, Pholidosaurus purbeckensis </w:t>
            </w:r>
            <w:r>
              <w:rPr>
                <w:i/>
                <w:iCs/>
                <w:color w:val="000000"/>
                <w:sz w:val="20"/>
                <w:szCs w:val="20"/>
                <w:lang w:eastAsia="en-US"/>
              </w:rPr>
              <w:t>+ dyrosaurids.</w:t>
            </w:r>
          </w:p>
          <w:p w14:paraId="44D41B8D"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 xml:space="preserve">Note that we do not consider </w:t>
            </w:r>
            <w:r>
              <w:rPr>
                <w:iCs/>
                <w:color w:val="000000"/>
                <w:sz w:val="20"/>
                <w:szCs w:val="20"/>
                <w:lang w:eastAsia="en-US"/>
              </w:rPr>
              <w:t>Koumpiodontosuchus</w:t>
            </w:r>
            <w:r>
              <w:rPr>
                <w:i/>
                <w:iCs/>
                <w:color w:val="000000"/>
                <w:sz w:val="20"/>
                <w:szCs w:val="20"/>
                <w:lang w:eastAsia="en-US"/>
              </w:rPr>
              <w:t xml:space="preserve"> or </w:t>
            </w:r>
            <w:r>
              <w:rPr>
                <w:iCs/>
                <w:color w:val="000000"/>
                <w:sz w:val="20"/>
                <w:szCs w:val="20"/>
                <w:lang w:eastAsia="en-US"/>
              </w:rPr>
              <w:t>Isisfordia</w:t>
            </w:r>
            <w:r>
              <w:rPr>
                <w:i/>
                <w:iCs/>
                <w:color w:val="000000"/>
                <w:sz w:val="20"/>
                <w:szCs w:val="20"/>
                <w:lang w:eastAsia="en-US"/>
              </w:rPr>
              <w:t xml:space="preserve"> to have the eusuchian condition. Our interpretation for </w:t>
            </w:r>
            <w:r>
              <w:rPr>
                <w:iCs/>
                <w:color w:val="000000"/>
                <w:sz w:val="20"/>
                <w:szCs w:val="20"/>
                <w:lang w:eastAsia="en-US"/>
              </w:rPr>
              <w:t xml:space="preserve">Isisfordia </w:t>
            </w:r>
            <w:r>
              <w:rPr>
                <w:i/>
                <w:iCs/>
                <w:color w:val="000000"/>
                <w:sz w:val="20"/>
                <w:szCs w:val="20"/>
                <w:lang w:eastAsia="en-US"/>
              </w:rPr>
              <w:t xml:space="preserve">follows Turner &amp; Pritchard (2015), and </w:t>
            </w:r>
            <w:r>
              <w:rPr>
                <w:iCs/>
                <w:color w:val="000000"/>
                <w:sz w:val="20"/>
                <w:szCs w:val="20"/>
                <w:lang w:eastAsia="en-US"/>
              </w:rPr>
              <w:t xml:space="preserve">Koumpiodontosuchus </w:t>
            </w:r>
            <w:r>
              <w:rPr>
                <w:i/>
                <w:iCs/>
                <w:color w:val="000000"/>
                <w:sz w:val="20"/>
                <w:szCs w:val="20"/>
                <w:lang w:eastAsia="en-US"/>
              </w:rPr>
              <w:t>has a similar morphology (MTY pers. obs.).</w:t>
            </w:r>
          </w:p>
          <w:p w14:paraId="1831D7A0" w14:textId="77777777" w:rsidR="007A6B86" w:rsidRDefault="007A6B86" w:rsidP="007A6B86">
            <w:pPr>
              <w:autoSpaceDE w:val="0"/>
              <w:autoSpaceDN w:val="0"/>
              <w:adjustRightInd w:val="0"/>
              <w:rPr>
                <w:i/>
                <w:iCs/>
                <w:color w:val="000000"/>
                <w:sz w:val="20"/>
                <w:szCs w:val="20"/>
                <w:lang w:eastAsia="en-US"/>
              </w:rPr>
            </w:pPr>
            <w:r>
              <w:rPr>
                <w:bCs/>
                <w:i/>
                <w:sz w:val="20"/>
                <w:szCs w:val="20"/>
                <w:lang w:eastAsia="en-US"/>
              </w:rPr>
              <w:t>This character is not applicable for taxa that lack the development of the secondary palate.</w:t>
            </w:r>
          </w:p>
          <w:p w14:paraId="4B29E213"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0. pterygoid only bounds the posterior border of the choanae</w:t>
            </w:r>
          </w:p>
          <w:p w14:paraId="20D2E1A6"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1. pterygoid forms at least the posterior and lateral choanal borders</w:t>
            </w:r>
          </w:p>
          <w:p w14:paraId="5527629D"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2. anterolateral rami of pterygoid embrace most of the choanae, but do not meet medially, at the anterior choanal border (either by the presence of palatine or ventral exposure and expansion of interchoanal septum)</w:t>
            </w:r>
          </w:p>
          <w:p w14:paraId="62FEFB8C" w14:textId="77777777" w:rsidR="007A6B86" w:rsidRDefault="007A6B86" w:rsidP="007A6B86">
            <w:pPr>
              <w:pStyle w:val="ListParagraph"/>
              <w:spacing w:after="0" w:line="240" w:lineRule="auto"/>
              <w:ind w:left="0"/>
              <w:jc w:val="both"/>
              <w:rPr>
                <w:rFonts w:ascii="Times New Roman" w:hAnsi="Times New Roman"/>
                <w:sz w:val="20"/>
                <w:szCs w:val="20"/>
              </w:rPr>
            </w:pPr>
            <w:r>
              <w:rPr>
                <w:rFonts w:ascii="Times New Roman" w:hAnsi="Times New Roman"/>
                <w:color w:val="000000"/>
                <w:sz w:val="20"/>
                <w:szCs w:val="20"/>
              </w:rPr>
              <w:t>3. anterolateral rami of pterygoid completely embrace the choanae, meeting medially at its anterior border (eusuchian choanae)</w:t>
            </w:r>
          </w:p>
        </w:tc>
      </w:tr>
      <w:tr w:rsidR="007A6B86" w14:paraId="1804254C" w14:textId="77777777" w:rsidTr="00A47145">
        <w:tc>
          <w:tcPr>
            <w:tcW w:w="0" w:type="auto"/>
            <w:tcBorders>
              <w:top w:val="single" w:sz="4" w:space="0" w:color="auto"/>
              <w:left w:val="single" w:sz="4" w:space="0" w:color="auto"/>
              <w:bottom w:val="single" w:sz="4" w:space="0" w:color="auto"/>
              <w:right w:val="single" w:sz="4" w:space="0" w:color="auto"/>
            </w:tcBorders>
          </w:tcPr>
          <w:p w14:paraId="3CD89FC4" w14:textId="54BBA332" w:rsidR="007A6B86" w:rsidRDefault="007A6B86" w:rsidP="007A6B86">
            <w:pPr>
              <w:rPr>
                <w:color w:val="000000"/>
                <w:sz w:val="20"/>
                <w:szCs w:val="20"/>
                <w:lang w:eastAsia="en-US"/>
              </w:rPr>
            </w:pPr>
            <w:r>
              <w:rPr>
                <w:color w:val="000000"/>
                <w:sz w:val="20"/>
                <w:szCs w:val="20"/>
                <w:lang w:eastAsia="en-US"/>
              </w:rPr>
              <w:t>186</w:t>
            </w:r>
          </w:p>
        </w:tc>
        <w:tc>
          <w:tcPr>
            <w:tcW w:w="0" w:type="auto"/>
            <w:tcBorders>
              <w:top w:val="single" w:sz="4" w:space="0" w:color="auto"/>
              <w:left w:val="single" w:sz="4" w:space="0" w:color="auto"/>
              <w:bottom w:val="single" w:sz="4" w:space="0" w:color="auto"/>
              <w:right w:val="single" w:sz="4" w:space="0" w:color="auto"/>
            </w:tcBorders>
            <w:vAlign w:val="bottom"/>
            <w:hideMark/>
          </w:tcPr>
          <w:p w14:paraId="5D75F3F3" w14:textId="77777777" w:rsidR="007A6B86" w:rsidRDefault="007A6B86" w:rsidP="007A6B86">
            <w:pPr>
              <w:autoSpaceDE w:val="0"/>
              <w:autoSpaceDN w:val="0"/>
              <w:adjustRightInd w:val="0"/>
              <w:rPr>
                <w:b/>
                <w:bCs/>
                <w:color w:val="000000"/>
                <w:sz w:val="20"/>
                <w:szCs w:val="20"/>
                <w:lang w:eastAsia="en-US"/>
              </w:rPr>
            </w:pPr>
            <w:r>
              <w:rPr>
                <w:b/>
                <w:bCs/>
                <w:color w:val="000000"/>
                <w:sz w:val="20"/>
                <w:szCs w:val="20"/>
                <w:lang w:eastAsia="en-US"/>
              </w:rPr>
              <w:t>Pterygoids, fusion posterior to choanae:</w:t>
            </w:r>
          </w:p>
          <w:p w14:paraId="111C91A3" w14:textId="751EF9C1"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Clark (1994, ch. 41);</w:t>
            </w:r>
            <w:r>
              <w:rPr>
                <w:b/>
                <w:bCs/>
                <w:color w:val="000000"/>
                <w:sz w:val="20"/>
                <w:szCs w:val="20"/>
                <w:lang w:eastAsia="en-US"/>
              </w:rPr>
              <w:t xml:space="preserve"> </w:t>
            </w:r>
            <w:r>
              <w:rPr>
                <w:bCs/>
                <w:i/>
                <w:color w:val="000000"/>
                <w:sz w:val="20"/>
                <w:lang w:eastAsia="en-US"/>
              </w:rPr>
              <w:t xml:space="preserve">Andrade et al. (2011, ch. 258); </w:t>
            </w:r>
            <w:r>
              <w:rPr>
                <w:i/>
                <w:sz w:val="20"/>
                <w:szCs w:val="20"/>
                <w:lang w:eastAsia="en-US"/>
              </w:rPr>
              <w:t xml:space="preserve">Ristevski et al. (2018, ds 2, ch. 161); Smith et al. (in review, ds 1, ch. 165); </w:t>
            </w:r>
            <w:r>
              <w:rPr>
                <w:i/>
                <w:sz w:val="20"/>
                <w:szCs w:val="20"/>
              </w:rPr>
              <w:t>Ősi et al. (in review, ds 1, ch. 181)</w:t>
            </w:r>
            <w:r>
              <w:rPr>
                <w:bCs/>
                <w:i/>
                <w:color w:val="000000"/>
                <w:sz w:val="20"/>
                <w:lang w:eastAsia="en-US"/>
              </w:rPr>
              <w:t>.</w:t>
            </w:r>
          </w:p>
          <w:p w14:paraId="100BE452"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 xml:space="preserve">State (1) is putative apomorphy of </w:t>
            </w:r>
            <w:r>
              <w:rPr>
                <w:iCs/>
                <w:sz w:val="20"/>
                <w:szCs w:val="20"/>
                <w:lang w:eastAsia="en-US"/>
              </w:rPr>
              <w:t xml:space="preserve">Zosuchus </w:t>
            </w:r>
            <w:r>
              <w:rPr>
                <w:i/>
                <w:iCs/>
                <w:sz w:val="20"/>
                <w:szCs w:val="20"/>
                <w:lang w:eastAsia="en-US"/>
              </w:rPr>
              <w:t xml:space="preserve">+ </w:t>
            </w:r>
            <w:r>
              <w:rPr>
                <w:i/>
                <w:iCs/>
                <w:color w:val="000000"/>
                <w:sz w:val="20"/>
                <w:szCs w:val="20"/>
                <w:lang w:eastAsia="en-US"/>
              </w:rPr>
              <w:t>Mesoeucrocodylia.</w:t>
            </w:r>
          </w:p>
          <w:p w14:paraId="3342E9EB"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0. not fused</w:t>
            </w:r>
          </w:p>
          <w:p w14:paraId="2914A4D4" w14:textId="77777777" w:rsidR="007A6B86" w:rsidRDefault="007A6B86" w:rsidP="007A6B86">
            <w:pPr>
              <w:pStyle w:val="ListParagraph"/>
              <w:spacing w:after="0" w:line="240" w:lineRule="auto"/>
              <w:ind w:left="0"/>
              <w:jc w:val="both"/>
              <w:rPr>
                <w:rFonts w:ascii="Times New Roman" w:hAnsi="Times New Roman"/>
                <w:b/>
                <w:sz w:val="20"/>
                <w:szCs w:val="20"/>
              </w:rPr>
            </w:pPr>
            <w:r>
              <w:rPr>
                <w:rFonts w:ascii="Times New Roman" w:hAnsi="Times New Roman"/>
                <w:color w:val="000000"/>
                <w:sz w:val="20"/>
                <w:szCs w:val="20"/>
              </w:rPr>
              <w:t>1. fused</w:t>
            </w:r>
          </w:p>
        </w:tc>
      </w:tr>
      <w:tr w:rsidR="007A6B86" w14:paraId="68F17F11" w14:textId="77777777" w:rsidTr="00A47145">
        <w:tc>
          <w:tcPr>
            <w:tcW w:w="0" w:type="auto"/>
            <w:tcBorders>
              <w:top w:val="single" w:sz="4" w:space="0" w:color="auto"/>
              <w:left w:val="single" w:sz="4" w:space="0" w:color="auto"/>
              <w:bottom w:val="single" w:sz="4" w:space="0" w:color="auto"/>
              <w:right w:val="single" w:sz="4" w:space="0" w:color="auto"/>
            </w:tcBorders>
          </w:tcPr>
          <w:p w14:paraId="721784A3" w14:textId="3D709260" w:rsidR="007A6B86" w:rsidRDefault="007A6B86" w:rsidP="007A6B86">
            <w:pPr>
              <w:rPr>
                <w:color w:val="000000"/>
                <w:sz w:val="20"/>
                <w:szCs w:val="20"/>
                <w:lang w:eastAsia="en-US"/>
              </w:rPr>
            </w:pPr>
            <w:r>
              <w:rPr>
                <w:color w:val="000000"/>
                <w:sz w:val="20"/>
                <w:szCs w:val="20"/>
                <w:lang w:eastAsia="en-US"/>
              </w:rPr>
              <w:t>187</w:t>
            </w:r>
          </w:p>
        </w:tc>
        <w:tc>
          <w:tcPr>
            <w:tcW w:w="0" w:type="auto"/>
            <w:tcBorders>
              <w:top w:val="single" w:sz="4" w:space="0" w:color="auto"/>
              <w:left w:val="single" w:sz="4" w:space="0" w:color="auto"/>
              <w:bottom w:val="single" w:sz="4" w:space="0" w:color="auto"/>
              <w:right w:val="single" w:sz="4" w:space="0" w:color="auto"/>
            </w:tcBorders>
            <w:vAlign w:val="bottom"/>
            <w:hideMark/>
          </w:tcPr>
          <w:p w14:paraId="0B484B9E" w14:textId="77777777" w:rsidR="007A6B86" w:rsidRDefault="007A6B86" w:rsidP="007A6B86">
            <w:pPr>
              <w:rPr>
                <w:b/>
                <w:color w:val="000000"/>
                <w:sz w:val="20"/>
                <w:szCs w:val="20"/>
                <w:lang w:eastAsia="en-US"/>
              </w:rPr>
            </w:pPr>
            <w:r>
              <w:rPr>
                <w:b/>
                <w:color w:val="000000"/>
                <w:sz w:val="20"/>
                <w:szCs w:val="20"/>
                <w:lang w:eastAsia="en-US"/>
              </w:rPr>
              <w:t>Choanal opening, in palatal view:</w:t>
            </w:r>
          </w:p>
          <w:p w14:paraId="6F899D2D" w14:textId="33FC76DE"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9 part); Young &amp; Andrade (2009, ch. 9 part); Young et al. (2011, ch. 187); Young et al. (2013a, ch. 83); Young et al. (2012, ch. 100); Young (2014, ch. 103); Young et al. (2016, ch. 121); Ristevski et al. (2018, ds 2, ch. 162); Smith et al. (in review, ds 1, ch. 166); </w:t>
            </w:r>
            <w:r>
              <w:rPr>
                <w:i/>
                <w:sz w:val="20"/>
                <w:szCs w:val="20"/>
              </w:rPr>
              <w:t>Ősi et al. (in review, ds 1, ch. 182)</w:t>
            </w:r>
            <w:r>
              <w:rPr>
                <w:i/>
                <w:sz w:val="20"/>
                <w:szCs w:val="20"/>
                <w:lang w:eastAsia="en-US"/>
              </w:rPr>
              <w:t>.</w:t>
            </w:r>
          </w:p>
          <w:p w14:paraId="0D5FAAB5" w14:textId="77777777" w:rsidR="007A6B86" w:rsidRDefault="007A6B86" w:rsidP="007A6B86">
            <w:pPr>
              <w:rPr>
                <w:i/>
                <w:color w:val="000000"/>
                <w:sz w:val="20"/>
                <w:szCs w:val="20"/>
                <w:lang w:eastAsia="en-US"/>
              </w:rPr>
            </w:pPr>
            <w:r>
              <w:rPr>
                <w:i/>
                <w:color w:val="000000"/>
                <w:sz w:val="20"/>
                <w:szCs w:val="20"/>
                <w:lang w:eastAsia="en-US"/>
              </w:rPr>
              <w:t>State (1) is observed in extant species.</w:t>
            </w:r>
          </w:p>
          <w:p w14:paraId="2A248FD6" w14:textId="77777777" w:rsidR="007A6B86" w:rsidRDefault="007A6B86" w:rsidP="007A6B86">
            <w:pPr>
              <w:rPr>
                <w:color w:val="000000"/>
                <w:sz w:val="20"/>
                <w:szCs w:val="20"/>
                <w:lang w:eastAsia="en-US"/>
              </w:rPr>
            </w:pPr>
            <w:r>
              <w:rPr>
                <w:color w:val="000000"/>
                <w:sz w:val="20"/>
                <w:szCs w:val="20"/>
                <w:lang w:eastAsia="en-US"/>
              </w:rPr>
              <w:t>0. choanal opening orientated posteriorly, enclosed ventrally by the palatine and by either the pterygoid dorsally or the maxilla</w:t>
            </w:r>
          </w:p>
          <w:p w14:paraId="57AED36A" w14:textId="77777777" w:rsidR="007A6B86" w:rsidRDefault="007A6B86" w:rsidP="007A6B86">
            <w:pPr>
              <w:rPr>
                <w:color w:val="000000"/>
                <w:sz w:val="20"/>
                <w:szCs w:val="20"/>
                <w:lang w:eastAsia="en-US"/>
              </w:rPr>
            </w:pPr>
            <w:r>
              <w:rPr>
                <w:color w:val="000000"/>
                <w:sz w:val="20"/>
                <w:szCs w:val="20"/>
                <w:lang w:eastAsia="en-US"/>
              </w:rPr>
              <w:t>1. choana opens into palate through a deep midline depression (choanal groove)</w:t>
            </w:r>
          </w:p>
        </w:tc>
      </w:tr>
      <w:tr w:rsidR="007A6B86" w14:paraId="20E278BF" w14:textId="77777777" w:rsidTr="00A47145">
        <w:tc>
          <w:tcPr>
            <w:tcW w:w="0" w:type="auto"/>
            <w:tcBorders>
              <w:top w:val="single" w:sz="4" w:space="0" w:color="auto"/>
              <w:left w:val="single" w:sz="4" w:space="0" w:color="auto"/>
              <w:bottom w:val="single" w:sz="4" w:space="0" w:color="auto"/>
              <w:right w:val="single" w:sz="4" w:space="0" w:color="auto"/>
            </w:tcBorders>
          </w:tcPr>
          <w:p w14:paraId="13A4AF28" w14:textId="22AC4538" w:rsidR="007A6B86" w:rsidRDefault="007A6B86" w:rsidP="007A6B86">
            <w:pPr>
              <w:rPr>
                <w:sz w:val="20"/>
                <w:szCs w:val="20"/>
                <w:lang w:eastAsia="en-US"/>
              </w:rPr>
            </w:pPr>
            <w:r>
              <w:rPr>
                <w:color w:val="000000"/>
                <w:sz w:val="20"/>
                <w:szCs w:val="20"/>
                <w:lang w:eastAsia="en-US"/>
              </w:rPr>
              <w:t>188</w:t>
            </w:r>
          </w:p>
        </w:tc>
        <w:tc>
          <w:tcPr>
            <w:tcW w:w="0" w:type="auto"/>
            <w:tcBorders>
              <w:top w:val="single" w:sz="4" w:space="0" w:color="auto"/>
              <w:left w:val="single" w:sz="4" w:space="0" w:color="auto"/>
              <w:bottom w:val="single" w:sz="4" w:space="0" w:color="auto"/>
              <w:right w:val="single" w:sz="4" w:space="0" w:color="auto"/>
            </w:tcBorders>
            <w:vAlign w:val="bottom"/>
            <w:hideMark/>
          </w:tcPr>
          <w:p w14:paraId="2FE04E4D" w14:textId="77777777" w:rsidR="007A6B86" w:rsidRDefault="007A6B86" w:rsidP="007A6B86">
            <w:pPr>
              <w:rPr>
                <w:b/>
                <w:color w:val="000000"/>
                <w:sz w:val="20"/>
                <w:szCs w:val="20"/>
                <w:lang w:eastAsia="en-US"/>
              </w:rPr>
            </w:pPr>
            <w:r>
              <w:rPr>
                <w:b/>
                <w:color w:val="000000"/>
                <w:sz w:val="20"/>
                <w:szCs w:val="20"/>
                <w:lang w:eastAsia="en-US"/>
              </w:rPr>
              <w:t>Choana, anterior margin shape:</w:t>
            </w:r>
          </w:p>
          <w:p w14:paraId="4B289F5D" w14:textId="307CAC32"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9 part); Young &amp; Andrade (2009, ch. 9 part); </w:t>
            </w:r>
            <w:r>
              <w:rPr>
                <w:bCs/>
                <w:i/>
                <w:color w:val="000000"/>
                <w:sz w:val="20"/>
                <w:szCs w:val="20"/>
                <w:lang w:eastAsia="en-US"/>
              </w:rPr>
              <w:t xml:space="preserve">Young et al. (2011, ch. 9); Young et al. (2013a, ch. 84); </w:t>
            </w:r>
            <w:r>
              <w:rPr>
                <w:i/>
                <w:sz w:val="20"/>
                <w:szCs w:val="20"/>
                <w:lang w:eastAsia="en-US"/>
              </w:rPr>
              <w:t xml:space="preserve">Young et al. (2012, ch. 101); Young (2014, ch. 104); Young et al. (2016, ds 2, ch. 122); Ristevski et al. (2018, ds 2, ch. 163); Smith et al. (in review, ds 1, ch. 167); </w:t>
            </w:r>
            <w:r>
              <w:rPr>
                <w:i/>
                <w:sz w:val="20"/>
                <w:szCs w:val="20"/>
              </w:rPr>
              <w:t>Ősi et al. (in review, ds 1, ch. 183)</w:t>
            </w:r>
            <w:r>
              <w:rPr>
                <w:i/>
                <w:sz w:val="20"/>
                <w:szCs w:val="20"/>
                <w:lang w:eastAsia="en-US"/>
              </w:rPr>
              <w:t>.</w:t>
            </w:r>
          </w:p>
          <w:p w14:paraId="70767FE2" w14:textId="77777777" w:rsidR="007A6B86" w:rsidRDefault="007A6B86" w:rsidP="007A6B86">
            <w:pPr>
              <w:rPr>
                <w:color w:val="000000"/>
                <w:sz w:val="20"/>
                <w:szCs w:val="20"/>
                <w:lang w:eastAsia="en-US"/>
              </w:rPr>
            </w:pPr>
            <w:r>
              <w:rPr>
                <w:color w:val="000000"/>
                <w:sz w:val="20"/>
                <w:szCs w:val="20"/>
                <w:lang w:eastAsia="en-US"/>
              </w:rPr>
              <w:t>0. semicircular or elliptical</w:t>
            </w:r>
          </w:p>
          <w:p w14:paraId="0D14FDC9" w14:textId="77777777" w:rsidR="007A6B86" w:rsidRDefault="007A6B86" w:rsidP="007A6B86">
            <w:pPr>
              <w:rPr>
                <w:color w:val="000000"/>
                <w:sz w:val="20"/>
                <w:szCs w:val="20"/>
                <w:lang w:eastAsia="en-US"/>
              </w:rPr>
            </w:pPr>
            <w:r>
              <w:rPr>
                <w:color w:val="000000"/>
                <w:sz w:val="20"/>
                <w:szCs w:val="20"/>
                <w:lang w:eastAsia="en-US"/>
              </w:rPr>
              <w:t>1. ‘V’-shaped with its base directed anteriorly</w:t>
            </w:r>
          </w:p>
          <w:p w14:paraId="7958C515" w14:textId="77777777" w:rsidR="007A6B86" w:rsidRDefault="007A6B86" w:rsidP="007A6B86">
            <w:pPr>
              <w:rPr>
                <w:color w:val="000000"/>
                <w:sz w:val="20"/>
                <w:szCs w:val="20"/>
                <w:lang w:eastAsia="en-US"/>
              </w:rPr>
            </w:pPr>
            <w:r>
              <w:rPr>
                <w:color w:val="000000"/>
                <w:sz w:val="20"/>
                <w:szCs w:val="20"/>
                <w:lang w:eastAsia="en-US"/>
              </w:rPr>
              <w:t>2. broad ‘U’-shaped with its base directed anteriorly</w:t>
            </w:r>
          </w:p>
          <w:p w14:paraId="5D8DB841" w14:textId="77777777" w:rsidR="007A6B86" w:rsidRDefault="007A6B86" w:rsidP="007A6B86">
            <w:pPr>
              <w:rPr>
                <w:color w:val="000000"/>
                <w:sz w:val="20"/>
                <w:szCs w:val="20"/>
                <w:lang w:eastAsia="en-US"/>
              </w:rPr>
            </w:pPr>
            <w:r>
              <w:rPr>
                <w:color w:val="000000"/>
                <w:sz w:val="20"/>
                <w:szCs w:val="20"/>
                <w:lang w:eastAsia="en-US"/>
              </w:rPr>
              <w:t>3. ‘W’-shaped with its base directed anteriorly</w:t>
            </w:r>
          </w:p>
        </w:tc>
      </w:tr>
    </w:tbl>
    <w:p w14:paraId="2B3EF6C7" w14:textId="77777777" w:rsidR="004C76BC" w:rsidRDefault="004C76BC" w:rsidP="004C76BC">
      <w:pPr>
        <w:rPr>
          <w:sz w:val="20"/>
          <w:szCs w:val="20"/>
        </w:rPr>
      </w:pPr>
    </w:p>
    <w:p w14:paraId="298DFD65" w14:textId="355BF470" w:rsidR="004C76BC" w:rsidRDefault="004C76BC" w:rsidP="004C76BC">
      <w:bookmarkStart w:id="55" w:name="_Hlk489463248"/>
      <w:r>
        <w:rPr>
          <w:b/>
        </w:rPr>
        <w:t xml:space="preserve">Occiptal </w:t>
      </w:r>
      <w:r>
        <w:t>(Ch. 18</w:t>
      </w:r>
      <w:r w:rsidR="007A6B86">
        <w:t>9</w:t>
      </w:r>
      <w:r>
        <w:t xml:space="preserve"> – </w:t>
      </w:r>
      <w:r w:rsidR="007A6B86">
        <w:t>203</w:t>
      </w:r>
      <w:r>
        <w:t>; 3.</w:t>
      </w:r>
      <w:r w:rsidR="00D55C19">
        <w:t>304</w:t>
      </w:r>
      <w:r>
        <w:t>% of characters)</w:t>
      </w:r>
    </w:p>
    <w:p w14:paraId="473EE202" w14:textId="77777777" w:rsidR="004C76BC" w:rsidRDefault="004C76BC" w:rsidP="004C76BC">
      <w:pPr>
        <w:rPr>
          <w:rFonts w:eastAsiaTheme="minorHAnsi"/>
          <w:i/>
        </w:rPr>
      </w:pPr>
      <w:r>
        <w:rPr>
          <w:i/>
        </w:rPr>
        <w:t>[Partial chondrocranium = os supraoccipitale, ossa exoccipitalia + ossa opisthotica (= os otoccipitale)]</w:t>
      </w:r>
    </w:p>
    <w:bookmarkEnd w:id="55"/>
    <w:p w14:paraId="52714A28"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167FE064"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F36BBCB"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1CF3DBA" w14:textId="77777777" w:rsidR="004C76BC" w:rsidRDefault="004C76BC" w:rsidP="00AF438E">
            <w:pPr>
              <w:rPr>
                <w:sz w:val="20"/>
                <w:szCs w:val="20"/>
                <w:lang w:eastAsia="en-US"/>
              </w:rPr>
            </w:pPr>
            <w:r>
              <w:rPr>
                <w:sz w:val="20"/>
                <w:szCs w:val="20"/>
                <w:lang w:eastAsia="en-US"/>
              </w:rPr>
              <w:t>Description</w:t>
            </w:r>
          </w:p>
        </w:tc>
      </w:tr>
      <w:tr w:rsidR="007A6B86" w14:paraId="3B12A91C" w14:textId="77777777" w:rsidTr="007A6B86">
        <w:tc>
          <w:tcPr>
            <w:tcW w:w="0" w:type="auto"/>
            <w:tcBorders>
              <w:top w:val="single" w:sz="4" w:space="0" w:color="auto"/>
              <w:left w:val="single" w:sz="4" w:space="0" w:color="auto"/>
              <w:bottom w:val="single" w:sz="4" w:space="0" w:color="auto"/>
              <w:right w:val="single" w:sz="4" w:space="0" w:color="auto"/>
            </w:tcBorders>
          </w:tcPr>
          <w:p w14:paraId="42D00B4F" w14:textId="4208F1B2" w:rsidR="007A6B86" w:rsidRDefault="007A6B86" w:rsidP="007A6B86">
            <w:pPr>
              <w:rPr>
                <w:color w:val="000000"/>
                <w:sz w:val="20"/>
                <w:szCs w:val="20"/>
                <w:lang w:eastAsia="en-US"/>
              </w:rPr>
            </w:pPr>
            <w:r>
              <w:rPr>
                <w:color w:val="000000"/>
                <w:sz w:val="20"/>
                <w:szCs w:val="20"/>
                <w:lang w:eastAsia="en-US"/>
              </w:rPr>
              <w:t>189</w:t>
            </w:r>
          </w:p>
        </w:tc>
        <w:tc>
          <w:tcPr>
            <w:tcW w:w="0" w:type="auto"/>
            <w:tcBorders>
              <w:top w:val="single" w:sz="4" w:space="0" w:color="auto"/>
              <w:left w:val="single" w:sz="4" w:space="0" w:color="auto"/>
              <w:bottom w:val="single" w:sz="4" w:space="0" w:color="auto"/>
              <w:right w:val="single" w:sz="4" w:space="0" w:color="auto"/>
            </w:tcBorders>
            <w:vAlign w:val="bottom"/>
            <w:hideMark/>
          </w:tcPr>
          <w:p w14:paraId="424EAB44" w14:textId="77777777" w:rsidR="007A6B86" w:rsidRDefault="007A6B86" w:rsidP="007A6B86">
            <w:pPr>
              <w:rPr>
                <w:b/>
                <w:sz w:val="20"/>
                <w:szCs w:val="20"/>
                <w:lang w:eastAsia="en-US"/>
              </w:rPr>
            </w:pPr>
            <w:r>
              <w:rPr>
                <w:b/>
                <w:sz w:val="20"/>
                <w:szCs w:val="20"/>
                <w:lang w:eastAsia="en-US"/>
              </w:rPr>
              <w:t>Occipital tuberosities:</w:t>
            </w:r>
          </w:p>
          <w:p w14:paraId="5F0D3A2D" w14:textId="4C9EEA2E" w:rsidR="007A6B86" w:rsidRDefault="007A6B86" w:rsidP="007A6B86">
            <w:pPr>
              <w:rPr>
                <w:i/>
                <w:sz w:val="20"/>
                <w:szCs w:val="20"/>
                <w:lang w:eastAsia="en-US"/>
              </w:rPr>
            </w:pPr>
            <w:r>
              <w:rPr>
                <w:i/>
                <w:sz w:val="20"/>
                <w:szCs w:val="20"/>
                <w:lang w:eastAsia="en-US"/>
              </w:rPr>
              <w:t xml:space="preserve">Jouve (2005, ch. </w:t>
            </w:r>
            <w:r>
              <w:rPr>
                <w:bCs/>
                <w:i/>
                <w:sz w:val="20"/>
                <w:szCs w:val="20"/>
                <w:lang w:eastAsia="en-US"/>
              </w:rPr>
              <w:t>1 modified)</w:t>
            </w:r>
            <w:r>
              <w:rPr>
                <w:i/>
                <w:sz w:val="20"/>
                <w:szCs w:val="20"/>
                <w:lang w:eastAsia="en-US"/>
              </w:rPr>
              <w:t xml:space="preserve">, Jouve et al. (2005b, ch. </w:t>
            </w:r>
            <w:r>
              <w:rPr>
                <w:bCs/>
                <w:i/>
                <w:sz w:val="20"/>
                <w:szCs w:val="20"/>
                <w:lang w:eastAsia="en-US"/>
              </w:rPr>
              <w:t>3 modified)</w:t>
            </w:r>
            <w:r>
              <w:rPr>
                <w:i/>
                <w:sz w:val="20"/>
                <w:szCs w:val="20"/>
                <w:lang w:eastAsia="en-US"/>
              </w:rPr>
              <w:t xml:space="preserve">, Jouve et al. (2008, ch. </w:t>
            </w:r>
            <w:r>
              <w:rPr>
                <w:bCs/>
                <w:i/>
                <w:sz w:val="20"/>
                <w:szCs w:val="20"/>
                <w:lang w:eastAsia="en-US"/>
              </w:rPr>
              <w:t xml:space="preserve">3 modified), Hastings et al. (2010, ch. 53 modified); </w:t>
            </w:r>
            <w:r>
              <w:rPr>
                <w:bCs/>
                <w:i/>
                <w:color w:val="000000"/>
                <w:sz w:val="20"/>
                <w:szCs w:val="20"/>
                <w:lang w:eastAsia="en-US"/>
              </w:rPr>
              <w:t xml:space="preserve">Young et al. (2011, ch. 188); Young et al. (2013a, ch. 85); </w:t>
            </w:r>
            <w:r>
              <w:rPr>
                <w:bCs/>
                <w:i/>
                <w:sz w:val="20"/>
                <w:szCs w:val="20"/>
                <w:lang w:eastAsia="en-US"/>
              </w:rPr>
              <w:t xml:space="preserve">Young et al. (2012, ch. 102 modified); Young (2014, ch. 105 modified); Young et al. (2016, ds 2, ch. 123 modified); </w:t>
            </w:r>
            <w:r>
              <w:rPr>
                <w:i/>
                <w:sz w:val="20"/>
                <w:szCs w:val="20"/>
                <w:lang w:eastAsia="en-US"/>
              </w:rPr>
              <w:t xml:space="preserve">Ristevski et al. (2018, ds 2, ch. 164); Smith et al. (in review, ds 1, ch. 168); </w:t>
            </w:r>
            <w:r>
              <w:rPr>
                <w:i/>
                <w:sz w:val="20"/>
                <w:szCs w:val="20"/>
              </w:rPr>
              <w:t>Ősi et al. (in review, ds 1, ch. 184)</w:t>
            </w:r>
            <w:r>
              <w:rPr>
                <w:bCs/>
                <w:i/>
                <w:sz w:val="20"/>
                <w:szCs w:val="20"/>
                <w:lang w:eastAsia="en-US"/>
              </w:rPr>
              <w:t>.</w:t>
            </w:r>
          </w:p>
          <w:p w14:paraId="197DAE76" w14:textId="7334ADF6" w:rsidR="007A6B86" w:rsidRDefault="007A6B86" w:rsidP="007A6B86">
            <w:pPr>
              <w:rPr>
                <w:sz w:val="20"/>
                <w:szCs w:val="20"/>
                <w:lang w:eastAsia="en-US"/>
              </w:rPr>
            </w:pPr>
            <w:r>
              <w:rPr>
                <w:i/>
                <w:sz w:val="20"/>
                <w:szCs w:val="20"/>
                <w:lang w:eastAsia="en-US"/>
              </w:rPr>
              <w:t>State (1) occurs in teleosaur</w:t>
            </w:r>
            <w:r w:rsidR="00007246">
              <w:rPr>
                <w:i/>
                <w:sz w:val="20"/>
                <w:szCs w:val="20"/>
                <w:lang w:eastAsia="en-US"/>
              </w:rPr>
              <w:t>o</w:t>
            </w:r>
            <w:r>
              <w:rPr>
                <w:i/>
                <w:sz w:val="20"/>
                <w:szCs w:val="20"/>
                <w:lang w:eastAsia="en-US"/>
              </w:rPr>
              <w:t xml:space="preserve">ids, basal dyrosaurids and in the pholidosaurids </w:t>
            </w:r>
            <w:r>
              <w:rPr>
                <w:sz w:val="20"/>
                <w:szCs w:val="20"/>
                <w:lang w:eastAsia="en-US"/>
              </w:rPr>
              <w:t xml:space="preserve">Sarcosuchus </w:t>
            </w:r>
            <w:r>
              <w:rPr>
                <w:i/>
                <w:sz w:val="20"/>
                <w:szCs w:val="20"/>
                <w:lang w:eastAsia="en-US"/>
              </w:rPr>
              <w:t xml:space="preserve">and </w:t>
            </w:r>
            <w:r>
              <w:rPr>
                <w:sz w:val="20"/>
                <w:szCs w:val="20"/>
                <w:lang w:eastAsia="en-US"/>
              </w:rPr>
              <w:t>Chalawan.</w:t>
            </w:r>
          </w:p>
          <w:p w14:paraId="059A9DBE" w14:textId="4702A4A9" w:rsidR="007A6B86" w:rsidRDefault="007A6B86" w:rsidP="007A6B86">
            <w:pPr>
              <w:rPr>
                <w:sz w:val="20"/>
                <w:szCs w:val="20"/>
                <w:lang w:eastAsia="en-US"/>
              </w:rPr>
            </w:pPr>
            <w:r>
              <w:rPr>
                <w:i/>
                <w:sz w:val="20"/>
                <w:szCs w:val="20"/>
                <w:lang w:eastAsia="en-US"/>
              </w:rPr>
              <w:t>State (2) occurs in most dyrosaurids and the teleosaur</w:t>
            </w:r>
            <w:r w:rsidR="00007246">
              <w:rPr>
                <w:i/>
                <w:sz w:val="20"/>
                <w:szCs w:val="20"/>
                <w:lang w:eastAsia="en-US"/>
              </w:rPr>
              <w:t>o</w:t>
            </w:r>
            <w:r>
              <w:rPr>
                <w:i/>
                <w:sz w:val="20"/>
                <w:szCs w:val="20"/>
                <w:lang w:eastAsia="en-US"/>
              </w:rPr>
              <w:t xml:space="preserve">id </w:t>
            </w:r>
            <w:r>
              <w:rPr>
                <w:sz w:val="20"/>
                <w:szCs w:val="20"/>
                <w:lang w:eastAsia="en-US"/>
              </w:rPr>
              <w:t>Steneosaurus heberti.</w:t>
            </w:r>
          </w:p>
          <w:p w14:paraId="17A23055" w14:textId="77777777" w:rsidR="007A6B86" w:rsidRDefault="007A6B86" w:rsidP="007A6B86">
            <w:pPr>
              <w:rPr>
                <w:sz w:val="20"/>
                <w:szCs w:val="20"/>
                <w:lang w:eastAsia="en-US"/>
              </w:rPr>
            </w:pPr>
            <w:r>
              <w:rPr>
                <w:sz w:val="20"/>
                <w:szCs w:val="20"/>
                <w:lang w:eastAsia="en-US"/>
              </w:rPr>
              <w:t>0. absent</w:t>
            </w:r>
          </w:p>
          <w:p w14:paraId="4424EA18" w14:textId="77777777" w:rsidR="007A6B86" w:rsidRDefault="007A6B86" w:rsidP="007A6B86">
            <w:pPr>
              <w:rPr>
                <w:sz w:val="20"/>
                <w:szCs w:val="20"/>
                <w:lang w:eastAsia="en-US"/>
              </w:rPr>
            </w:pPr>
            <w:r>
              <w:rPr>
                <w:sz w:val="20"/>
                <w:szCs w:val="20"/>
                <w:lang w:eastAsia="en-US"/>
              </w:rPr>
              <w:t xml:space="preserve">1. small and reduced </w:t>
            </w:r>
          </w:p>
          <w:p w14:paraId="573583EB" w14:textId="77777777" w:rsidR="007A6B86" w:rsidRDefault="007A6B86" w:rsidP="007A6B86">
            <w:pPr>
              <w:rPr>
                <w:color w:val="000000"/>
                <w:sz w:val="20"/>
                <w:szCs w:val="20"/>
                <w:lang w:eastAsia="en-US"/>
              </w:rPr>
            </w:pPr>
            <w:r>
              <w:rPr>
                <w:sz w:val="20"/>
                <w:szCs w:val="20"/>
                <w:lang w:eastAsia="en-US"/>
              </w:rPr>
              <w:t>2. large and well-developed</w:t>
            </w:r>
          </w:p>
        </w:tc>
      </w:tr>
      <w:tr w:rsidR="007A6B86" w14:paraId="3A1CBEEA" w14:textId="77777777" w:rsidTr="007A6B86">
        <w:tc>
          <w:tcPr>
            <w:tcW w:w="0" w:type="auto"/>
            <w:tcBorders>
              <w:top w:val="single" w:sz="4" w:space="0" w:color="auto"/>
              <w:left w:val="single" w:sz="4" w:space="0" w:color="auto"/>
              <w:bottom w:val="single" w:sz="4" w:space="0" w:color="auto"/>
              <w:right w:val="single" w:sz="4" w:space="0" w:color="auto"/>
            </w:tcBorders>
          </w:tcPr>
          <w:p w14:paraId="55EE6FBC" w14:textId="6C2D068A" w:rsidR="007A6B86" w:rsidRDefault="007A6B86" w:rsidP="007A6B86">
            <w:pPr>
              <w:rPr>
                <w:color w:val="000000"/>
                <w:sz w:val="20"/>
                <w:szCs w:val="20"/>
                <w:lang w:eastAsia="en-US"/>
              </w:rPr>
            </w:pPr>
            <w:r>
              <w:rPr>
                <w:color w:val="000000"/>
                <w:sz w:val="20"/>
                <w:szCs w:val="20"/>
                <w:lang w:eastAsia="en-US"/>
              </w:rPr>
              <w:t>190</w:t>
            </w:r>
          </w:p>
        </w:tc>
        <w:tc>
          <w:tcPr>
            <w:tcW w:w="0" w:type="auto"/>
            <w:tcBorders>
              <w:top w:val="single" w:sz="4" w:space="0" w:color="auto"/>
              <w:left w:val="single" w:sz="4" w:space="0" w:color="auto"/>
              <w:bottom w:val="single" w:sz="4" w:space="0" w:color="auto"/>
              <w:right w:val="single" w:sz="4" w:space="0" w:color="auto"/>
            </w:tcBorders>
            <w:vAlign w:val="bottom"/>
            <w:hideMark/>
          </w:tcPr>
          <w:p w14:paraId="374173F6" w14:textId="77777777" w:rsidR="007A6B86" w:rsidRDefault="007A6B86" w:rsidP="007A6B86">
            <w:pPr>
              <w:pStyle w:val="SOMText"/>
              <w:ind w:firstLine="0"/>
              <w:rPr>
                <w:b/>
                <w:sz w:val="20"/>
              </w:rPr>
            </w:pPr>
            <w:r>
              <w:rPr>
                <w:b/>
                <w:sz w:val="20"/>
              </w:rPr>
              <w:t>Supraoccipital, presence:</w:t>
            </w:r>
          </w:p>
          <w:p w14:paraId="650A7716" w14:textId="39E996E6" w:rsidR="007A6B86" w:rsidRDefault="007A6B86" w:rsidP="007A6B86">
            <w:pPr>
              <w:pStyle w:val="SOMText"/>
              <w:tabs>
                <w:tab w:val="left" w:pos="1985"/>
              </w:tabs>
              <w:ind w:firstLine="0"/>
              <w:rPr>
                <w:bCs/>
                <w:i/>
                <w:sz w:val="20"/>
              </w:rPr>
            </w:pPr>
            <w:r>
              <w:rPr>
                <w:bCs/>
                <w:i/>
                <w:sz w:val="20"/>
              </w:rPr>
              <w:t xml:space="preserve">Leardi et al. (2017, ch. 97); </w:t>
            </w:r>
            <w:r>
              <w:rPr>
                <w:i/>
                <w:sz w:val="20"/>
              </w:rPr>
              <w:t>Ősi et al. (in review, ds 1, ch. 185)</w:t>
            </w:r>
            <w:r>
              <w:rPr>
                <w:bCs/>
                <w:i/>
                <w:sz w:val="20"/>
              </w:rPr>
              <w:t>.</w:t>
            </w:r>
          </w:p>
          <w:p w14:paraId="5D877536" w14:textId="77777777" w:rsidR="007A6B86" w:rsidRDefault="007A6B86" w:rsidP="007A6B86">
            <w:pPr>
              <w:pStyle w:val="SOMText"/>
              <w:tabs>
                <w:tab w:val="left" w:pos="1985"/>
              </w:tabs>
              <w:ind w:firstLine="0"/>
              <w:rPr>
                <w:sz w:val="20"/>
              </w:rPr>
            </w:pPr>
            <w:r>
              <w:rPr>
                <w:bCs/>
                <w:i/>
                <w:sz w:val="20"/>
              </w:rPr>
              <w:t>State (1) occurs in Crocodylomorpha.</w:t>
            </w:r>
          </w:p>
          <w:p w14:paraId="30A879E0" w14:textId="77777777" w:rsidR="007A6B86" w:rsidRDefault="007A6B86" w:rsidP="007A6B86">
            <w:pPr>
              <w:pStyle w:val="SOMText"/>
              <w:ind w:firstLine="0"/>
              <w:rPr>
                <w:sz w:val="20"/>
              </w:rPr>
            </w:pPr>
            <w:r>
              <w:rPr>
                <w:sz w:val="20"/>
              </w:rPr>
              <w:t>0. fused with the exoccipital</w:t>
            </w:r>
          </w:p>
          <w:p w14:paraId="4A58575F" w14:textId="77777777" w:rsidR="007A6B86" w:rsidRDefault="007A6B86" w:rsidP="007A6B86">
            <w:pPr>
              <w:rPr>
                <w:b/>
                <w:sz w:val="20"/>
                <w:szCs w:val="20"/>
                <w:lang w:eastAsia="en-US"/>
              </w:rPr>
            </w:pPr>
            <w:r>
              <w:rPr>
                <w:sz w:val="20"/>
                <w:szCs w:val="20"/>
                <w:lang w:eastAsia="en-US"/>
              </w:rPr>
              <w:t>1. present as a separate ossification</w:t>
            </w:r>
          </w:p>
        </w:tc>
      </w:tr>
      <w:tr w:rsidR="007A6B86" w14:paraId="15FA9A83" w14:textId="77777777" w:rsidTr="007A6B86">
        <w:tc>
          <w:tcPr>
            <w:tcW w:w="0" w:type="auto"/>
            <w:tcBorders>
              <w:top w:val="single" w:sz="4" w:space="0" w:color="auto"/>
              <w:left w:val="single" w:sz="4" w:space="0" w:color="auto"/>
              <w:bottom w:val="single" w:sz="4" w:space="0" w:color="auto"/>
              <w:right w:val="single" w:sz="4" w:space="0" w:color="auto"/>
            </w:tcBorders>
          </w:tcPr>
          <w:p w14:paraId="41AA0D61" w14:textId="028ABAA0" w:rsidR="007A6B86" w:rsidRDefault="007A6B86" w:rsidP="007A6B86">
            <w:pPr>
              <w:rPr>
                <w:color w:val="000000"/>
                <w:sz w:val="20"/>
                <w:szCs w:val="20"/>
                <w:lang w:eastAsia="en-US"/>
              </w:rPr>
            </w:pPr>
            <w:r>
              <w:rPr>
                <w:color w:val="000000"/>
                <w:sz w:val="20"/>
                <w:szCs w:val="20"/>
                <w:lang w:eastAsia="en-US"/>
              </w:rPr>
              <w:t>191</w:t>
            </w:r>
          </w:p>
        </w:tc>
        <w:tc>
          <w:tcPr>
            <w:tcW w:w="0" w:type="auto"/>
            <w:tcBorders>
              <w:top w:val="single" w:sz="4" w:space="0" w:color="auto"/>
              <w:left w:val="single" w:sz="4" w:space="0" w:color="auto"/>
              <w:bottom w:val="single" w:sz="4" w:space="0" w:color="auto"/>
              <w:right w:val="single" w:sz="4" w:space="0" w:color="auto"/>
            </w:tcBorders>
            <w:vAlign w:val="bottom"/>
            <w:hideMark/>
          </w:tcPr>
          <w:p w14:paraId="33D02418" w14:textId="77777777" w:rsidR="007A6B86" w:rsidRDefault="007A6B86" w:rsidP="007A6B86">
            <w:pPr>
              <w:autoSpaceDE w:val="0"/>
              <w:autoSpaceDN w:val="0"/>
              <w:adjustRightInd w:val="0"/>
              <w:rPr>
                <w:b/>
                <w:bCs/>
                <w:color w:val="000000"/>
                <w:sz w:val="20"/>
                <w:szCs w:val="20"/>
                <w:lang w:eastAsia="en-US"/>
              </w:rPr>
            </w:pPr>
            <w:r>
              <w:rPr>
                <w:b/>
                <w:bCs/>
                <w:color w:val="000000"/>
                <w:sz w:val="20"/>
                <w:szCs w:val="20"/>
                <w:lang w:eastAsia="en-US"/>
              </w:rPr>
              <w:t>Exoccipitals, presence of medial contact between both elements:</w:t>
            </w:r>
          </w:p>
          <w:p w14:paraId="53058F19" w14:textId="38854629"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 xml:space="preserve">Clark (1994, ch. 62); Ortega </w:t>
            </w:r>
            <w:r>
              <w:rPr>
                <w:bCs/>
                <w:i/>
                <w:iCs/>
                <w:color w:val="000000"/>
                <w:sz w:val="20"/>
                <w:szCs w:val="20"/>
                <w:lang w:eastAsia="en-US"/>
              </w:rPr>
              <w:t>et al. (</w:t>
            </w:r>
            <w:r>
              <w:rPr>
                <w:bCs/>
                <w:i/>
                <w:color w:val="000000"/>
                <w:sz w:val="20"/>
                <w:szCs w:val="20"/>
                <w:lang w:eastAsia="en-US"/>
              </w:rPr>
              <w:t>2000, ch. 63);</w:t>
            </w:r>
            <w:r>
              <w:rPr>
                <w:b/>
                <w:bCs/>
                <w:color w:val="000000"/>
                <w:sz w:val="20"/>
                <w:szCs w:val="20"/>
                <w:lang w:eastAsia="en-US"/>
              </w:rPr>
              <w:t xml:space="preserve"> </w:t>
            </w:r>
            <w:r>
              <w:rPr>
                <w:i/>
                <w:iCs/>
                <w:color w:val="000000"/>
                <w:sz w:val="20"/>
                <w:szCs w:val="20"/>
                <w:lang w:eastAsia="en-US"/>
              </w:rPr>
              <w:t xml:space="preserve">Gower (2002, ch. 19 modified); </w:t>
            </w:r>
            <w:r>
              <w:rPr>
                <w:bCs/>
                <w:i/>
                <w:color w:val="000000"/>
                <w:sz w:val="20"/>
                <w:lang w:eastAsia="en-US"/>
              </w:rPr>
              <w:t xml:space="preserve">Andrade et al. (2011, ch. 270); Nesbitt (2011, ch. 126); Young et al. (2013a, ch. 86); Young et al. (2012, ch. 103); Young (2014, ch. 106); Tennant et al. (2016, ch. 198); Young et al. (2016, ds 2, ch. 124); </w:t>
            </w:r>
            <w:r>
              <w:rPr>
                <w:i/>
                <w:sz w:val="20"/>
                <w:szCs w:val="20"/>
                <w:lang w:eastAsia="en-US"/>
              </w:rPr>
              <w:t xml:space="preserve">Ristevski et al. (2018, ds 2, ch. 166); Smith et al. (in review, ds 1, ch. 170); </w:t>
            </w:r>
            <w:r>
              <w:rPr>
                <w:i/>
                <w:sz w:val="20"/>
                <w:szCs w:val="20"/>
              </w:rPr>
              <w:t>Ősi et al. (in review, ds 1, ch. 187)</w:t>
            </w:r>
            <w:r>
              <w:rPr>
                <w:bCs/>
                <w:i/>
                <w:color w:val="000000"/>
                <w:sz w:val="20"/>
                <w:lang w:eastAsia="en-US"/>
              </w:rPr>
              <w:t>.</w:t>
            </w:r>
          </w:p>
          <w:p w14:paraId="174F9EE1"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 xml:space="preserve">Can also be defined as the participation of supraoccipital in the foramen magnum. </w:t>
            </w:r>
          </w:p>
          <w:p w14:paraId="648EEDAF" w14:textId="77777777" w:rsidR="007A6B86" w:rsidRDefault="007A6B86" w:rsidP="007A6B86">
            <w:pPr>
              <w:autoSpaceDE w:val="0"/>
              <w:autoSpaceDN w:val="0"/>
              <w:adjustRightInd w:val="0"/>
              <w:rPr>
                <w:i/>
                <w:iCs/>
                <w:color w:val="000000"/>
                <w:sz w:val="20"/>
                <w:szCs w:val="20"/>
                <w:lang w:eastAsia="en-US"/>
              </w:rPr>
            </w:pPr>
            <w:r>
              <w:rPr>
                <w:color w:val="000000"/>
                <w:sz w:val="20"/>
                <w:szCs w:val="20"/>
                <w:lang w:eastAsia="en-US"/>
              </w:rPr>
              <w:t>0. do not meet in midline</w:t>
            </w:r>
          </w:p>
          <w:p w14:paraId="5A414B82" w14:textId="77777777" w:rsidR="007A6B86" w:rsidRDefault="007A6B86" w:rsidP="007A6B86">
            <w:pPr>
              <w:rPr>
                <w:color w:val="000000"/>
                <w:sz w:val="20"/>
                <w:szCs w:val="20"/>
                <w:lang w:eastAsia="en-US"/>
              </w:rPr>
            </w:pPr>
            <w:r>
              <w:rPr>
                <w:color w:val="000000"/>
                <w:sz w:val="20"/>
                <w:szCs w:val="20"/>
                <w:lang w:eastAsia="en-US"/>
              </w:rPr>
              <w:t>1. meet on the midline, dorsal to the basioccipital, excluding the supraoccipital from the foramen magnum</w:t>
            </w:r>
          </w:p>
        </w:tc>
      </w:tr>
      <w:tr w:rsidR="007A6B86" w14:paraId="0E6D4616" w14:textId="77777777" w:rsidTr="007A6B86">
        <w:tc>
          <w:tcPr>
            <w:tcW w:w="0" w:type="auto"/>
            <w:tcBorders>
              <w:top w:val="single" w:sz="4" w:space="0" w:color="auto"/>
              <w:left w:val="single" w:sz="4" w:space="0" w:color="auto"/>
              <w:bottom w:val="single" w:sz="4" w:space="0" w:color="auto"/>
              <w:right w:val="single" w:sz="4" w:space="0" w:color="auto"/>
            </w:tcBorders>
          </w:tcPr>
          <w:p w14:paraId="4A0656BA" w14:textId="1F262D9F" w:rsidR="007A6B86" w:rsidRDefault="007A6B86" w:rsidP="007A6B86">
            <w:pPr>
              <w:rPr>
                <w:color w:val="000000"/>
                <w:sz w:val="20"/>
                <w:szCs w:val="20"/>
                <w:lang w:eastAsia="en-US"/>
              </w:rPr>
            </w:pPr>
            <w:r>
              <w:rPr>
                <w:color w:val="000000"/>
                <w:sz w:val="20"/>
                <w:szCs w:val="20"/>
                <w:lang w:eastAsia="en-US"/>
              </w:rPr>
              <w:t>192</w:t>
            </w:r>
          </w:p>
        </w:tc>
        <w:tc>
          <w:tcPr>
            <w:tcW w:w="0" w:type="auto"/>
            <w:tcBorders>
              <w:top w:val="single" w:sz="4" w:space="0" w:color="auto"/>
              <w:left w:val="single" w:sz="4" w:space="0" w:color="auto"/>
              <w:bottom w:val="single" w:sz="4" w:space="0" w:color="auto"/>
              <w:right w:val="single" w:sz="4" w:space="0" w:color="auto"/>
            </w:tcBorders>
            <w:vAlign w:val="bottom"/>
            <w:hideMark/>
          </w:tcPr>
          <w:p w14:paraId="7039EDD1" w14:textId="77777777" w:rsidR="007A6B86" w:rsidRDefault="007A6B86" w:rsidP="007A6B86">
            <w:pPr>
              <w:rPr>
                <w:b/>
                <w:color w:val="000000"/>
                <w:sz w:val="20"/>
                <w:szCs w:val="20"/>
                <w:lang w:eastAsia="en-US"/>
              </w:rPr>
            </w:pPr>
            <w:r>
              <w:rPr>
                <w:b/>
                <w:color w:val="000000"/>
                <w:sz w:val="20"/>
                <w:szCs w:val="20"/>
                <w:lang w:eastAsia="en-US"/>
              </w:rPr>
              <w:t>Paroccipital processes of the opisthotic, orientation in occipital view:</w:t>
            </w:r>
          </w:p>
          <w:p w14:paraId="7965595E" w14:textId="09452977"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7); Young &amp; Andrade (2009, ch. 7); </w:t>
            </w:r>
            <w:r>
              <w:rPr>
                <w:bCs/>
                <w:i/>
                <w:color w:val="000000"/>
                <w:sz w:val="20"/>
                <w:szCs w:val="20"/>
                <w:lang w:eastAsia="en-US"/>
              </w:rPr>
              <w:t xml:space="preserve">Young et al. (2011, ch. 7); Young et al. (2013a, ch. 87); </w:t>
            </w:r>
            <w:r>
              <w:rPr>
                <w:i/>
                <w:sz w:val="20"/>
                <w:szCs w:val="20"/>
                <w:lang w:eastAsia="en-US"/>
              </w:rPr>
              <w:t xml:space="preserve">Young et al. (2012, ch. 104); Young (2014, ch. 107); Young et al. (2016, ds 2, ch. 125); Ristevski et al. (2018, ds 2, ch. 167); Smith et al. (in review, ds 1, ch. 171); </w:t>
            </w:r>
            <w:r>
              <w:rPr>
                <w:i/>
                <w:sz w:val="20"/>
                <w:szCs w:val="20"/>
              </w:rPr>
              <w:t>Ősi et al. (in review, ds 1, ch. 188)</w:t>
            </w:r>
            <w:r>
              <w:rPr>
                <w:i/>
                <w:sz w:val="20"/>
                <w:szCs w:val="20"/>
                <w:lang w:eastAsia="en-US"/>
              </w:rPr>
              <w:t>.</w:t>
            </w:r>
          </w:p>
          <w:p w14:paraId="40226176" w14:textId="77777777" w:rsidR="007A6B86" w:rsidRDefault="007A6B86" w:rsidP="007A6B86">
            <w:pPr>
              <w:rPr>
                <w:i/>
                <w:color w:val="000000"/>
                <w:sz w:val="20"/>
                <w:szCs w:val="20"/>
                <w:lang w:eastAsia="en-US"/>
              </w:rPr>
            </w:pPr>
            <w:r>
              <w:rPr>
                <w:i/>
                <w:color w:val="000000"/>
                <w:sz w:val="20"/>
                <w:szCs w:val="20"/>
                <w:lang w:eastAsia="en-US"/>
              </w:rPr>
              <w:t>State (1) is a putative apomorphy of Rhacheosaurini.</w:t>
            </w:r>
          </w:p>
          <w:p w14:paraId="0201BE84" w14:textId="77777777" w:rsidR="007A6B86" w:rsidRDefault="007A6B86" w:rsidP="007A6B86">
            <w:pPr>
              <w:rPr>
                <w:i/>
                <w:color w:val="000000"/>
                <w:sz w:val="20"/>
                <w:szCs w:val="20"/>
                <w:lang w:eastAsia="en-US"/>
              </w:rPr>
            </w:pPr>
            <w:r>
              <w:rPr>
                <w:i/>
                <w:color w:val="000000"/>
                <w:sz w:val="20"/>
                <w:szCs w:val="20"/>
                <w:lang w:eastAsia="en-US"/>
              </w:rPr>
              <w:t>State (2) is a putative apomorphy of Geosaurinae.</w:t>
            </w:r>
          </w:p>
          <w:p w14:paraId="17F68ED8" w14:textId="77777777" w:rsidR="007A6B86" w:rsidRDefault="007A6B86" w:rsidP="007A6B86">
            <w:pPr>
              <w:rPr>
                <w:color w:val="000000"/>
                <w:sz w:val="20"/>
                <w:szCs w:val="20"/>
                <w:lang w:eastAsia="en-US"/>
              </w:rPr>
            </w:pPr>
            <w:r>
              <w:rPr>
                <w:i/>
                <w:color w:val="000000"/>
                <w:sz w:val="20"/>
                <w:szCs w:val="20"/>
                <w:lang w:eastAsia="en-US"/>
              </w:rPr>
              <w:t xml:space="preserve">State (3) is a putative apomorphy of Dyrosauridae + </w:t>
            </w:r>
            <w:r>
              <w:rPr>
                <w:color w:val="000000"/>
                <w:sz w:val="20"/>
                <w:szCs w:val="20"/>
                <w:lang w:eastAsia="en-US"/>
              </w:rPr>
              <w:t xml:space="preserve">Pholidosaurus purbeckensis, </w:t>
            </w:r>
            <w:r>
              <w:rPr>
                <w:i/>
                <w:color w:val="000000"/>
                <w:sz w:val="20"/>
                <w:szCs w:val="20"/>
                <w:lang w:eastAsia="en-US"/>
              </w:rPr>
              <w:t xml:space="preserve">and also for </w:t>
            </w:r>
            <w:r>
              <w:rPr>
                <w:color w:val="000000"/>
                <w:sz w:val="20"/>
                <w:szCs w:val="20"/>
                <w:lang w:eastAsia="en-US"/>
              </w:rPr>
              <w:t>'Dakosaurus' lissocephalus</w:t>
            </w:r>
          </w:p>
          <w:p w14:paraId="68D2B37C" w14:textId="77777777" w:rsidR="007A6B86" w:rsidRDefault="007A6B86" w:rsidP="007A6B86">
            <w:pPr>
              <w:rPr>
                <w:color w:val="000000"/>
                <w:sz w:val="20"/>
                <w:szCs w:val="20"/>
                <w:lang w:eastAsia="en-US"/>
              </w:rPr>
            </w:pPr>
            <w:r>
              <w:rPr>
                <w:color w:val="000000"/>
                <w:sz w:val="20"/>
                <w:szCs w:val="20"/>
                <w:lang w:eastAsia="en-US"/>
              </w:rPr>
              <w:t>0. horizontal</w:t>
            </w:r>
          </w:p>
          <w:p w14:paraId="763C83AB" w14:textId="77777777" w:rsidR="007A6B86" w:rsidRDefault="007A6B86" w:rsidP="007A6B86">
            <w:pPr>
              <w:rPr>
                <w:color w:val="000000"/>
                <w:sz w:val="20"/>
                <w:szCs w:val="20"/>
                <w:lang w:eastAsia="en-US"/>
              </w:rPr>
            </w:pPr>
            <w:r>
              <w:rPr>
                <w:color w:val="000000"/>
                <w:sz w:val="20"/>
                <w:szCs w:val="20"/>
                <w:lang w:eastAsia="en-US"/>
              </w:rPr>
              <w:t>1. dorsolaterally orientated, at a 45 degree angle</w:t>
            </w:r>
          </w:p>
          <w:p w14:paraId="0A943F58" w14:textId="77777777" w:rsidR="007A6B86" w:rsidRDefault="007A6B86" w:rsidP="007A6B86">
            <w:pPr>
              <w:rPr>
                <w:color w:val="000000"/>
                <w:sz w:val="20"/>
                <w:szCs w:val="20"/>
                <w:lang w:eastAsia="en-US"/>
              </w:rPr>
            </w:pPr>
            <w:r>
              <w:rPr>
                <w:color w:val="000000"/>
                <w:sz w:val="20"/>
                <w:szCs w:val="20"/>
                <w:lang w:eastAsia="en-US"/>
              </w:rPr>
              <w:t>2. ventral-edge horizontal, then terminal third sharply inclined dorsolaterally at a 45 degree angle</w:t>
            </w:r>
          </w:p>
          <w:p w14:paraId="744ECF22" w14:textId="77777777" w:rsidR="007A6B86" w:rsidRDefault="007A6B86" w:rsidP="007A6B86">
            <w:pPr>
              <w:rPr>
                <w:color w:val="000000"/>
                <w:sz w:val="20"/>
                <w:szCs w:val="20"/>
                <w:lang w:eastAsia="en-US"/>
              </w:rPr>
            </w:pPr>
            <w:r>
              <w:rPr>
                <w:color w:val="000000"/>
                <w:sz w:val="20"/>
                <w:szCs w:val="20"/>
                <w:lang w:eastAsia="en-US"/>
              </w:rPr>
              <w:t>3. ventrally arched</w:t>
            </w:r>
          </w:p>
        </w:tc>
      </w:tr>
      <w:tr w:rsidR="007A6B86" w14:paraId="56E962FA" w14:textId="77777777" w:rsidTr="007A6B86">
        <w:tc>
          <w:tcPr>
            <w:tcW w:w="0" w:type="auto"/>
            <w:tcBorders>
              <w:top w:val="single" w:sz="4" w:space="0" w:color="auto"/>
              <w:left w:val="single" w:sz="4" w:space="0" w:color="auto"/>
              <w:bottom w:val="single" w:sz="4" w:space="0" w:color="auto"/>
              <w:right w:val="single" w:sz="4" w:space="0" w:color="auto"/>
            </w:tcBorders>
          </w:tcPr>
          <w:p w14:paraId="112681DA" w14:textId="16B0E7A9" w:rsidR="007A6B86" w:rsidRDefault="007A6B86" w:rsidP="007A6B86">
            <w:pPr>
              <w:rPr>
                <w:color w:val="000000"/>
                <w:sz w:val="20"/>
                <w:szCs w:val="20"/>
                <w:highlight w:val="yellow"/>
                <w:lang w:eastAsia="en-US"/>
              </w:rPr>
            </w:pPr>
            <w:r>
              <w:rPr>
                <w:color w:val="000000"/>
                <w:sz w:val="20"/>
                <w:szCs w:val="20"/>
                <w:lang w:eastAsia="en-US"/>
              </w:rPr>
              <w:t>193</w:t>
            </w:r>
          </w:p>
        </w:tc>
        <w:tc>
          <w:tcPr>
            <w:tcW w:w="0" w:type="auto"/>
            <w:tcBorders>
              <w:top w:val="single" w:sz="4" w:space="0" w:color="auto"/>
              <w:left w:val="single" w:sz="4" w:space="0" w:color="auto"/>
              <w:bottom w:val="single" w:sz="4" w:space="0" w:color="auto"/>
              <w:right w:val="single" w:sz="4" w:space="0" w:color="auto"/>
            </w:tcBorders>
            <w:vAlign w:val="bottom"/>
            <w:hideMark/>
          </w:tcPr>
          <w:p w14:paraId="0D504318" w14:textId="77777777" w:rsidR="007A6B86" w:rsidRDefault="007A6B86" w:rsidP="007A6B86">
            <w:pPr>
              <w:rPr>
                <w:b/>
                <w:color w:val="000000"/>
                <w:sz w:val="20"/>
                <w:szCs w:val="20"/>
                <w:lang w:eastAsia="en-US"/>
              </w:rPr>
            </w:pPr>
            <w:r>
              <w:rPr>
                <w:b/>
                <w:color w:val="000000"/>
                <w:sz w:val="20"/>
                <w:szCs w:val="20"/>
                <w:lang w:eastAsia="en-US"/>
              </w:rPr>
              <w:t>Paroccipital processes of the opisthotic, large ventrolateral region (i.e. the distal lower border is convex and bulges ventrally):</w:t>
            </w:r>
          </w:p>
          <w:p w14:paraId="5B2A9A5A" w14:textId="58C9EF5D" w:rsidR="007A6B86" w:rsidRDefault="007A6B86" w:rsidP="007A6B86">
            <w:pPr>
              <w:autoSpaceDE w:val="0"/>
              <w:autoSpaceDN w:val="0"/>
              <w:adjustRightInd w:val="0"/>
              <w:rPr>
                <w:i/>
                <w:sz w:val="20"/>
                <w:szCs w:val="20"/>
                <w:lang w:eastAsia="en-US"/>
              </w:rPr>
            </w:pPr>
            <w:r>
              <w:rPr>
                <w:i/>
                <w:sz w:val="20"/>
                <w:szCs w:val="20"/>
                <w:lang w:eastAsia="en-US"/>
              </w:rPr>
              <w:t xml:space="preserve">Young &amp; Andrade (2009, ch. 116); </w:t>
            </w:r>
            <w:r>
              <w:rPr>
                <w:bCs/>
                <w:i/>
                <w:color w:val="000000"/>
                <w:sz w:val="20"/>
                <w:szCs w:val="20"/>
                <w:lang w:eastAsia="en-US"/>
              </w:rPr>
              <w:t xml:space="preserve">Young et al. (2011, ch. 116); Young et al. (2013a, ch. 88); </w:t>
            </w:r>
            <w:r>
              <w:rPr>
                <w:i/>
                <w:sz w:val="20"/>
                <w:szCs w:val="20"/>
                <w:lang w:eastAsia="en-US"/>
              </w:rPr>
              <w:t xml:space="preserve">Young et al. (2012, ch. 105); Young (2014, ch. 108); Young et al. (2016, ds 2, ch. 126); Ristevski et al. (2018, ds 2, ch. 168); Smith et al. (in review, ds 1, ch. 172); </w:t>
            </w:r>
            <w:r>
              <w:rPr>
                <w:i/>
                <w:sz w:val="20"/>
                <w:szCs w:val="20"/>
              </w:rPr>
              <w:t>Ősi et al. (in review, ds 1, ch. 189)</w:t>
            </w:r>
            <w:r>
              <w:rPr>
                <w:i/>
                <w:sz w:val="20"/>
                <w:szCs w:val="20"/>
                <w:lang w:eastAsia="en-US"/>
              </w:rPr>
              <w:t>.</w:t>
            </w:r>
          </w:p>
          <w:p w14:paraId="0C70561A" w14:textId="77777777" w:rsidR="007A6B86" w:rsidRDefault="007A6B86" w:rsidP="007A6B86">
            <w:pPr>
              <w:rPr>
                <w:i/>
                <w:color w:val="000000"/>
                <w:sz w:val="20"/>
                <w:szCs w:val="20"/>
                <w:lang w:eastAsia="en-US"/>
              </w:rPr>
            </w:pPr>
            <w:r>
              <w:rPr>
                <w:i/>
                <w:color w:val="000000"/>
                <w:sz w:val="20"/>
                <w:szCs w:val="20"/>
                <w:lang w:eastAsia="en-US"/>
              </w:rPr>
              <w:t>State (1) occurs in Crocodyliformes.</w:t>
            </w:r>
          </w:p>
          <w:p w14:paraId="4CA3CA08" w14:textId="77777777" w:rsidR="007A6B86" w:rsidRDefault="007A6B86" w:rsidP="007A6B86">
            <w:pPr>
              <w:rPr>
                <w:color w:val="000000"/>
                <w:sz w:val="20"/>
                <w:szCs w:val="20"/>
                <w:lang w:eastAsia="en-US"/>
              </w:rPr>
            </w:pPr>
            <w:r>
              <w:rPr>
                <w:color w:val="000000"/>
                <w:sz w:val="20"/>
                <w:szCs w:val="20"/>
                <w:lang w:eastAsia="en-US"/>
              </w:rPr>
              <w:t>0. present</w:t>
            </w:r>
          </w:p>
          <w:p w14:paraId="428A83A7" w14:textId="77777777" w:rsidR="007A6B86" w:rsidRDefault="007A6B86" w:rsidP="007A6B86">
            <w:pPr>
              <w:rPr>
                <w:color w:val="000000"/>
                <w:sz w:val="20"/>
                <w:szCs w:val="20"/>
                <w:lang w:eastAsia="en-US"/>
              </w:rPr>
            </w:pPr>
            <w:r>
              <w:rPr>
                <w:color w:val="000000"/>
                <w:sz w:val="20"/>
                <w:szCs w:val="20"/>
                <w:lang w:eastAsia="en-US"/>
              </w:rPr>
              <w:t>1. absent</w:t>
            </w:r>
          </w:p>
        </w:tc>
      </w:tr>
      <w:tr w:rsidR="007A6B86" w14:paraId="4C10897D" w14:textId="77777777" w:rsidTr="007A6B86">
        <w:tc>
          <w:tcPr>
            <w:tcW w:w="0" w:type="auto"/>
            <w:tcBorders>
              <w:top w:val="single" w:sz="4" w:space="0" w:color="auto"/>
              <w:left w:val="single" w:sz="4" w:space="0" w:color="auto"/>
              <w:bottom w:val="single" w:sz="4" w:space="0" w:color="auto"/>
              <w:right w:val="single" w:sz="4" w:space="0" w:color="auto"/>
            </w:tcBorders>
          </w:tcPr>
          <w:p w14:paraId="5286EB55" w14:textId="1BB40009" w:rsidR="007A6B86" w:rsidRDefault="007A6B86" w:rsidP="007A6B86">
            <w:pPr>
              <w:rPr>
                <w:color w:val="000000"/>
                <w:sz w:val="20"/>
                <w:szCs w:val="20"/>
                <w:lang w:eastAsia="en-US"/>
              </w:rPr>
            </w:pPr>
            <w:r>
              <w:rPr>
                <w:color w:val="000000"/>
                <w:sz w:val="20"/>
                <w:szCs w:val="20"/>
                <w:lang w:eastAsia="en-US"/>
              </w:rPr>
              <w:t>194</w:t>
            </w:r>
          </w:p>
        </w:tc>
        <w:tc>
          <w:tcPr>
            <w:tcW w:w="0" w:type="auto"/>
            <w:tcBorders>
              <w:top w:val="single" w:sz="4" w:space="0" w:color="auto"/>
              <w:left w:val="single" w:sz="4" w:space="0" w:color="auto"/>
              <w:bottom w:val="single" w:sz="4" w:space="0" w:color="auto"/>
              <w:right w:val="single" w:sz="4" w:space="0" w:color="auto"/>
            </w:tcBorders>
            <w:vAlign w:val="bottom"/>
            <w:hideMark/>
          </w:tcPr>
          <w:p w14:paraId="1CFF05E8" w14:textId="77777777" w:rsidR="007A6B86" w:rsidRDefault="007A6B86" w:rsidP="007A6B86">
            <w:pPr>
              <w:rPr>
                <w:b/>
                <w:color w:val="000000"/>
                <w:sz w:val="20"/>
                <w:szCs w:val="20"/>
                <w:lang w:eastAsia="en-US"/>
              </w:rPr>
            </w:pPr>
            <w:r>
              <w:rPr>
                <w:b/>
                <w:color w:val="000000"/>
                <w:sz w:val="20"/>
                <w:szCs w:val="20"/>
                <w:lang w:eastAsia="en-US"/>
              </w:rPr>
              <w:t>Paroccipital process, overlap by the squamosal:</w:t>
            </w:r>
          </w:p>
          <w:p w14:paraId="7E924994" w14:textId="3CB41CA4" w:rsidR="007A6B86" w:rsidRDefault="007A6B86" w:rsidP="007A6B86">
            <w:pPr>
              <w:autoSpaceDE w:val="0"/>
              <w:autoSpaceDN w:val="0"/>
              <w:adjustRightInd w:val="0"/>
              <w:rPr>
                <w:i/>
                <w:sz w:val="20"/>
                <w:szCs w:val="20"/>
                <w:lang w:eastAsia="en-US"/>
              </w:rPr>
            </w:pPr>
            <w:r>
              <w:rPr>
                <w:i/>
                <w:sz w:val="20"/>
                <w:szCs w:val="20"/>
                <w:lang w:eastAsia="en-US"/>
              </w:rPr>
              <w:t xml:space="preserve">Young &amp; Andrade (2009, ch. 119); </w:t>
            </w:r>
            <w:r>
              <w:rPr>
                <w:bCs/>
                <w:i/>
                <w:color w:val="000000"/>
                <w:sz w:val="20"/>
                <w:szCs w:val="20"/>
                <w:lang w:eastAsia="en-US"/>
              </w:rPr>
              <w:t xml:space="preserve">Young et al. (2011, ch. 119); Young et al. (2013a, ch. 89); </w:t>
            </w:r>
            <w:r>
              <w:rPr>
                <w:i/>
                <w:sz w:val="20"/>
                <w:szCs w:val="20"/>
                <w:lang w:eastAsia="en-US"/>
              </w:rPr>
              <w:t xml:space="preserve">Young et al. (2012, ch. 106); Young (2014, ch. 109); Young et al. (2016, ds 2, ch. 127); Ristevski et al. (2018, ds 2, ch. 169); Smith et al. (in review, ds 1, ch. 173); </w:t>
            </w:r>
            <w:r>
              <w:rPr>
                <w:i/>
                <w:sz w:val="20"/>
                <w:szCs w:val="20"/>
              </w:rPr>
              <w:t>Ősi et al. (in review, ds 1, ch. 190)</w:t>
            </w:r>
            <w:r>
              <w:rPr>
                <w:i/>
                <w:sz w:val="20"/>
                <w:szCs w:val="20"/>
                <w:lang w:eastAsia="en-US"/>
              </w:rPr>
              <w:t>.</w:t>
            </w:r>
          </w:p>
          <w:p w14:paraId="4D1DAABA" w14:textId="77777777" w:rsidR="007A6B86" w:rsidRDefault="007A6B86" w:rsidP="007A6B86">
            <w:pPr>
              <w:rPr>
                <w:color w:val="000000"/>
                <w:sz w:val="20"/>
                <w:szCs w:val="20"/>
                <w:lang w:eastAsia="en-US"/>
              </w:rPr>
            </w:pPr>
            <w:r>
              <w:rPr>
                <w:color w:val="000000"/>
                <w:sz w:val="20"/>
                <w:szCs w:val="20"/>
                <w:lang w:eastAsia="en-US"/>
              </w:rPr>
              <w:t>0. small: the squamosal does not extend more posteriorly than the paroccipital process</w:t>
            </w:r>
          </w:p>
          <w:p w14:paraId="062B7412" w14:textId="77777777" w:rsidR="007A6B86" w:rsidRDefault="007A6B86" w:rsidP="007A6B86">
            <w:pPr>
              <w:rPr>
                <w:color w:val="000000"/>
                <w:sz w:val="20"/>
                <w:szCs w:val="20"/>
                <w:lang w:eastAsia="en-US"/>
              </w:rPr>
            </w:pPr>
            <w:r>
              <w:rPr>
                <w:color w:val="000000"/>
                <w:sz w:val="20"/>
                <w:szCs w:val="20"/>
                <w:lang w:eastAsia="en-US"/>
              </w:rPr>
              <w:t>1. large: it extends further posteriorly than the paroccipital process</w:t>
            </w:r>
          </w:p>
        </w:tc>
      </w:tr>
      <w:tr w:rsidR="007A6B86" w14:paraId="1016818F" w14:textId="77777777" w:rsidTr="007A6B86">
        <w:tc>
          <w:tcPr>
            <w:tcW w:w="0" w:type="auto"/>
            <w:tcBorders>
              <w:top w:val="single" w:sz="4" w:space="0" w:color="auto"/>
              <w:left w:val="single" w:sz="4" w:space="0" w:color="auto"/>
              <w:bottom w:val="single" w:sz="4" w:space="0" w:color="auto"/>
              <w:right w:val="single" w:sz="4" w:space="0" w:color="auto"/>
            </w:tcBorders>
          </w:tcPr>
          <w:p w14:paraId="31776E08" w14:textId="6372113D" w:rsidR="007A6B86" w:rsidRDefault="007A6B86" w:rsidP="007A6B86">
            <w:pPr>
              <w:rPr>
                <w:color w:val="000000"/>
                <w:sz w:val="20"/>
                <w:szCs w:val="20"/>
                <w:lang w:eastAsia="en-US"/>
              </w:rPr>
            </w:pPr>
            <w:r>
              <w:rPr>
                <w:color w:val="000000"/>
                <w:sz w:val="20"/>
                <w:szCs w:val="20"/>
                <w:lang w:eastAsia="en-US"/>
              </w:rPr>
              <w:t>195</w:t>
            </w:r>
          </w:p>
        </w:tc>
        <w:tc>
          <w:tcPr>
            <w:tcW w:w="0" w:type="auto"/>
            <w:tcBorders>
              <w:top w:val="single" w:sz="4" w:space="0" w:color="auto"/>
              <w:left w:val="single" w:sz="4" w:space="0" w:color="auto"/>
              <w:bottom w:val="single" w:sz="4" w:space="0" w:color="auto"/>
              <w:right w:val="single" w:sz="4" w:space="0" w:color="auto"/>
            </w:tcBorders>
            <w:vAlign w:val="bottom"/>
            <w:hideMark/>
          </w:tcPr>
          <w:p w14:paraId="4DC4F8C7" w14:textId="77777777" w:rsidR="007A6B86" w:rsidRDefault="007A6B86" w:rsidP="007A6B86">
            <w:pPr>
              <w:rPr>
                <w:b/>
                <w:color w:val="000000"/>
                <w:sz w:val="20"/>
                <w:szCs w:val="20"/>
                <w:lang w:eastAsia="en-US"/>
              </w:rPr>
            </w:pPr>
            <w:r>
              <w:rPr>
                <w:b/>
                <w:color w:val="000000"/>
                <w:sz w:val="20"/>
                <w:szCs w:val="20"/>
                <w:lang w:eastAsia="en-US"/>
              </w:rPr>
              <w:t>Foramen for cranial nerve XII (hypoglossal), position on occipit:</w:t>
            </w:r>
          </w:p>
          <w:p w14:paraId="1888DC43" w14:textId="0CE173EB"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10); Young &amp; Andrade (2009, ch. 10); </w:t>
            </w:r>
            <w:r>
              <w:rPr>
                <w:bCs/>
                <w:i/>
                <w:color w:val="000000"/>
                <w:sz w:val="20"/>
                <w:szCs w:val="20"/>
                <w:lang w:eastAsia="en-US"/>
              </w:rPr>
              <w:t xml:space="preserve">Young et al. (2011, ch. 10); Young et al. (2013a, ch. 90); </w:t>
            </w:r>
            <w:r>
              <w:rPr>
                <w:i/>
                <w:sz w:val="20"/>
                <w:szCs w:val="20"/>
                <w:lang w:eastAsia="en-US"/>
              </w:rPr>
              <w:t xml:space="preserve">Young et al. (2012, ch. 107); Young (2014, ch. 110); Young et al. (2016, ds 2, ch. 129); Ristevski et al. (2018, ds 2, ch. 170); Smith et al. (in review, ds 1, ch. 174); </w:t>
            </w:r>
            <w:r>
              <w:rPr>
                <w:i/>
                <w:sz w:val="20"/>
                <w:szCs w:val="20"/>
              </w:rPr>
              <w:t>Ősi et al. (in review, ds 1, ch. 191)</w:t>
            </w:r>
            <w:r>
              <w:rPr>
                <w:i/>
                <w:sz w:val="20"/>
                <w:szCs w:val="20"/>
                <w:lang w:eastAsia="en-US"/>
              </w:rPr>
              <w:t>.</w:t>
            </w:r>
          </w:p>
          <w:p w14:paraId="5576B461" w14:textId="77777777" w:rsidR="007A6B86" w:rsidRDefault="007A6B86" w:rsidP="007A6B86">
            <w:pPr>
              <w:rPr>
                <w:color w:val="000000"/>
                <w:sz w:val="20"/>
                <w:szCs w:val="20"/>
                <w:lang w:eastAsia="en-US"/>
              </w:rPr>
            </w:pPr>
            <w:r>
              <w:rPr>
                <w:color w:val="000000"/>
                <w:sz w:val="20"/>
                <w:szCs w:val="20"/>
                <w:lang w:eastAsia="en-US"/>
              </w:rPr>
              <w:lastRenderedPageBreak/>
              <w:t>0. above the occipital condyle in line with the foramen magnum</w:t>
            </w:r>
          </w:p>
          <w:p w14:paraId="45F2D65D" w14:textId="77777777" w:rsidR="007A6B86" w:rsidRDefault="007A6B86" w:rsidP="007A6B86">
            <w:pPr>
              <w:rPr>
                <w:color w:val="000000"/>
                <w:sz w:val="20"/>
                <w:szCs w:val="20"/>
                <w:lang w:eastAsia="en-US"/>
              </w:rPr>
            </w:pPr>
            <w:r>
              <w:rPr>
                <w:color w:val="000000"/>
                <w:sz w:val="20"/>
                <w:szCs w:val="20"/>
                <w:lang w:eastAsia="en-US"/>
              </w:rPr>
              <w:t>1. below the foramen magnum</w:t>
            </w:r>
          </w:p>
        </w:tc>
      </w:tr>
      <w:tr w:rsidR="007A6B86" w14:paraId="2C3DAA6A" w14:textId="77777777" w:rsidTr="007A6B86">
        <w:tc>
          <w:tcPr>
            <w:tcW w:w="0" w:type="auto"/>
            <w:tcBorders>
              <w:top w:val="single" w:sz="4" w:space="0" w:color="auto"/>
              <w:left w:val="single" w:sz="4" w:space="0" w:color="auto"/>
              <w:bottom w:val="single" w:sz="4" w:space="0" w:color="auto"/>
              <w:right w:val="single" w:sz="4" w:space="0" w:color="auto"/>
            </w:tcBorders>
          </w:tcPr>
          <w:p w14:paraId="4A750146" w14:textId="2A0C454D" w:rsidR="007A6B86" w:rsidRDefault="007A6B86" w:rsidP="007A6B86">
            <w:pPr>
              <w:rPr>
                <w:color w:val="000000"/>
                <w:sz w:val="20"/>
                <w:szCs w:val="20"/>
                <w:lang w:eastAsia="en-US"/>
              </w:rPr>
            </w:pPr>
            <w:r>
              <w:rPr>
                <w:color w:val="000000"/>
                <w:sz w:val="20"/>
                <w:szCs w:val="20"/>
                <w:lang w:eastAsia="en-US"/>
              </w:rPr>
              <w:lastRenderedPageBreak/>
              <w:t>196</w:t>
            </w:r>
          </w:p>
        </w:tc>
        <w:tc>
          <w:tcPr>
            <w:tcW w:w="0" w:type="auto"/>
            <w:tcBorders>
              <w:top w:val="single" w:sz="4" w:space="0" w:color="auto"/>
              <w:left w:val="single" w:sz="4" w:space="0" w:color="auto"/>
              <w:bottom w:val="single" w:sz="4" w:space="0" w:color="auto"/>
              <w:right w:val="single" w:sz="4" w:space="0" w:color="auto"/>
            </w:tcBorders>
            <w:vAlign w:val="bottom"/>
            <w:hideMark/>
          </w:tcPr>
          <w:p w14:paraId="05BEA85C" w14:textId="77777777" w:rsidR="007A6B86" w:rsidRDefault="007A6B86" w:rsidP="007A6B86">
            <w:pPr>
              <w:rPr>
                <w:b/>
                <w:color w:val="000000"/>
                <w:sz w:val="20"/>
                <w:szCs w:val="20"/>
                <w:lang w:eastAsia="en-US"/>
              </w:rPr>
            </w:pPr>
            <w:r>
              <w:rPr>
                <w:b/>
                <w:color w:val="000000"/>
                <w:sz w:val="20"/>
                <w:szCs w:val="20"/>
                <w:lang w:eastAsia="en-US"/>
              </w:rPr>
              <w:t xml:space="preserve">Foramen for cranial nerve XII (hypoglossal), sits in the dorsomedial corner of ‘occipital fossae’ – concave depressions on the exoccipital on either side of the skull midline: </w:t>
            </w:r>
          </w:p>
          <w:p w14:paraId="7E4D814C" w14:textId="12F7C4FC" w:rsidR="007A6B86" w:rsidRDefault="007A6B86" w:rsidP="007A6B86">
            <w:pPr>
              <w:rPr>
                <w:i/>
                <w:color w:val="000000"/>
                <w:sz w:val="20"/>
                <w:szCs w:val="20"/>
                <w:lang w:eastAsia="en-US"/>
              </w:rPr>
            </w:pPr>
            <w:r>
              <w:rPr>
                <w:i/>
                <w:sz w:val="20"/>
                <w:szCs w:val="20"/>
                <w:lang w:eastAsia="en-US"/>
              </w:rPr>
              <w:t xml:space="preserve">Ristevski et al. (2018, ds 2, ch. 171); Smith et al. (in review, ds 1, ch. 175); </w:t>
            </w:r>
            <w:r>
              <w:rPr>
                <w:i/>
                <w:sz w:val="20"/>
                <w:szCs w:val="20"/>
              </w:rPr>
              <w:t>Ősi et al. (in review, ds 1, ch. 192)</w:t>
            </w:r>
            <w:r>
              <w:rPr>
                <w:i/>
                <w:sz w:val="20"/>
                <w:szCs w:val="20"/>
                <w:lang w:eastAsia="en-US"/>
              </w:rPr>
              <w:t>.</w:t>
            </w:r>
          </w:p>
          <w:p w14:paraId="7E66436E" w14:textId="77777777" w:rsidR="007A6B86" w:rsidRDefault="007A6B86" w:rsidP="007A6B86">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Torvoneustes.</w:t>
            </w:r>
          </w:p>
          <w:p w14:paraId="3435D8DC" w14:textId="77777777" w:rsidR="007A6B86" w:rsidRDefault="007A6B86" w:rsidP="007A6B86">
            <w:pPr>
              <w:rPr>
                <w:color w:val="000000"/>
                <w:sz w:val="20"/>
                <w:szCs w:val="20"/>
                <w:lang w:eastAsia="en-US"/>
              </w:rPr>
            </w:pPr>
            <w:r>
              <w:rPr>
                <w:color w:val="000000"/>
                <w:sz w:val="20"/>
                <w:szCs w:val="20"/>
                <w:lang w:eastAsia="en-US"/>
              </w:rPr>
              <w:t>0. absent</w:t>
            </w:r>
          </w:p>
          <w:p w14:paraId="10CD3A2E" w14:textId="77777777" w:rsidR="007A6B86" w:rsidRDefault="007A6B86" w:rsidP="007A6B86">
            <w:pPr>
              <w:rPr>
                <w:b/>
                <w:color w:val="000000"/>
                <w:sz w:val="20"/>
                <w:szCs w:val="20"/>
                <w:lang w:eastAsia="en-US"/>
              </w:rPr>
            </w:pPr>
            <w:r>
              <w:rPr>
                <w:color w:val="000000"/>
                <w:sz w:val="20"/>
                <w:szCs w:val="20"/>
                <w:lang w:eastAsia="en-US"/>
              </w:rPr>
              <w:t>1. present</w:t>
            </w:r>
          </w:p>
        </w:tc>
      </w:tr>
      <w:tr w:rsidR="007A6B86" w14:paraId="083FDB89" w14:textId="77777777" w:rsidTr="007A6B86">
        <w:tc>
          <w:tcPr>
            <w:tcW w:w="0" w:type="auto"/>
            <w:tcBorders>
              <w:top w:val="single" w:sz="4" w:space="0" w:color="auto"/>
              <w:left w:val="single" w:sz="4" w:space="0" w:color="auto"/>
              <w:bottom w:val="single" w:sz="4" w:space="0" w:color="auto"/>
              <w:right w:val="single" w:sz="4" w:space="0" w:color="auto"/>
            </w:tcBorders>
          </w:tcPr>
          <w:p w14:paraId="54BF64B8" w14:textId="33CB6348" w:rsidR="007A6B86" w:rsidRDefault="007A6B86" w:rsidP="007A6B86">
            <w:pPr>
              <w:rPr>
                <w:color w:val="000000"/>
                <w:sz w:val="20"/>
                <w:szCs w:val="20"/>
                <w:lang w:eastAsia="en-US"/>
              </w:rPr>
            </w:pPr>
            <w:r>
              <w:rPr>
                <w:color w:val="000000"/>
                <w:sz w:val="20"/>
                <w:szCs w:val="20"/>
                <w:lang w:eastAsia="en-US"/>
              </w:rPr>
              <w:t>197</w:t>
            </w:r>
          </w:p>
        </w:tc>
        <w:tc>
          <w:tcPr>
            <w:tcW w:w="0" w:type="auto"/>
            <w:tcBorders>
              <w:top w:val="single" w:sz="4" w:space="0" w:color="auto"/>
              <w:left w:val="single" w:sz="4" w:space="0" w:color="auto"/>
              <w:bottom w:val="single" w:sz="4" w:space="0" w:color="auto"/>
              <w:right w:val="single" w:sz="4" w:space="0" w:color="auto"/>
            </w:tcBorders>
            <w:vAlign w:val="bottom"/>
            <w:hideMark/>
          </w:tcPr>
          <w:p w14:paraId="4D87DA3C" w14:textId="77777777" w:rsidR="007A6B86" w:rsidRDefault="007A6B86" w:rsidP="007A6B86">
            <w:pPr>
              <w:rPr>
                <w:b/>
                <w:color w:val="000000"/>
                <w:sz w:val="20"/>
                <w:szCs w:val="20"/>
                <w:lang w:eastAsia="en-US"/>
              </w:rPr>
            </w:pPr>
            <w:r>
              <w:rPr>
                <w:b/>
                <w:color w:val="000000"/>
                <w:sz w:val="20"/>
                <w:szCs w:val="20"/>
                <w:lang w:eastAsia="en-US"/>
              </w:rPr>
              <w:t xml:space="preserve">Foramen for the internal carotid artery, external margin of the foramen is raised relative to the posterior face of the basioccipital, forming a sub-rectangular shape: </w:t>
            </w:r>
          </w:p>
          <w:p w14:paraId="6FCBFF25" w14:textId="1EA896A8" w:rsidR="007A6B86" w:rsidRDefault="007A6B86" w:rsidP="007A6B86">
            <w:pPr>
              <w:rPr>
                <w:i/>
                <w:color w:val="000000"/>
                <w:sz w:val="20"/>
                <w:szCs w:val="20"/>
                <w:lang w:eastAsia="en-US"/>
              </w:rPr>
            </w:pPr>
            <w:r>
              <w:rPr>
                <w:i/>
                <w:sz w:val="20"/>
                <w:szCs w:val="20"/>
                <w:lang w:eastAsia="en-US"/>
              </w:rPr>
              <w:t xml:space="preserve">Ristevski et al. (2018, ds 2, ch. 172); Smith et al. (in review, ds 1, ch. 176); </w:t>
            </w:r>
            <w:r>
              <w:rPr>
                <w:i/>
                <w:sz w:val="20"/>
                <w:szCs w:val="20"/>
              </w:rPr>
              <w:t>Ősi et al. (in review, ds 1, ch. 193)</w:t>
            </w:r>
            <w:r>
              <w:rPr>
                <w:i/>
                <w:sz w:val="20"/>
                <w:szCs w:val="20"/>
                <w:lang w:eastAsia="en-US"/>
              </w:rPr>
              <w:t>.</w:t>
            </w:r>
          </w:p>
          <w:p w14:paraId="000815FF" w14:textId="77777777" w:rsidR="007A6B86" w:rsidRDefault="007A6B86" w:rsidP="007A6B86">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Torvoneustes.</w:t>
            </w:r>
          </w:p>
          <w:p w14:paraId="51408C50" w14:textId="77777777" w:rsidR="007A6B86" w:rsidRDefault="007A6B86" w:rsidP="007A6B86">
            <w:pPr>
              <w:rPr>
                <w:color w:val="000000"/>
                <w:sz w:val="20"/>
                <w:szCs w:val="20"/>
                <w:lang w:eastAsia="en-US"/>
              </w:rPr>
            </w:pPr>
            <w:r>
              <w:rPr>
                <w:color w:val="000000"/>
                <w:sz w:val="20"/>
                <w:szCs w:val="20"/>
                <w:lang w:eastAsia="en-US"/>
              </w:rPr>
              <w:t>0. no</w:t>
            </w:r>
          </w:p>
          <w:p w14:paraId="3453A724" w14:textId="77777777" w:rsidR="007A6B86" w:rsidRDefault="007A6B86" w:rsidP="007A6B86">
            <w:pPr>
              <w:rPr>
                <w:b/>
                <w:color w:val="000000"/>
                <w:sz w:val="20"/>
                <w:szCs w:val="20"/>
                <w:lang w:eastAsia="en-US"/>
              </w:rPr>
            </w:pPr>
            <w:r>
              <w:rPr>
                <w:color w:val="000000"/>
                <w:sz w:val="20"/>
                <w:szCs w:val="20"/>
                <w:lang w:eastAsia="en-US"/>
              </w:rPr>
              <w:t>1. yes</w:t>
            </w:r>
          </w:p>
        </w:tc>
      </w:tr>
      <w:tr w:rsidR="007A6B86" w14:paraId="0D1C3173" w14:textId="77777777" w:rsidTr="007A6B86">
        <w:tc>
          <w:tcPr>
            <w:tcW w:w="0" w:type="auto"/>
            <w:tcBorders>
              <w:top w:val="single" w:sz="4" w:space="0" w:color="auto"/>
              <w:left w:val="single" w:sz="4" w:space="0" w:color="auto"/>
              <w:bottom w:val="single" w:sz="4" w:space="0" w:color="auto"/>
              <w:right w:val="single" w:sz="4" w:space="0" w:color="auto"/>
            </w:tcBorders>
          </w:tcPr>
          <w:p w14:paraId="14D5C6E0" w14:textId="1CAC7F80" w:rsidR="007A6B86" w:rsidRDefault="007A6B86" w:rsidP="007A6B86">
            <w:pPr>
              <w:rPr>
                <w:color w:val="000000"/>
                <w:sz w:val="20"/>
                <w:szCs w:val="20"/>
                <w:lang w:eastAsia="en-US"/>
              </w:rPr>
            </w:pPr>
            <w:r>
              <w:rPr>
                <w:color w:val="000000"/>
                <w:sz w:val="20"/>
                <w:szCs w:val="20"/>
                <w:lang w:eastAsia="en-US"/>
              </w:rPr>
              <w:t>198</w:t>
            </w:r>
          </w:p>
        </w:tc>
        <w:tc>
          <w:tcPr>
            <w:tcW w:w="0" w:type="auto"/>
            <w:tcBorders>
              <w:top w:val="single" w:sz="4" w:space="0" w:color="auto"/>
              <w:left w:val="single" w:sz="4" w:space="0" w:color="auto"/>
              <w:bottom w:val="single" w:sz="4" w:space="0" w:color="auto"/>
              <w:right w:val="single" w:sz="4" w:space="0" w:color="auto"/>
            </w:tcBorders>
            <w:vAlign w:val="bottom"/>
            <w:hideMark/>
          </w:tcPr>
          <w:p w14:paraId="683B4A60" w14:textId="77777777" w:rsidR="007A6B86" w:rsidRDefault="007A6B86" w:rsidP="007A6B86">
            <w:pPr>
              <w:rPr>
                <w:b/>
                <w:color w:val="000000"/>
                <w:sz w:val="20"/>
                <w:szCs w:val="20"/>
                <w:lang w:eastAsia="en-US"/>
              </w:rPr>
            </w:pPr>
            <w:r>
              <w:rPr>
                <w:b/>
                <w:color w:val="000000"/>
                <w:sz w:val="20"/>
                <w:szCs w:val="20"/>
                <w:lang w:eastAsia="en-US"/>
              </w:rPr>
              <w:t xml:space="preserve">Foramen for the internal carotid artery, size: </w:t>
            </w:r>
          </w:p>
          <w:p w14:paraId="45A13E42" w14:textId="019B7C0B"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11); Young &amp; Andrade (2009, ch. 11); </w:t>
            </w:r>
            <w:r>
              <w:rPr>
                <w:bCs/>
                <w:i/>
                <w:color w:val="000000"/>
                <w:sz w:val="20"/>
                <w:szCs w:val="20"/>
                <w:lang w:eastAsia="en-US"/>
              </w:rPr>
              <w:t xml:space="preserve">Young et al. (2011, ch. 11); Young et al. (2013a, ch. 91); </w:t>
            </w:r>
            <w:r>
              <w:rPr>
                <w:i/>
                <w:sz w:val="20"/>
                <w:szCs w:val="20"/>
                <w:lang w:eastAsia="en-US"/>
              </w:rPr>
              <w:t>Young et al. (2012, ch. 108); Young (2014, ch. 111); Young et al. (2016, ds 2, ch. 130); Ristevski et al. (2018, ds 2, ch. 173); Smith et al. (in review, ds 1, ch. 177);</w:t>
            </w:r>
            <w:r>
              <w:rPr>
                <w:i/>
                <w:sz w:val="20"/>
                <w:szCs w:val="20"/>
              </w:rPr>
              <w:t xml:space="preserve"> Ősi et al. (in review, ds 1, ch. 194)</w:t>
            </w:r>
            <w:r>
              <w:rPr>
                <w:i/>
                <w:sz w:val="20"/>
                <w:szCs w:val="20"/>
                <w:lang w:eastAsia="en-US"/>
              </w:rPr>
              <w:t>.</w:t>
            </w:r>
          </w:p>
          <w:p w14:paraId="55DE4DB5" w14:textId="77777777" w:rsidR="007A6B86" w:rsidRDefault="007A6B86" w:rsidP="007A6B86">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Pelagosaurus</w:t>
            </w:r>
            <w:r>
              <w:rPr>
                <w:i/>
                <w:color w:val="000000"/>
                <w:sz w:val="20"/>
                <w:szCs w:val="20"/>
                <w:lang w:eastAsia="en-US"/>
              </w:rPr>
              <w:t xml:space="preserve"> + Metriorhynchidae.</w:t>
            </w:r>
          </w:p>
          <w:p w14:paraId="4C57E987" w14:textId="77777777" w:rsidR="007A6B86" w:rsidRDefault="007A6B86" w:rsidP="007A6B86">
            <w:pPr>
              <w:rPr>
                <w:color w:val="000000"/>
                <w:sz w:val="20"/>
                <w:szCs w:val="20"/>
                <w:lang w:eastAsia="en-US"/>
              </w:rPr>
            </w:pPr>
            <w:r>
              <w:rPr>
                <w:color w:val="000000"/>
                <w:sz w:val="20"/>
                <w:szCs w:val="20"/>
                <w:lang w:eastAsia="en-US"/>
              </w:rPr>
              <w:t>0. similar in size to the openings for cranial nerves IX–XI</w:t>
            </w:r>
          </w:p>
          <w:p w14:paraId="63A6B28A" w14:textId="77777777" w:rsidR="007A6B86" w:rsidRDefault="007A6B86" w:rsidP="007A6B86">
            <w:pPr>
              <w:rPr>
                <w:color w:val="000000"/>
                <w:sz w:val="20"/>
                <w:szCs w:val="20"/>
                <w:lang w:eastAsia="en-US"/>
              </w:rPr>
            </w:pPr>
            <w:r>
              <w:rPr>
                <w:color w:val="000000"/>
                <w:sz w:val="20"/>
                <w:szCs w:val="20"/>
                <w:lang w:eastAsia="en-US"/>
              </w:rPr>
              <w:t>1. extremely enlarged</w:t>
            </w:r>
          </w:p>
        </w:tc>
      </w:tr>
      <w:tr w:rsidR="007A6B86" w14:paraId="70BE635E" w14:textId="77777777" w:rsidTr="007A6B86">
        <w:tc>
          <w:tcPr>
            <w:tcW w:w="0" w:type="auto"/>
            <w:tcBorders>
              <w:top w:val="single" w:sz="4" w:space="0" w:color="auto"/>
              <w:left w:val="single" w:sz="4" w:space="0" w:color="auto"/>
              <w:bottom w:val="single" w:sz="4" w:space="0" w:color="auto"/>
              <w:right w:val="single" w:sz="4" w:space="0" w:color="auto"/>
            </w:tcBorders>
          </w:tcPr>
          <w:p w14:paraId="0DA1D00A" w14:textId="20A409C6" w:rsidR="007A6B86" w:rsidRDefault="007A6B86" w:rsidP="007A6B86">
            <w:pPr>
              <w:rPr>
                <w:color w:val="000000"/>
                <w:sz w:val="20"/>
                <w:szCs w:val="20"/>
                <w:lang w:eastAsia="en-US"/>
              </w:rPr>
            </w:pPr>
            <w:r>
              <w:rPr>
                <w:color w:val="000000"/>
                <w:sz w:val="20"/>
                <w:szCs w:val="20"/>
                <w:lang w:eastAsia="en-US"/>
              </w:rPr>
              <w:t>199</w:t>
            </w:r>
          </w:p>
        </w:tc>
        <w:tc>
          <w:tcPr>
            <w:tcW w:w="0" w:type="auto"/>
            <w:tcBorders>
              <w:top w:val="single" w:sz="4" w:space="0" w:color="auto"/>
              <w:left w:val="single" w:sz="4" w:space="0" w:color="auto"/>
              <w:bottom w:val="single" w:sz="4" w:space="0" w:color="auto"/>
              <w:right w:val="single" w:sz="4" w:space="0" w:color="auto"/>
            </w:tcBorders>
            <w:vAlign w:val="bottom"/>
            <w:hideMark/>
          </w:tcPr>
          <w:p w14:paraId="13B6B925" w14:textId="77777777" w:rsidR="007A6B86" w:rsidRDefault="007A6B86" w:rsidP="007A6B86">
            <w:pPr>
              <w:autoSpaceDE w:val="0"/>
              <w:autoSpaceDN w:val="0"/>
              <w:adjustRightInd w:val="0"/>
              <w:rPr>
                <w:b/>
                <w:bCs/>
                <w:color w:val="000000"/>
                <w:sz w:val="20"/>
                <w:szCs w:val="20"/>
                <w:lang w:eastAsia="en-US"/>
              </w:rPr>
            </w:pPr>
            <w:r>
              <w:rPr>
                <w:b/>
                <w:bCs/>
                <w:color w:val="000000"/>
                <w:sz w:val="20"/>
                <w:szCs w:val="20"/>
                <w:lang w:eastAsia="en-US"/>
              </w:rPr>
              <w:t>Exoccipital, presence of descending flange ventral to subcapsular process:</w:t>
            </w:r>
          </w:p>
          <w:p w14:paraId="63E98C0B" w14:textId="12E2D637"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Clark (1994, ch. 58);</w:t>
            </w:r>
            <w:r>
              <w:rPr>
                <w:b/>
                <w:bCs/>
                <w:color w:val="000000"/>
                <w:sz w:val="20"/>
                <w:szCs w:val="20"/>
                <w:lang w:eastAsia="en-US"/>
              </w:rPr>
              <w:t xml:space="preserve"> </w:t>
            </w:r>
            <w:r>
              <w:rPr>
                <w:bCs/>
                <w:i/>
                <w:color w:val="000000"/>
                <w:sz w:val="20"/>
                <w:lang w:eastAsia="en-US"/>
              </w:rPr>
              <w:t xml:space="preserve">Andrade et al. (2011, ch. 273); </w:t>
            </w:r>
            <w:r>
              <w:rPr>
                <w:i/>
                <w:sz w:val="20"/>
                <w:szCs w:val="20"/>
                <w:lang w:eastAsia="en-US"/>
              </w:rPr>
              <w:t xml:space="preserve">Ristevski et al. (2018, ds 2, ch. 174); Smith et al. (in review, ds 1, ch. 178); </w:t>
            </w:r>
            <w:r>
              <w:rPr>
                <w:i/>
                <w:sz w:val="20"/>
                <w:szCs w:val="20"/>
              </w:rPr>
              <w:t>Ősi et al. (in review, ds 1, ch. 195)</w:t>
            </w:r>
            <w:r>
              <w:rPr>
                <w:bCs/>
                <w:i/>
                <w:color w:val="000000"/>
                <w:sz w:val="20"/>
                <w:lang w:eastAsia="en-US"/>
              </w:rPr>
              <w:t>.</w:t>
            </w:r>
          </w:p>
          <w:p w14:paraId="11AE6667" w14:textId="77777777" w:rsidR="007A6B86" w:rsidRDefault="007A6B86" w:rsidP="007A6B86">
            <w:pPr>
              <w:autoSpaceDE w:val="0"/>
              <w:autoSpaceDN w:val="0"/>
              <w:adjustRightInd w:val="0"/>
              <w:rPr>
                <w:color w:val="000000"/>
                <w:sz w:val="20"/>
                <w:szCs w:val="20"/>
                <w:lang w:eastAsia="en-US"/>
              </w:rPr>
            </w:pPr>
            <w:r>
              <w:rPr>
                <w:i/>
                <w:iCs/>
                <w:color w:val="000000"/>
                <w:sz w:val="20"/>
                <w:szCs w:val="20"/>
                <w:lang w:eastAsia="en-US"/>
              </w:rPr>
              <w:t xml:space="preserve">State (1) is putative apomorphy of protosuchids, but also present at least in </w:t>
            </w:r>
            <w:r>
              <w:rPr>
                <w:color w:val="000000"/>
                <w:sz w:val="20"/>
                <w:szCs w:val="20"/>
                <w:lang w:eastAsia="en-US"/>
              </w:rPr>
              <w:t>Araripesuchus tsangatsangana</w:t>
            </w:r>
            <w:r>
              <w:rPr>
                <w:i/>
                <w:iCs/>
                <w:color w:val="000000"/>
                <w:sz w:val="20"/>
                <w:szCs w:val="20"/>
                <w:lang w:eastAsia="en-US"/>
              </w:rPr>
              <w:t>.</w:t>
            </w:r>
          </w:p>
          <w:p w14:paraId="6A9B402D"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0. absent</w:t>
            </w:r>
          </w:p>
          <w:p w14:paraId="60F9F87B" w14:textId="77777777" w:rsidR="007A6B86" w:rsidRDefault="007A6B86" w:rsidP="007A6B86">
            <w:pPr>
              <w:rPr>
                <w:sz w:val="20"/>
                <w:szCs w:val="20"/>
                <w:lang w:eastAsia="en-US"/>
              </w:rPr>
            </w:pPr>
            <w:r>
              <w:rPr>
                <w:color w:val="000000"/>
                <w:sz w:val="20"/>
                <w:szCs w:val="20"/>
                <w:lang w:eastAsia="en-US"/>
              </w:rPr>
              <w:t>1. present, laterally concave</w:t>
            </w:r>
          </w:p>
        </w:tc>
      </w:tr>
      <w:tr w:rsidR="007A6B86" w14:paraId="5D9984E2" w14:textId="77777777" w:rsidTr="007A6B86">
        <w:tc>
          <w:tcPr>
            <w:tcW w:w="0" w:type="auto"/>
            <w:tcBorders>
              <w:top w:val="single" w:sz="4" w:space="0" w:color="auto"/>
              <w:left w:val="single" w:sz="4" w:space="0" w:color="auto"/>
              <w:bottom w:val="single" w:sz="4" w:space="0" w:color="auto"/>
              <w:right w:val="single" w:sz="4" w:space="0" w:color="auto"/>
            </w:tcBorders>
          </w:tcPr>
          <w:p w14:paraId="52F70170" w14:textId="6211F4C0" w:rsidR="007A6B86" w:rsidRDefault="007A6B86" w:rsidP="007A6B86">
            <w:pPr>
              <w:rPr>
                <w:color w:val="000000"/>
                <w:sz w:val="20"/>
                <w:szCs w:val="20"/>
                <w:lang w:eastAsia="en-US"/>
              </w:rPr>
            </w:pPr>
            <w:r>
              <w:rPr>
                <w:color w:val="000000"/>
                <w:sz w:val="20"/>
                <w:szCs w:val="20"/>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hideMark/>
          </w:tcPr>
          <w:p w14:paraId="68FEFBEE" w14:textId="77777777" w:rsidR="007A6B86" w:rsidRDefault="007A6B86" w:rsidP="007A6B86">
            <w:pPr>
              <w:autoSpaceDE w:val="0"/>
              <w:autoSpaceDN w:val="0"/>
              <w:adjustRightInd w:val="0"/>
              <w:rPr>
                <w:b/>
                <w:bCs/>
                <w:color w:val="000000"/>
                <w:sz w:val="20"/>
                <w:szCs w:val="20"/>
                <w:lang w:eastAsia="en-US"/>
              </w:rPr>
            </w:pPr>
            <w:r>
              <w:rPr>
                <w:b/>
                <w:bCs/>
                <w:color w:val="000000"/>
                <w:sz w:val="20"/>
                <w:szCs w:val="20"/>
                <w:lang w:eastAsia="en-US"/>
              </w:rPr>
              <w:t>Exoccipital, extent of contact with the quadrate:</w:t>
            </w:r>
          </w:p>
          <w:p w14:paraId="1913B5ED" w14:textId="0F1E100C"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Clark (1994, ch. 48 modified + 51);</w:t>
            </w:r>
            <w:r>
              <w:rPr>
                <w:b/>
                <w:bCs/>
                <w:color w:val="000000"/>
                <w:sz w:val="20"/>
                <w:szCs w:val="20"/>
                <w:lang w:eastAsia="en-US"/>
              </w:rPr>
              <w:t xml:space="preserve"> </w:t>
            </w:r>
            <w:r>
              <w:rPr>
                <w:bCs/>
                <w:i/>
                <w:color w:val="000000"/>
                <w:sz w:val="20"/>
                <w:lang w:eastAsia="en-US"/>
              </w:rPr>
              <w:t xml:space="preserve">Andrade et al. (2011, ch. 274); </w:t>
            </w:r>
            <w:r>
              <w:rPr>
                <w:i/>
                <w:sz w:val="20"/>
                <w:szCs w:val="20"/>
                <w:lang w:eastAsia="en-US"/>
              </w:rPr>
              <w:t xml:space="preserve">Ristevski et al. (2018, ds 2, ch. 175); Smith et al. (in review, ds 1, ch. 179); </w:t>
            </w:r>
            <w:r>
              <w:rPr>
                <w:i/>
                <w:sz w:val="20"/>
                <w:szCs w:val="20"/>
              </w:rPr>
              <w:t>Ősi et al. (in review, ds 1, ch. 196)</w:t>
            </w:r>
            <w:r>
              <w:rPr>
                <w:bCs/>
                <w:i/>
                <w:color w:val="000000"/>
                <w:sz w:val="20"/>
                <w:lang w:eastAsia="en-US"/>
              </w:rPr>
              <w:t>.</w:t>
            </w:r>
          </w:p>
          <w:p w14:paraId="2436FE1F"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 xml:space="preserve">Andrade et al. (2011) merged characters 48 and 51 of Clark (1994), into one ordered series, as both refer to the contact between exoccipitals and quadrate. </w:t>
            </w:r>
          </w:p>
          <w:p w14:paraId="6CBFA780"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Following the present format, state (1) is a putative apomorphy of Gobiosuchidae + Mesoeucrocodylia.</w:t>
            </w:r>
          </w:p>
          <w:p w14:paraId="0F89DB34"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0. absent or narrow</w:t>
            </w:r>
          </w:p>
          <w:p w14:paraId="36AB1D8D" w14:textId="77777777" w:rsidR="007A6B86" w:rsidRDefault="007A6B86" w:rsidP="007A6B86">
            <w:pPr>
              <w:autoSpaceDE w:val="0"/>
              <w:autoSpaceDN w:val="0"/>
              <w:adjustRightInd w:val="0"/>
              <w:rPr>
                <w:b/>
                <w:bCs/>
                <w:color w:val="000000"/>
                <w:sz w:val="20"/>
                <w:szCs w:val="20"/>
                <w:lang w:eastAsia="en-US"/>
              </w:rPr>
            </w:pPr>
            <w:r>
              <w:rPr>
                <w:color w:val="000000"/>
                <w:sz w:val="20"/>
                <w:szCs w:val="20"/>
                <w:lang w:eastAsia="en-US"/>
              </w:rPr>
              <w:t>1. broad contact present, stabilising the quadrate</w:t>
            </w:r>
          </w:p>
        </w:tc>
      </w:tr>
      <w:tr w:rsidR="007A6B86" w14:paraId="38923244" w14:textId="77777777" w:rsidTr="007A6B86">
        <w:tc>
          <w:tcPr>
            <w:tcW w:w="0" w:type="auto"/>
            <w:tcBorders>
              <w:top w:val="single" w:sz="4" w:space="0" w:color="auto"/>
              <w:left w:val="single" w:sz="4" w:space="0" w:color="auto"/>
              <w:bottom w:val="single" w:sz="4" w:space="0" w:color="auto"/>
              <w:right w:val="single" w:sz="4" w:space="0" w:color="auto"/>
            </w:tcBorders>
          </w:tcPr>
          <w:p w14:paraId="658BCA0F" w14:textId="65E767B4" w:rsidR="007A6B86" w:rsidRDefault="007A6B86" w:rsidP="007A6B86">
            <w:pPr>
              <w:rPr>
                <w:color w:val="000000"/>
                <w:sz w:val="20"/>
                <w:szCs w:val="20"/>
                <w:lang w:eastAsia="en-US"/>
              </w:rPr>
            </w:pPr>
            <w:r>
              <w:rPr>
                <w:sz w:val="20"/>
                <w:szCs w:val="20"/>
                <w:lang w:eastAsia="en-US"/>
              </w:rPr>
              <w:t>201</w:t>
            </w:r>
          </w:p>
        </w:tc>
        <w:tc>
          <w:tcPr>
            <w:tcW w:w="0" w:type="auto"/>
            <w:tcBorders>
              <w:top w:val="single" w:sz="4" w:space="0" w:color="auto"/>
              <w:left w:val="single" w:sz="4" w:space="0" w:color="auto"/>
              <w:bottom w:val="single" w:sz="4" w:space="0" w:color="auto"/>
              <w:right w:val="single" w:sz="4" w:space="0" w:color="auto"/>
            </w:tcBorders>
            <w:vAlign w:val="bottom"/>
            <w:hideMark/>
          </w:tcPr>
          <w:p w14:paraId="3ED39A3C" w14:textId="77777777" w:rsidR="007A6B86" w:rsidRDefault="007A6B86" w:rsidP="007A6B86">
            <w:pPr>
              <w:autoSpaceDE w:val="0"/>
              <w:autoSpaceDN w:val="0"/>
              <w:adjustRightInd w:val="0"/>
              <w:rPr>
                <w:b/>
                <w:bCs/>
                <w:sz w:val="20"/>
                <w:szCs w:val="20"/>
                <w:lang w:eastAsia="en-US"/>
              </w:rPr>
            </w:pPr>
            <w:r>
              <w:rPr>
                <w:b/>
                <w:bCs/>
                <w:sz w:val="20"/>
                <w:szCs w:val="20"/>
                <w:lang w:eastAsia="en-US"/>
              </w:rPr>
              <w:t>Exoccipital, presence of ventrolateral contact with the ventromedial part of quadrate:</w:t>
            </w:r>
          </w:p>
          <w:p w14:paraId="56D0C224" w14:textId="347BDF81" w:rsidR="007A6B86" w:rsidRDefault="007A6B86" w:rsidP="007A6B86">
            <w:pPr>
              <w:autoSpaceDE w:val="0"/>
              <w:autoSpaceDN w:val="0"/>
              <w:adjustRightInd w:val="0"/>
              <w:rPr>
                <w:b/>
                <w:bCs/>
                <w:sz w:val="20"/>
                <w:szCs w:val="20"/>
                <w:lang w:eastAsia="en-US"/>
              </w:rPr>
            </w:pPr>
            <w:r>
              <w:rPr>
                <w:bCs/>
                <w:i/>
                <w:sz w:val="20"/>
                <w:szCs w:val="20"/>
                <w:lang w:eastAsia="en-US"/>
              </w:rPr>
              <w:t>Clark (1994, ch. 51 modified);</w:t>
            </w:r>
            <w:r>
              <w:rPr>
                <w:b/>
                <w:bCs/>
                <w:sz w:val="20"/>
                <w:szCs w:val="20"/>
                <w:lang w:eastAsia="en-US"/>
              </w:rPr>
              <w:t xml:space="preserve"> </w:t>
            </w:r>
            <w:r>
              <w:rPr>
                <w:bCs/>
                <w:i/>
                <w:sz w:val="20"/>
                <w:lang w:eastAsia="en-US"/>
              </w:rPr>
              <w:t>Andrade et al. (2011, ch. 275);</w:t>
            </w:r>
            <w:r>
              <w:rPr>
                <w:i/>
                <w:sz w:val="20"/>
                <w:szCs w:val="20"/>
                <w:lang w:eastAsia="en-US"/>
              </w:rPr>
              <w:t xml:space="preserve"> Ristevski et al. (2018, ds 1, ch. 275); Smith et al. (in review, ds 2, ch. 275); </w:t>
            </w:r>
            <w:r>
              <w:rPr>
                <w:i/>
                <w:sz w:val="20"/>
                <w:szCs w:val="20"/>
              </w:rPr>
              <w:t>Ősi et al. (in review, ds 1, ch. 197)</w:t>
            </w:r>
            <w:r>
              <w:rPr>
                <w:bCs/>
                <w:i/>
                <w:sz w:val="20"/>
                <w:lang w:eastAsia="en-US"/>
              </w:rPr>
              <w:t>.</w:t>
            </w:r>
          </w:p>
          <w:p w14:paraId="21B4D0D2" w14:textId="77777777" w:rsidR="007A6B86" w:rsidRDefault="007A6B86" w:rsidP="007A6B86">
            <w:pPr>
              <w:autoSpaceDE w:val="0"/>
              <w:autoSpaceDN w:val="0"/>
              <w:adjustRightInd w:val="0"/>
              <w:rPr>
                <w:i/>
                <w:iCs/>
                <w:sz w:val="20"/>
                <w:szCs w:val="20"/>
                <w:lang w:eastAsia="en-US"/>
              </w:rPr>
            </w:pPr>
            <w:r>
              <w:rPr>
                <w:i/>
                <w:iCs/>
                <w:sz w:val="20"/>
                <w:szCs w:val="20"/>
                <w:lang w:eastAsia="en-US"/>
              </w:rPr>
              <w:t xml:space="preserve">Focus of character (51) modified from quadrate to exoccipital, to make evident its relation with character 48 (original numbers of Clark, 1994). Note that both characters may be fused into one ordered series, as they refer to the contact between both elements. </w:t>
            </w:r>
          </w:p>
          <w:p w14:paraId="30BBD7CA" w14:textId="77777777" w:rsidR="007A6B86" w:rsidRDefault="007A6B86" w:rsidP="007A6B86">
            <w:pPr>
              <w:autoSpaceDE w:val="0"/>
              <w:autoSpaceDN w:val="0"/>
              <w:adjustRightInd w:val="0"/>
              <w:rPr>
                <w:i/>
                <w:iCs/>
                <w:sz w:val="20"/>
                <w:szCs w:val="20"/>
                <w:lang w:eastAsia="en-US"/>
              </w:rPr>
            </w:pPr>
            <w:r>
              <w:rPr>
                <w:i/>
                <w:iCs/>
                <w:sz w:val="20"/>
                <w:szCs w:val="20"/>
                <w:lang w:eastAsia="en-US"/>
              </w:rPr>
              <w:t xml:space="preserve">Following the present format, (1) is putative apomorphy of </w:t>
            </w:r>
            <w:r>
              <w:rPr>
                <w:iCs/>
                <w:sz w:val="20"/>
                <w:szCs w:val="20"/>
                <w:lang w:eastAsia="en-US"/>
              </w:rPr>
              <w:t xml:space="preserve">Junngarsuchus </w:t>
            </w:r>
            <w:r>
              <w:rPr>
                <w:i/>
                <w:iCs/>
                <w:sz w:val="20"/>
                <w:szCs w:val="20"/>
                <w:lang w:eastAsia="en-US"/>
              </w:rPr>
              <w:t>+ Crocodyliformes.</w:t>
            </w:r>
          </w:p>
          <w:p w14:paraId="31522F82" w14:textId="77777777" w:rsidR="007A6B86" w:rsidRDefault="007A6B86" w:rsidP="007A6B86">
            <w:pPr>
              <w:autoSpaceDE w:val="0"/>
              <w:autoSpaceDN w:val="0"/>
              <w:adjustRightInd w:val="0"/>
              <w:rPr>
                <w:sz w:val="20"/>
                <w:szCs w:val="20"/>
                <w:lang w:eastAsia="en-US"/>
              </w:rPr>
            </w:pPr>
            <w:r>
              <w:rPr>
                <w:sz w:val="20"/>
                <w:szCs w:val="20"/>
                <w:lang w:eastAsia="en-US"/>
              </w:rPr>
              <w:t>0. absent, quadrate does not contact exoccipital</w:t>
            </w:r>
          </w:p>
          <w:p w14:paraId="38F560E0" w14:textId="77777777" w:rsidR="007A6B86" w:rsidRDefault="007A6B86" w:rsidP="007A6B86">
            <w:pPr>
              <w:autoSpaceDE w:val="0"/>
              <w:autoSpaceDN w:val="0"/>
              <w:adjustRightInd w:val="0"/>
              <w:rPr>
                <w:b/>
                <w:bCs/>
                <w:color w:val="000000"/>
                <w:sz w:val="20"/>
                <w:szCs w:val="20"/>
                <w:lang w:eastAsia="en-US"/>
              </w:rPr>
            </w:pPr>
            <w:r>
              <w:rPr>
                <w:sz w:val="20"/>
                <w:szCs w:val="20"/>
                <w:lang w:eastAsia="en-US"/>
              </w:rPr>
              <w:t>1. present, exoccipital and quadrate enclosing carotid artery and forming passage for cranial nerves IX-XI</w:t>
            </w:r>
          </w:p>
        </w:tc>
      </w:tr>
      <w:tr w:rsidR="007A6B86" w14:paraId="1AE97DC6" w14:textId="77777777" w:rsidTr="007A6B86">
        <w:tc>
          <w:tcPr>
            <w:tcW w:w="0" w:type="auto"/>
            <w:tcBorders>
              <w:top w:val="single" w:sz="4" w:space="0" w:color="auto"/>
              <w:left w:val="single" w:sz="4" w:space="0" w:color="auto"/>
              <w:bottom w:val="single" w:sz="4" w:space="0" w:color="auto"/>
              <w:right w:val="single" w:sz="4" w:space="0" w:color="auto"/>
            </w:tcBorders>
          </w:tcPr>
          <w:p w14:paraId="5B9F19B7" w14:textId="79824B30" w:rsidR="007A6B86" w:rsidRDefault="007A6B86" w:rsidP="007A6B86">
            <w:pPr>
              <w:rPr>
                <w:color w:val="000000"/>
                <w:sz w:val="20"/>
                <w:szCs w:val="20"/>
                <w:lang w:eastAsia="en-US"/>
              </w:rPr>
            </w:pPr>
            <w:r>
              <w:rPr>
                <w:color w:val="000000"/>
                <w:sz w:val="20"/>
                <w:szCs w:val="20"/>
                <w:lang w:eastAsia="en-US"/>
              </w:rPr>
              <w:t>202</w:t>
            </w:r>
          </w:p>
        </w:tc>
        <w:tc>
          <w:tcPr>
            <w:tcW w:w="0" w:type="auto"/>
            <w:tcBorders>
              <w:top w:val="single" w:sz="4" w:space="0" w:color="auto"/>
              <w:left w:val="single" w:sz="4" w:space="0" w:color="auto"/>
              <w:bottom w:val="single" w:sz="4" w:space="0" w:color="auto"/>
              <w:right w:val="single" w:sz="4" w:space="0" w:color="auto"/>
            </w:tcBorders>
            <w:vAlign w:val="bottom"/>
            <w:hideMark/>
          </w:tcPr>
          <w:p w14:paraId="01AA7879" w14:textId="77777777" w:rsidR="007A6B86" w:rsidRDefault="007A6B86" w:rsidP="007A6B86">
            <w:pPr>
              <w:rPr>
                <w:b/>
                <w:sz w:val="20"/>
                <w:szCs w:val="20"/>
                <w:lang w:eastAsia="en-US"/>
              </w:rPr>
            </w:pPr>
            <w:r>
              <w:rPr>
                <w:b/>
                <w:sz w:val="20"/>
                <w:szCs w:val="20"/>
                <w:lang w:eastAsia="en-US"/>
              </w:rPr>
              <w:t xml:space="preserve">Exoccipital, participation in the occipital condyle: </w:t>
            </w:r>
          </w:p>
          <w:p w14:paraId="03DC5828" w14:textId="23AB7EC5" w:rsidR="007A6B86" w:rsidRDefault="007A6B86" w:rsidP="007A6B86">
            <w:pPr>
              <w:rPr>
                <w:i/>
                <w:sz w:val="20"/>
                <w:szCs w:val="20"/>
                <w:lang w:eastAsia="en-US"/>
              </w:rPr>
            </w:pPr>
            <w:r>
              <w:rPr>
                <w:i/>
                <w:sz w:val="20"/>
                <w:szCs w:val="20"/>
                <w:lang w:eastAsia="en-US"/>
              </w:rPr>
              <w:t xml:space="preserve">Jouve (2004, ch. </w:t>
            </w:r>
            <w:r>
              <w:rPr>
                <w:bCs/>
                <w:i/>
                <w:sz w:val="20"/>
                <w:szCs w:val="20"/>
                <w:lang w:eastAsia="en-US"/>
              </w:rPr>
              <w:t>96 modified);</w:t>
            </w:r>
            <w:r>
              <w:rPr>
                <w:i/>
                <w:sz w:val="20"/>
                <w:szCs w:val="20"/>
                <w:lang w:eastAsia="en-US"/>
              </w:rPr>
              <w:t xml:space="preserve"> Jouve et al. (2005b, ch. </w:t>
            </w:r>
            <w:r>
              <w:rPr>
                <w:bCs/>
                <w:i/>
                <w:sz w:val="20"/>
                <w:szCs w:val="20"/>
                <w:lang w:eastAsia="en-US"/>
              </w:rPr>
              <w:t>5 modified);</w:t>
            </w:r>
            <w:r>
              <w:rPr>
                <w:i/>
                <w:sz w:val="20"/>
                <w:szCs w:val="20"/>
                <w:lang w:eastAsia="en-US"/>
              </w:rPr>
              <w:t xml:space="preserve"> Jouve et al. (2006, ch. </w:t>
            </w:r>
            <w:r>
              <w:rPr>
                <w:bCs/>
                <w:i/>
                <w:sz w:val="20"/>
                <w:szCs w:val="20"/>
                <w:lang w:eastAsia="en-US"/>
              </w:rPr>
              <w:t>104 modified);</w:t>
            </w:r>
            <w:r>
              <w:rPr>
                <w:i/>
                <w:sz w:val="20"/>
                <w:szCs w:val="20"/>
                <w:lang w:eastAsia="en-US"/>
              </w:rPr>
              <w:t xml:space="preserve"> Jouve et al. (2008, ch. </w:t>
            </w:r>
            <w:r>
              <w:rPr>
                <w:bCs/>
                <w:i/>
                <w:sz w:val="20"/>
                <w:szCs w:val="20"/>
                <w:lang w:eastAsia="en-US"/>
              </w:rPr>
              <w:t xml:space="preserve">5 modified); Hastings et al. (2010, ch. 52 modified); </w:t>
            </w:r>
            <w:r>
              <w:rPr>
                <w:i/>
                <w:sz w:val="20"/>
                <w:szCs w:val="20"/>
                <w:lang w:eastAsia="en-US"/>
              </w:rPr>
              <w:t xml:space="preserve">Ristevski et al. (2018, ds 2, ch. 176); Smith et al. (in review, ds 1, ch. 180); </w:t>
            </w:r>
            <w:r>
              <w:rPr>
                <w:i/>
                <w:sz w:val="20"/>
                <w:szCs w:val="20"/>
              </w:rPr>
              <w:t>Ősi et al. (in review, ds 1, ch. 198)</w:t>
            </w:r>
            <w:r>
              <w:rPr>
                <w:i/>
                <w:sz w:val="20"/>
                <w:szCs w:val="20"/>
                <w:lang w:eastAsia="en-US"/>
              </w:rPr>
              <w:t>.</w:t>
            </w:r>
          </w:p>
          <w:p w14:paraId="372EB1BA" w14:textId="77777777" w:rsidR="007A6B86" w:rsidRDefault="007A6B86" w:rsidP="007A6B86">
            <w:pPr>
              <w:rPr>
                <w:i/>
                <w:sz w:val="20"/>
                <w:szCs w:val="20"/>
                <w:lang w:eastAsia="en-US"/>
              </w:rPr>
            </w:pPr>
            <w:r>
              <w:rPr>
                <w:i/>
                <w:sz w:val="20"/>
                <w:szCs w:val="20"/>
                <w:lang w:eastAsia="en-US"/>
              </w:rPr>
              <w:t>This scores the large contribution of the otocciptials to the occipital condyle seen in dyrosaurids, where the otoccipitals broadly contact the lateral margins of the condyle.</w:t>
            </w:r>
          </w:p>
          <w:p w14:paraId="15650A13" w14:textId="77777777" w:rsidR="007A6B86" w:rsidRDefault="007A6B86" w:rsidP="007A6B86">
            <w:pPr>
              <w:rPr>
                <w:sz w:val="20"/>
                <w:szCs w:val="20"/>
                <w:lang w:eastAsia="en-US"/>
              </w:rPr>
            </w:pPr>
            <w:r>
              <w:rPr>
                <w:sz w:val="20"/>
                <w:szCs w:val="20"/>
                <w:lang w:eastAsia="en-US"/>
              </w:rPr>
              <w:t xml:space="preserve">0. slight to moderate </w:t>
            </w:r>
          </w:p>
          <w:p w14:paraId="60403977" w14:textId="77777777" w:rsidR="007A6B86" w:rsidRDefault="007A6B86" w:rsidP="007A6B86">
            <w:pPr>
              <w:rPr>
                <w:b/>
                <w:color w:val="000000"/>
                <w:sz w:val="20"/>
                <w:szCs w:val="20"/>
                <w:lang w:eastAsia="en-US"/>
              </w:rPr>
            </w:pPr>
            <w:r>
              <w:rPr>
                <w:sz w:val="20"/>
                <w:szCs w:val="20"/>
                <w:lang w:eastAsia="en-US"/>
              </w:rPr>
              <w:t>1. large, such that only a thin strip of the basioccipital is visible between the exoccipitals on the dorsal surface of the occipital condyle</w:t>
            </w:r>
          </w:p>
        </w:tc>
      </w:tr>
      <w:tr w:rsidR="007A6B86" w14:paraId="6E847549" w14:textId="77777777" w:rsidTr="007A6B86">
        <w:tc>
          <w:tcPr>
            <w:tcW w:w="0" w:type="auto"/>
            <w:tcBorders>
              <w:top w:val="single" w:sz="4" w:space="0" w:color="auto"/>
              <w:left w:val="single" w:sz="4" w:space="0" w:color="auto"/>
              <w:bottom w:val="single" w:sz="4" w:space="0" w:color="auto"/>
              <w:right w:val="single" w:sz="4" w:space="0" w:color="auto"/>
            </w:tcBorders>
          </w:tcPr>
          <w:p w14:paraId="0A8ACBDB" w14:textId="168B78BC" w:rsidR="007A6B86" w:rsidRDefault="007A6B86" w:rsidP="007A6B86">
            <w:pPr>
              <w:rPr>
                <w:color w:val="000000"/>
                <w:sz w:val="20"/>
                <w:szCs w:val="20"/>
                <w:lang w:eastAsia="en-US"/>
              </w:rPr>
            </w:pPr>
            <w:r>
              <w:rPr>
                <w:color w:val="000000"/>
                <w:sz w:val="20"/>
                <w:szCs w:val="20"/>
                <w:lang w:eastAsia="en-US"/>
              </w:rPr>
              <w:t>203</w:t>
            </w:r>
          </w:p>
        </w:tc>
        <w:tc>
          <w:tcPr>
            <w:tcW w:w="0" w:type="auto"/>
            <w:tcBorders>
              <w:top w:val="single" w:sz="4" w:space="0" w:color="auto"/>
              <w:left w:val="single" w:sz="4" w:space="0" w:color="auto"/>
              <w:bottom w:val="single" w:sz="4" w:space="0" w:color="auto"/>
              <w:right w:val="single" w:sz="4" w:space="0" w:color="auto"/>
            </w:tcBorders>
            <w:vAlign w:val="bottom"/>
            <w:hideMark/>
          </w:tcPr>
          <w:p w14:paraId="09BB4982" w14:textId="77777777" w:rsidR="007A6B86" w:rsidRDefault="007A6B86" w:rsidP="007A6B86">
            <w:pPr>
              <w:rPr>
                <w:b/>
                <w:color w:val="000000"/>
                <w:sz w:val="20"/>
                <w:szCs w:val="20"/>
                <w:lang w:eastAsia="en-US"/>
              </w:rPr>
            </w:pPr>
            <w:r>
              <w:rPr>
                <w:b/>
                <w:color w:val="000000"/>
                <w:sz w:val="20"/>
                <w:szCs w:val="20"/>
                <w:lang w:eastAsia="en-US"/>
              </w:rPr>
              <w:t>Occipital surface ventral to occipital condyle:</w:t>
            </w:r>
          </w:p>
          <w:p w14:paraId="70FFB57F" w14:textId="0C1CAF21" w:rsidR="007A6B86" w:rsidRDefault="007A6B86" w:rsidP="007A6B86">
            <w:pPr>
              <w:autoSpaceDE w:val="0"/>
              <w:autoSpaceDN w:val="0"/>
              <w:adjustRightInd w:val="0"/>
              <w:rPr>
                <w:i/>
                <w:sz w:val="20"/>
                <w:szCs w:val="20"/>
                <w:lang w:eastAsia="en-US"/>
              </w:rPr>
            </w:pPr>
            <w:r>
              <w:rPr>
                <w:i/>
                <w:sz w:val="20"/>
                <w:szCs w:val="20"/>
                <w:lang w:eastAsia="en-US"/>
              </w:rPr>
              <w:lastRenderedPageBreak/>
              <w:t xml:space="preserve">Young &amp; Andrade (2009, ch. 143); </w:t>
            </w:r>
            <w:r>
              <w:rPr>
                <w:bCs/>
                <w:i/>
                <w:color w:val="000000"/>
                <w:sz w:val="20"/>
                <w:szCs w:val="20"/>
                <w:lang w:eastAsia="en-US"/>
              </w:rPr>
              <w:t xml:space="preserve">Young et al. (2011, ch. 143); Young et al. (2013a, ch. 92); </w:t>
            </w:r>
            <w:r>
              <w:rPr>
                <w:i/>
                <w:sz w:val="20"/>
                <w:szCs w:val="20"/>
                <w:lang w:eastAsia="en-US"/>
              </w:rPr>
              <w:t xml:space="preserve">Young et al. (2012, ch. 109); Young (2014, ch. 112); Young et al. (2016, ds 2, ch. 131); Ristevski et al. (2018, ds 2, ch. 177); Smith et al. (in review, ds 1, ch. 181); </w:t>
            </w:r>
            <w:r>
              <w:rPr>
                <w:i/>
                <w:sz w:val="20"/>
                <w:szCs w:val="20"/>
              </w:rPr>
              <w:t>Ősi et al. (in review, ds 1, ch. 199)</w:t>
            </w:r>
            <w:r>
              <w:rPr>
                <w:i/>
                <w:sz w:val="20"/>
                <w:szCs w:val="20"/>
                <w:lang w:eastAsia="en-US"/>
              </w:rPr>
              <w:t>.</w:t>
            </w:r>
          </w:p>
          <w:p w14:paraId="1CE2CEF6" w14:textId="77777777" w:rsidR="007A6B86" w:rsidRDefault="007A6B86" w:rsidP="007A6B86">
            <w:pPr>
              <w:rPr>
                <w:i/>
                <w:color w:val="000000"/>
                <w:sz w:val="20"/>
                <w:szCs w:val="20"/>
                <w:lang w:eastAsia="en-US"/>
              </w:rPr>
            </w:pPr>
            <w:r>
              <w:rPr>
                <w:i/>
                <w:color w:val="000000"/>
                <w:sz w:val="20"/>
                <w:szCs w:val="20"/>
                <w:lang w:eastAsia="en-US"/>
              </w:rPr>
              <w:t>State (1) is a putative apomorphy of Crocodylia.</w:t>
            </w:r>
          </w:p>
          <w:p w14:paraId="442A76BA" w14:textId="77777777" w:rsidR="007A6B86" w:rsidRDefault="007A6B86" w:rsidP="007A6B86">
            <w:pPr>
              <w:rPr>
                <w:color w:val="000000"/>
                <w:sz w:val="20"/>
                <w:szCs w:val="20"/>
                <w:lang w:eastAsia="en-US"/>
              </w:rPr>
            </w:pPr>
            <w:r>
              <w:rPr>
                <w:color w:val="000000"/>
                <w:sz w:val="20"/>
                <w:szCs w:val="20"/>
                <w:lang w:eastAsia="en-US"/>
              </w:rPr>
              <w:t>0. slopes anteroventrally</w:t>
            </w:r>
          </w:p>
          <w:p w14:paraId="2C19A2BA" w14:textId="77777777" w:rsidR="007A6B86" w:rsidRDefault="007A6B86" w:rsidP="007A6B86">
            <w:pPr>
              <w:rPr>
                <w:color w:val="000000"/>
                <w:sz w:val="20"/>
                <w:szCs w:val="20"/>
                <w:lang w:eastAsia="en-US"/>
              </w:rPr>
            </w:pPr>
            <w:r>
              <w:rPr>
                <w:color w:val="000000"/>
                <w:sz w:val="20"/>
                <w:szCs w:val="20"/>
                <w:lang w:eastAsia="en-US"/>
              </w:rPr>
              <w:t>1. sub-parallel or parallel to the transverse plane</w:t>
            </w:r>
          </w:p>
        </w:tc>
      </w:tr>
    </w:tbl>
    <w:p w14:paraId="6A9468CE" w14:textId="77777777" w:rsidR="004C76BC" w:rsidRDefault="004C76BC" w:rsidP="004C76BC">
      <w:pPr>
        <w:rPr>
          <w:sz w:val="20"/>
          <w:szCs w:val="20"/>
        </w:rPr>
      </w:pPr>
    </w:p>
    <w:p w14:paraId="5A858744" w14:textId="1D6D205F" w:rsidR="004C76BC" w:rsidRDefault="004C76BC" w:rsidP="004C76BC">
      <w:bookmarkStart w:id="56" w:name="_Hlk489463277"/>
      <w:r>
        <w:rPr>
          <w:b/>
          <w:bCs/>
        </w:rPr>
        <w:t xml:space="preserve">Braincase, basicranium and suspensorium </w:t>
      </w:r>
      <w:r>
        <w:t>(Ch. 20</w:t>
      </w:r>
      <w:r w:rsidR="007A6B86">
        <w:t>4</w:t>
      </w:r>
      <w:r>
        <w:t xml:space="preserve"> – 228; </w:t>
      </w:r>
      <w:r w:rsidR="00BC2ECE">
        <w:t>5</w:t>
      </w:r>
      <w:r>
        <w:t>.</w:t>
      </w:r>
      <w:r w:rsidR="00BC2ECE">
        <w:t>727</w:t>
      </w:r>
      <w:r>
        <w:t>% of characters)</w:t>
      </w:r>
    </w:p>
    <w:p w14:paraId="4FA33323" w14:textId="77777777" w:rsidR="004C76BC" w:rsidRDefault="004C76BC" w:rsidP="004C76BC">
      <w:pPr>
        <w:rPr>
          <w:rFonts w:eastAsiaTheme="minorHAnsi"/>
          <w:i/>
        </w:rPr>
      </w:pPr>
      <w:bookmarkStart w:id="57" w:name="_Hlk479756843"/>
      <w:r>
        <w:rPr>
          <w:i/>
        </w:rPr>
        <w:t>[Partial chondrocranium (= ossa laterosphenoidea, ossa prootica, os basioccipitale, os basisphenoideum); partial splanchnocranium (= ossa quadrata); pneumatic foramina; cranioquadrate canal]</w:t>
      </w:r>
      <w:bookmarkEnd w:id="57"/>
    </w:p>
    <w:bookmarkEnd w:id="56"/>
    <w:p w14:paraId="42EDB416"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7B3020EE"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342278D3"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981FF69" w14:textId="77777777" w:rsidR="004C76BC" w:rsidRDefault="004C76BC" w:rsidP="00AF438E">
            <w:pPr>
              <w:rPr>
                <w:sz w:val="20"/>
                <w:szCs w:val="20"/>
                <w:lang w:eastAsia="en-US"/>
              </w:rPr>
            </w:pPr>
            <w:r>
              <w:rPr>
                <w:sz w:val="20"/>
                <w:szCs w:val="20"/>
                <w:lang w:eastAsia="en-US"/>
              </w:rPr>
              <w:t>Description</w:t>
            </w:r>
          </w:p>
        </w:tc>
      </w:tr>
      <w:tr w:rsidR="007A6B86" w14:paraId="3E0EF74F" w14:textId="77777777" w:rsidTr="007A6B86">
        <w:tc>
          <w:tcPr>
            <w:tcW w:w="0" w:type="auto"/>
            <w:tcBorders>
              <w:top w:val="single" w:sz="4" w:space="0" w:color="auto"/>
              <w:left w:val="single" w:sz="4" w:space="0" w:color="auto"/>
              <w:bottom w:val="single" w:sz="4" w:space="0" w:color="auto"/>
              <w:right w:val="single" w:sz="4" w:space="0" w:color="auto"/>
            </w:tcBorders>
          </w:tcPr>
          <w:p w14:paraId="006C36BD" w14:textId="300238C7" w:rsidR="007A6B86" w:rsidRDefault="007A6B86" w:rsidP="007A6B86">
            <w:pPr>
              <w:rPr>
                <w:color w:val="000000"/>
                <w:sz w:val="20"/>
                <w:szCs w:val="20"/>
                <w:lang w:eastAsia="en-US"/>
              </w:rPr>
            </w:pPr>
            <w:r>
              <w:rPr>
                <w:sz w:val="20"/>
                <w:szCs w:val="20"/>
                <w:lang w:eastAsia="en-US"/>
              </w:rPr>
              <w:t>204</w:t>
            </w:r>
          </w:p>
        </w:tc>
        <w:tc>
          <w:tcPr>
            <w:tcW w:w="0" w:type="auto"/>
            <w:tcBorders>
              <w:top w:val="single" w:sz="4" w:space="0" w:color="auto"/>
              <w:left w:val="single" w:sz="4" w:space="0" w:color="auto"/>
              <w:bottom w:val="single" w:sz="4" w:space="0" w:color="auto"/>
              <w:right w:val="single" w:sz="4" w:space="0" w:color="auto"/>
            </w:tcBorders>
            <w:hideMark/>
          </w:tcPr>
          <w:p w14:paraId="527C8FE8" w14:textId="77777777" w:rsidR="007A6B86" w:rsidRDefault="007A6B86" w:rsidP="007A6B86">
            <w:pPr>
              <w:rPr>
                <w:b/>
                <w:sz w:val="20"/>
                <w:szCs w:val="20"/>
                <w:lang w:eastAsia="en-US"/>
              </w:rPr>
            </w:pPr>
            <w:r>
              <w:rPr>
                <w:b/>
                <w:sz w:val="20"/>
                <w:szCs w:val="20"/>
                <w:lang w:eastAsia="en-US"/>
              </w:rPr>
              <w:t>Trigeminal fossa (=fossa for cranial nerve V), development on quadrate and laterosphenoid:</w:t>
            </w:r>
          </w:p>
          <w:p w14:paraId="0FA9874F" w14:textId="1F3BB33E" w:rsidR="007A6B86" w:rsidRDefault="007A6B86" w:rsidP="007A6B86">
            <w:pPr>
              <w:autoSpaceDE w:val="0"/>
              <w:autoSpaceDN w:val="0"/>
              <w:adjustRightInd w:val="0"/>
              <w:rPr>
                <w:i/>
                <w:sz w:val="20"/>
                <w:szCs w:val="20"/>
                <w:lang w:eastAsia="en-US"/>
              </w:rPr>
            </w:pPr>
            <w:r>
              <w:rPr>
                <w:i/>
                <w:sz w:val="20"/>
                <w:szCs w:val="20"/>
                <w:lang w:eastAsia="en-US"/>
              </w:rPr>
              <w:t xml:space="preserve">Young et al. (2013a, ch. 93); Young et al. (2012, ch. 110); Young (2014, ch. 113); Young et al. (2016, ds 2, ch. 132); Ristevski et al. (2018, ds 2, ch. 178); Smith et al. (in review, ds 1, ch. 182); </w:t>
            </w:r>
            <w:r>
              <w:rPr>
                <w:i/>
                <w:sz w:val="20"/>
                <w:szCs w:val="20"/>
              </w:rPr>
              <w:t>Ősi et al. (in review, ds 1, ch. 200)</w:t>
            </w:r>
            <w:r>
              <w:rPr>
                <w:i/>
                <w:sz w:val="20"/>
                <w:szCs w:val="20"/>
                <w:lang w:eastAsia="en-US"/>
              </w:rPr>
              <w:t>.</w:t>
            </w:r>
          </w:p>
          <w:p w14:paraId="75B8A056" w14:textId="77777777" w:rsidR="007A6B86" w:rsidRDefault="007A6B86" w:rsidP="007A6B86">
            <w:pPr>
              <w:rPr>
                <w:sz w:val="20"/>
                <w:szCs w:val="20"/>
                <w:lang w:eastAsia="en-US"/>
              </w:rPr>
            </w:pPr>
            <w:r>
              <w:rPr>
                <w:i/>
                <w:sz w:val="20"/>
                <w:szCs w:val="20"/>
                <w:lang w:eastAsia="en-US"/>
              </w:rPr>
              <w:t>Character based on the discovery by Fernández et al. (2011)</w:t>
            </w:r>
            <w:r>
              <w:rPr>
                <w:sz w:val="20"/>
                <w:szCs w:val="20"/>
                <w:lang w:eastAsia="en-US"/>
              </w:rPr>
              <w:t>.</w:t>
            </w:r>
          </w:p>
          <w:p w14:paraId="46EBFDC0" w14:textId="77777777" w:rsidR="007A6B86" w:rsidRDefault="007A6B86" w:rsidP="007A6B86">
            <w:pPr>
              <w:rPr>
                <w:b/>
                <w:i/>
                <w:sz w:val="20"/>
                <w:szCs w:val="20"/>
                <w:lang w:eastAsia="en-US"/>
              </w:rPr>
            </w:pPr>
            <w:r>
              <w:rPr>
                <w:i/>
                <w:sz w:val="20"/>
                <w:szCs w:val="20"/>
                <w:lang w:eastAsia="en-US"/>
              </w:rPr>
              <w:t>State (1) is a putative apomorphy of Metriorhynchidae.</w:t>
            </w:r>
          </w:p>
          <w:p w14:paraId="667287FD" w14:textId="77777777" w:rsidR="007A6B86" w:rsidRDefault="007A6B86" w:rsidP="007A6B86">
            <w:pPr>
              <w:rPr>
                <w:sz w:val="20"/>
                <w:szCs w:val="20"/>
                <w:lang w:eastAsia="en-US"/>
              </w:rPr>
            </w:pPr>
            <w:r>
              <w:rPr>
                <w:sz w:val="20"/>
                <w:szCs w:val="20"/>
                <w:lang w:eastAsia="en-US"/>
              </w:rPr>
              <w:t>0. developed anteriorly and posteriorly to the trigeminal fenestra (i.e. fossa present on both laterosphenoid and quadrate)</w:t>
            </w:r>
          </w:p>
          <w:p w14:paraId="52D7DB90" w14:textId="77777777" w:rsidR="007A6B86" w:rsidRDefault="007A6B86" w:rsidP="007A6B86">
            <w:pPr>
              <w:rPr>
                <w:sz w:val="20"/>
                <w:szCs w:val="20"/>
                <w:lang w:eastAsia="en-US"/>
              </w:rPr>
            </w:pPr>
            <w:r>
              <w:rPr>
                <w:sz w:val="20"/>
                <w:szCs w:val="20"/>
                <w:lang w:eastAsia="en-US"/>
              </w:rPr>
              <w:t>1. fossa is mainly developed posteriorly to the fenestra (i.e. fossa present on quadrate)</w:t>
            </w:r>
          </w:p>
        </w:tc>
      </w:tr>
      <w:tr w:rsidR="007A6B86" w14:paraId="01E9E503" w14:textId="77777777" w:rsidTr="007A6B86">
        <w:tc>
          <w:tcPr>
            <w:tcW w:w="0" w:type="auto"/>
            <w:tcBorders>
              <w:top w:val="single" w:sz="4" w:space="0" w:color="auto"/>
              <w:left w:val="single" w:sz="4" w:space="0" w:color="auto"/>
              <w:bottom w:val="single" w:sz="4" w:space="0" w:color="auto"/>
              <w:right w:val="single" w:sz="4" w:space="0" w:color="auto"/>
            </w:tcBorders>
          </w:tcPr>
          <w:p w14:paraId="5F325CED" w14:textId="6048F153" w:rsidR="007A6B86" w:rsidRDefault="007A6B86" w:rsidP="007A6B86">
            <w:pPr>
              <w:rPr>
                <w:color w:val="000000"/>
                <w:sz w:val="20"/>
                <w:szCs w:val="20"/>
                <w:lang w:eastAsia="en-US"/>
              </w:rPr>
            </w:pPr>
            <w:r>
              <w:rPr>
                <w:color w:val="000000"/>
                <w:sz w:val="20"/>
                <w:szCs w:val="20"/>
                <w:lang w:eastAsia="en-US"/>
              </w:rPr>
              <w:t>205</w:t>
            </w:r>
          </w:p>
        </w:tc>
        <w:tc>
          <w:tcPr>
            <w:tcW w:w="0" w:type="auto"/>
            <w:tcBorders>
              <w:top w:val="single" w:sz="4" w:space="0" w:color="auto"/>
              <w:left w:val="single" w:sz="4" w:space="0" w:color="auto"/>
              <w:bottom w:val="single" w:sz="4" w:space="0" w:color="auto"/>
              <w:right w:val="single" w:sz="4" w:space="0" w:color="auto"/>
            </w:tcBorders>
            <w:hideMark/>
          </w:tcPr>
          <w:p w14:paraId="2A23D806" w14:textId="77777777" w:rsidR="007A6B86" w:rsidRDefault="007A6B86" w:rsidP="007A6B86">
            <w:pPr>
              <w:rPr>
                <w:b/>
                <w:sz w:val="20"/>
                <w:szCs w:val="20"/>
                <w:lang w:eastAsia="en-US"/>
              </w:rPr>
            </w:pPr>
            <w:r>
              <w:rPr>
                <w:b/>
                <w:sz w:val="20"/>
                <w:szCs w:val="20"/>
                <w:lang w:eastAsia="en-US"/>
              </w:rPr>
              <w:t>Laterosphenoids, sutures with parietal:</w:t>
            </w:r>
          </w:p>
          <w:p w14:paraId="3C23358C" w14:textId="324BA257" w:rsidR="007A6B86" w:rsidRDefault="007A6B86" w:rsidP="007A6B86">
            <w:pPr>
              <w:rPr>
                <w:b/>
                <w:sz w:val="20"/>
                <w:szCs w:val="20"/>
                <w:lang w:eastAsia="en-US"/>
              </w:rPr>
            </w:pPr>
            <w:r>
              <w:rPr>
                <w:bCs/>
                <w:i/>
                <w:sz w:val="20"/>
                <w:szCs w:val="20"/>
                <w:lang w:eastAsia="en-US"/>
              </w:rPr>
              <w:t xml:space="preserve">Hastings et al. (2010, ch. 63 modified); </w:t>
            </w:r>
            <w:r>
              <w:rPr>
                <w:i/>
                <w:sz w:val="20"/>
                <w:szCs w:val="20"/>
                <w:lang w:eastAsia="en-US"/>
              </w:rPr>
              <w:t xml:space="preserve">Ristevski et al. (2018, ds 2, ch. 179); Smith et al. (in review, ds 1, ch. 183); </w:t>
            </w:r>
            <w:r>
              <w:rPr>
                <w:i/>
                <w:sz w:val="20"/>
                <w:szCs w:val="20"/>
              </w:rPr>
              <w:t>Ősi et al. (in review, ds 1, ch. 201)</w:t>
            </w:r>
            <w:r>
              <w:rPr>
                <w:i/>
                <w:sz w:val="20"/>
                <w:szCs w:val="20"/>
                <w:lang w:eastAsia="en-US"/>
              </w:rPr>
              <w:t>.</w:t>
            </w:r>
          </w:p>
          <w:p w14:paraId="2DCA0DC2" w14:textId="77777777" w:rsidR="007A6B86" w:rsidRDefault="007A6B86" w:rsidP="007A6B86">
            <w:pPr>
              <w:rPr>
                <w:sz w:val="20"/>
                <w:szCs w:val="20"/>
                <w:lang w:eastAsia="en-US"/>
              </w:rPr>
            </w:pPr>
            <w:r>
              <w:rPr>
                <w:sz w:val="20"/>
                <w:szCs w:val="20"/>
                <w:lang w:eastAsia="en-US"/>
              </w:rPr>
              <w:t>0. parallel to the skull table</w:t>
            </w:r>
          </w:p>
          <w:p w14:paraId="3B7E9369" w14:textId="77777777" w:rsidR="007A6B86" w:rsidRDefault="007A6B86" w:rsidP="007A6B86">
            <w:pPr>
              <w:rPr>
                <w:b/>
                <w:color w:val="000000"/>
                <w:sz w:val="20"/>
                <w:szCs w:val="20"/>
                <w:lang w:eastAsia="en-US"/>
              </w:rPr>
            </w:pPr>
            <w:r>
              <w:rPr>
                <w:sz w:val="20"/>
                <w:szCs w:val="20"/>
                <w:lang w:eastAsia="en-US"/>
              </w:rPr>
              <w:t>1. descends posteriorly, relative to the skull table</w:t>
            </w:r>
          </w:p>
        </w:tc>
      </w:tr>
      <w:tr w:rsidR="007A6B86" w14:paraId="1A3D62C2" w14:textId="77777777" w:rsidTr="007A6B86">
        <w:tc>
          <w:tcPr>
            <w:tcW w:w="0" w:type="auto"/>
            <w:tcBorders>
              <w:top w:val="single" w:sz="4" w:space="0" w:color="auto"/>
              <w:left w:val="single" w:sz="4" w:space="0" w:color="auto"/>
              <w:bottom w:val="single" w:sz="4" w:space="0" w:color="auto"/>
              <w:right w:val="single" w:sz="4" w:space="0" w:color="auto"/>
            </w:tcBorders>
          </w:tcPr>
          <w:p w14:paraId="05034A9B" w14:textId="695EDE7B" w:rsidR="007A6B86" w:rsidRDefault="007A6B86" w:rsidP="007A6B86">
            <w:pPr>
              <w:rPr>
                <w:color w:val="000000"/>
                <w:sz w:val="20"/>
                <w:szCs w:val="20"/>
                <w:lang w:eastAsia="en-US"/>
              </w:rPr>
            </w:pPr>
            <w:r>
              <w:rPr>
                <w:color w:val="000000"/>
                <w:sz w:val="20"/>
                <w:szCs w:val="20"/>
                <w:lang w:eastAsia="en-US"/>
              </w:rPr>
              <w:t>206</w:t>
            </w:r>
          </w:p>
        </w:tc>
        <w:tc>
          <w:tcPr>
            <w:tcW w:w="0" w:type="auto"/>
            <w:tcBorders>
              <w:top w:val="single" w:sz="4" w:space="0" w:color="auto"/>
              <w:left w:val="single" w:sz="4" w:space="0" w:color="auto"/>
              <w:bottom w:val="single" w:sz="4" w:space="0" w:color="auto"/>
              <w:right w:val="single" w:sz="4" w:space="0" w:color="auto"/>
            </w:tcBorders>
            <w:hideMark/>
          </w:tcPr>
          <w:p w14:paraId="6A51DDB9" w14:textId="7E7F96E1" w:rsidR="007A6B86" w:rsidRDefault="007A6B86" w:rsidP="007A6B86">
            <w:pPr>
              <w:rPr>
                <w:b/>
                <w:color w:val="000000"/>
                <w:sz w:val="20"/>
                <w:szCs w:val="20"/>
                <w:lang w:eastAsia="en-US"/>
              </w:rPr>
            </w:pPr>
            <w:r>
              <w:rPr>
                <w:b/>
                <w:color w:val="000000"/>
                <w:sz w:val="20"/>
                <w:szCs w:val="20"/>
                <w:lang w:eastAsia="en-US"/>
              </w:rPr>
              <w:t xml:space="preserve">Laterosphenoids, fossae for the </w:t>
            </w:r>
            <w:r>
              <w:rPr>
                <w:b/>
                <w:i/>
                <w:color w:val="000000"/>
                <w:sz w:val="20"/>
                <w:szCs w:val="20"/>
                <w:lang w:eastAsia="en-US"/>
              </w:rPr>
              <w:t>m. pseudotemporalis superficialis</w:t>
            </w:r>
            <w:r>
              <w:rPr>
                <w:b/>
                <w:color w:val="000000"/>
                <w:sz w:val="20"/>
                <w:szCs w:val="20"/>
                <w:lang w:eastAsia="en-US"/>
              </w:rPr>
              <w:t>:</w:t>
            </w:r>
          </w:p>
          <w:p w14:paraId="61B3E2A1" w14:textId="0F5A5CA7" w:rsidR="007A6B86" w:rsidRDefault="007A6B86" w:rsidP="007A6B86">
            <w:pPr>
              <w:autoSpaceDE w:val="0"/>
              <w:autoSpaceDN w:val="0"/>
              <w:adjustRightInd w:val="0"/>
              <w:rPr>
                <w:i/>
                <w:sz w:val="20"/>
                <w:szCs w:val="20"/>
                <w:lang w:eastAsia="en-US"/>
              </w:rPr>
            </w:pPr>
            <w:r>
              <w:rPr>
                <w:bCs/>
                <w:i/>
                <w:color w:val="000000"/>
                <w:sz w:val="20"/>
                <w:szCs w:val="20"/>
                <w:lang w:eastAsia="en-US"/>
              </w:rPr>
              <w:t xml:space="preserve">Young et al. (2013a, ch. 94 modified); </w:t>
            </w:r>
            <w:r>
              <w:rPr>
                <w:i/>
                <w:sz w:val="20"/>
                <w:szCs w:val="20"/>
                <w:lang w:eastAsia="en-US"/>
              </w:rPr>
              <w:t xml:space="preserve">Young et al. (2012, ch. 111 modified); Young (2014, ch. 114 modified); Young et al. (2016, ds 2, ch. 133 modified); Ristevski et al. (2018, ds 2, ch. 180); Smith et al. (in review, ds 1, ch. 184); </w:t>
            </w:r>
            <w:r>
              <w:rPr>
                <w:i/>
                <w:sz w:val="20"/>
                <w:szCs w:val="20"/>
              </w:rPr>
              <w:t>Ősi et al. (in review, ds 1, ch. 202)</w:t>
            </w:r>
            <w:r>
              <w:rPr>
                <w:i/>
                <w:sz w:val="20"/>
                <w:szCs w:val="20"/>
                <w:lang w:eastAsia="en-US"/>
              </w:rPr>
              <w:t>.</w:t>
            </w:r>
          </w:p>
          <w:p w14:paraId="4D0A22A3" w14:textId="77777777" w:rsidR="007A6B86" w:rsidRDefault="007A6B86" w:rsidP="007A6B86">
            <w:pPr>
              <w:rPr>
                <w:i/>
                <w:iCs/>
                <w:color w:val="000000"/>
                <w:sz w:val="20"/>
                <w:szCs w:val="20"/>
                <w:lang w:eastAsia="en-US"/>
              </w:rPr>
            </w:pPr>
            <w:r>
              <w:rPr>
                <w:i/>
                <w:iCs/>
                <w:color w:val="000000"/>
                <w:sz w:val="20"/>
                <w:szCs w:val="20"/>
                <w:lang w:eastAsia="en-US"/>
              </w:rPr>
              <w:t>Character based upon data from Holliday &amp; Witmer (2009) and Fernández et al. (2011).</w:t>
            </w:r>
          </w:p>
          <w:p w14:paraId="18DFB37D" w14:textId="77777777" w:rsidR="007A6B86" w:rsidRDefault="007A6B86" w:rsidP="007A6B86">
            <w:pPr>
              <w:rPr>
                <w:b/>
                <w:color w:val="000000"/>
                <w:sz w:val="20"/>
                <w:szCs w:val="20"/>
                <w:lang w:eastAsia="en-US"/>
              </w:rPr>
            </w:pPr>
            <w:r>
              <w:rPr>
                <w:i/>
                <w:iCs/>
                <w:color w:val="000000"/>
                <w:sz w:val="20"/>
                <w:szCs w:val="20"/>
                <w:lang w:eastAsia="en-US"/>
              </w:rPr>
              <w:t>State (1) is a putative apomorphy of Metasuchia.</w:t>
            </w:r>
          </w:p>
          <w:p w14:paraId="58F587F1" w14:textId="77777777" w:rsidR="007A6B86" w:rsidRDefault="007A6B86" w:rsidP="007A6B86">
            <w:pPr>
              <w:rPr>
                <w:color w:val="000000"/>
                <w:sz w:val="20"/>
                <w:szCs w:val="20"/>
                <w:lang w:eastAsia="en-US"/>
              </w:rPr>
            </w:pPr>
            <w:r>
              <w:rPr>
                <w:color w:val="000000"/>
                <w:sz w:val="20"/>
                <w:szCs w:val="20"/>
                <w:lang w:eastAsia="en-US"/>
              </w:rPr>
              <w:t xml:space="preserve">0. presence of a </w:t>
            </w:r>
            <w:r>
              <w:rPr>
                <w:i/>
                <w:color w:val="000000"/>
                <w:sz w:val="20"/>
                <w:szCs w:val="20"/>
                <w:lang w:eastAsia="en-US"/>
              </w:rPr>
              <w:t>pseudotemporalis</w:t>
            </w:r>
            <w:r>
              <w:rPr>
                <w:color w:val="000000"/>
                <w:sz w:val="20"/>
                <w:szCs w:val="20"/>
                <w:lang w:eastAsia="en-US"/>
              </w:rPr>
              <w:t xml:space="preserve"> fossa on the dorsal surface of the laterosphenoid, and/or continuing on to the frontal</w:t>
            </w:r>
          </w:p>
          <w:p w14:paraId="5E6D17F8" w14:textId="7FCC22AE" w:rsidR="007A6B86" w:rsidRDefault="007A6B86" w:rsidP="007A6B86">
            <w:pPr>
              <w:rPr>
                <w:color w:val="000000"/>
                <w:sz w:val="20"/>
                <w:szCs w:val="20"/>
                <w:lang w:eastAsia="en-US"/>
              </w:rPr>
            </w:pPr>
            <w:r>
              <w:rPr>
                <w:color w:val="000000"/>
                <w:sz w:val="20"/>
                <w:szCs w:val="20"/>
                <w:lang w:eastAsia="en-US"/>
              </w:rPr>
              <w:t xml:space="preserve">1. either an absence of the pseudotemporalis fossa on the dorsal surface of the laterosphenoid (i.e. only the </w:t>
            </w:r>
            <w:r>
              <w:rPr>
                <w:i/>
                <w:color w:val="000000"/>
                <w:sz w:val="20"/>
                <w:szCs w:val="20"/>
                <w:lang w:eastAsia="en-US"/>
              </w:rPr>
              <w:t>m. adductor mandibulae externus profundus</w:t>
            </w:r>
            <w:r>
              <w:rPr>
                <w:color w:val="000000"/>
                <w:sz w:val="20"/>
                <w:szCs w:val="20"/>
                <w:lang w:eastAsia="en-US"/>
              </w:rPr>
              <w:t xml:space="preserve"> is within the supratemporal fenestra), or scorable by the presence of the fossa on the posteroventral surface of the laterosphenoid (the “subfenestral position”)</w:t>
            </w:r>
          </w:p>
        </w:tc>
      </w:tr>
      <w:tr w:rsidR="007A6B86" w14:paraId="23E42B17" w14:textId="77777777" w:rsidTr="007A6B86">
        <w:tc>
          <w:tcPr>
            <w:tcW w:w="0" w:type="auto"/>
            <w:tcBorders>
              <w:top w:val="single" w:sz="4" w:space="0" w:color="auto"/>
              <w:left w:val="single" w:sz="4" w:space="0" w:color="auto"/>
              <w:bottom w:val="single" w:sz="4" w:space="0" w:color="auto"/>
              <w:right w:val="single" w:sz="4" w:space="0" w:color="auto"/>
            </w:tcBorders>
          </w:tcPr>
          <w:p w14:paraId="400261E7" w14:textId="778A1302" w:rsidR="007A6B86" w:rsidRDefault="007A6B86" w:rsidP="007A6B86">
            <w:pPr>
              <w:rPr>
                <w:color w:val="000000"/>
                <w:sz w:val="20"/>
                <w:szCs w:val="20"/>
                <w:lang w:eastAsia="en-US"/>
              </w:rPr>
            </w:pPr>
            <w:r>
              <w:rPr>
                <w:color w:val="000000"/>
                <w:sz w:val="20"/>
                <w:szCs w:val="20"/>
                <w:lang w:eastAsia="en-US"/>
              </w:rPr>
              <w:t>207</w:t>
            </w:r>
          </w:p>
        </w:tc>
        <w:tc>
          <w:tcPr>
            <w:tcW w:w="0" w:type="auto"/>
            <w:tcBorders>
              <w:top w:val="single" w:sz="4" w:space="0" w:color="auto"/>
              <w:left w:val="single" w:sz="4" w:space="0" w:color="auto"/>
              <w:bottom w:val="single" w:sz="4" w:space="0" w:color="auto"/>
              <w:right w:val="single" w:sz="4" w:space="0" w:color="auto"/>
            </w:tcBorders>
            <w:vAlign w:val="bottom"/>
            <w:hideMark/>
          </w:tcPr>
          <w:p w14:paraId="3672A1F3" w14:textId="77777777" w:rsidR="007A6B86" w:rsidRDefault="007A6B86" w:rsidP="007A6B86">
            <w:pPr>
              <w:rPr>
                <w:b/>
                <w:color w:val="000000"/>
                <w:sz w:val="20"/>
                <w:szCs w:val="20"/>
                <w:lang w:eastAsia="en-US"/>
              </w:rPr>
            </w:pPr>
            <w:r>
              <w:rPr>
                <w:b/>
                <w:color w:val="000000"/>
                <w:sz w:val="20"/>
                <w:szCs w:val="20"/>
                <w:lang w:eastAsia="en-US"/>
              </w:rPr>
              <w:t>Parasphenoid ridge/rostrum (?), in palatal view:</w:t>
            </w:r>
          </w:p>
          <w:p w14:paraId="66BBC89B" w14:textId="4BC43C2C"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4); Young &amp; Andrade (2009, ch. 4); </w:t>
            </w:r>
            <w:r>
              <w:rPr>
                <w:bCs/>
                <w:i/>
                <w:color w:val="000000"/>
                <w:sz w:val="20"/>
                <w:szCs w:val="20"/>
                <w:lang w:eastAsia="en-US"/>
              </w:rPr>
              <w:t xml:space="preserve">Young et al. (2011, ch. 4); Young et al. (2013a, ch. 95); </w:t>
            </w:r>
            <w:r>
              <w:rPr>
                <w:i/>
                <w:sz w:val="20"/>
                <w:szCs w:val="20"/>
                <w:lang w:eastAsia="en-US"/>
              </w:rPr>
              <w:t xml:space="preserve">Young et al. (2012, ch. 112); Young (2014, ch. 115); Young et al. (2016, ds 2, ch. 134); Ristevski et al. (2018, ds 2, ch. 181); Smith et al. (in review, ds 1, ch. 185); </w:t>
            </w:r>
            <w:r>
              <w:rPr>
                <w:i/>
                <w:sz w:val="20"/>
                <w:szCs w:val="20"/>
              </w:rPr>
              <w:t>Ősi et al. (in review, ds 1, ch. 203)</w:t>
            </w:r>
            <w:r>
              <w:rPr>
                <w:i/>
                <w:sz w:val="20"/>
                <w:szCs w:val="20"/>
                <w:lang w:eastAsia="en-US"/>
              </w:rPr>
              <w:t>.</w:t>
            </w:r>
          </w:p>
          <w:p w14:paraId="4D0BE0A3" w14:textId="77777777" w:rsidR="007A6B86" w:rsidRDefault="007A6B86" w:rsidP="007A6B86">
            <w:pPr>
              <w:rPr>
                <w:i/>
                <w:color w:val="000000"/>
                <w:sz w:val="20"/>
                <w:szCs w:val="20"/>
                <w:lang w:eastAsia="en-US"/>
              </w:rPr>
            </w:pPr>
            <w:r>
              <w:rPr>
                <w:i/>
                <w:color w:val="000000"/>
                <w:sz w:val="20"/>
                <w:szCs w:val="20"/>
                <w:lang w:eastAsia="en-US"/>
              </w:rPr>
              <w:t>The homology of this ridge is unknown. Andrews (1913) considered the midline pterygoid ridge to be the parasphenoid. However, the pterygoids are poorly known for metriorhynchids, and we cannot discount this as a purely pterygoid structure. Until this structure has undergone CT scanning we will provisionally use the term parasphenoid.</w:t>
            </w:r>
          </w:p>
          <w:p w14:paraId="5BB5B07E" w14:textId="77777777" w:rsidR="007A6B86" w:rsidRDefault="007A6B86" w:rsidP="007A6B86">
            <w:pPr>
              <w:rPr>
                <w:color w:val="000000"/>
                <w:sz w:val="20"/>
                <w:szCs w:val="20"/>
                <w:lang w:eastAsia="en-US"/>
              </w:rPr>
            </w:pPr>
            <w:r>
              <w:rPr>
                <w:color w:val="000000"/>
                <w:sz w:val="20"/>
                <w:szCs w:val="20"/>
                <w:lang w:eastAsia="en-US"/>
              </w:rPr>
              <w:t>0. not visible</w:t>
            </w:r>
          </w:p>
          <w:p w14:paraId="6440C576" w14:textId="77777777" w:rsidR="007A6B86" w:rsidRDefault="007A6B86" w:rsidP="007A6B86">
            <w:pPr>
              <w:rPr>
                <w:color w:val="000000"/>
                <w:sz w:val="20"/>
                <w:szCs w:val="20"/>
                <w:lang w:eastAsia="en-US"/>
              </w:rPr>
            </w:pPr>
            <w:r>
              <w:rPr>
                <w:color w:val="000000"/>
                <w:sz w:val="20"/>
                <w:szCs w:val="20"/>
                <w:lang w:eastAsia="en-US"/>
              </w:rPr>
              <w:t>1. forms a midline ridge along the pterygoids</w:t>
            </w:r>
          </w:p>
        </w:tc>
      </w:tr>
      <w:tr w:rsidR="007A6B86" w14:paraId="0D49DA6B" w14:textId="77777777" w:rsidTr="007A6B86">
        <w:tc>
          <w:tcPr>
            <w:tcW w:w="0" w:type="auto"/>
            <w:tcBorders>
              <w:top w:val="single" w:sz="4" w:space="0" w:color="auto"/>
              <w:left w:val="single" w:sz="4" w:space="0" w:color="auto"/>
              <w:bottom w:val="single" w:sz="4" w:space="0" w:color="auto"/>
              <w:right w:val="single" w:sz="4" w:space="0" w:color="auto"/>
            </w:tcBorders>
          </w:tcPr>
          <w:p w14:paraId="0355E86D" w14:textId="07083D60" w:rsidR="007A6B86" w:rsidRDefault="007A6B86" w:rsidP="007A6B86">
            <w:pPr>
              <w:rPr>
                <w:color w:val="000000"/>
                <w:sz w:val="20"/>
                <w:szCs w:val="20"/>
                <w:lang w:eastAsia="en-US"/>
              </w:rPr>
            </w:pPr>
            <w:r>
              <w:rPr>
                <w:color w:val="000000"/>
                <w:sz w:val="20"/>
                <w:szCs w:val="20"/>
                <w:lang w:eastAsia="en-US"/>
              </w:rPr>
              <w:t>208</w:t>
            </w:r>
          </w:p>
        </w:tc>
        <w:tc>
          <w:tcPr>
            <w:tcW w:w="0" w:type="auto"/>
            <w:tcBorders>
              <w:top w:val="single" w:sz="4" w:space="0" w:color="auto"/>
              <w:left w:val="single" w:sz="4" w:space="0" w:color="auto"/>
              <w:bottom w:val="single" w:sz="4" w:space="0" w:color="auto"/>
              <w:right w:val="single" w:sz="4" w:space="0" w:color="auto"/>
            </w:tcBorders>
            <w:vAlign w:val="bottom"/>
            <w:hideMark/>
          </w:tcPr>
          <w:p w14:paraId="11C253A0" w14:textId="77777777" w:rsidR="007A6B86" w:rsidRDefault="007A6B86" w:rsidP="007A6B86">
            <w:pPr>
              <w:rPr>
                <w:b/>
                <w:color w:val="000000"/>
                <w:sz w:val="20"/>
                <w:szCs w:val="20"/>
                <w:lang w:eastAsia="en-US"/>
              </w:rPr>
            </w:pPr>
            <w:r>
              <w:rPr>
                <w:b/>
                <w:color w:val="000000"/>
                <w:sz w:val="20"/>
                <w:szCs w:val="20"/>
                <w:lang w:eastAsia="en-US"/>
              </w:rPr>
              <w:t>Basisphenoid, paired ridges located medially on the ventral surface:</w:t>
            </w:r>
          </w:p>
          <w:p w14:paraId="670ED32D" w14:textId="2F03ED57" w:rsidR="007A6B86" w:rsidRDefault="007A6B86" w:rsidP="007A6B86">
            <w:pPr>
              <w:autoSpaceDE w:val="0"/>
              <w:autoSpaceDN w:val="0"/>
              <w:adjustRightInd w:val="0"/>
              <w:rPr>
                <w:i/>
                <w:sz w:val="20"/>
                <w:szCs w:val="20"/>
                <w:lang w:eastAsia="en-US"/>
              </w:rPr>
            </w:pPr>
            <w:r>
              <w:rPr>
                <w:i/>
                <w:sz w:val="20"/>
                <w:szCs w:val="20"/>
                <w:lang w:eastAsia="en-US"/>
              </w:rPr>
              <w:t xml:space="preserve">Young &amp; Andrade (2009, ch. 83); </w:t>
            </w:r>
            <w:r>
              <w:rPr>
                <w:bCs/>
                <w:i/>
                <w:color w:val="000000"/>
                <w:sz w:val="20"/>
                <w:szCs w:val="20"/>
                <w:lang w:eastAsia="en-US"/>
              </w:rPr>
              <w:t xml:space="preserve">Young et al. (2011, ch. 83); Young et al. (2013a, ch. 96); </w:t>
            </w:r>
            <w:r>
              <w:rPr>
                <w:i/>
                <w:sz w:val="20"/>
                <w:szCs w:val="20"/>
                <w:lang w:eastAsia="en-US"/>
              </w:rPr>
              <w:t xml:space="preserve">Young et al. (2012, ch. 113); Young (2014, ch. 116); Young et al. (2016, ds 2, ch. 135); Ristevski et al. (2018, ds 2, ch. 182); Smith et al. (in review, ds 1, ch. 186); </w:t>
            </w:r>
            <w:r>
              <w:rPr>
                <w:i/>
                <w:sz w:val="20"/>
                <w:szCs w:val="20"/>
              </w:rPr>
              <w:t>Ősi et al. (in review, ds 1, ch. 204)</w:t>
            </w:r>
            <w:r>
              <w:rPr>
                <w:i/>
                <w:sz w:val="20"/>
                <w:szCs w:val="20"/>
                <w:lang w:eastAsia="en-US"/>
              </w:rPr>
              <w:t>.</w:t>
            </w:r>
          </w:p>
          <w:p w14:paraId="3EC84C13" w14:textId="716CD925" w:rsidR="007A6B86" w:rsidRDefault="007A6B86" w:rsidP="007A6B86">
            <w:pPr>
              <w:rPr>
                <w:i/>
                <w:color w:val="000000"/>
                <w:sz w:val="20"/>
                <w:szCs w:val="20"/>
                <w:lang w:eastAsia="en-US"/>
              </w:rPr>
            </w:pPr>
            <w:r>
              <w:rPr>
                <w:i/>
                <w:color w:val="000000"/>
                <w:sz w:val="20"/>
                <w:szCs w:val="20"/>
                <w:lang w:eastAsia="en-US"/>
              </w:rPr>
              <w:t xml:space="preserve">State (1) occurs in </w:t>
            </w:r>
            <w:r w:rsidR="00007246">
              <w:rPr>
                <w:i/>
                <w:color w:val="000000"/>
                <w:sz w:val="20"/>
                <w:szCs w:val="20"/>
                <w:lang w:eastAsia="en-US"/>
              </w:rPr>
              <w:t>Teleosauroidea.</w:t>
            </w:r>
          </w:p>
          <w:p w14:paraId="251B4FDE" w14:textId="77777777" w:rsidR="007A6B86" w:rsidRDefault="007A6B86" w:rsidP="007A6B86">
            <w:pPr>
              <w:rPr>
                <w:color w:val="000000"/>
                <w:sz w:val="20"/>
                <w:szCs w:val="20"/>
                <w:lang w:eastAsia="en-US"/>
              </w:rPr>
            </w:pPr>
            <w:r>
              <w:rPr>
                <w:color w:val="000000"/>
                <w:sz w:val="20"/>
                <w:szCs w:val="20"/>
                <w:lang w:eastAsia="en-US"/>
              </w:rPr>
              <w:t>0. absent</w:t>
            </w:r>
          </w:p>
          <w:p w14:paraId="23D3BEC2" w14:textId="77777777" w:rsidR="007A6B86" w:rsidRDefault="007A6B86" w:rsidP="007A6B86">
            <w:pPr>
              <w:rPr>
                <w:color w:val="000000"/>
                <w:sz w:val="20"/>
                <w:szCs w:val="20"/>
                <w:lang w:eastAsia="en-US"/>
              </w:rPr>
            </w:pPr>
            <w:r>
              <w:rPr>
                <w:color w:val="000000"/>
                <w:sz w:val="20"/>
                <w:szCs w:val="20"/>
                <w:lang w:eastAsia="en-US"/>
              </w:rPr>
              <w:t>1. present</w:t>
            </w:r>
          </w:p>
        </w:tc>
      </w:tr>
      <w:tr w:rsidR="007A6B86" w14:paraId="44197DB7" w14:textId="77777777" w:rsidTr="007A6B86">
        <w:tc>
          <w:tcPr>
            <w:tcW w:w="0" w:type="auto"/>
            <w:tcBorders>
              <w:top w:val="single" w:sz="4" w:space="0" w:color="auto"/>
              <w:left w:val="single" w:sz="4" w:space="0" w:color="auto"/>
              <w:bottom w:val="single" w:sz="4" w:space="0" w:color="auto"/>
              <w:right w:val="single" w:sz="4" w:space="0" w:color="auto"/>
            </w:tcBorders>
          </w:tcPr>
          <w:p w14:paraId="654CE85A" w14:textId="622732E9" w:rsidR="007A6B86" w:rsidRDefault="007A6B86" w:rsidP="007A6B86">
            <w:pPr>
              <w:rPr>
                <w:color w:val="000000"/>
                <w:sz w:val="20"/>
                <w:szCs w:val="20"/>
                <w:lang w:eastAsia="en-US"/>
              </w:rPr>
            </w:pPr>
            <w:r>
              <w:rPr>
                <w:color w:val="000000"/>
                <w:sz w:val="20"/>
                <w:szCs w:val="20"/>
                <w:lang w:eastAsia="en-US"/>
              </w:rPr>
              <w:t>209</w:t>
            </w:r>
          </w:p>
        </w:tc>
        <w:tc>
          <w:tcPr>
            <w:tcW w:w="0" w:type="auto"/>
            <w:tcBorders>
              <w:top w:val="single" w:sz="4" w:space="0" w:color="auto"/>
              <w:left w:val="single" w:sz="4" w:space="0" w:color="auto"/>
              <w:bottom w:val="single" w:sz="4" w:space="0" w:color="auto"/>
              <w:right w:val="single" w:sz="4" w:space="0" w:color="auto"/>
            </w:tcBorders>
            <w:vAlign w:val="bottom"/>
            <w:hideMark/>
          </w:tcPr>
          <w:p w14:paraId="527AA859" w14:textId="77777777" w:rsidR="007A6B86" w:rsidRDefault="007A6B86" w:rsidP="007A6B86">
            <w:pPr>
              <w:autoSpaceDE w:val="0"/>
              <w:autoSpaceDN w:val="0"/>
              <w:adjustRightInd w:val="0"/>
              <w:rPr>
                <w:b/>
                <w:bCs/>
                <w:color w:val="000000"/>
                <w:sz w:val="20"/>
                <w:szCs w:val="20"/>
                <w:lang w:eastAsia="en-US"/>
              </w:rPr>
            </w:pPr>
            <w:r>
              <w:rPr>
                <w:b/>
                <w:bCs/>
                <w:color w:val="000000"/>
                <w:sz w:val="20"/>
                <w:szCs w:val="20"/>
                <w:lang w:eastAsia="en-US"/>
              </w:rPr>
              <w:t>Basisphenoid, ventral exposure in adults and young individuals, but not immature or hatchlings: (ORDERED)</w:t>
            </w:r>
          </w:p>
          <w:p w14:paraId="46994E80" w14:textId="065AA076"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lastRenderedPageBreak/>
              <w:t xml:space="preserve">Clark (1994, ch. 55 revised+ 56 revised); Ortega </w:t>
            </w:r>
            <w:r>
              <w:rPr>
                <w:bCs/>
                <w:i/>
                <w:iCs/>
                <w:color w:val="000000"/>
                <w:sz w:val="20"/>
                <w:szCs w:val="20"/>
                <w:lang w:eastAsia="en-US"/>
              </w:rPr>
              <w:t>et al. (</w:t>
            </w:r>
            <w:r>
              <w:rPr>
                <w:bCs/>
                <w:i/>
                <w:color w:val="000000"/>
                <w:sz w:val="20"/>
                <w:szCs w:val="20"/>
                <w:lang w:eastAsia="en-US"/>
              </w:rPr>
              <w:t>2000, ch. 68 modified);</w:t>
            </w:r>
            <w:r>
              <w:rPr>
                <w:bCs/>
                <w:i/>
                <w:color w:val="000000"/>
                <w:sz w:val="20"/>
                <w:lang w:eastAsia="en-US"/>
              </w:rPr>
              <w:t xml:space="preserve"> </w:t>
            </w:r>
            <w:r>
              <w:rPr>
                <w:i/>
                <w:sz w:val="20"/>
                <w:szCs w:val="20"/>
                <w:lang w:eastAsia="en-US"/>
              </w:rPr>
              <w:t xml:space="preserve">Young &amp; Andrade (2009, ch. 87 modified); </w:t>
            </w:r>
            <w:r>
              <w:rPr>
                <w:bCs/>
                <w:i/>
                <w:color w:val="000000"/>
                <w:sz w:val="20"/>
                <w:lang w:eastAsia="en-US"/>
              </w:rPr>
              <w:t xml:space="preserve">Andrade et al. (2011, ch. 286 modified); </w:t>
            </w:r>
            <w:r>
              <w:rPr>
                <w:bCs/>
                <w:i/>
                <w:color w:val="000000"/>
                <w:sz w:val="20"/>
                <w:szCs w:val="20"/>
                <w:lang w:eastAsia="en-US"/>
              </w:rPr>
              <w:t xml:space="preserve">Young et al. (2011, ch. 87 modified); Young et al. (2013a, ch. 97 modified); </w:t>
            </w:r>
            <w:r>
              <w:rPr>
                <w:bCs/>
                <w:i/>
                <w:color w:val="000000"/>
                <w:sz w:val="20"/>
                <w:lang w:eastAsia="en-US"/>
              </w:rPr>
              <w:t xml:space="preserve">Young et al. (2012, ch. 114 modified); Young (2014, ch. 117 modified); Young et al. (2016, ds 2, ch. 136 modified); </w:t>
            </w:r>
            <w:r>
              <w:rPr>
                <w:i/>
                <w:sz w:val="20"/>
                <w:szCs w:val="20"/>
                <w:lang w:eastAsia="en-US"/>
              </w:rPr>
              <w:t xml:space="preserve">Ristevski et al. (2018, ds 2, ch. 183); Smith et al. (in review, ds 1, ch. 187); </w:t>
            </w:r>
            <w:r>
              <w:rPr>
                <w:i/>
                <w:sz w:val="20"/>
                <w:szCs w:val="20"/>
              </w:rPr>
              <w:t>Ősi et al. (in review, ds 1, ch. 205)</w:t>
            </w:r>
            <w:r>
              <w:rPr>
                <w:bCs/>
                <w:i/>
                <w:color w:val="000000"/>
                <w:sz w:val="20"/>
                <w:lang w:eastAsia="en-US"/>
              </w:rPr>
              <w:t>.</w:t>
            </w:r>
          </w:p>
          <w:p w14:paraId="02655B1F"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 xml:space="preserve">Original characters by Clark (1994, ch. 55-56) actually reflect the size of basisphenoid and here were combined into one character by Andrade et al. (2011). Note disagreement in the scorings from previous works, e.g., Clark (1994) considered thalattosuchians as (0) and Turner &amp; Buckley (2008) considers them as (1); Turner &amp; Buckley (2008) considers </w:t>
            </w:r>
            <w:r>
              <w:rPr>
                <w:color w:val="000000"/>
                <w:sz w:val="20"/>
                <w:szCs w:val="20"/>
                <w:lang w:eastAsia="en-US"/>
              </w:rPr>
              <w:t xml:space="preserve">Mahajangasuchus </w:t>
            </w:r>
            <w:r>
              <w:rPr>
                <w:i/>
                <w:iCs/>
                <w:color w:val="000000"/>
                <w:sz w:val="20"/>
                <w:szCs w:val="20"/>
                <w:lang w:eastAsia="en-US"/>
              </w:rPr>
              <w:t xml:space="preserve">as (2), whereas here it is considered as (1). Most authors consider "Sphenosuchians" as (1), but the basisphenoid is well exposed at least in </w:t>
            </w:r>
            <w:r>
              <w:rPr>
                <w:color w:val="000000"/>
                <w:sz w:val="20"/>
                <w:szCs w:val="20"/>
                <w:lang w:eastAsia="en-US"/>
              </w:rPr>
              <w:t>Gracilisuchus</w:t>
            </w:r>
            <w:r>
              <w:rPr>
                <w:i/>
                <w:iCs/>
                <w:color w:val="000000"/>
                <w:sz w:val="20"/>
                <w:szCs w:val="20"/>
                <w:lang w:eastAsia="en-US"/>
              </w:rPr>
              <w:t xml:space="preserve">, </w:t>
            </w:r>
            <w:r>
              <w:rPr>
                <w:color w:val="000000"/>
                <w:sz w:val="20"/>
                <w:szCs w:val="20"/>
                <w:lang w:eastAsia="en-US"/>
              </w:rPr>
              <w:t xml:space="preserve">Sphenosuchus </w:t>
            </w:r>
            <w:r>
              <w:rPr>
                <w:i/>
                <w:iCs/>
                <w:color w:val="000000"/>
                <w:sz w:val="20"/>
                <w:szCs w:val="20"/>
                <w:lang w:eastAsia="en-US"/>
              </w:rPr>
              <w:t xml:space="preserve">and possibly in </w:t>
            </w:r>
            <w:r>
              <w:rPr>
                <w:color w:val="000000"/>
                <w:sz w:val="20"/>
                <w:szCs w:val="20"/>
                <w:lang w:eastAsia="en-US"/>
              </w:rPr>
              <w:t xml:space="preserve">Pseudhesperosuchus </w:t>
            </w:r>
            <w:r>
              <w:rPr>
                <w:i/>
                <w:iCs/>
                <w:color w:val="000000"/>
                <w:sz w:val="20"/>
                <w:szCs w:val="20"/>
                <w:lang w:eastAsia="en-US"/>
              </w:rPr>
              <w:t>(see Bonaparte, 1971; Romer, 1972; Walker, 1990). Further scorings by Turner &amp; Buckley (2008).</w:t>
            </w:r>
          </w:p>
          <w:p w14:paraId="056566D8"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Note Ristevsski et al. (2018, ds 2) re-ordered the character from Andrade et al. (2011). State (2) is now (0), and state (0) is now (2). State (1) is unaffected.</w:t>
            </w:r>
          </w:p>
          <w:p w14:paraId="1E2710E3" w14:textId="77777777" w:rsidR="007A6B86" w:rsidRDefault="007A6B86" w:rsidP="007A6B86">
            <w:pPr>
              <w:rPr>
                <w:color w:val="000000"/>
                <w:sz w:val="20"/>
                <w:szCs w:val="20"/>
                <w:lang w:eastAsia="en-US"/>
              </w:rPr>
            </w:pPr>
            <w:r>
              <w:rPr>
                <w:color w:val="000000"/>
                <w:sz w:val="20"/>
                <w:szCs w:val="20"/>
                <w:lang w:eastAsia="en-US"/>
              </w:rPr>
              <w:t>0. ample surface exposed ventrally, basisphenoid at least as long as the basioccipital, or longer</w:t>
            </w:r>
          </w:p>
          <w:p w14:paraId="5BBFA993" w14:textId="77777777" w:rsidR="007A6B86" w:rsidRDefault="007A6B86" w:rsidP="007A6B86">
            <w:pPr>
              <w:rPr>
                <w:color w:val="000000"/>
                <w:sz w:val="20"/>
                <w:szCs w:val="20"/>
                <w:lang w:eastAsia="en-US"/>
              </w:rPr>
            </w:pPr>
            <w:r>
              <w:rPr>
                <w:color w:val="000000"/>
                <w:sz w:val="20"/>
                <w:szCs w:val="20"/>
                <w:lang w:eastAsia="en-US"/>
              </w:rPr>
              <w:t>1. well-exposed, although basisphenoid surface clearly smaller than basioccipital surface</w:t>
            </w:r>
          </w:p>
          <w:p w14:paraId="62D9442E" w14:textId="77777777" w:rsidR="007A6B86" w:rsidRDefault="007A6B86" w:rsidP="007A6B86">
            <w:pPr>
              <w:rPr>
                <w:color w:val="000000"/>
                <w:sz w:val="20"/>
                <w:szCs w:val="20"/>
                <w:lang w:eastAsia="en-US"/>
              </w:rPr>
            </w:pPr>
            <w:r>
              <w:rPr>
                <w:color w:val="000000"/>
                <w:sz w:val="20"/>
                <w:szCs w:val="20"/>
                <w:lang w:eastAsia="en-US"/>
              </w:rPr>
              <w:t>2. extremely reduced surface, exposed as a transversal slit, almost obliterated ventrally by the basioccipital and the pterygoids</w:t>
            </w:r>
          </w:p>
        </w:tc>
      </w:tr>
      <w:tr w:rsidR="007A6B86" w14:paraId="4792759C" w14:textId="77777777" w:rsidTr="007A6B86">
        <w:tc>
          <w:tcPr>
            <w:tcW w:w="0" w:type="auto"/>
            <w:tcBorders>
              <w:top w:val="single" w:sz="4" w:space="0" w:color="auto"/>
              <w:left w:val="single" w:sz="4" w:space="0" w:color="auto"/>
              <w:bottom w:val="single" w:sz="4" w:space="0" w:color="auto"/>
              <w:right w:val="single" w:sz="4" w:space="0" w:color="auto"/>
            </w:tcBorders>
          </w:tcPr>
          <w:p w14:paraId="20F8A9A1" w14:textId="14D906D7" w:rsidR="007A6B86" w:rsidRDefault="007A6B86" w:rsidP="007A6B86">
            <w:pPr>
              <w:rPr>
                <w:color w:val="000000"/>
                <w:sz w:val="20"/>
                <w:szCs w:val="20"/>
                <w:lang w:eastAsia="en-US"/>
              </w:rPr>
            </w:pPr>
            <w:r>
              <w:rPr>
                <w:color w:val="000000"/>
                <w:sz w:val="20"/>
                <w:szCs w:val="20"/>
                <w:lang w:eastAsia="en-US"/>
              </w:rPr>
              <w:lastRenderedPageBreak/>
              <w:t>210</w:t>
            </w:r>
          </w:p>
        </w:tc>
        <w:tc>
          <w:tcPr>
            <w:tcW w:w="0" w:type="auto"/>
            <w:tcBorders>
              <w:top w:val="single" w:sz="4" w:space="0" w:color="auto"/>
              <w:left w:val="single" w:sz="4" w:space="0" w:color="auto"/>
              <w:bottom w:val="single" w:sz="4" w:space="0" w:color="auto"/>
              <w:right w:val="single" w:sz="4" w:space="0" w:color="auto"/>
            </w:tcBorders>
            <w:vAlign w:val="bottom"/>
            <w:hideMark/>
          </w:tcPr>
          <w:p w14:paraId="7E903849" w14:textId="77777777" w:rsidR="007A6B86" w:rsidRDefault="007A6B86" w:rsidP="007A6B86">
            <w:pPr>
              <w:rPr>
                <w:b/>
                <w:color w:val="000000"/>
                <w:sz w:val="20"/>
                <w:szCs w:val="20"/>
                <w:lang w:eastAsia="en-US"/>
              </w:rPr>
            </w:pPr>
            <w:r>
              <w:rPr>
                <w:b/>
                <w:color w:val="000000"/>
                <w:sz w:val="20"/>
                <w:szCs w:val="20"/>
                <w:lang w:eastAsia="en-US"/>
              </w:rPr>
              <w:t>Basisphenoid, exposure anterior to the quadrates in palatal view:</w:t>
            </w:r>
          </w:p>
          <w:p w14:paraId="7DCC4E90" w14:textId="3E541555" w:rsidR="007A6B86" w:rsidRDefault="007A6B86" w:rsidP="007A6B86">
            <w:pPr>
              <w:autoSpaceDE w:val="0"/>
              <w:autoSpaceDN w:val="0"/>
              <w:adjustRightInd w:val="0"/>
              <w:rPr>
                <w:i/>
                <w:sz w:val="20"/>
                <w:szCs w:val="20"/>
                <w:lang w:eastAsia="en-US"/>
              </w:rPr>
            </w:pPr>
            <w:r>
              <w:rPr>
                <w:i/>
                <w:sz w:val="20"/>
                <w:szCs w:val="20"/>
                <w:lang w:eastAsia="en-US"/>
              </w:rPr>
              <w:t xml:space="preserve">Wilkinson et al. (2008, ch. 5 modified); Young &amp; Andrade (2009, ch. 5 modified); </w:t>
            </w:r>
            <w:r>
              <w:rPr>
                <w:bCs/>
                <w:i/>
                <w:color w:val="000000"/>
                <w:sz w:val="20"/>
                <w:szCs w:val="20"/>
                <w:lang w:eastAsia="en-US"/>
              </w:rPr>
              <w:t xml:space="preserve">Young et al. (2011, ch. 5 modified); Young et al. (2013a, ch. 98); </w:t>
            </w:r>
            <w:r>
              <w:rPr>
                <w:i/>
                <w:sz w:val="20"/>
                <w:szCs w:val="20"/>
                <w:lang w:eastAsia="en-US"/>
              </w:rPr>
              <w:t xml:space="preserve">Young et al. (2012, ch. 115); Young (2014, ch. 118); Young et al. (2016, ds 2, ch. 137); Ristevski et al. (2018, ds 2, ch. 184); Smith et al. (in review, ds 1, ch. 188); </w:t>
            </w:r>
            <w:r>
              <w:rPr>
                <w:i/>
                <w:sz w:val="20"/>
                <w:szCs w:val="20"/>
              </w:rPr>
              <w:t>Ősi et al. (in review, ds 1, ch. 206)</w:t>
            </w:r>
            <w:r>
              <w:rPr>
                <w:i/>
                <w:sz w:val="20"/>
                <w:szCs w:val="20"/>
                <w:lang w:eastAsia="en-US"/>
              </w:rPr>
              <w:t>.</w:t>
            </w:r>
          </w:p>
          <w:p w14:paraId="21EEE8DE" w14:textId="77D35374" w:rsidR="007A6B86" w:rsidRDefault="007A6B86" w:rsidP="007A6B86">
            <w:pPr>
              <w:rPr>
                <w:i/>
                <w:color w:val="000000"/>
                <w:sz w:val="20"/>
                <w:szCs w:val="20"/>
                <w:lang w:eastAsia="en-US"/>
              </w:rPr>
            </w:pPr>
            <w:r>
              <w:rPr>
                <w:i/>
                <w:color w:val="000000"/>
                <w:sz w:val="20"/>
                <w:szCs w:val="20"/>
                <w:lang w:eastAsia="en-US"/>
              </w:rPr>
              <w:t>State (1) is a putative apomorphy of a teleosaur</w:t>
            </w:r>
            <w:r w:rsidR="00007246">
              <w:rPr>
                <w:i/>
                <w:color w:val="000000"/>
                <w:sz w:val="20"/>
                <w:szCs w:val="20"/>
                <w:lang w:eastAsia="en-US"/>
              </w:rPr>
              <w:t>o</w:t>
            </w:r>
            <w:r>
              <w:rPr>
                <w:i/>
                <w:color w:val="000000"/>
                <w:sz w:val="20"/>
                <w:szCs w:val="20"/>
                <w:lang w:eastAsia="en-US"/>
              </w:rPr>
              <w:t xml:space="preserve">id subclade. This character state is caused by the posterior expansion of the pterygoid’s posterior margin, so that the anterior portion of the quadrates is obscured, as are the lateral margins of the basisphenoid. However, there is a distinct basisphenoid ‘rostrum’ that in some taxa continue to bifurcate the ptergoids anteriorly. This morphology is not observed in </w:t>
            </w:r>
            <w:r>
              <w:rPr>
                <w:color w:val="000000"/>
                <w:sz w:val="20"/>
                <w:szCs w:val="20"/>
                <w:lang w:eastAsia="en-US"/>
              </w:rPr>
              <w:t>Teleosaurus cadomensis</w:t>
            </w:r>
            <w:r>
              <w:rPr>
                <w:i/>
                <w:color w:val="000000"/>
                <w:sz w:val="20"/>
                <w:szCs w:val="20"/>
                <w:lang w:eastAsia="en-US"/>
              </w:rPr>
              <w:t>,</w:t>
            </w:r>
            <w:r>
              <w:rPr>
                <w:color w:val="000000"/>
                <w:sz w:val="20"/>
                <w:szCs w:val="20"/>
                <w:lang w:eastAsia="en-US"/>
              </w:rPr>
              <w:t xml:space="preserve"> </w:t>
            </w:r>
            <w:r>
              <w:rPr>
                <w:i/>
                <w:color w:val="000000"/>
                <w:sz w:val="20"/>
                <w:szCs w:val="20"/>
                <w:lang w:eastAsia="en-US"/>
              </w:rPr>
              <w:t>the skull referred to</w:t>
            </w:r>
            <w:r>
              <w:rPr>
                <w:color w:val="000000"/>
                <w:sz w:val="20"/>
                <w:szCs w:val="20"/>
                <w:lang w:eastAsia="en-US"/>
              </w:rPr>
              <w:t xml:space="preserve"> Peipehsuchus teleorhinus, Steneosaurus brevior,</w:t>
            </w:r>
            <w:r>
              <w:rPr>
                <w:i/>
                <w:color w:val="000000"/>
                <w:sz w:val="20"/>
                <w:szCs w:val="20"/>
                <w:lang w:eastAsia="en-US"/>
              </w:rPr>
              <w:t xml:space="preserve"> </w:t>
            </w:r>
            <w:r>
              <w:rPr>
                <w:color w:val="000000"/>
                <w:sz w:val="20"/>
                <w:szCs w:val="20"/>
                <w:lang w:eastAsia="en-US"/>
              </w:rPr>
              <w:t>Pelagosaurus typus</w:t>
            </w:r>
            <w:r>
              <w:rPr>
                <w:i/>
                <w:color w:val="000000"/>
                <w:sz w:val="20"/>
                <w:szCs w:val="20"/>
                <w:lang w:eastAsia="en-US"/>
              </w:rPr>
              <w:t xml:space="preserve"> or Metriorhynchidae.</w:t>
            </w:r>
          </w:p>
          <w:p w14:paraId="65685E8B" w14:textId="77777777" w:rsidR="007A6B86" w:rsidRDefault="007A6B86" w:rsidP="007A6B86">
            <w:pPr>
              <w:rPr>
                <w:color w:val="000000"/>
                <w:sz w:val="20"/>
                <w:szCs w:val="20"/>
                <w:lang w:eastAsia="en-US"/>
              </w:rPr>
            </w:pPr>
            <w:r>
              <w:rPr>
                <w:color w:val="000000"/>
                <w:sz w:val="20"/>
                <w:szCs w:val="20"/>
                <w:lang w:eastAsia="en-US"/>
              </w:rPr>
              <w:t>0. basisphenoid terminates approximately level to the anterior extent of the quadrates</w:t>
            </w:r>
          </w:p>
          <w:p w14:paraId="6FFFE8CA" w14:textId="77777777" w:rsidR="007A6B86" w:rsidRDefault="007A6B86" w:rsidP="007A6B86">
            <w:pPr>
              <w:rPr>
                <w:color w:val="000000"/>
                <w:sz w:val="20"/>
                <w:szCs w:val="20"/>
                <w:lang w:eastAsia="en-US"/>
              </w:rPr>
            </w:pPr>
            <w:r>
              <w:rPr>
                <w:color w:val="000000"/>
                <w:sz w:val="20"/>
                <w:szCs w:val="20"/>
                <w:lang w:eastAsia="en-US"/>
              </w:rPr>
              <w:t>1. basisphenoid ‘rostrum’/cultriform process exposed along the palatal surface anterior to the quadrates, continuing to bifurcate the pterygoids</w:t>
            </w:r>
          </w:p>
        </w:tc>
      </w:tr>
      <w:tr w:rsidR="007A6B86" w14:paraId="6E6FFDAC" w14:textId="77777777" w:rsidTr="007A6B86">
        <w:tc>
          <w:tcPr>
            <w:tcW w:w="0" w:type="auto"/>
            <w:tcBorders>
              <w:top w:val="single" w:sz="4" w:space="0" w:color="auto"/>
              <w:left w:val="single" w:sz="4" w:space="0" w:color="auto"/>
              <w:bottom w:val="single" w:sz="4" w:space="0" w:color="auto"/>
              <w:right w:val="single" w:sz="4" w:space="0" w:color="auto"/>
            </w:tcBorders>
          </w:tcPr>
          <w:p w14:paraId="58B6AE9F" w14:textId="64E812B0" w:rsidR="007A6B86" w:rsidRDefault="007A6B86" w:rsidP="007A6B86">
            <w:pPr>
              <w:rPr>
                <w:color w:val="000000"/>
                <w:sz w:val="20"/>
                <w:szCs w:val="20"/>
                <w:lang w:eastAsia="en-US"/>
              </w:rPr>
            </w:pPr>
            <w:r>
              <w:rPr>
                <w:color w:val="000000"/>
                <w:sz w:val="20"/>
                <w:szCs w:val="20"/>
                <w:lang w:eastAsia="en-US"/>
              </w:rPr>
              <w:t>211</w:t>
            </w:r>
          </w:p>
        </w:tc>
        <w:tc>
          <w:tcPr>
            <w:tcW w:w="0" w:type="auto"/>
            <w:tcBorders>
              <w:top w:val="single" w:sz="4" w:space="0" w:color="auto"/>
              <w:left w:val="single" w:sz="4" w:space="0" w:color="auto"/>
              <w:bottom w:val="single" w:sz="4" w:space="0" w:color="auto"/>
              <w:right w:val="single" w:sz="4" w:space="0" w:color="auto"/>
            </w:tcBorders>
            <w:vAlign w:val="bottom"/>
            <w:hideMark/>
          </w:tcPr>
          <w:p w14:paraId="7355F881" w14:textId="77777777" w:rsidR="007A6B86" w:rsidRDefault="007A6B86" w:rsidP="007A6B86">
            <w:pPr>
              <w:rPr>
                <w:b/>
                <w:sz w:val="20"/>
                <w:szCs w:val="20"/>
                <w:lang w:eastAsia="en-US"/>
              </w:rPr>
            </w:pPr>
            <w:r>
              <w:rPr>
                <w:b/>
                <w:sz w:val="20"/>
                <w:szCs w:val="20"/>
                <w:lang w:eastAsia="en-US"/>
              </w:rPr>
              <w:t>Basisphenoid rostrum (= cultriform process):</w:t>
            </w:r>
          </w:p>
          <w:p w14:paraId="442B5889" w14:textId="658602AF" w:rsidR="007A6B86" w:rsidRDefault="007A6B86" w:rsidP="007A6B86">
            <w:pPr>
              <w:rPr>
                <w:i/>
                <w:sz w:val="20"/>
                <w:szCs w:val="20"/>
                <w:lang w:eastAsia="en-US"/>
              </w:rPr>
            </w:pPr>
            <w:r>
              <w:rPr>
                <w:i/>
                <w:sz w:val="20"/>
                <w:szCs w:val="20"/>
                <w:lang w:eastAsia="en-US"/>
              </w:rPr>
              <w:t xml:space="preserve">Jouve (2005, ch. </w:t>
            </w:r>
            <w:r>
              <w:rPr>
                <w:bCs/>
                <w:i/>
                <w:sz w:val="20"/>
                <w:szCs w:val="20"/>
                <w:lang w:eastAsia="en-US"/>
              </w:rPr>
              <w:t xml:space="preserve">2), </w:t>
            </w:r>
            <w:r>
              <w:rPr>
                <w:i/>
                <w:sz w:val="20"/>
                <w:szCs w:val="20"/>
                <w:lang w:eastAsia="en-US"/>
              </w:rPr>
              <w:t xml:space="preserve">Jouve et al. (2005b, ch. </w:t>
            </w:r>
            <w:r>
              <w:rPr>
                <w:bCs/>
                <w:i/>
                <w:sz w:val="20"/>
                <w:szCs w:val="20"/>
                <w:lang w:eastAsia="en-US"/>
              </w:rPr>
              <w:t xml:space="preserve">7), </w:t>
            </w:r>
            <w:r>
              <w:rPr>
                <w:i/>
                <w:sz w:val="20"/>
                <w:szCs w:val="20"/>
                <w:lang w:eastAsia="en-US"/>
              </w:rPr>
              <w:t xml:space="preserve">Jouve et al. (2008, ch. </w:t>
            </w:r>
            <w:r>
              <w:rPr>
                <w:bCs/>
                <w:i/>
                <w:sz w:val="20"/>
                <w:szCs w:val="20"/>
                <w:lang w:eastAsia="en-US"/>
              </w:rPr>
              <w:t xml:space="preserve">7), Hastings et al. (2010, ch. 54); </w:t>
            </w:r>
            <w:r>
              <w:rPr>
                <w:i/>
                <w:sz w:val="20"/>
                <w:szCs w:val="20"/>
                <w:lang w:eastAsia="en-US"/>
              </w:rPr>
              <w:t xml:space="preserve">Ristevski et al. (2018, ds 2, ch. 185); Smith et al. (in review, ds 1, ch. 189); </w:t>
            </w:r>
            <w:r>
              <w:rPr>
                <w:i/>
                <w:sz w:val="20"/>
                <w:szCs w:val="20"/>
              </w:rPr>
              <w:t>Ősi et al. (in review, ds 1, ch. 207)</w:t>
            </w:r>
            <w:r>
              <w:rPr>
                <w:i/>
                <w:sz w:val="20"/>
                <w:szCs w:val="20"/>
                <w:lang w:eastAsia="en-US"/>
              </w:rPr>
              <w:t>.</w:t>
            </w:r>
          </w:p>
          <w:p w14:paraId="4DF05A5B" w14:textId="01358274" w:rsidR="007A6B86" w:rsidRDefault="007A6B86" w:rsidP="007A6B86">
            <w:pPr>
              <w:rPr>
                <w:i/>
                <w:sz w:val="20"/>
                <w:szCs w:val="20"/>
                <w:lang w:eastAsia="en-US"/>
              </w:rPr>
            </w:pPr>
            <w:r>
              <w:rPr>
                <w:i/>
                <w:sz w:val="20"/>
                <w:szCs w:val="20"/>
                <w:lang w:eastAsia="en-US"/>
              </w:rPr>
              <w:t>State (1) is observed in some derived dyrosaurids. This character is not homologous with the anterior projection of the basisphenoid oberserved in teleosaur</w:t>
            </w:r>
            <w:r w:rsidR="00007246">
              <w:rPr>
                <w:i/>
                <w:sz w:val="20"/>
                <w:szCs w:val="20"/>
                <w:lang w:eastAsia="en-US"/>
              </w:rPr>
              <w:t>o</w:t>
            </w:r>
            <w:r>
              <w:rPr>
                <w:i/>
                <w:sz w:val="20"/>
                <w:szCs w:val="20"/>
                <w:lang w:eastAsia="en-US"/>
              </w:rPr>
              <w:t xml:space="preserve">ids. Here, the basisphenoid projects anteriorly between the pterygoids and laterosphenoids, rather than bifurcating the former. </w:t>
            </w:r>
          </w:p>
          <w:p w14:paraId="18C7460E" w14:textId="77777777" w:rsidR="007A6B86" w:rsidRDefault="007A6B86" w:rsidP="007A6B86">
            <w:pPr>
              <w:rPr>
                <w:sz w:val="20"/>
                <w:szCs w:val="20"/>
                <w:lang w:eastAsia="en-US"/>
              </w:rPr>
            </w:pPr>
            <w:r>
              <w:rPr>
                <w:sz w:val="20"/>
                <w:szCs w:val="20"/>
                <w:lang w:eastAsia="en-US"/>
              </w:rPr>
              <w:t>0. short</w:t>
            </w:r>
          </w:p>
          <w:p w14:paraId="2FD73744" w14:textId="77777777" w:rsidR="007A6B86" w:rsidRDefault="007A6B86" w:rsidP="007A6B86">
            <w:pPr>
              <w:rPr>
                <w:b/>
                <w:color w:val="000000"/>
                <w:sz w:val="20"/>
                <w:szCs w:val="20"/>
                <w:lang w:eastAsia="en-US"/>
              </w:rPr>
            </w:pPr>
            <w:r>
              <w:rPr>
                <w:sz w:val="20"/>
                <w:szCs w:val="20"/>
                <w:lang w:eastAsia="en-US"/>
              </w:rPr>
              <w:t>1. extremely long anteriorly</w:t>
            </w:r>
          </w:p>
        </w:tc>
      </w:tr>
      <w:tr w:rsidR="007A6B86" w14:paraId="024EDCCB" w14:textId="77777777" w:rsidTr="007A6B86">
        <w:tc>
          <w:tcPr>
            <w:tcW w:w="0" w:type="auto"/>
            <w:tcBorders>
              <w:top w:val="single" w:sz="4" w:space="0" w:color="auto"/>
              <w:left w:val="single" w:sz="4" w:space="0" w:color="auto"/>
              <w:bottom w:val="single" w:sz="4" w:space="0" w:color="auto"/>
              <w:right w:val="single" w:sz="4" w:space="0" w:color="auto"/>
            </w:tcBorders>
          </w:tcPr>
          <w:p w14:paraId="5963A4BF" w14:textId="3621C6B3" w:rsidR="007A6B86" w:rsidRDefault="007A6B86" w:rsidP="007A6B86">
            <w:pPr>
              <w:rPr>
                <w:color w:val="000000"/>
                <w:sz w:val="20"/>
                <w:szCs w:val="20"/>
                <w:lang w:eastAsia="en-US"/>
              </w:rPr>
            </w:pPr>
            <w:r>
              <w:rPr>
                <w:color w:val="000000"/>
                <w:sz w:val="20"/>
                <w:szCs w:val="20"/>
                <w:lang w:eastAsia="en-US"/>
              </w:rPr>
              <w:t>212</w:t>
            </w:r>
          </w:p>
        </w:tc>
        <w:tc>
          <w:tcPr>
            <w:tcW w:w="0" w:type="auto"/>
            <w:tcBorders>
              <w:top w:val="single" w:sz="4" w:space="0" w:color="auto"/>
              <w:left w:val="single" w:sz="4" w:space="0" w:color="auto"/>
              <w:bottom w:val="single" w:sz="4" w:space="0" w:color="auto"/>
              <w:right w:val="single" w:sz="4" w:space="0" w:color="auto"/>
            </w:tcBorders>
            <w:vAlign w:val="bottom"/>
            <w:hideMark/>
          </w:tcPr>
          <w:p w14:paraId="5EB41790" w14:textId="77777777" w:rsidR="007A6B86" w:rsidRDefault="007A6B86" w:rsidP="007A6B86">
            <w:pPr>
              <w:rPr>
                <w:b/>
                <w:color w:val="000000"/>
                <w:sz w:val="20"/>
                <w:szCs w:val="20"/>
                <w:lang w:eastAsia="en-US"/>
              </w:rPr>
            </w:pPr>
            <w:r>
              <w:rPr>
                <w:b/>
                <w:color w:val="000000"/>
                <w:sz w:val="20"/>
                <w:szCs w:val="20"/>
                <w:lang w:eastAsia="en-US"/>
              </w:rPr>
              <w:t>Basisphenoid, exposure ventral to the basioccipital at maturity in occipital aspect:</w:t>
            </w:r>
          </w:p>
          <w:p w14:paraId="3DF8E9E5" w14:textId="368980CD" w:rsidR="007A6B86" w:rsidRDefault="007A6B86" w:rsidP="007A6B86">
            <w:pPr>
              <w:autoSpaceDE w:val="0"/>
              <w:autoSpaceDN w:val="0"/>
              <w:adjustRightInd w:val="0"/>
              <w:rPr>
                <w:i/>
                <w:sz w:val="20"/>
                <w:szCs w:val="20"/>
                <w:lang w:eastAsia="en-US"/>
              </w:rPr>
            </w:pPr>
            <w:r>
              <w:rPr>
                <w:bCs/>
                <w:i/>
                <w:color w:val="000000"/>
                <w:sz w:val="20"/>
                <w:szCs w:val="20"/>
                <w:lang w:eastAsia="en-US"/>
              </w:rPr>
              <w:t xml:space="preserve">Young &amp; Andrade (2009, ch. 144); Young et al. (2011, ch. 144); Young et al. (2013a, ch. 99); </w:t>
            </w:r>
            <w:r>
              <w:rPr>
                <w:i/>
                <w:sz w:val="20"/>
                <w:szCs w:val="20"/>
                <w:lang w:eastAsia="en-US"/>
              </w:rPr>
              <w:t xml:space="preserve">Young et al. (2012, ch. 116); Young (2014, ch. 119); Young et al. (2016, ds 2, ch. 138); Ristevski et al. (2018, ds 2, ch. 186); Smith et al. (in review, ds 1, ch. 190); </w:t>
            </w:r>
            <w:r>
              <w:rPr>
                <w:i/>
                <w:sz w:val="20"/>
                <w:szCs w:val="20"/>
              </w:rPr>
              <w:t>Ősi et al. (in review, ds 1, ch. 208)</w:t>
            </w:r>
            <w:r>
              <w:rPr>
                <w:i/>
                <w:sz w:val="20"/>
                <w:szCs w:val="20"/>
                <w:lang w:eastAsia="en-US"/>
              </w:rPr>
              <w:t>.</w:t>
            </w:r>
          </w:p>
          <w:p w14:paraId="1131D654" w14:textId="77777777" w:rsidR="007A6B86" w:rsidRDefault="007A6B86" w:rsidP="007A6B86">
            <w:pPr>
              <w:rPr>
                <w:i/>
                <w:color w:val="000000"/>
                <w:sz w:val="20"/>
                <w:szCs w:val="20"/>
                <w:lang w:eastAsia="en-US"/>
              </w:rPr>
            </w:pPr>
            <w:r>
              <w:rPr>
                <w:i/>
                <w:color w:val="000000"/>
                <w:sz w:val="20"/>
                <w:szCs w:val="20"/>
                <w:lang w:eastAsia="en-US"/>
              </w:rPr>
              <w:t>State (1) is a putative apomorphy of Eusuchia.</w:t>
            </w:r>
          </w:p>
          <w:p w14:paraId="3FF809B7" w14:textId="77777777" w:rsidR="007A6B86" w:rsidRDefault="007A6B86" w:rsidP="007A6B86">
            <w:pPr>
              <w:rPr>
                <w:color w:val="000000"/>
                <w:sz w:val="20"/>
                <w:szCs w:val="20"/>
                <w:lang w:eastAsia="en-US"/>
              </w:rPr>
            </w:pPr>
            <w:r>
              <w:rPr>
                <w:color w:val="000000"/>
                <w:sz w:val="20"/>
                <w:szCs w:val="20"/>
                <w:lang w:eastAsia="en-US"/>
              </w:rPr>
              <w:t>0. absent, pterygoid dorsoventrally short ventral to medial pharyngeal opening (= “medial Eustachain foramen”)</w:t>
            </w:r>
          </w:p>
          <w:p w14:paraId="299989F9" w14:textId="77777777" w:rsidR="007A6B86" w:rsidRDefault="007A6B86" w:rsidP="007A6B86">
            <w:pPr>
              <w:rPr>
                <w:color w:val="000000"/>
                <w:sz w:val="20"/>
                <w:szCs w:val="20"/>
                <w:lang w:eastAsia="en-US"/>
              </w:rPr>
            </w:pPr>
            <w:r>
              <w:rPr>
                <w:color w:val="000000"/>
                <w:sz w:val="20"/>
                <w:szCs w:val="20"/>
                <w:lang w:eastAsia="en-US"/>
              </w:rPr>
              <w:t>1. present, pterygoid dorsoventrally tall ventral to medial pharyngeal opening</w:t>
            </w:r>
          </w:p>
        </w:tc>
      </w:tr>
      <w:tr w:rsidR="007A6B86" w14:paraId="3F04B0EA" w14:textId="77777777" w:rsidTr="007A6B86">
        <w:tc>
          <w:tcPr>
            <w:tcW w:w="0" w:type="auto"/>
            <w:tcBorders>
              <w:top w:val="single" w:sz="4" w:space="0" w:color="auto"/>
              <w:left w:val="single" w:sz="4" w:space="0" w:color="auto"/>
              <w:bottom w:val="single" w:sz="4" w:space="0" w:color="auto"/>
              <w:right w:val="single" w:sz="4" w:space="0" w:color="auto"/>
            </w:tcBorders>
          </w:tcPr>
          <w:p w14:paraId="2679083A" w14:textId="48D095EC" w:rsidR="007A6B86" w:rsidRDefault="007A6B86" w:rsidP="007A6B86">
            <w:pPr>
              <w:rPr>
                <w:color w:val="000000"/>
                <w:sz w:val="20"/>
                <w:szCs w:val="20"/>
                <w:lang w:eastAsia="en-US"/>
              </w:rPr>
            </w:pPr>
            <w:r>
              <w:rPr>
                <w:color w:val="000000"/>
                <w:sz w:val="20"/>
                <w:szCs w:val="20"/>
                <w:lang w:eastAsia="en-US"/>
              </w:rPr>
              <w:t>213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C3D608F" w14:textId="77777777" w:rsidR="007A6B86" w:rsidRDefault="007A6B86" w:rsidP="007A6B86">
            <w:pPr>
              <w:rPr>
                <w:b/>
                <w:bCs/>
                <w:color w:val="000000"/>
                <w:sz w:val="20"/>
                <w:szCs w:val="20"/>
                <w:lang w:eastAsia="en-US"/>
              </w:rPr>
            </w:pPr>
            <w:r>
              <w:rPr>
                <w:b/>
                <w:color w:val="000000"/>
                <w:sz w:val="20"/>
                <w:szCs w:val="20"/>
                <w:lang w:eastAsia="en-US"/>
              </w:rPr>
              <w:t>Basisphenoid, development of b</w:t>
            </w:r>
            <w:r>
              <w:rPr>
                <w:b/>
                <w:bCs/>
                <w:color w:val="000000"/>
                <w:sz w:val="20"/>
                <w:szCs w:val="20"/>
                <w:lang w:eastAsia="en-US"/>
              </w:rPr>
              <w:t>asipterygoid processes:</w:t>
            </w:r>
          </w:p>
          <w:p w14:paraId="29ADFD02" w14:textId="58833582" w:rsidR="007A6B86" w:rsidRDefault="007A6B86" w:rsidP="007A6B86">
            <w:pPr>
              <w:autoSpaceDE w:val="0"/>
              <w:autoSpaceDN w:val="0"/>
              <w:adjustRightInd w:val="0"/>
              <w:rPr>
                <w:bCs/>
                <w:i/>
                <w:color w:val="000000"/>
                <w:sz w:val="20"/>
                <w:lang w:eastAsia="en-US"/>
              </w:rPr>
            </w:pPr>
            <w:r>
              <w:rPr>
                <w:bCs/>
                <w:i/>
                <w:color w:val="000000"/>
                <w:sz w:val="20"/>
                <w:szCs w:val="20"/>
                <w:lang w:eastAsia="en-US"/>
              </w:rPr>
              <w:t>Clark (1994, ch. 54 revised);</w:t>
            </w:r>
            <w:r>
              <w:rPr>
                <w:b/>
                <w:bCs/>
                <w:color w:val="000000"/>
                <w:sz w:val="20"/>
                <w:szCs w:val="20"/>
                <w:lang w:eastAsia="en-US"/>
              </w:rPr>
              <w:t xml:space="preserve"> </w:t>
            </w:r>
            <w:r>
              <w:rPr>
                <w:bCs/>
                <w:i/>
                <w:color w:val="000000"/>
                <w:sz w:val="20"/>
                <w:lang w:eastAsia="en-US"/>
              </w:rPr>
              <w:t xml:space="preserve">Andrade et al. (2011, ch. 289 modified); </w:t>
            </w:r>
            <w:r>
              <w:rPr>
                <w:i/>
                <w:sz w:val="20"/>
                <w:szCs w:val="20"/>
                <w:lang w:eastAsia="en-US"/>
              </w:rPr>
              <w:t xml:space="preserve">Ristevski et al. (2018, ds 2, ch. 187); Smith et al. (in review, ds 1, ch. 191); </w:t>
            </w:r>
            <w:r>
              <w:rPr>
                <w:i/>
                <w:sz w:val="20"/>
                <w:szCs w:val="20"/>
              </w:rPr>
              <w:t>Ősi et al. (in review, ds 1, ch. 209)</w:t>
            </w:r>
            <w:r>
              <w:rPr>
                <w:bCs/>
                <w:i/>
                <w:color w:val="000000"/>
                <w:sz w:val="20"/>
                <w:lang w:eastAsia="en-US"/>
              </w:rPr>
              <w:t>.</w:t>
            </w:r>
          </w:p>
          <w:p w14:paraId="12CFEBE7" w14:textId="77777777" w:rsidR="007A6B86" w:rsidRDefault="007A6B86" w:rsidP="007A6B86">
            <w:pPr>
              <w:rPr>
                <w:i/>
                <w:color w:val="000000"/>
                <w:sz w:val="20"/>
                <w:szCs w:val="20"/>
                <w:lang w:eastAsia="en-US"/>
              </w:rPr>
            </w:pPr>
            <w:r>
              <w:rPr>
                <w:i/>
                <w:color w:val="000000"/>
                <w:sz w:val="20"/>
                <w:szCs w:val="20"/>
                <w:lang w:eastAsia="en-US"/>
              </w:rPr>
              <w:t>State (1) occurs in</w:t>
            </w:r>
            <w:r>
              <w:rPr>
                <w:color w:val="000000"/>
                <w:sz w:val="20"/>
                <w:szCs w:val="20"/>
                <w:lang w:eastAsia="en-US"/>
              </w:rPr>
              <w:t xml:space="preserve"> </w:t>
            </w:r>
            <w:r>
              <w:rPr>
                <w:i/>
                <w:color w:val="000000"/>
                <w:sz w:val="20"/>
                <w:szCs w:val="20"/>
                <w:lang w:eastAsia="en-US"/>
              </w:rPr>
              <w:t>Crocodyliformes.</w:t>
            </w:r>
          </w:p>
          <w:p w14:paraId="4D99BCE8" w14:textId="77777777" w:rsidR="007A6B86" w:rsidRDefault="007A6B86" w:rsidP="007A6B86">
            <w:pPr>
              <w:autoSpaceDE w:val="0"/>
              <w:autoSpaceDN w:val="0"/>
              <w:adjustRightInd w:val="0"/>
              <w:rPr>
                <w:bCs/>
                <w:color w:val="000000"/>
                <w:sz w:val="20"/>
                <w:szCs w:val="20"/>
                <w:lang w:eastAsia="en-US"/>
              </w:rPr>
            </w:pPr>
            <w:r>
              <w:rPr>
                <w:bCs/>
                <w:color w:val="000000"/>
                <w:sz w:val="20"/>
                <w:szCs w:val="20"/>
                <w:lang w:eastAsia="en-US"/>
              </w:rPr>
              <w:t xml:space="preserve">0. prominent, </w:t>
            </w:r>
            <w:r>
              <w:rPr>
                <w:sz w:val="20"/>
                <w:szCs w:val="20"/>
                <w:lang w:eastAsia="en-US"/>
              </w:rPr>
              <w:t>forming a movable joint with pterygoid, and with basisphenoid joint suturally closed</w:t>
            </w:r>
          </w:p>
          <w:p w14:paraId="1DF0EEC5" w14:textId="77777777" w:rsidR="007A6B86" w:rsidRDefault="007A6B86" w:rsidP="007A6B86">
            <w:pPr>
              <w:autoSpaceDE w:val="0"/>
              <w:autoSpaceDN w:val="0"/>
              <w:adjustRightInd w:val="0"/>
              <w:rPr>
                <w:color w:val="000000"/>
                <w:sz w:val="20"/>
                <w:szCs w:val="20"/>
                <w:lang w:eastAsia="en-US"/>
              </w:rPr>
            </w:pPr>
            <w:r>
              <w:rPr>
                <w:color w:val="000000"/>
                <w:sz w:val="20"/>
                <w:szCs w:val="20"/>
                <w:lang w:eastAsia="en-US"/>
              </w:rPr>
              <w:t>1. small or absent</w:t>
            </w:r>
          </w:p>
        </w:tc>
      </w:tr>
      <w:tr w:rsidR="007A6B86" w14:paraId="5B3ED42E" w14:textId="77777777" w:rsidTr="007A6B86">
        <w:tc>
          <w:tcPr>
            <w:tcW w:w="0" w:type="auto"/>
            <w:tcBorders>
              <w:top w:val="single" w:sz="4" w:space="0" w:color="auto"/>
              <w:left w:val="single" w:sz="4" w:space="0" w:color="auto"/>
              <w:bottom w:val="single" w:sz="4" w:space="0" w:color="auto"/>
              <w:right w:val="single" w:sz="4" w:space="0" w:color="auto"/>
            </w:tcBorders>
          </w:tcPr>
          <w:p w14:paraId="3203E770" w14:textId="051450DC" w:rsidR="007A6B86" w:rsidRDefault="007A6B86" w:rsidP="007A6B86">
            <w:pPr>
              <w:rPr>
                <w:color w:val="000000"/>
                <w:sz w:val="20"/>
                <w:szCs w:val="20"/>
                <w:lang w:eastAsia="en-US"/>
              </w:rPr>
            </w:pPr>
            <w:r>
              <w:rPr>
                <w:color w:val="000000"/>
                <w:sz w:val="20"/>
                <w:szCs w:val="20"/>
                <w:lang w:eastAsia="en-US"/>
              </w:rPr>
              <w:t>214</w:t>
            </w:r>
          </w:p>
        </w:tc>
        <w:tc>
          <w:tcPr>
            <w:tcW w:w="0" w:type="auto"/>
            <w:tcBorders>
              <w:top w:val="single" w:sz="4" w:space="0" w:color="auto"/>
              <w:left w:val="single" w:sz="4" w:space="0" w:color="auto"/>
              <w:bottom w:val="single" w:sz="4" w:space="0" w:color="auto"/>
              <w:right w:val="single" w:sz="4" w:space="0" w:color="auto"/>
            </w:tcBorders>
            <w:vAlign w:val="bottom"/>
            <w:hideMark/>
          </w:tcPr>
          <w:p w14:paraId="5AD272C7" w14:textId="77777777" w:rsidR="007A6B86" w:rsidRDefault="007A6B86" w:rsidP="007A6B86">
            <w:pPr>
              <w:rPr>
                <w:b/>
                <w:sz w:val="20"/>
                <w:szCs w:val="20"/>
                <w:lang w:eastAsia="en-US"/>
              </w:rPr>
            </w:pPr>
            <w:r>
              <w:rPr>
                <w:b/>
                <w:sz w:val="20"/>
                <w:szCs w:val="20"/>
                <w:lang w:eastAsia="en-US"/>
              </w:rPr>
              <w:t>Basioccipital, single wide rugosity oriented anteroposteriorly along the midline of the ventral surface of the occipital condyle:</w:t>
            </w:r>
          </w:p>
          <w:p w14:paraId="568A13E2" w14:textId="0E81AE50" w:rsidR="007A6B86" w:rsidRDefault="007A6B86" w:rsidP="007A6B86">
            <w:pPr>
              <w:rPr>
                <w:b/>
                <w:sz w:val="20"/>
                <w:szCs w:val="20"/>
                <w:lang w:eastAsia="en-US"/>
              </w:rPr>
            </w:pPr>
            <w:r>
              <w:rPr>
                <w:bCs/>
                <w:i/>
                <w:sz w:val="20"/>
                <w:szCs w:val="20"/>
                <w:lang w:eastAsia="en-US"/>
              </w:rPr>
              <w:t xml:space="preserve">Hastings et al. (2010, ch. 55 modified); </w:t>
            </w:r>
            <w:r>
              <w:rPr>
                <w:i/>
                <w:sz w:val="20"/>
                <w:szCs w:val="20"/>
                <w:lang w:eastAsia="en-US"/>
              </w:rPr>
              <w:t xml:space="preserve">Ristevski et al. (2018, ds 2, ch. 188); Smith et al. (in review, ds 1, ch. 192); </w:t>
            </w:r>
            <w:r>
              <w:rPr>
                <w:i/>
                <w:sz w:val="20"/>
                <w:szCs w:val="20"/>
              </w:rPr>
              <w:t>Ősi et al. (in review, ds 1, ch. 210)</w:t>
            </w:r>
            <w:r>
              <w:rPr>
                <w:bCs/>
                <w:i/>
                <w:sz w:val="20"/>
                <w:szCs w:val="20"/>
                <w:lang w:eastAsia="en-US"/>
              </w:rPr>
              <w:t>.</w:t>
            </w:r>
          </w:p>
          <w:p w14:paraId="0A29ABE8" w14:textId="77777777" w:rsidR="007A6B86" w:rsidRDefault="007A6B86" w:rsidP="007A6B86">
            <w:pPr>
              <w:rPr>
                <w:sz w:val="20"/>
                <w:szCs w:val="20"/>
                <w:lang w:eastAsia="en-US"/>
              </w:rPr>
            </w:pPr>
            <w:r>
              <w:rPr>
                <w:sz w:val="20"/>
                <w:szCs w:val="20"/>
                <w:lang w:eastAsia="en-US"/>
              </w:rPr>
              <w:t>0. absent</w:t>
            </w:r>
          </w:p>
          <w:p w14:paraId="7BB49ED9" w14:textId="77777777" w:rsidR="007A6B86" w:rsidRDefault="007A6B86" w:rsidP="007A6B86">
            <w:pPr>
              <w:rPr>
                <w:b/>
                <w:color w:val="000000"/>
                <w:sz w:val="20"/>
                <w:szCs w:val="20"/>
                <w:lang w:eastAsia="en-US"/>
              </w:rPr>
            </w:pPr>
            <w:r>
              <w:rPr>
                <w:sz w:val="20"/>
                <w:szCs w:val="20"/>
                <w:lang w:eastAsia="en-US"/>
              </w:rPr>
              <w:lastRenderedPageBreak/>
              <w:t>1. present</w:t>
            </w:r>
          </w:p>
        </w:tc>
      </w:tr>
      <w:tr w:rsidR="007A6B86" w14:paraId="3E9DB6E8" w14:textId="77777777" w:rsidTr="007A6B86">
        <w:tc>
          <w:tcPr>
            <w:tcW w:w="0" w:type="auto"/>
            <w:tcBorders>
              <w:top w:val="single" w:sz="4" w:space="0" w:color="auto"/>
              <w:left w:val="single" w:sz="4" w:space="0" w:color="auto"/>
              <w:bottom w:val="single" w:sz="4" w:space="0" w:color="auto"/>
              <w:right w:val="single" w:sz="4" w:space="0" w:color="auto"/>
            </w:tcBorders>
          </w:tcPr>
          <w:p w14:paraId="145ED18A" w14:textId="776EBE64" w:rsidR="007A6B86" w:rsidRDefault="007A6B86" w:rsidP="007A6B86">
            <w:pPr>
              <w:rPr>
                <w:color w:val="000000"/>
                <w:sz w:val="20"/>
                <w:szCs w:val="20"/>
                <w:lang w:eastAsia="en-US"/>
              </w:rPr>
            </w:pPr>
            <w:r>
              <w:rPr>
                <w:color w:val="000000"/>
                <w:sz w:val="20"/>
                <w:szCs w:val="20"/>
                <w:lang w:eastAsia="en-US"/>
              </w:rPr>
              <w:lastRenderedPageBreak/>
              <w:t>215</w:t>
            </w:r>
          </w:p>
        </w:tc>
        <w:tc>
          <w:tcPr>
            <w:tcW w:w="0" w:type="auto"/>
            <w:tcBorders>
              <w:top w:val="single" w:sz="4" w:space="0" w:color="auto"/>
              <w:left w:val="single" w:sz="4" w:space="0" w:color="auto"/>
              <w:bottom w:val="single" w:sz="4" w:space="0" w:color="auto"/>
              <w:right w:val="single" w:sz="4" w:space="0" w:color="auto"/>
            </w:tcBorders>
            <w:vAlign w:val="bottom"/>
            <w:hideMark/>
          </w:tcPr>
          <w:p w14:paraId="14995308" w14:textId="77777777" w:rsidR="007A6B86" w:rsidRDefault="007A6B86" w:rsidP="007A6B86">
            <w:pPr>
              <w:rPr>
                <w:b/>
                <w:color w:val="000000"/>
                <w:sz w:val="20"/>
                <w:szCs w:val="20"/>
                <w:lang w:eastAsia="en-US"/>
              </w:rPr>
            </w:pPr>
            <w:r>
              <w:rPr>
                <w:b/>
                <w:color w:val="000000"/>
                <w:sz w:val="20"/>
                <w:szCs w:val="20"/>
                <w:lang w:eastAsia="en-US"/>
              </w:rPr>
              <w:t>Basioccipial, presence of tuberosities (= basal tubera):</w:t>
            </w:r>
          </w:p>
          <w:p w14:paraId="591320B6" w14:textId="66AC2D98"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 xml:space="preserve">Clark (1994, ch. 57); Lauprasert </w:t>
            </w:r>
            <w:r>
              <w:rPr>
                <w:bCs/>
                <w:i/>
                <w:iCs/>
                <w:color w:val="000000"/>
                <w:sz w:val="20"/>
                <w:szCs w:val="20"/>
                <w:lang w:eastAsia="en-US"/>
              </w:rPr>
              <w:t>et al. (</w:t>
            </w:r>
            <w:r>
              <w:rPr>
                <w:bCs/>
                <w:i/>
                <w:color w:val="000000"/>
                <w:sz w:val="20"/>
                <w:szCs w:val="20"/>
                <w:lang w:eastAsia="en-US"/>
              </w:rPr>
              <w:t>2007, ch. 46);</w:t>
            </w:r>
            <w:r>
              <w:rPr>
                <w:b/>
                <w:bCs/>
                <w:color w:val="000000"/>
                <w:sz w:val="20"/>
                <w:szCs w:val="20"/>
                <w:lang w:eastAsia="en-US"/>
              </w:rPr>
              <w:t xml:space="preserve"> </w:t>
            </w:r>
            <w:r>
              <w:rPr>
                <w:i/>
                <w:sz w:val="20"/>
                <w:szCs w:val="20"/>
                <w:lang w:eastAsia="en-US"/>
              </w:rPr>
              <w:t xml:space="preserve">Young &amp; Andrade (2009, ch. 151); </w:t>
            </w:r>
            <w:r>
              <w:rPr>
                <w:bCs/>
                <w:i/>
                <w:color w:val="000000"/>
                <w:sz w:val="20"/>
                <w:lang w:eastAsia="en-US"/>
              </w:rPr>
              <w:t xml:space="preserve">Andrade et al. (2011, ch. 288); </w:t>
            </w:r>
            <w:r>
              <w:rPr>
                <w:bCs/>
                <w:i/>
                <w:color w:val="000000"/>
                <w:sz w:val="20"/>
                <w:szCs w:val="20"/>
                <w:lang w:eastAsia="en-US"/>
              </w:rPr>
              <w:t xml:space="preserve">Young et al. (2011, ch. 151); Young et al. (2013a, ch. 100); </w:t>
            </w:r>
            <w:r>
              <w:rPr>
                <w:bCs/>
                <w:i/>
                <w:color w:val="000000"/>
                <w:sz w:val="20"/>
                <w:lang w:eastAsia="en-US"/>
              </w:rPr>
              <w:t xml:space="preserve">Young et al. (2012, ch. 117); Young (2014, ch. 120); </w:t>
            </w:r>
            <w:r>
              <w:rPr>
                <w:i/>
                <w:sz w:val="20"/>
                <w:szCs w:val="20"/>
                <w:lang w:eastAsia="en-US"/>
              </w:rPr>
              <w:t xml:space="preserve">Young et al. (2016, ds 2, ch. 139); Ristevski et al. (2018, ds 2, ch. 189); Smith et al. (in review, ds 1, ch. 193); </w:t>
            </w:r>
            <w:r>
              <w:rPr>
                <w:i/>
                <w:sz w:val="20"/>
                <w:szCs w:val="20"/>
              </w:rPr>
              <w:t>Ősi et al. (in review, ds 1, ch. 211)</w:t>
            </w:r>
            <w:r>
              <w:rPr>
                <w:i/>
                <w:sz w:val="20"/>
                <w:szCs w:val="20"/>
                <w:lang w:eastAsia="en-US"/>
              </w:rPr>
              <w:t>.</w:t>
            </w:r>
          </w:p>
          <w:p w14:paraId="4DDAD8E8" w14:textId="77777777" w:rsidR="007A6B86" w:rsidRDefault="007A6B86" w:rsidP="007A6B86">
            <w:pPr>
              <w:rPr>
                <w:i/>
                <w:color w:val="000000"/>
                <w:sz w:val="20"/>
                <w:szCs w:val="20"/>
                <w:lang w:eastAsia="en-US"/>
              </w:rPr>
            </w:pPr>
            <w:r>
              <w:rPr>
                <w:i/>
                <w:color w:val="000000"/>
                <w:sz w:val="20"/>
                <w:szCs w:val="20"/>
                <w:lang w:eastAsia="en-US"/>
              </w:rPr>
              <w:t>State (1) occurs in longirostrine taxa.</w:t>
            </w:r>
          </w:p>
          <w:p w14:paraId="5FC0209C" w14:textId="77777777" w:rsidR="007A6B86" w:rsidRDefault="007A6B86" w:rsidP="007A6B86">
            <w:pPr>
              <w:rPr>
                <w:color w:val="000000"/>
                <w:sz w:val="20"/>
                <w:szCs w:val="20"/>
                <w:lang w:eastAsia="en-US"/>
              </w:rPr>
            </w:pPr>
            <w:r>
              <w:rPr>
                <w:color w:val="000000"/>
                <w:sz w:val="20"/>
                <w:szCs w:val="20"/>
                <w:lang w:eastAsia="en-US"/>
              </w:rPr>
              <w:t>0. reduced</w:t>
            </w:r>
          </w:p>
          <w:p w14:paraId="68AFE2D3" w14:textId="77777777" w:rsidR="007A6B86" w:rsidRDefault="007A6B86" w:rsidP="007A6B86">
            <w:pPr>
              <w:rPr>
                <w:color w:val="000000"/>
                <w:sz w:val="20"/>
                <w:szCs w:val="20"/>
                <w:lang w:eastAsia="en-US"/>
              </w:rPr>
            </w:pPr>
            <w:r>
              <w:rPr>
                <w:color w:val="000000"/>
                <w:sz w:val="20"/>
                <w:szCs w:val="20"/>
                <w:lang w:eastAsia="en-US"/>
              </w:rPr>
              <w:t>1. large and pendulous</w:t>
            </w:r>
          </w:p>
        </w:tc>
      </w:tr>
      <w:tr w:rsidR="007A6B86" w14:paraId="59A45565" w14:textId="77777777" w:rsidTr="007A6B86">
        <w:tc>
          <w:tcPr>
            <w:tcW w:w="0" w:type="auto"/>
            <w:tcBorders>
              <w:top w:val="single" w:sz="4" w:space="0" w:color="auto"/>
              <w:left w:val="single" w:sz="4" w:space="0" w:color="auto"/>
              <w:bottom w:val="single" w:sz="4" w:space="0" w:color="auto"/>
              <w:right w:val="single" w:sz="4" w:space="0" w:color="auto"/>
            </w:tcBorders>
          </w:tcPr>
          <w:p w14:paraId="437EBE98" w14:textId="6E8B048D" w:rsidR="007A6B86" w:rsidRDefault="007A6B86" w:rsidP="007A6B86">
            <w:pPr>
              <w:rPr>
                <w:color w:val="000000"/>
                <w:sz w:val="20"/>
                <w:szCs w:val="20"/>
                <w:lang w:eastAsia="en-US"/>
              </w:rPr>
            </w:pPr>
            <w:r>
              <w:rPr>
                <w:color w:val="000000"/>
                <w:sz w:val="20"/>
                <w:szCs w:val="20"/>
                <w:lang w:eastAsia="en-US"/>
              </w:rPr>
              <w:t>216</w:t>
            </w:r>
          </w:p>
        </w:tc>
        <w:tc>
          <w:tcPr>
            <w:tcW w:w="0" w:type="auto"/>
            <w:tcBorders>
              <w:top w:val="single" w:sz="4" w:space="0" w:color="auto"/>
              <w:left w:val="single" w:sz="4" w:space="0" w:color="auto"/>
              <w:bottom w:val="single" w:sz="4" w:space="0" w:color="auto"/>
              <w:right w:val="single" w:sz="4" w:space="0" w:color="auto"/>
            </w:tcBorders>
            <w:vAlign w:val="bottom"/>
            <w:hideMark/>
          </w:tcPr>
          <w:p w14:paraId="70629EAA" w14:textId="77777777" w:rsidR="007A6B86" w:rsidRDefault="007A6B86" w:rsidP="007A6B86">
            <w:pPr>
              <w:rPr>
                <w:b/>
                <w:sz w:val="20"/>
                <w:szCs w:val="20"/>
                <w:lang w:eastAsia="en-US"/>
              </w:rPr>
            </w:pPr>
            <w:r>
              <w:rPr>
                <w:b/>
                <w:sz w:val="20"/>
                <w:szCs w:val="20"/>
                <w:lang w:eastAsia="en-US"/>
              </w:rPr>
              <w:t>Basioccipital tuberosities, in ventral view:</w:t>
            </w:r>
          </w:p>
          <w:p w14:paraId="126DCA9C" w14:textId="1B50181D" w:rsidR="007A6B86" w:rsidRDefault="007A6B86" w:rsidP="007A6B86">
            <w:pPr>
              <w:rPr>
                <w:b/>
                <w:sz w:val="20"/>
                <w:szCs w:val="20"/>
                <w:lang w:eastAsia="en-US"/>
              </w:rPr>
            </w:pPr>
            <w:r>
              <w:rPr>
                <w:bCs/>
                <w:i/>
                <w:sz w:val="20"/>
                <w:szCs w:val="20"/>
                <w:lang w:eastAsia="en-US"/>
              </w:rPr>
              <w:t xml:space="preserve">Hastings et al. (2010, ch. 56 modified); </w:t>
            </w:r>
            <w:r>
              <w:rPr>
                <w:i/>
                <w:sz w:val="20"/>
                <w:szCs w:val="20"/>
                <w:lang w:eastAsia="en-US"/>
              </w:rPr>
              <w:t xml:space="preserve">Ristevski et al. (2018, ds 2, ch. 190); Smith et al. (in review, ds 1, ch. 194); </w:t>
            </w:r>
            <w:r>
              <w:rPr>
                <w:i/>
                <w:sz w:val="20"/>
                <w:szCs w:val="20"/>
              </w:rPr>
              <w:t>Ősi et al. (in review, ds 1, ch. 212)</w:t>
            </w:r>
            <w:r>
              <w:rPr>
                <w:bCs/>
                <w:i/>
                <w:sz w:val="20"/>
                <w:szCs w:val="20"/>
                <w:lang w:eastAsia="en-US"/>
              </w:rPr>
              <w:t>.</w:t>
            </w:r>
          </w:p>
          <w:p w14:paraId="1902770D" w14:textId="77777777" w:rsidR="007A6B86" w:rsidRDefault="007A6B86" w:rsidP="007A6B86">
            <w:pPr>
              <w:rPr>
                <w:sz w:val="20"/>
                <w:szCs w:val="20"/>
                <w:lang w:eastAsia="en-US"/>
              </w:rPr>
            </w:pPr>
            <w:r>
              <w:rPr>
                <w:sz w:val="20"/>
                <w:szCs w:val="20"/>
                <w:lang w:eastAsia="en-US"/>
              </w:rPr>
              <w:t>0. oblong-shaped</w:t>
            </w:r>
          </w:p>
          <w:p w14:paraId="0E9DDFEE" w14:textId="77777777" w:rsidR="007A6B86" w:rsidRDefault="007A6B86" w:rsidP="007A6B86">
            <w:pPr>
              <w:rPr>
                <w:b/>
                <w:color w:val="000000"/>
                <w:sz w:val="20"/>
                <w:szCs w:val="20"/>
                <w:lang w:eastAsia="en-US"/>
              </w:rPr>
            </w:pPr>
            <w:r>
              <w:rPr>
                <w:sz w:val="20"/>
                <w:szCs w:val="20"/>
                <w:lang w:eastAsia="en-US"/>
              </w:rPr>
              <w:t>1. 'V'-shaped or tear-drop shaped</w:t>
            </w:r>
          </w:p>
        </w:tc>
      </w:tr>
      <w:tr w:rsidR="007A6B86" w14:paraId="0DD7E7E6" w14:textId="77777777" w:rsidTr="007A6B86">
        <w:tc>
          <w:tcPr>
            <w:tcW w:w="0" w:type="auto"/>
            <w:tcBorders>
              <w:top w:val="single" w:sz="4" w:space="0" w:color="auto"/>
              <w:left w:val="single" w:sz="4" w:space="0" w:color="auto"/>
              <w:bottom w:val="single" w:sz="4" w:space="0" w:color="auto"/>
              <w:right w:val="single" w:sz="4" w:space="0" w:color="auto"/>
            </w:tcBorders>
          </w:tcPr>
          <w:p w14:paraId="106CFCC7" w14:textId="663A89BC" w:rsidR="007A6B86" w:rsidRDefault="007A6B86" w:rsidP="007A6B86">
            <w:pPr>
              <w:rPr>
                <w:color w:val="000000"/>
                <w:sz w:val="20"/>
                <w:szCs w:val="20"/>
                <w:lang w:eastAsia="en-US"/>
              </w:rPr>
            </w:pPr>
            <w:r>
              <w:rPr>
                <w:sz w:val="20"/>
                <w:szCs w:val="20"/>
                <w:lang w:eastAsia="en-US"/>
              </w:rPr>
              <w:t>217</w:t>
            </w:r>
          </w:p>
        </w:tc>
        <w:tc>
          <w:tcPr>
            <w:tcW w:w="0" w:type="auto"/>
            <w:tcBorders>
              <w:top w:val="single" w:sz="4" w:space="0" w:color="auto"/>
              <w:left w:val="single" w:sz="4" w:space="0" w:color="auto"/>
              <w:bottom w:val="single" w:sz="4" w:space="0" w:color="auto"/>
              <w:right w:val="single" w:sz="4" w:space="0" w:color="auto"/>
            </w:tcBorders>
            <w:vAlign w:val="bottom"/>
            <w:hideMark/>
          </w:tcPr>
          <w:p w14:paraId="402A2626" w14:textId="77777777" w:rsidR="007A6B86" w:rsidRDefault="007A6B86" w:rsidP="007A6B86">
            <w:pPr>
              <w:rPr>
                <w:b/>
                <w:sz w:val="20"/>
                <w:szCs w:val="20"/>
                <w:lang w:eastAsia="en-US"/>
              </w:rPr>
            </w:pPr>
            <w:r>
              <w:rPr>
                <w:b/>
                <w:sz w:val="20"/>
                <w:szCs w:val="20"/>
                <w:lang w:eastAsia="en-US"/>
              </w:rPr>
              <w:t>Paired grooves along ventral surface, extending from base of the occipital condyle to the basioccipital tuberosities:</w:t>
            </w:r>
          </w:p>
          <w:p w14:paraId="2C066110" w14:textId="3E964A52" w:rsidR="007A6B86" w:rsidRDefault="007A6B86" w:rsidP="007A6B86">
            <w:pPr>
              <w:rPr>
                <w:b/>
                <w:sz w:val="20"/>
                <w:szCs w:val="20"/>
                <w:lang w:eastAsia="en-US"/>
              </w:rPr>
            </w:pPr>
            <w:r>
              <w:rPr>
                <w:bCs/>
                <w:i/>
                <w:sz w:val="20"/>
                <w:szCs w:val="20"/>
                <w:lang w:eastAsia="en-US"/>
              </w:rPr>
              <w:t xml:space="preserve">Hastings et al. (2010, ch. 57 modified); </w:t>
            </w:r>
            <w:r>
              <w:rPr>
                <w:i/>
                <w:sz w:val="20"/>
                <w:szCs w:val="20"/>
                <w:lang w:eastAsia="en-US"/>
              </w:rPr>
              <w:t xml:space="preserve">Ristevski et al. (2018, ds 2, ch. 191); Smith et al. (in review, ds 1, ch. 195); </w:t>
            </w:r>
            <w:r>
              <w:rPr>
                <w:i/>
                <w:sz w:val="20"/>
                <w:szCs w:val="20"/>
              </w:rPr>
              <w:t>Ősi et al. (in review, ds 1, ch. 213)</w:t>
            </w:r>
            <w:r>
              <w:rPr>
                <w:bCs/>
                <w:i/>
                <w:sz w:val="20"/>
                <w:szCs w:val="20"/>
                <w:lang w:eastAsia="en-US"/>
              </w:rPr>
              <w:t>.</w:t>
            </w:r>
          </w:p>
          <w:p w14:paraId="0BC673D0" w14:textId="77777777" w:rsidR="007A6B86" w:rsidRDefault="007A6B86" w:rsidP="007A6B86">
            <w:pPr>
              <w:rPr>
                <w:sz w:val="20"/>
                <w:szCs w:val="20"/>
                <w:lang w:eastAsia="en-US"/>
              </w:rPr>
            </w:pPr>
            <w:r>
              <w:rPr>
                <w:sz w:val="20"/>
                <w:szCs w:val="20"/>
                <w:lang w:eastAsia="en-US"/>
              </w:rPr>
              <w:t>0. absent</w:t>
            </w:r>
          </w:p>
          <w:p w14:paraId="5755B399" w14:textId="77777777" w:rsidR="007A6B86" w:rsidRDefault="007A6B86" w:rsidP="007A6B86">
            <w:pPr>
              <w:rPr>
                <w:b/>
                <w:color w:val="000000"/>
                <w:sz w:val="20"/>
                <w:szCs w:val="20"/>
                <w:lang w:eastAsia="en-US"/>
              </w:rPr>
            </w:pPr>
            <w:r>
              <w:rPr>
                <w:sz w:val="20"/>
                <w:szCs w:val="20"/>
                <w:lang w:eastAsia="en-US"/>
              </w:rPr>
              <w:t>1. present</w:t>
            </w:r>
          </w:p>
        </w:tc>
      </w:tr>
      <w:tr w:rsidR="007A6B86" w14:paraId="2349254F" w14:textId="77777777" w:rsidTr="007A6B86">
        <w:tc>
          <w:tcPr>
            <w:tcW w:w="0" w:type="auto"/>
            <w:tcBorders>
              <w:top w:val="single" w:sz="4" w:space="0" w:color="auto"/>
              <w:left w:val="single" w:sz="4" w:space="0" w:color="auto"/>
              <w:bottom w:val="single" w:sz="4" w:space="0" w:color="auto"/>
              <w:right w:val="single" w:sz="4" w:space="0" w:color="auto"/>
            </w:tcBorders>
          </w:tcPr>
          <w:p w14:paraId="2EE82AF0" w14:textId="6EC2DC84" w:rsidR="007A6B86" w:rsidRDefault="007A6B86" w:rsidP="007A6B86">
            <w:pPr>
              <w:rPr>
                <w:color w:val="000000"/>
                <w:sz w:val="20"/>
                <w:szCs w:val="20"/>
                <w:lang w:eastAsia="en-US"/>
              </w:rPr>
            </w:pPr>
            <w:r>
              <w:rPr>
                <w:color w:val="000000"/>
                <w:sz w:val="20"/>
                <w:szCs w:val="20"/>
                <w:lang w:eastAsia="en-US"/>
              </w:rPr>
              <w:t>218</w:t>
            </w:r>
          </w:p>
        </w:tc>
        <w:tc>
          <w:tcPr>
            <w:tcW w:w="0" w:type="auto"/>
            <w:tcBorders>
              <w:top w:val="single" w:sz="4" w:space="0" w:color="auto"/>
              <w:left w:val="single" w:sz="4" w:space="0" w:color="auto"/>
              <w:bottom w:val="single" w:sz="4" w:space="0" w:color="auto"/>
              <w:right w:val="single" w:sz="4" w:space="0" w:color="auto"/>
            </w:tcBorders>
            <w:vAlign w:val="bottom"/>
            <w:hideMark/>
          </w:tcPr>
          <w:p w14:paraId="1BC3FE80" w14:textId="77777777" w:rsidR="007A6B86" w:rsidRDefault="007A6B86" w:rsidP="007A6B86">
            <w:pPr>
              <w:rPr>
                <w:b/>
                <w:sz w:val="20"/>
                <w:szCs w:val="20"/>
                <w:lang w:eastAsia="en-US"/>
              </w:rPr>
            </w:pPr>
            <w:r>
              <w:rPr>
                <w:b/>
                <w:sz w:val="20"/>
                <w:szCs w:val="20"/>
                <w:lang w:eastAsia="en-US"/>
              </w:rPr>
              <w:t>Ventral part of the basioccipital:</w:t>
            </w:r>
          </w:p>
          <w:p w14:paraId="490728A6" w14:textId="226C64AA" w:rsidR="007A6B86" w:rsidRDefault="007A6B86" w:rsidP="007A6B86">
            <w:pPr>
              <w:rPr>
                <w:i/>
                <w:sz w:val="20"/>
                <w:szCs w:val="20"/>
                <w:lang w:eastAsia="en-US"/>
              </w:rPr>
            </w:pPr>
            <w:r>
              <w:rPr>
                <w:i/>
                <w:sz w:val="20"/>
                <w:szCs w:val="20"/>
                <w:lang w:eastAsia="en-US"/>
              </w:rPr>
              <w:t xml:space="preserve">Jouve et al. (2005b, ch. </w:t>
            </w:r>
            <w:r>
              <w:rPr>
                <w:bCs/>
                <w:i/>
                <w:sz w:val="20"/>
                <w:szCs w:val="20"/>
                <w:lang w:eastAsia="en-US"/>
              </w:rPr>
              <w:t>13),</w:t>
            </w:r>
            <w:r>
              <w:rPr>
                <w:i/>
                <w:sz w:val="20"/>
                <w:szCs w:val="20"/>
                <w:lang w:eastAsia="en-US"/>
              </w:rPr>
              <w:t xml:space="preserve"> Jouve et al. (2008, ch. </w:t>
            </w:r>
            <w:r>
              <w:rPr>
                <w:bCs/>
                <w:i/>
                <w:sz w:val="20"/>
                <w:szCs w:val="20"/>
                <w:lang w:eastAsia="en-US"/>
              </w:rPr>
              <w:t xml:space="preserve">13), Hastings et al. (2010, ch. 59); </w:t>
            </w:r>
            <w:r>
              <w:rPr>
                <w:i/>
                <w:sz w:val="20"/>
                <w:szCs w:val="20"/>
                <w:lang w:eastAsia="en-US"/>
              </w:rPr>
              <w:t xml:space="preserve">Ristevski et al. (2018, ds 2, ch. 192); Smith et al. (in review, ds 1, ch. 196); </w:t>
            </w:r>
            <w:r>
              <w:rPr>
                <w:i/>
                <w:sz w:val="20"/>
                <w:szCs w:val="20"/>
              </w:rPr>
              <w:t>Ősi et al. (in review, ds 1, ch. 214)</w:t>
            </w:r>
            <w:r>
              <w:rPr>
                <w:i/>
                <w:sz w:val="20"/>
                <w:szCs w:val="20"/>
                <w:lang w:eastAsia="en-US"/>
              </w:rPr>
              <w:t>.</w:t>
            </w:r>
          </w:p>
          <w:p w14:paraId="32AF5254" w14:textId="77777777" w:rsidR="007A6B86" w:rsidRDefault="007A6B86" w:rsidP="007A6B86">
            <w:pPr>
              <w:rPr>
                <w:sz w:val="20"/>
                <w:szCs w:val="20"/>
                <w:lang w:eastAsia="en-US"/>
              </w:rPr>
            </w:pPr>
            <w:r>
              <w:rPr>
                <w:sz w:val="20"/>
                <w:szCs w:val="20"/>
                <w:lang w:eastAsia="en-US"/>
              </w:rPr>
              <w:t>0. vertical, largely visible in occipital view</w:t>
            </w:r>
          </w:p>
          <w:p w14:paraId="0AF63B2F" w14:textId="77777777" w:rsidR="007A6B86" w:rsidRDefault="007A6B86" w:rsidP="007A6B86">
            <w:pPr>
              <w:rPr>
                <w:b/>
                <w:color w:val="000000"/>
                <w:sz w:val="20"/>
                <w:szCs w:val="20"/>
                <w:lang w:eastAsia="en-US"/>
              </w:rPr>
            </w:pPr>
            <w:r>
              <w:rPr>
                <w:sz w:val="20"/>
                <w:szCs w:val="20"/>
                <w:lang w:eastAsia="en-US"/>
              </w:rPr>
              <w:t>1. strongly inclined, weakly visible in occipital view</w:t>
            </w:r>
          </w:p>
        </w:tc>
      </w:tr>
      <w:tr w:rsidR="007A6B86" w14:paraId="63A229E0" w14:textId="77777777" w:rsidTr="007A6B86">
        <w:tc>
          <w:tcPr>
            <w:tcW w:w="0" w:type="auto"/>
            <w:tcBorders>
              <w:top w:val="single" w:sz="4" w:space="0" w:color="auto"/>
              <w:left w:val="single" w:sz="4" w:space="0" w:color="auto"/>
              <w:bottom w:val="single" w:sz="4" w:space="0" w:color="auto"/>
              <w:right w:val="single" w:sz="4" w:space="0" w:color="auto"/>
            </w:tcBorders>
          </w:tcPr>
          <w:p w14:paraId="48291A1F" w14:textId="4492B162" w:rsidR="007A6B86" w:rsidRDefault="007A6B86" w:rsidP="007A6B86">
            <w:pPr>
              <w:rPr>
                <w:color w:val="000000"/>
                <w:sz w:val="20"/>
                <w:szCs w:val="20"/>
                <w:lang w:eastAsia="en-US"/>
              </w:rPr>
            </w:pPr>
            <w:r>
              <w:rPr>
                <w:color w:val="000000"/>
                <w:sz w:val="20"/>
                <w:szCs w:val="20"/>
                <w:lang w:eastAsia="en-US"/>
              </w:rPr>
              <w:t>219</w:t>
            </w:r>
          </w:p>
        </w:tc>
        <w:tc>
          <w:tcPr>
            <w:tcW w:w="0" w:type="auto"/>
            <w:tcBorders>
              <w:top w:val="single" w:sz="4" w:space="0" w:color="auto"/>
              <w:left w:val="single" w:sz="4" w:space="0" w:color="auto"/>
              <w:bottom w:val="single" w:sz="4" w:space="0" w:color="auto"/>
              <w:right w:val="single" w:sz="4" w:space="0" w:color="auto"/>
            </w:tcBorders>
            <w:vAlign w:val="bottom"/>
            <w:hideMark/>
          </w:tcPr>
          <w:p w14:paraId="6BDBE99B" w14:textId="77777777" w:rsidR="007A6B86" w:rsidRDefault="007A6B86" w:rsidP="007A6B86">
            <w:pPr>
              <w:rPr>
                <w:b/>
                <w:color w:val="000000"/>
                <w:sz w:val="20"/>
                <w:szCs w:val="20"/>
                <w:lang w:eastAsia="en-US"/>
              </w:rPr>
            </w:pPr>
            <w:r>
              <w:rPr>
                <w:b/>
                <w:color w:val="000000"/>
                <w:sz w:val="20"/>
                <w:szCs w:val="20"/>
                <w:lang w:eastAsia="en-US"/>
              </w:rPr>
              <w:t>Quadrate, prominent crest on dorsal surface of distal quadrate extending proximally to lateral extent of quadrate–exoccipital contact:</w:t>
            </w:r>
          </w:p>
          <w:p w14:paraId="6E9DD10C" w14:textId="1D92D4A9" w:rsidR="007A6B86" w:rsidRDefault="007A6B86" w:rsidP="007A6B86">
            <w:pPr>
              <w:autoSpaceDE w:val="0"/>
              <w:autoSpaceDN w:val="0"/>
              <w:adjustRightInd w:val="0"/>
              <w:rPr>
                <w:i/>
                <w:sz w:val="20"/>
                <w:szCs w:val="20"/>
                <w:lang w:eastAsia="en-US"/>
              </w:rPr>
            </w:pPr>
            <w:r>
              <w:rPr>
                <w:i/>
                <w:sz w:val="20"/>
                <w:szCs w:val="20"/>
                <w:lang w:eastAsia="en-US"/>
              </w:rPr>
              <w:t xml:space="preserve">Young &amp; Andrade (2009, ch. 101); </w:t>
            </w:r>
            <w:r>
              <w:rPr>
                <w:bCs/>
                <w:i/>
                <w:color w:val="000000"/>
                <w:sz w:val="20"/>
                <w:szCs w:val="20"/>
                <w:lang w:eastAsia="en-US"/>
              </w:rPr>
              <w:t xml:space="preserve">Young et al. (2011, ch. 101); Young et al. (2013a, ch. 101); </w:t>
            </w:r>
            <w:r>
              <w:rPr>
                <w:i/>
                <w:sz w:val="20"/>
                <w:szCs w:val="20"/>
                <w:lang w:eastAsia="en-US"/>
              </w:rPr>
              <w:t xml:space="preserve">Young et al. (2012, ch. 118); Young (2014, ch. 121); Young et al. (2016, ds 2, ch. 140); Ristevski et al. (2018, ds 2, ch. 193); Smith et al. (in review, ds 1, ch. 197); </w:t>
            </w:r>
            <w:r>
              <w:rPr>
                <w:i/>
                <w:sz w:val="20"/>
                <w:szCs w:val="20"/>
              </w:rPr>
              <w:t>Ősi et al. (in review, ds 1, ch. 215)</w:t>
            </w:r>
            <w:r>
              <w:rPr>
                <w:i/>
                <w:sz w:val="20"/>
                <w:szCs w:val="20"/>
                <w:lang w:eastAsia="en-US"/>
              </w:rPr>
              <w:t>.</w:t>
            </w:r>
          </w:p>
          <w:p w14:paraId="3769AF5F" w14:textId="77777777" w:rsidR="007A6B86" w:rsidRDefault="007A6B86" w:rsidP="007A6B86">
            <w:pPr>
              <w:rPr>
                <w:i/>
                <w:color w:val="000000"/>
                <w:sz w:val="20"/>
                <w:szCs w:val="20"/>
                <w:lang w:eastAsia="en-US"/>
              </w:rPr>
            </w:pPr>
            <w:r>
              <w:rPr>
                <w:i/>
                <w:color w:val="000000"/>
                <w:sz w:val="20"/>
                <w:szCs w:val="20"/>
                <w:lang w:eastAsia="en-US"/>
              </w:rPr>
              <w:t>State (1) occurs in Metasuchia (with reversals, such as in Crocodylia).</w:t>
            </w:r>
          </w:p>
          <w:p w14:paraId="6C79ACA5" w14:textId="77777777" w:rsidR="007A6B86" w:rsidRDefault="007A6B86" w:rsidP="007A6B86">
            <w:pPr>
              <w:rPr>
                <w:color w:val="000000"/>
                <w:sz w:val="20"/>
                <w:szCs w:val="20"/>
                <w:lang w:eastAsia="en-US"/>
              </w:rPr>
            </w:pPr>
            <w:r>
              <w:rPr>
                <w:color w:val="000000"/>
                <w:sz w:val="20"/>
                <w:szCs w:val="20"/>
                <w:lang w:eastAsia="en-US"/>
              </w:rPr>
              <w:t>0. absent</w:t>
            </w:r>
          </w:p>
          <w:p w14:paraId="12E12DAE" w14:textId="77777777" w:rsidR="007A6B86" w:rsidRDefault="007A6B86" w:rsidP="007A6B86">
            <w:pPr>
              <w:rPr>
                <w:color w:val="000000"/>
                <w:sz w:val="20"/>
                <w:szCs w:val="20"/>
                <w:lang w:eastAsia="en-US"/>
              </w:rPr>
            </w:pPr>
            <w:r>
              <w:rPr>
                <w:color w:val="000000"/>
                <w:sz w:val="20"/>
                <w:szCs w:val="20"/>
                <w:lang w:eastAsia="en-US"/>
              </w:rPr>
              <w:t>1. present</w:t>
            </w:r>
          </w:p>
        </w:tc>
      </w:tr>
      <w:tr w:rsidR="007A6B86" w14:paraId="7657F462" w14:textId="77777777" w:rsidTr="007A6B86">
        <w:tc>
          <w:tcPr>
            <w:tcW w:w="0" w:type="auto"/>
            <w:tcBorders>
              <w:top w:val="single" w:sz="4" w:space="0" w:color="auto"/>
              <w:left w:val="single" w:sz="4" w:space="0" w:color="auto"/>
              <w:bottom w:val="single" w:sz="4" w:space="0" w:color="auto"/>
              <w:right w:val="single" w:sz="4" w:space="0" w:color="auto"/>
            </w:tcBorders>
          </w:tcPr>
          <w:p w14:paraId="5F2D6305" w14:textId="4AABD923" w:rsidR="007A6B86" w:rsidRDefault="007A6B86" w:rsidP="007A6B86">
            <w:pPr>
              <w:rPr>
                <w:color w:val="000000"/>
                <w:sz w:val="20"/>
                <w:szCs w:val="20"/>
                <w:lang w:eastAsia="en-US"/>
              </w:rPr>
            </w:pPr>
            <w:r>
              <w:rPr>
                <w:color w:val="000000"/>
                <w:sz w:val="20"/>
                <w:szCs w:val="20"/>
                <w:lang w:eastAsia="en-US"/>
              </w:rPr>
              <w:t>220</w:t>
            </w:r>
          </w:p>
        </w:tc>
        <w:tc>
          <w:tcPr>
            <w:tcW w:w="0" w:type="auto"/>
            <w:tcBorders>
              <w:top w:val="single" w:sz="4" w:space="0" w:color="auto"/>
              <w:left w:val="single" w:sz="4" w:space="0" w:color="auto"/>
              <w:bottom w:val="single" w:sz="4" w:space="0" w:color="auto"/>
              <w:right w:val="single" w:sz="4" w:space="0" w:color="auto"/>
            </w:tcBorders>
            <w:vAlign w:val="bottom"/>
            <w:hideMark/>
          </w:tcPr>
          <w:p w14:paraId="6B3C9F30" w14:textId="77777777" w:rsidR="007A6B86" w:rsidRDefault="007A6B86" w:rsidP="007A6B86">
            <w:pPr>
              <w:rPr>
                <w:b/>
                <w:color w:val="000000"/>
                <w:sz w:val="20"/>
                <w:szCs w:val="20"/>
                <w:lang w:eastAsia="en-US"/>
              </w:rPr>
            </w:pPr>
            <w:r>
              <w:rPr>
                <w:b/>
                <w:color w:val="000000"/>
                <w:sz w:val="20"/>
                <w:szCs w:val="20"/>
                <w:lang w:eastAsia="en-US"/>
              </w:rPr>
              <w:t xml:space="preserve">Quadrate, contact with the proötics: </w:t>
            </w:r>
          </w:p>
          <w:p w14:paraId="0FB3F59E" w14:textId="2105BB15" w:rsidR="007A6B86" w:rsidRDefault="007A6B86" w:rsidP="007A6B86">
            <w:pPr>
              <w:rPr>
                <w:b/>
                <w:color w:val="000000"/>
                <w:sz w:val="20"/>
                <w:szCs w:val="20"/>
                <w:lang w:eastAsia="en-US"/>
              </w:rPr>
            </w:pPr>
            <w:r>
              <w:rPr>
                <w:bCs/>
                <w:i/>
                <w:sz w:val="20"/>
                <w:szCs w:val="22"/>
                <w:lang w:eastAsia="en-US"/>
              </w:rPr>
              <w:t xml:space="preserve">Clark et al. (2000, ch. 14); Clark &amp; Sues (2002, ch. 15); Sues et al. (2003, ch. 15); Clark et al. (2004, ch. 15); </w:t>
            </w:r>
            <w:r>
              <w:rPr>
                <w:i/>
                <w:iCs/>
                <w:color w:val="000000"/>
                <w:sz w:val="20"/>
                <w:szCs w:val="20"/>
                <w:lang w:eastAsia="en-US"/>
              </w:rPr>
              <w:t xml:space="preserve">Nesbitt (2011, ch. 76); </w:t>
            </w:r>
            <w:r>
              <w:rPr>
                <w:bCs/>
                <w:i/>
                <w:sz w:val="20"/>
                <w:szCs w:val="22"/>
                <w:lang w:eastAsia="en-US"/>
              </w:rPr>
              <w:t xml:space="preserve">Pol et al. (2013, ch. 15); </w:t>
            </w:r>
            <w:r>
              <w:rPr>
                <w:i/>
                <w:iCs/>
                <w:color w:val="000000"/>
                <w:sz w:val="20"/>
                <w:szCs w:val="20"/>
                <w:lang w:eastAsia="en-US"/>
              </w:rPr>
              <w:t xml:space="preserve">Young et al. (2016, ds 2, ch. 141); </w:t>
            </w:r>
            <w:r>
              <w:rPr>
                <w:bCs/>
                <w:i/>
                <w:sz w:val="20"/>
                <w:szCs w:val="22"/>
                <w:lang w:eastAsia="en-US"/>
              </w:rPr>
              <w:t xml:space="preserve">Leardi et al. (2017, ch. 15); </w:t>
            </w:r>
            <w:r>
              <w:rPr>
                <w:i/>
                <w:sz w:val="20"/>
                <w:szCs w:val="20"/>
                <w:lang w:eastAsia="en-US"/>
              </w:rPr>
              <w:t xml:space="preserve">Ristevski et al. (in review, ds 2, ch. 194); Smith et al. (2018, ds 1, ch. 198); </w:t>
            </w:r>
            <w:r>
              <w:rPr>
                <w:i/>
                <w:sz w:val="20"/>
                <w:szCs w:val="20"/>
              </w:rPr>
              <w:t>Ősi et al. (in review, ds 1, ch. 216)</w:t>
            </w:r>
            <w:r>
              <w:rPr>
                <w:i/>
                <w:iCs/>
                <w:color w:val="000000"/>
                <w:sz w:val="20"/>
                <w:szCs w:val="20"/>
                <w:lang w:eastAsia="en-US"/>
              </w:rPr>
              <w:t>.</w:t>
            </w:r>
          </w:p>
          <w:p w14:paraId="05E26793" w14:textId="77777777" w:rsidR="007A6B86" w:rsidRDefault="007A6B86" w:rsidP="007A6B86">
            <w:pPr>
              <w:rPr>
                <w:i/>
                <w:color w:val="000000"/>
                <w:sz w:val="20"/>
                <w:szCs w:val="20"/>
                <w:lang w:eastAsia="en-US"/>
              </w:rPr>
            </w:pPr>
            <w:r>
              <w:rPr>
                <w:i/>
                <w:color w:val="000000"/>
                <w:sz w:val="20"/>
                <w:szCs w:val="20"/>
                <w:lang w:eastAsia="en-US"/>
              </w:rPr>
              <w:t>State (1) is a putative apomorphy of Crocodylomorpha.</w:t>
            </w:r>
          </w:p>
          <w:p w14:paraId="59AC1638" w14:textId="77777777" w:rsidR="007A6B86" w:rsidRDefault="007A6B86" w:rsidP="007A6B86">
            <w:pPr>
              <w:rPr>
                <w:color w:val="000000"/>
                <w:sz w:val="20"/>
                <w:szCs w:val="20"/>
                <w:lang w:eastAsia="en-US"/>
              </w:rPr>
            </w:pPr>
            <w:r>
              <w:rPr>
                <w:color w:val="000000"/>
                <w:sz w:val="20"/>
                <w:szCs w:val="20"/>
                <w:lang w:eastAsia="en-US"/>
              </w:rPr>
              <w:t>0. does not contact the proötic</w:t>
            </w:r>
          </w:p>
          <w:p w14:paraId="39DD3571" w14:textId="77777777" w:rsidR="007A6B86" w:rsidRDefault="007A6B86" w:rsidP="007A6B86">
            <w:pPr>
              <w:rPr>
                <w:color w:val="000000"/>
                <w:sz w:val="20"/>
                <w:szCs w:val="20"/>
                <w:lang w:eastAsia="en-US"/>
              </w:rPr>
            </w:pPr>
            <w:r>
              <w:rPr>
                <w:color w:val="000000"/>
                <w:sz w:val="20"/>
                <w:szCs w:val="20"/>
                <w:lang w:eastAsia="en-US"/>
              </w:rPr>
              <w:t>1. contacts the proötic</w:t>
            </w:r>
          </w:p>
        </w:tc>
      </w:tr>
      <w:tr w:rsidR="007A6B86" w14:paraId="58A25F7D" w14:textId="77777777" w:rsidTr="007A6B86">
        <w:tc>
          <w:tcPr>
            <w:tcW w:w="0" w:type="auto"/>
            <w:tcBorders>
              <w:top w:val="single" w:sz="4" w:space="0" w:color="auto"/>
              <w:left w:val="single" w:sz="4" w:space="0" w:color="auto"/>
              <w:bottom w:val="single" w:sz="4" w:space="0" w:color="auto"/>
              <w:right w:val="single" w:sz="4" w:space="0" w:color="auto"/>
            </w:tcBorders>
          </w:tcPr>
          <w:p w14:paraId="2747469E" w14:textId="3DB5FA11" w:rsidR="007A6B86" w:rsidRDefault="007A6B86" w:rsidP="007A6B86">
            <w:pPr>
              <w:rPr>
                <w:color w:val="000000"/>
                <w:sz w:val="20"/>
                <w:szCs w:val="20"/>
                <w:lang w:eastAsia="en-US"/>
              </w:rPr>
            </w:pPr>
            <w:r>
              <w:rPr>
                <w:color w:val="000000"/>
                <w:sz w:val="20"/>
                <w:szCs w:val="20"/>
                <w:lang w:eastAsia="en-US"/>
              </w:rPr>
              <w:t>221</w:t>
            </w:r>
          </w:p>
        </w:tc>
        <w:tc>
          <w:tcPr>
            <w:tcW w:w="0" w:type="auto"/>
            <w:tcBorders>
              <w:top w:val="single" w:sz="4" w:space="0" w:color="auto"/>
              <w:left w:val="single" w:sz="4" w:space="0" w:color="auto"/>
              <w:bottom w:val="single" w:sz="4" w:space="0" w:color="auto"/>
              <w:right w:val="single" w:sz="4" w:space="0" w:color="auto"/>
            </w:tcBorders>
            <w:vAlign w:val="bottom"/>
            <w:hideMark/>
          </w:tcPr>
          <w:p w14:paraId="746CEE57" w14:textId="77777777" w:rsidR="007A6B86" w:rsidRDefault="007A6B86" w:rsidP="007A6B86">
            <w:pPr>
              <w:rPr>
                <w:b/>
                <w:color w:val="000000"/>
                <w:sz w:val="20"/>
                <w:szCs w:val="20"/>
                <w:lang w:eastAsia="en-US"/>
              </w:rPr>
            </w:pPr>
            <w:r>
              <w:rPr>
                <w:b/>
                <w:color w:val="000000"/>
                <w:sz w:val="20"/>
                <w:szCs w:val="20"/>
                <w:lang w:eastAsia="en-US"/>
              </w:rPr>
              <w:t>Quadrate, articulation of dorsal head contact:</w:t>
            </w:r>
          </w:p>
          <w:p w14:paraId="120082BC" w14:textId="04BD7DAB"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Clark (1994, ch. 47);</w:t>
            </w:r>
            <w:r>
              <w:rPr>
                <w:b/>
                <w:bCs/>
                <w:color w:val="000000"/>
                <w:sz w:val="20"/>
                <w:szCs w:val="20"/>
                <w:lang w:eastAsia="en-US"/>
              </w:rPr>
              <w:t xml:space="preserve"> </w:t>
            </w:r>
            <w:r>
              <w:rPr>
                <w:i/>
                <w:sz w:val="20"/>
                <w:szCs w:val="20"/>
                <w:lang w:eastAsia="en-US"/>
              </w:rPr>
              <w:t xml:space="preserve">Young &amp; Andrade (2009, ch. 102 modified); </w:t>
            </w:r>
            <w:r>
              <w:rPr>
                <w:bCs/>
                <w:i/>
                <w:color w:val="000000"/>
                <w:sz w:val="20"/>
                <w:lang w:eastAsia="en-US"/>
              </w:rPr>
              <w:t xml:space="preserve">Andrade et al. (2011, ch. 298); </w:t>
            </w:r>
            <w:r>
              <w:rPr>
                <w:bCs/>
                <w:i/>
                <w:color w:val="000000"/>
                <w:sz w:val="20"/>
                <w:szCs w:val="20"/>
                <w:lang w:eastAsia="en-US"/>
              </w:rPr>
              <w:t xml:space="preserve">Young et al. (2011, ch. 102 modified); Young et al. (2013a, ch. 102 modified); </w:t>
            </w:r>
            <w:r>
              <w:rPr>
                <w:bCs/>
                <w:i/>
                <w:color w:val="000000"/>
                <w:sz w:val="20"/>
                <w:lang w:eastAsia="en-US"/>
              </w:rPr>
              <w:t xml:space="preserve">Young et al. (2012, ch. 119 modified); Young (2014, ch. 122 modified); </w:t>
            </w:r>
            <w:r>
              <w:rPr>
                <w:i/>
                <w:sz w:val="20"/>
                <w:szCs w:val="20"/>
                <w:lang w:eastAsia="en-US"/>
              </w:rPr>
              <w:t xml:space="preserve">Young et al. (2016, ds 2, ch. 142); Ristevski et al. (2018, ds 2, ch. 195); Smith et al. (in review, ds 1, ch. 199); </w:t>
            </w:r>
            <w:r>
              <w:rPr>
                <w:i/>
                <w:sz w:val="20"/>
                <w:szCs w:val="20"/>
              </w:rPr>
              <w:t>Ősi et al. (in review, ds 1, ch. 217)</w:t>
            </w:r>
            <w:r>
              <w:rPr>
                <w:i/>
                <w:sz w:val="20"/>
                <w:szCs w:val="20"/>
                <w:lang w:eastAsia="en-US"/>
              </w:rPr>
              <w:t>.</w:t>
            </w:r>
          </w:p>
          <w:p w14:paraId="38A414FA" w14:textId="77777777" w:rsidR="007A6B86" w:rsidRDefault="007A6B86" w:rsidP="007A6B86">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Junggarsuchus </w:t>
            </w:r>
            <w:r>
              <w:rPr>
                <w:i/>
                <w:color w:val="000000"/>
                <w:sz w:val="20"/>
                <w:szCs w:val="20"/>
                <w:lang w:eastAsia="en-US"/>
              </w:rPr>
              <w:t>+ Crocodyliformes.</w:t>
            </w:r>
          </w:p>
          <w:p w14:paraId="09C59AE2" w14:textId="77777777" w:rsidR="007A6B86" w:rsidRDefault="007A6B86" w:rsidP="007A6B86">
            <w:pPr>
              <w:rPr>
                <w:color w:val="000000"/>
                <w:sz w:val="20"/>
                <w:szCs w:val="20"/>
                <w:lang w:eastAsia="en-US"/>
              </w:rPr>
            </w:pPr>
            <w:r>
              <w:rPr>
                <w:color w:val="000000"/>
                <w:sz w:val="20"/>
                <w:szCs w:val="20"/>
                <w:lang w:eastAsia="en-US"/>
              </w:rPr>
              <w:t>0. squamosal and exoccipital/opisthotic/otoccipital (can have medial contact with proötics and laterosphenoids)</w:t>
            </w:r>
          </w:p>
          <w:p w14:paraId="7CD37E54" w14:textId="77777777" w:rsidR="007A6B86" w:rsidRDefault="007A6B86" w:rsidP="007A6B86">
            <w:pPr>
              <w:rPr>
                <w:color w:val="000000"/>
                <w:sz w:val="20"/>
                <w:szCs w:val="20"/>
                <w:lang w:eastAsia="en-US"/>
              </w:rPr>
            </w:pPr>
            <w:r>
              <w:rPr>
                <w:color w:val="000000"/>
                <w:sz w:val="20"/>
                <w:szCs w:val="20"/>
                <w:lang w:eastAsia="en-US"/>
              </w:rPr>
              <w:t>1. proötic and laterosphenoid</w:t>
            </w:r>
          </w:p>
        </w:tc>
      </w:tr>
      <w:tr w:rsidR="007A6B86" w14:paraId="3D8121B0" w14:textId="77777777" w:rsidTr="007A6B86">
        <w:tc>
          <w:tcPr>
            <w:tcW w:w="0" w:type="auto"/>
            <w:tcBorders>
              <w:top w:val="single" w:sz="4" w:space="0" w:color="auto"/>
              <w:left w:val="single" w:sz="4" w:space="0" w:color="auto"/>
              <w:bottom w:val="single" w:sz="4" w:space="0" w:color="auto"/>
              <w:right w:val="single" w:sz="4" w:space="0" w:color="auto"/>
            </w:tcBorders>
          </w:tcPr>
          <w:p w14:paraId="68362BBA" w14:textId="4AFF8A99" w:rsidR="007A6B86" w:rsidRDefault="007A6B86" w:rsidP="007A6B86">
            <w:pPr>
              <w:rPr>
                <w:color w:val="000000"/>
                <w:sz w:val="20"/>
                <w:szCs w:val="20"/>
                <w:lang w:eastAsia="en-US"/>
              </w:rPr>
            </w:pPr>
            <w:r>
              <w:rPr>
                <w:color w:val="000000"/>
                <w:sz w:val="20"/>
                <w:szCs w:val="20"/>
                <w:lang w:eastAsia="en-US"/>
              </w:rPr>
              <w:t>222</w:t>
            </w:r>
          </w:p>
        </w:tc>
        <w:tc>
          <w:tcPr>
            <w:tcW w:w="0" w:type="auto"/>
            <w:tcBorders>
              <w:top w:val="single" w:sz="4" w:space="0" w:color="auto"/>
              <w:left w:val="single" w:sz="4" w:space="0" w:color="auto"/>
              <w:bottom w:val="single" w:sz="4" w:space="0" w:color="auto"/>
              <w:right w:val="single" w:sz="4" w:space="0" w:color="auto"/>
            </w:tcBorders>
            <w:vAlign w:val="bottom"/>
            <w:hideMark/>
          </w:tcPr>
          <w:p w14:paraId="01387F4D" w14:textId="77777777" w:rsidR="007A6B86" w:rsidRDefault="007A6B86" w:rsidP="007A6B86">
            <w:pPr>
              <w:autoSpaceDE w:val="0"/>
              <w:autoSpaceDN w:val="0"/>
              <w:adjustRightInd w:val="0"/>
              <w:rPr>
                <w:b/>
                <w:sz w:val="20"/>
                <w:szCs w:val="20"/>
                <w:lang w:eastAsia="en-US"/>
              </w:rPr>
            </w:pPr>
            <w:r>
              <w:rPr>
                <w:b/>
                <w:sz w:val="20"/>
                <w:szCs w:val="20"/>
                <w:lang w:eastAsia="en-US"/>
              </w:rPr>
              <w:t xml:space="preserve">Quadrate, posterior margin: </w:t>
            </w:r>
          </w:p>
          <w:p w14:paraId="6F7862B2" w14:textId="6534D400" w:rsidR="007A6B86" w:rsidRDefault="007A6B86" w:rsidP="007A6B86">
            <w:pPr>
              <w:rPr>
                <w:color w:val="000000"/>
                <w:sz w:val="20"/>
                <w:szCs w:val="20"/>
                <w:lang w:eastAsia="en-US"/>
              </w:rPr>
            </w:pPr>
            <w:r>
              <w:rPr>
                <w:i/>
                <w:iCs/>
                <w:color w:val="000000"/>
                <w:sz w:val="20"/>
                <w:szCs w:val="20"/>
                <w:lang w:eastAsia="en-US"/>
              </w:rPr>
              <w:t xml:space="preserve">Nesbitt (2011, ch. 77); Young et al. (2016, ds 2, ch. 143); </w:t>
            </w:r>
            <w:r>
              <w:rPr>
                <w:i/>
                <w:sz w:val="20"/>
                <w:szCs w:val="20"/>
                <w:lang w:eastAsia="en-US"/>
              </w:rPr>
              <w:t xml:space="preserve">Ristevski et al. (2018, ds 2, ch. 196); Smith et al. (in review, ds 1, ch. 200); </w:t>
            </w:r>
            <w:r>
              <w:rPr>
                <w:i/>
                <w:sz w:val="20"/>
                <w:szCs w:val="20"/>
              </w:rPr>
              <w:t>Ősi et al. (in review, ds 1, ch. 218)</w:t>
            </w:r>
            <w:r>
              <w:rPr>
                <w:i/>
                <w:iCs/>
                <w:color w:val="000000"/>
                <w:sz w:val="20"/>
                <w:szCs w:val="20"/>
                <w:lang w:eastAsia="en-US"/>
              </w:rPr>
              <w:t>.</w:t>
            </w:r>
          </w:p>
          <w:p w14:paraId="786F2991" w14:textId="77777777" w:rsidR="007A6B86" w:rsidRDefault="007A6B86" w:rsidP="007A6B86">
            <w:pPr>
              <w:rPr>
                <w:i/>
                <w:color w:val="000000"/>
                <w:sz w:val="20"/>
                <w:szCs w:val="20"/>
                <w:lang w:eastAsia="en-US"/>
              </w:rPr>
            </w:pPr>
            <w:r>
              <w:rPr>
                <w:i/>
                <w:color w:val="000000"/>
                <w:sz w:val="20"/>
                <w:szCs w:val="20"/>
                <w:lang w:eastAsia="en-US"/>
              </w:rPr>
              <w:t>State (1) is a putative apomorphy of Metasuchia – note that the ventral/anteroventral margins of the distal ends of the paroccipital processes have a strong sutural contact with the quadrates.</w:t>
            </w:r>
          </w:p>
          <w:p w14:paraId="5B9AA26D" w14:textId="77777777" w:rsidR="007A6B86" w:rsidRDefault="007A6B86" w:rsidP="007A6B86">
            <w:pPr>
              <w:autoSpaceDE w:val="0"/>
              <w:autoSpaceDN w:val="0"/>
              <w:adjustRightInd w:val="0"/>
              <w:rPr>
                <w:sz w:val="20"/>
                <w:szCs w:val="20"/>
                <w:lang w:eastAsia="en-US"/>
              </w:rPr>
            </w:pPr>
            <w:r>
              <w:rPr>
                <w:sz w:val="20"/>
                <w:szCs w:val="20"/>
                <w:lang w:eastAsia="en-US"/>
              </w:rPr>
              <w:t>0. does not have a sutural contact with the paroccipital process of the opisthotic, or the anterior margin of the paroccipital process has a simple contact with the posterior margin of the quadrate</w:t>
            </w:r>
          </w:p>
          <w:p w14:paraId="56560816" w14:textId="77777777" w:rsidR="007A6B86" w:rsidRDefault="007A6B86" w:rsidP="007A6B86">
            <w:pPr>
              <w:autoSpaceDE w:val="0"/>
              <w:autoSpaceDN w:val="0"/>
              <w:adjustRightInd w:val="0"/>
              <w:rPr>
                <w:sz w:val="20"/>
                <w:szCs w:val="20"/>
                <w:lang w:eastAsia="en-US"/>
              </w:rPr>
            </w:pPr>
            <w:r>
              <w:rPr>
                <w:sz w:val="20"/>
                <w:szCs w:val="20"/>
                <w:lang w:eastAsia="en-US"/>
              </w:rPr>
              <w:t>1. has a robust sutural contact with the paroccipital process of the opisthotic</w:t>
            </w:r>
          </w:p>
        </w:tc>
      </w:tr>
      <w:tr w:rsidR="007A6B86" w14:paraId="0DE16616" w14:textId="77777777" w:rsidTr="007A6B86">
        <w:tc>
          <w:tcPr>
            <w:tcW w:w="0" w:type="auto"/>
            <w:tcBorders>
              <w:top w:val="single" w:sz="4" w:space="0" w:color="auto"/>
              <w:left w:val="single" w:sz="4" w:space="0" w:color="auto"/>
              <w:bottom w:val="single" w:sz="4" w:space="0" w:color="auto"/>
              <w:right w:val="single" w:sz="4" w:space="0" w:color="auto"/>
            </w:tcBorders>
          </w:tcPr>
          <w:p w14:paraId="1DF633C8" w14:textId="4874FC3A" w:rsidR="007A6B86" w:rsidRDefault="007A6B86" w:rsidP="007A6B86">
            <w:pPr>
              <w:rPr>
                <w:color w:val="000000"/>
                <w:sz w:val="20"/>
                <w:szCs w:val="20"/>
                <w:lang w:eastAsia="en-US"/>
              </w:rPr>
            </w:pPr>
            <w:r>
              <w:rPr>
                <w:color w:val="000000"/>
                <w:sz w:val="20"/>
                <w:szCs w:val="20"/>
                <w:lang w:eastAsia="en-US"/>
              </w:rPr>
              <w:t>223</w:t>
            </w:r>
          </w:p>
        </w:tc>
        <w:tc>
          <w:tcPr>
            <w:tcW w:w="0" w:type="auto"/>
            <w:tcBorders>
              <w:top w:val="single" w:sz="4" w:space="0" w:color="auto"/>
              <w:left w:val="single" w:sz="4" w:space="0" w:color="auto"/>
              <w:bottom w:val="single" w:sz="4" w:space="0" w:color="auto"/>
              <w:right w:val="single" w:sz="4" w:space="0" w:color="auto"/>
            </w:tcBorders>
            <w:hideMark/>
          </w:tcPr>
          <w:p w14:paraId="092D4724" w14:textId="77777777" w:rsidR="007A6B86" w:rsidRDefault="007A6B86" w:rsidP="007A6B86">
            <w:pPr>
              <w:rPr>
                <w:b/>
                <w:sz w:val="20"/>
                <w:szCs w:val="20"/>
                <w:lang w:eastAsia="en-US"/>
              </w:rPr>
            </w:pPr>
            <w:r>
              <w:rPr>
                <w:b/>
                <w:sz w:val="20"/>
                <w:szCs w:val="20"/>
                <w:lang w:eastAsia="en-US"/>
              </w:rPr>
              <w:t>Quadrate, anteroventral process suturing to the braincase:</w:t>
            </w:r>
          </w:p>
          <w:p w14:paraId="290EEE7F" w14:textId="7223E06B" w:rsidR="007A6B86" w:rsidRDefault="007A6B86" w:rsidP="007A6B86">
            <w:pPr>
              <w:autoSpaceDE w:val="0"/>
              <w:autoSpaceDN w:val="0"/>
              <w:adjustRightInd w:val="0"/>
              <w:rPr>
                <w:i/>
                <w:sz w:val="20"/>
                <w:szCs w:val="20"/>
                <w:lang w:eastAsia="en-US"/>
              </w:rPr>
            </w:pPr>
            <w:r>
              <w:rPr>
                <w:i/>
                <w:sz w:val="20"/>
                <w:szCs w:val="20"/>
                <w:lang w:eastAsia="en-US"/>
              </w:rPr>
              <w:lastRenderedPageBreak/>
              <w:t xml:space="preserve">Young et al. (2013a, ch. 103 modified); Young et al. (2012, ch. 120 modified); Young (2014, ch. 123 modified); Young et al. (2016, ds 2, ch. 144 modified); Ristevski et al. (2018, ds 2, ch. 197); Smith et al. (in review, ds 1, ch. 201); </w:t>
            </w:r>
            <w:r>
              <w:rPr>
                <w:i/>
                <w:sz w:val="20"/>
                <w:szCs w:val="20"/>
              </w:rPr>
              <w:t>Ősi et al. (in review, ds 1, ch. 219)</w:t>
            </w:r>
            <w:r>
              <w:rPr>
                <w:i/>
                <w:sz w:val="20"/>
                <w:szCs w:val="20"/>
                <w:lang w:eastAsia="en-US"/>
              </w:rPr>
              <w:t>.</w:t>
            </w:r>
          </w:p>
          <w:p w14:paraId="3CE03D60" w14:textId="77777777" w:rsidR="007A6B86" w:rsidRDefault="007A6B86" w:rsidP="007A6B86">
            <w:pPr>
              <w:rPr>
                <w:i/>
                <w:sz w:val="20"/>
                <w:szCs w:val="20"/>
                <w:lang w:eastAsia="en-US"/>
              </w:rPr>
            </w:pPr>
            <w:r>
              <w:rPr>
                <w:i/>
                <w:sz w:val="20"/>
                <w:szCs w:val="20"/>
                <w:lang w:eastAsia="en-US"/>
              </w:rPr>
              <w:t>The scores for the contact of the anteroventral process (referred to as the ‘orbital’ and ‘pterygoid’ processes by different authors).</w:t>
            </w:r>
          </w:p>
          <w:p w14:paraId="019F7168" w14:textId="77777777" w:rsidR="007A6B86" w:rsidRDefault="007A6B86" w:rsidP="007A6B86">
            <w:pPr>
              <w:rPr>
                <w:sz w:val="20"/>
                <w:szCs w:val="20"/>
                <w:lang w:eastAsia="en-US"/>
              </w:rPr>
            </w:pPr>
            <w:r>
              <w:rPr>
                <w:i/>
                <w:sz w:val="20"/>
                <w:szCs w:val="20"/>
                <w:lang w:eastAsia="en-US"/>
              </w:rPr>
              <w:t>State (2) represents the ‘quadrate incompletely sutured to the braincase’ statement in</w:t>
            </w:r>
            <w:r>
              <w:rPr>
                <w:sz w:val="20"/>
                <w:szCs w:val="20"/>
                <w:lang w:eastAsia="en-US"/>
              </w:rPr>
              <w:t xml:space="preserve"> </w:t>
            </w:r>
            <w:r>
              <w:rPr>
                <w:i/>
                <w:sz w:val="20"/>
                <w:szCs w:val="20"/>
                <w:lang w:eastAsia="en-US"/>
              </w:rPr>
              <w:t>Holliday &amp; Witmer (2009), Jouve (2009) and Fernández et al. (2011)</w:t>
            </w:r>
            <w:r>
              <w:rPr>
                <w:sz w:val="20"/>
                <w:szCs w:val="20"/>
                <w:lang w:eastAsia="en-US"/>
              </w:rPr>
              <w:t>.</w:t>
            </w:r>
          </w:p>
          <w:p w14:paraId="5CCE5AFA" w14:textId="77777777" w:rsidR="007A6B86" w:rsidRDefault="007A6B86" w:rsidP="007A6B86">
            <w:pPr>
              <w:rPr>
                <w:i/>
                <w:sz w:val="20"/>
                <w:szCs w:val="20"/>
                <w:lang w:eastAsia="en-US"/>
              </w:rPr>
            </w:pPr>
            <w:r>
              <w:rPr>
                <w:i/>
                <w:sz w:val="20"/>
                <w:szCs w:val="20"/>
                <w:lang w:eastAsia="en-US"/>
              </w:rPr>
              <w:t>The current version of this character aims to quantify two trends: 1) the contact between the quadrate and the laterosphenoid (as part of the stabilisation of the crocodylomorph skull), and 2) the thalattosuchian modification of this trend. In Thalattosuchia, it appears as though the anteromedial region of this process no longer articulates with the lateral surface of the neurocranium, but it is still elongated enough to have, and seems to sit lateral to the laterosphenoid. Perhaps suggesting a soft-tissue contact.</w:t>
            </w:r>
          </w:p>
          <w:p w14:paraId="73850B80" w14:textId="77777777" w:rsidR="007A6B86" w:rsidRDefault="007A6B86" w:rsidP="007A6B86">
            <w:pPr>
              <w:rPr>
                <w:i/>
                <w:sz w:val="20"/>
                <w:szCs w:val="20"/>
                <w:lang w:eastAsia="en-US"/>
              </w:rPr>
            </w:pPr>
            <w:r>
              <w:rPr>
                <w:i/>
                <w:sz w:val="20"/>
                <w:szCs w:val="20"/>
                <w:lang w:eastAsia="en-US"/>
              </w:rPr>
              <w:t>State (1) occurs in Crocodyliformes.</w:t>
            </w:r>
          </w:p>
          <w:p w14:paraId="52171B45" w14:textId="77777777" w:rsidR="007A6B86" w:rsidRDefault="007A6B86" w:rsidP="007A6B86">
            <w:pPr>
              <w:rPr>
                <w:i/>
                <w:sz w:val="20"/>
                <w:szCs w:val="20"/>
                <w:lang w:eastAsia="en-US"/>
              </w:rPr>
            </w:pPr>
            <w:r>
              <w:rPr>
                <w:i/>
                <w:sz w:val="20"/>
                <w:szCs w:val="20"/>
                <w:lang w:eastAsia="en-US"/>
              </w:rPr>
              <w:t>State (2) occurs in Thalattosuchia.</w:t>
            </w:r>
          </w:p>
          <w:p w14:paraId="5B7E03F3" w14:textId="77777777" w:rsidR="007A6B86" w:rsidRDefault="007A6B86" w:rsidP="007A6B86">
            <w:pPr>
              <w:rPr>
                <w:sz w:val="20"/>
                <w:szCs w:val="20"/>
                <w:lang w:eastAsia="en-US"/>
              </w:rPr>
            </w:pPr>
            <w:r>
              <w:rPr>
                <w:sz w:val="20"/>
                <w:szCs w:val="20"/>
                <w:lang w:eastAsia="en-US"/>
              </w:rPr>
              <w:t>0. this process contacts the pterygoid, but little to no contact with the neurocranium</w:t>
            </w:r>
          </w:p>
          <w:p w14:paraId="0C6A71F9" w14:textId="77777777" w:rsidR="007A6B86" w:rsidRDefault="007A6B86" w:rsidP="007A6B86">
            <w:pPr>
              <w:rPr>
                <w:sz w:val="20"/>
                <w:szCs w:val="20"/>
                <w:lang w:eastAsia="en-US"/>
              </w:rPr>
            </w:pPr>
            <w:r>
              <w:rPr>
                <w:sz w:val="20"/>
                <w:szCs w:val="20"/>
                <w:lang w:eastAsia="en-US"/>
              </w:rPr>
              <w:t>1. this process has extensive contact with the laterosphenoid, basisphenoid and pterygoid (i.e. stabilises the splanchnocranium with the palate and neurocranium)</w:t>
            </w:r>
          </w:p>
          <w:p w14:paraId="6AA31820" w14:textId="77777777" w:rsidR="007A6B86" w:rsidRDefault="007A6B86" w:rsidP="007A6B86">
            <w:pPr>
              <w:rPr>
                <w:sz w:val="20"/>
                <w:szCs w:val="20"/>
                <w:lang w:eastAsia="en-US"/>
              </w:rPr>
            </w:pPr>
            <w:r>
              <w:rPr>
                <w:sz w:val="20"/>
                <w:szCs w:val="20"/>
                <w:lang w:eastAsia="en-US"/>
              </w:rPr>
              <w:t>2. this process is free of bony attachment along its anteromedial surface, but ventrally contacts the pterygoid. Process likely has a posteromedial contact with the basisphenoid, but is free of contact with the laterosphenoid</w:t>
            </w:r>
          </w:p>
        </w:tc>
      </w:tr>
      <w:tr w:rsidR="007A6B86" w14:paraId="326DB5F3" w14:textId="77777777" w:rsidTr="007A6B86">
        <w:tc>
          <w:tcPr>
            <w:tcW w:w="0" w:type="auto"/>
            <w:tcBorders>
              <w:top w:val="single" w:sz="4" w:space="0" w:color="auto"/>
              <w:left w:val="single" w:sz="4" w:space="0" w:color="auto"/>
              <w:bottom w:val="single" w:sz="4" w:space="0" w:color="auto"/>
              <w:right w:val="single" w:sz="4" w:space="0" w:color="auto"/>
            </w:tcBorders>
          </w:tcPr>
          <w:p w14:paraId="03A0D4E9" w14:textId="2D9E9F8C" w:rsidR="007A6B86" w:rsidRDefault="007A6B86" w:rsidP="007A6B86">
            <w:pPr>
              <w:rPr>
                <w:color w:val="000000"/>
                <w:sz w:val="20"/>
                <w:szCs w:val="20"/>
                <w:lang w:eastAsia="en-US"/>
              </w:rPr>
            </w:pPr>
            <w:r>
              <w:rPr>
                <w:color w:val="000000"/>
                <w:sz w:val="20"/>
                <w:szCs w:val="20"/>
                <w:lang w:eastAsia="en-US"/>
              </w:rPr>
              <w:lastRenderedPageBreak/>
              <w:t>224</w:t>
            </w:r>
          </w:p>
        </w:tc>
        <w:tc>
          <w:tcPr>
            <w:tcW w:w="0" w:type="auto"/>
            <w:tcBorders>
              <w:top w:val="single" w:sz="4" w:space="0" w:color="auto"/>
              <w:left w:val="single" w:sz="4" w:space="0" w:color="auto"/>
              <w:bottom w:val="single" w:sz="4" w:space="0" w:color="auto"/>
              <w:right w:val="single" w:sz="4" w:space="0" w:color="auto"/>
            </w:tcBorders>
            <w:vAlign w:val="bottom"/>
            <w:hideMark/>
          </w:tcPr>
          <w:p w14:paraId="4C1496CE" w14:textId="77777777" w:rsidR="007A6B86" w:rsidRDefault="007A6B86" w:rsidP="007A6B86">
            <w:pPr>
              <w:autoSpaceDE w:val="0"/>
              <w:autoSpaceDN w:val="0"/>
              <w:adjustRightInd w:val="0"/>
              <w:rPr>
                <w:b/>
                <w:sz w:val="20"/>
                <w:szCs w:val="20"/>
                <w:lang w:eastAsia="en-US"/>
              </w:rPr>
            </w:pPr>
            <w:r>
              <w:rPr>
                <w:b/>
                <w:sz w:val="20"/>
                <w:szCs w:val="20"/>
                <w:lang w:eastAsia="en-US"/>
              </w:rPr>
              <w:t>Quadrate, distal articular surface separated into two condyles:</w:t>
            </w:r>
          </w:p>
          <w:p w14:paraId="4CEA4476" w14:textId="7580E340" w:rsidR="007A6B86" w:rsidRDefault="007A6B86" w:rsidP="007A6B86">
            <w:pPr>
              <w:autoSpaceDE w:val="0"/>
              <w:autoSpaceDN w:val="0"/>
              <w:adjustRightInd w:val="0"/>
              <w:rPr>
                <w:i/>
                <w:sz w:val="20"/>
                <w:szCs w:val="20"/>
                <w:lang w:eastAsia="en-US"/>
              </w:rPr>
            </w:pPr>
            <w:r>
              <w:rPr>
                <w:i/>
                <w:sz w:val="20"/>
                <w:szCs w:val="20"/>
                <w:lang w:eastAsia="en-US"/>
              </w:rPr>
              <w:t xml:space="preserve">Young (2014, ch. 126); Young et al. (2016, ds 2, ch. 147); Ristevski et al. (2018, ds 2, ch. 200); Smith et al. (in review, ds 1, ch. 204); </w:t>
            </w:r>
            <w:r>
              <w:rPr>
                <w:i/>
                <w:sz w:val="20"/>
                <w:szCs w:val="20"/>
              </w:rPr>
              <w:t>Ősi et al. (in review, ds 1, ch. 222)</w:t>
            </w:r>
            <w:r>
              <w:rPr>
                <w:i/>
                <w:sz w:val="20"/>
                <w:szCs w:val="20"/>
                <w:lang w:eastAsia="en-US"/>
              </w:rPr>
              <w:t>.</w:t>
            </w:r>
          </w:p>
          <w:p w14:paraId="525144B9" w14:textId="77777777" w:rsidR="007A6B86" w:rsidRDefault="007A6B86" w:rsidP="007A6B86">
            <w:pPr>
              <w:rPr>
                <w:i/>
                <w:sz w:val="20"/>
                <w:szCs w:val="20"/>
                <w:lang w:eastAsia="en-US"/>
              </w:rPr>
            </w:pPr>
            <w:r>
              <w:rPr>
                <w:i/>
                <w:sz w:val="20"/>
                <w:szCs w:val="20"/>
                <w:lang w:eastAsia="en-US"/>
              </w:rPr>
              <w:t>State (1) is a putative apomorphy of Plesiosuchina.</w:t>
            </w:r>
          </w:p>
          <w:p w14:paraId="12C64F97" w14:textId="77777777" w:rsidR="007A6B86" w:rsidRDefault="007A6B86" w:rsidP="007A6B86">
            <w:pPr>
              <w:rPr>
                <w:i/>
                <w:sz w:val="20"/>
                <w:szCs w:val="20"/>
                <w:lang w:eastAsia="en-US"/>
              </w:rPr>
            </w:pPr>
            <w:r>
              <w:rPr>
                <w:i/>
                <w:sz w:val="20"/>
                <w:szCs w:val="20"/>
                <w:lang w:eastAsia="en-US"/>
              </w:rPr>
              <w:t>Character can be scored if the articular is preserved, and no ridge that supports the intercondylar sulcus is present.</w:t>
            </w:r>
          </w:p>
          <w:p w14:paraId="5CE81A49" w14:textId="77777777" w:rsidR="007A6B86" w:rsidRDefault="007A6B86" w:rsidP="007A6B86">
            <w:pPr>
              <w:autoSpaceDE w:val="0"/>
              <w:autoSpaceDN w:val="0"/>
              <w:adjustRightInd w:val="0"/>
              <w:rPr>
                <w:sz w:val="20"/>
                <w:szCs w:val="20"/>
                <w:lang w:eastAsia="en-US"/>
              </w:rPr>
            </w:pPr>
            <w:r>
              <w:rPr>
                <w:sz w:val="20"/>
                <w:szCs w:val="20"/>
                <w:lang w:eastAsia="en-US"/>
              </w:rPr>
              <w:t>0. yes</w:t>
            </w:r>
          </w:p>
          <w:p w14:paraId="4F4558D5" w14:textId="77777777" w:rsidR="007A6B86" w:rsidRDefault="007A6B86" w:rsidP="007A6B86">
            <w:pPr>
              <w:rPr>
                <w:b/>
                <w:color w:val="000000"/>
                <w:sz w:val="20"/>
                <w:szCs w:val="20"/>
                <w:lang w:eastAsia="en-US"/>
              </w:rPr>
            </w:pPr>
            <w:r>
              <w:rPr>
                <w:sz w:val="20"/>
                <w:szCs w:val="20"/>
                <w:lang w:eastAsia="en-US"/>
              </w:rPr>
              <w:t>1. no</w:t>
            </w:r>
          </w:p>
        </w:tc>
      </w:tr>
      <w:tr w:rsidR="007A6B86" w14:paraId="7BC99DC5" w14:textId="77777777" w:rsidTr="007A6B86">
        <w:tc>
          <w:tcPr>
            <w:tcW w:w="0" w:type="auto"/>
            <w:tcBorders>
              <w:top w:val="single" w:sz="4" w:space="0" w:color="auto"/>
              <w:left w:val="single" w:sz="4" w:space="0" w:color="auto"/>
              <w:bottom w:val="single" w:sz="4" w:space="0" w:color="auto"/>
              <w:right w:val="single" w:sz="4" w:space="0" w:color="auto"/>
            </w:tcBorders>
          </w:tcPr>
          <w:p w14:paraId="35EA0B90" w14:textId="395B8F88" w:rsidR="007A6B86" w:rsidRDefault="007A6B86" w:rsidP="007A6B86">
            <w:pPr>
              <w:rPr>
                <w:color w:val="000000"/>
                <w:sz w:val="20"/>
                <w:szCs w:val="20"/>
                <w:lang w:eastAsia="en-US"/>
              </w:rPr>
            </w:pPr>
            <w:r>
              <w:rPr>
                <w:color w:val="000000"/>
                <w:sz w:val="20"/>
                <w:szCs w:val="20"/>
                <w:lang w:eastAsia="en-US"/>
              </w:rPr>
              <w:t>225</w:t>
            </w:r>
          </w:p>
        </w:tc>
        <w:tc>
          <w:tcPr>
            <w:tcW w:w="0" w:type="auto"/>
            <w:tcBorders>
              <w:top w:val="single" w:sz="4" w:space="0" w:color="auto"/>
              <w:left w:val="single" w:sz="4" w:space="0" w:color="auto"/>
              <w:bottom w:val="single" w:sz="4" w:space="0" w:color="auto"/>
              <w:right w:val="single" w:sz="4" w:space="0" w:color="auto"/>
            </w:tcBorders>
            <w:hideMark/>
          </w:tcPr>
          <w:p w14:paraId="6ECA5672" w14:textId="77777777" w:rsidR="007A6B86" w:rsidRDefault="007A6B86" w:rsidP="007A6B86">
            <w:pPr>
              <w:rPr>
                <w:b/>
                <w:sz w:val="20"/>
                <w:szCs w:val="20"/>
                <w:lang w:eastAsia="en-US"/>
              </w:rPr>
            </w:pPr>
            <w:r>
              <w:rPr>
                <w:b/>
                <w:sz w:val="20"/>
                <w:szCs w:val="20"/>
                <w:lang w:eastAsia="en-US"/>
              </w:rPr>
              <w:t>Quadrate-quadratojugal, quadratojugal contributes to the upper jaw joint along with the quadrate (i.e. helps to form the lateral hemicondyle):</w:t>
            </w:r>
          </w:p>
          <w:p w14:paraId="63634A06" w14:textId="7395BA0E" w:rsidR="007A6B86" w:rsidRDefault="007A6B86" w:rsidP="007A6B86">
            <w:pPr>
              <w:rPr>
                <w:i/>
                <w:sz w:val="20"/>
                <w:szCs w:val="20"/>
                <w:lang w:eastAsia="en-US"/>
              </w:rPr>
            </w:pPr>
            <w:r>
              <w:rPr>
                <w:i/>
                <w:sz w:val="20"/>
                <w:szCs w:val="20"/>
                <w:lang w:eastAsia="en-US"/>
              </w:rPr>
              <w:t xml:space="preserve">Jouve et al. (2005b, ch. </w:t>
            </w:r>
            <w:r>
              <w:rPr>
                <w:bCs/>
                <w:i/>
                <w:sz w:val="20"/>
                <w:szCs w:val="20"/>
                <w:lang w:eastAsia="en-US"/>
              </w:rPr>
              <w:t>19 modified);</w:t>
            </w:r>
            <w:r>
              <w:rPr>
                <w:i/>
                <w:sz w:val="20"/>
                <w:szCs w:val="20"/>
                <w:lang w:eastAsia="en-US"/>
              </w:rPr>
              <w:t xml:space="preserve"> Jouve et al. (2008, ch. </w:t>
            </w:r>
            <w:r>
              <w:rPr>
                <w:bCs/>
                <w:i/>
                <w:sz w:val="20"/>
                <w:szCs w:val="20"/>
                <w:lang w:eastAsia="en-US"/>
              </w:rPr>
              <w:t xml:space="preserve">19modified); Hastings et al. (2010, ch. 60 modified); </w:t>
            </w:r>
            <w:r>
              <w:rPr>
                <w:i/>
                <w:sz w:val="20"/>
                <w:szCs w:val="20"/>
                <w:lang w:eastAsia="en-US"/>
              </w:rPr>
              <w:t xml:space="preserve">Ristevski et al. (2018, ds 2, ch. 201); Smith et al. (in review, ds 1, ch. 205); </w:t>
            </w:r>
            <w:r>
              <w:rPr>
                <w:i/>
                <w:sz w:val="20"/>
                <w:szCs w:val="20"/>
              </w:rPr>
              <w:t>Ősi et al. (in review, ds 1, ch. 223)</w:t>
            </w:r>
            <w:r>
              <w:rPr>
                <w:i/>
                <w:sz w:val="20"/>
                <w:szCs w:val="20"/>
                <w:lang w:eastAsia="en-US"/>
              </w:rPr>
              <w:t>.</w:t>
            </w:r>
          </w:p>
          <w:p w14:paraId="731BB6B2" w14:textId="77777777" w:rsidR="007A6B86" w:rsidRDefault="007A6B86" w:rsidP="007A6B86">
            <w:pPr>
              <w:rPr>
                <w:sz w:val="20"/>
                <w:szCs w:val="20"/>
                <w:lang w:eastAsia="en-US"/>
              </w:rPr>
            </w:pPr>
            <w:r>
              <w:rPr>
                <w:sz w:val="20"/>
                <w:szCs w:val="20"/>
                <w:lang w:eastAsia="en-US"/>
              </w:rPr>
              <w:t>0. lateral hemicondyle soley formed by the quadrate</w:t>
            </w:r>
          </w:p>
          <w:p w14:paraId="093CC7CC" w14:textId="77777777" w:rsidR="007A6B86" w:rsidRDefault="007A6B86" w:rsidP="007A6B86">
            <w:pPr>
              <w:rPr>
                <w:sz w:val="20"/>
                <w:szCs w:val="20"/>
                <w:lang w:eastAsia="en-US"/>
              </w:rPr>
            </w:pPr>
            <w:r>
              <w:rPr>
                <w:sz w:val="20"/>
                <w:szCs w:val="20"/>
                <w:lang w:eastAsia="en-US"/>
              </w:rPr>
              <w:t>1. lateral hemicondyle has a quadratojugal contribution</w:t>
            </w:r>
          </w:p>
        </w:tc>
      </w:tr>
      <w:tr w:rsidR="007A6B86" w14:paraId="38208EF9" w14:textId="77777777" w:rsidTr="007A6B86">
        <w:tc>
          <w:tcPr>
            <w:tcW w:w="0" w:type="auto"/>
            <w:tcBorders>
              <w:top w:val="single" w:sz="4" w:space="0" w:color="auto"/>
              <w:left w:val="single" w:sz="4" w:space="0" w:color="auto"/>
              <w:bottom w:val="single" w:sz="4" w:space="0" w:color="auto"/>
              <w:right w:val="single" w:sz="4" w:space="0" w:color="auto"/>
            </w:tcBorders>
          </w:tcPr>
          <w:p w14:paraId="00B68568" w14:textId="089E2DCD" w:rsidR="007A6B86" w:rsidRDefault="007A6B86" w:rsidP="007A6B86">
            <w:pPr>
              <w:rPr>
                <w:color w:val="000000"/>
                <w:sz w:val="20"/>
                <w:szCs w:val="20"/>
                <w:lang w:eastAsia="en-US"/>
              </w:rPr>
            </w:pPr>
            <w:r>
              <w:rPr>
                <w:color w:val="000000"/>
                <w:sz w:val="20"/>
                <w:szCs w:val="20"/>
                <w:lang w:eastAsia="en-US"/>
              </w:rPr>
              <w:t>226</w:t>
            </w:r>
          </w:p>
        </w:tc>
        <w:tc>
          <w:tcPr>
            <w:tcW w:w="0" w:type="auto"/>
            <w:tcBorders>
              <w:top w:val="single" w:sz="4" w:space="0" w:color="auto"/>
              <w:left w:val="single" w:sz="4" w:space="0" w:color="auto"/>
              <w:bottom w:val="single" w:sz="4" w:space="0" w:color="auto"/>
              <w:right w:val="single" w:sz="4" w:space="0" w:color="auto"/>
            </w:tcBorders>
            <w:vAlign w:val="bottom"/>
            <w:hideMark/>
          </w:tcPr>
          <w:p w14:paraId="75289D8D" w14:textId="77777777" w:rsidR="007A6B86" w:rsidRDefault="007A6B86" w:rsidP="007A6B86">
            <w:pPr>
              <w:rPr>
                <w:b/>
                <w:color w:val="000000"/>
                <w:sz w:val="20"/>
                <w:szCs w:val="20"/>
                <w:lang w:eastAsia="en-US"/>
              </w:rPr>
            </w:pPr>
            <w:r>
              <w:rPr>
                <w:b/>
                <w:color w:val="000000"/>
                <w:sz w:val="20"/>
                <w:szCs w:val="20"/>
                <w:lang w:eastAsia="en-US"/>
              </w:rPr>
              <w:t>Fossa for the tympanic membrane, anterior extension:</w:t>
            </w:r>
          </w:p>
          <w:p w14:paraId="323121F6" w14:textId="3489A066" w:rsidR="007A6B86" w:rsidRDefault="007A6B86" w:rsidP="007A6B86">
            <w:pPr>
              <w:rPr>
                <w:i/>
                <w:color w:val="000000"/>
                <w:sz w:val="20"/>
                <w:szCs w:val="20"/>
                <w:lang w:eastAsia="en-US"/>
              </w:rPr>
            </w:pPr>
            <w:r>
              <w:rPr>
                <w:i/>
                <w:sz w:val="20"/>
                <w:szCs w:val="20"/>
                <w:lang w:eastAsia="en-US"/>
              </w:rPr>
              <w:t xml:space="preserve">Ristevski et al. (2018, ds 2, ch. 202); Smith et al. (in review, ds 1, ch. 206); </w:t>
            </w:r>
            <w:r>
              <w:rPr>
                <w:i/>
                <w:sz w:val="20"/>
                <w:szCs w:val="20"/>
              </w:rPr>
              <w:t>Ősi et al. (in review, ds 1, ch. 224)</w:t>
            </w:r>
            <w:r>
              <w:rPr>
                <w:i/>
                <w:sz w:val="20"/>
                <w:szCs w:val="20"/>
                <w:lang w:eastAsia="en-US"/>
              </w:rPr>
              <w:t>.</w:t>
            </w:r>
          </w:p>
          <w:p w14:paraId="21F0A36D" w14:textId="77777777" w:rsidR="007A6B86" w:rsidRDefault="007A6B86" w:rsidP="007A6B86">
            <w:pPr>
              <w:rPr>
                <w:i/>
                <w:color w:val="000000"/>
                <w:sz w:val="20"/>
                <w:szCs w:val="20"/>
                <w:lang w:eastAsia="en-US"/>
              </w:rPr>
            </w:pPr>
            <w:r>
              <w:rPr>
                <w:i/>
                <w:color w:val="000000"/>
                <w:sz w:val="20"/>
                <w:szCs w:val="20"/>
                <w:lang w:eastAsia="en-US"/>
              </w:rPr>
              <w:t>State (1) occurs in Notosuchia and Sebecia.</w:t>
            </w:r>
          </w:p>
          <w:p w14:paraId="27BA43E6" w14:textId="77777777" w:rsidR="007A6B86" w:rsidRDefault="007A6B86" w:rsidP="007A6B86">
            <w:pPr>
              <w:rPr>
                <w:i/>
                <w:color w:val="000000"/>
                <w:sz w:val="20"/>
                <w:szCs w:val="20"/>
                <w:lang w:eastAsia="en-US"/>
              </w:rPr>
            </w:pPr>
            <w:r>
              <w:rPr>
                <w:i/>
                <w:color w:val="000000"/>
                <w:sz w:val="20"/>
                <w:szCs w:val="20"/>
                <w:lang w:eastAsia="en-US"/>
              </w:rPr>
              <w:t>State (2) occurs in Neosuchia.</w:t>
            </w:r>
          </w:p>
          <w:p w14:paraId="2FCB83FB" w14:textId="77777777" w:rsidR="007A6B86" w:rsidRDefault="007A6B86" w:rsidP="007A6B86">
            <w:pPr>
              <w:rPr>
                <w:color w:val="000000"/>
                <w:sz w:val="20"/>
                <w:szCs w:val="20"/>
                <w:lang w:eastAsia="en-US"/>
              </w:rPr>
            </w:pPr>
            <w:r>
              <w:rPr>
                <w:color w:val="000000"/>
                <w:sz w:val="20"/>
                <w:szCs w:val="20"/>
                <w:lang w:eastAsia="en-US"/>
              </w:rPr>
              <w:t>0. limited to the squamosal</w:t>
            </w:r>
          </w:p>
          <w:p w14:paraId="2D92FB38" w14:textId="77777777" w:rsidR="007A6B86" w:rsidRDefault="007A6B86" w:rsidP="007A6B86">
            <w:pPr>
              <w:rPr>
                <w:color w:val="000000"/>
                <w:sz w:val="20"/>
                <w:szCs w:val="20"/>
                <w:lang w:eastAsia="en-US"/>
              </w:rPr>
            </w:pPr>
            <w:r>
              <w:rPr>
                <w:color w:val="000000"/>
                <w:sz w:val="20"/>
                <w:szCs w:val="20"/>
                <w:lang w:eastAsia="en-US"/>
              </w:rPr>
              <w:t>1. reaches the posterior margin of the postorbital</w:t>
            </w:r>
          </w:p>
          <w:p w14:paraId="7ABC4E4F" w14:textId="77777777" w:rsidR="007A6B86" w:rsidRDefault="007A6B86" w:rsidP="007A6B86">
            <w:pPr>
              <w:rPr>
                <w:color w:val="000000"/>
                <w:sz w:val="20"/>
                <w:szCs w:val="20"/>
                <w:lang w:eastAsia="en-US"/>
              </w:rPr>
            </w:pPr>
            <w:r>
              <w:rPr>
                <w:color w:val="000000"/>
                <w:sz w:val="20"/>
                <w:szCs w:val="20"/>
                <w:lang w:eastAsia="en-US"/>
              </w:rPr>
              <w:t>2. broadly exposed on the postorbital (covering the anterolateral margin)</w:t>
            </w:r>
          </w:p>
          <w:p w14:paraId="25152B08" w14:textId="77777777" w:rsidR="007A6B86" w:rsidRDefault="007A6B86" w:rsidP="007A6B86">
            <w:pPr>
              <w:rPr>
                <w:b/>
                <w:color w:val="000000"/>
                <w:sz w:val="20"/>
                <w:szCs w:val="20"/>
                <w:lang w:eastAsia="en-US"/>
              </w:rPr>
            </w:pPr>
            <w:r>
              <w:rPr>
                <w:color w:val="000000"/>
                <w:sz w:val="20"/>
                <w:szCs w:val="20"/>
                <w:lang w:eastAsia="en-US"/>
              </w:rPr>
              <w:t>3. crosses the postorbital and reaches the orbit</w:t>
            </w:r>
          </w:p>
        </w:tc>
      </w:tr>
      <w:tr w:rsidR="007A6B86" w14:paraId="256109C4" w14:textId="77777777" w:rsidTr="007A6B86">
        <w:tc>
          <w:tcPr>
            <w:tcW w:w="0" w:type="auto"/>
            <w:tcBorders>
              <w:top w:val="single" w:sz="4" w:space="0" w:color="auto"/>
              <w:left w:val="single" w:sz="4" w:space="0" w:color="auto"/>
              <w:bottom w:val="single" w:sz="4" w:space="0" w:color="auto"/>
              <w:right w:val="single" w:sz="4" w:space="0" w:color="auto"/>
            </w:tcBorders>
          </w:tcPr>
          <w:p w14:paraId="5419C1B8" w14:textId="374FB956" w:rsidR="007A6B86" w:rsidRDefault="007A6B86" w:rsidP="007A6B86">
            <w:pPr>
              <w:rPr>
                <w:color w:val="000000"/>
                <w:sz w:val="20"/>
                <w:szCs w:val="20"/>
                <w:lang w:eastAsia="en-US"/>
              </w:rPr>
            </w:pPr>
            <w:r>
              <w:rPr>
                <w:color w:val="000000"/>
                <w:sz w:val="20"/>
                <w:szCs w:val="20"/>
                <w:lang w:eastAsia="en-US"/>
              </w:rPr>
              <w:t>227</w:t>
            </w:r>
          </w:p>
        </w:tc>
        <w:tc>
          <w:tcPr>
            <w:tcW w:w="0" w:type="auto"/>
            <w:tcBorders>
              <w:top w:val="single" w:sz="4" w:space="0" w:color="auto"/>
              <w:left w:val="single" w:sz="4" w:space="0" w:color="auto"/>
              <w:bottom w:val="single" w:sz="4" w:space="0" w:color="auto"/>
              <w:right w:val="single" w:sz="4" w:space="0" w:color="auto"/>
            </w:tcBorders>
            <w:vAlign w:val="bottom"/>
            <w:hideMark/>
          </w:tcPr>
          <w:p w14:paraId="7B2992D2" w14:textId="77777777" w:rsidR="007A6B86" w:rsidRDefault="007A6B86" w:rsidP="007A6B86">
            <w:pPr>
              <w:rPr>
                <w:b/>
                <w:color w:val="000000"/>
                <w:sz w:val="20"/>
                <w:szCs w:val="20"/>
                <w:lang w:eastAsia="en-US"/>
              </w:rPr>
            </w:pPr>
            <w:r>
              <w:rPr>
                <w:b/>
                <w:sz w:val="20"/>
                <w:szCs w:val="20"/>
                <w:lang w:eastAsia="en-US"/>
              </w:rPr>
              <w:t>Cranioquadrate canal, contact between the quadrate and exoccipital around the opening: (ORDERED)</w:t>
            </w:r>
          </w:p>
          <w:p w14:paraId="04F28079" w14:textId="0EF323A2" w:rsidR="007A6B86" w:rsidRDefault="007A6B86" w:rsidP="007A6B86">
            <w:pPr>
              <w:autoSpaceDE w:val="0"/>
              <w:autoSpaceDN w:val="0"/>
              <w:adjustRightInd w:val="0"/>
              <w:rPr>
                <w:b/>
                <w:bCs/>
                <w:color w:val="000000"/>
                <w:sz w:val="20"/>
                <w:szCs w:val="20"/>
                <w:lang w:eastAsia="en-US"/>
              </w:rPr>
            </w:pPr>
            <w:r>
              <w:rPr>
                <w:bCs/>
                <w:i/>
                <w:color w:val="000000"/>
                <w:sz w:val="20"/>
                <w:szCs w:val="20"/>
                <w:lang w:eastAsia="en-US"/>
              </w:rPr>
              <w:t>Clark (1994, ch. 49 modified);</w:t>
            </w:r>
            <w:r>
              <w:rPr>
                <w:b/>
                <w:bCs/>
                <w:color w:val="000000"/>
                <w:sz w:val="20"/>
                <w:szCs w:val="20"/>
                <w:lang w:eastAsia="en-US"/>
              </w:rPr>
              <w:t xml:space="preserve"> </w:t>
            </w:r>
            <w:r>
              <w:rPr>
                <w:bCs/>
                <w:i/>
                <w:color w:val="000000"/>
                <w:sz w:val="20"/>
                <w:lang w:eastAsia="en-US"/>
              </w:rPr>
              <w:t xml:space="preserve">Andrade et al. (2011, ch. 306 modified + ch. 308 modified); </w:t>
            </w:r>
            <w:r>
              <w:rPr>
                <w:i/>
                <w:sz w:val="20"/>
                <w:szCs w:val="20"/>
                <w:lang w:eastAsia="en-US"/>
              </w:rPr>
              <w:t xml:space="preserve">Ristevski et al. (2018, ds 2, ch. 203); Smith et al. (in review, ds 1, ch. 207); </w:t>
            </w:r>
            <w:r>
              <w:rPr>
                <w:i/>
                <w:sz w:val="20"/>
                <w:szCs w:val="20"/>
              </w:rPr>
              <w:t>Ősi et al. (in review, ds 1, ch. 225)</w:t>
            </w:r>
            <w:r>
              <w:rPr>
                <w:bCs/>
                <w:i/>
                <w:color w:val="000000"/>
                <w:sz w:val="20"/>
                <w:lang w:eastAsia="en-US"/>
              </w:rPr>
              <w:t>.</w:t>
            </w:r>
          </w:p>
          <w:p w14:paraId="663750EF" w14:textId="77777777" w:rsidR="007A6B86" w:rsidRDefault="007A6B86" w:rsidP="007A6B86">
            <w:pPr>
              <w:rPr>
                <w:i/>
                <w:color w:val="000000"/>
                <w:sz w:val="20"/>
                <w:szCs w:val="20"/>
                <w:lang w:eastAsia="en-US"/>
              </w:rPr>
            </w:pPr>
            <w:r>
              <w:rPr>
                <w:i/>
                <w:iCs/>
                <w:color w:val="000000"/>
                <w:sz w:val="20"/>
                <w:szCs w:val="20"/>
                <w:lang w:eastAsia="en-US"/>
              </w:rPr>
              <w:t>Cranioquadrate canal (=quadratosquamosootoccipitalis, in Salisbury et al., 1999; or =quadratosquamosoexoccipitalis, in Delfino et al., 2008).</w:t>
            </w:r>
          </w:p>
          <w:p w14:paraId="7328DCC1" w14:textId="77777777" w:rsidR="007A6B86" w:rsidRDefault="007A6B86" w:rsidP="007A6B86">
            <w:pPr>
              <w:rPr>
                <w:i/>
                <w:color w:val="000000"/>
                <w:sz w:val="20"/>
                <w:szCs w:val="20"/>
                <w:lang w:eastAsia="en-US"/>
              </w:rPr>
            </w:pPr>
            <w:r>
              <w:rPr>
                <w:i/>
                <w:color w:val="000000"/>
                <w:sz w:val="20"/>
                <w:szCs w:val="20"/>
                <w:lang w:eastAsia="en-US"/>
              </w:rPr>
              <w:t>State (1) occurs in Hallopodidae</w:t>
            </w:r>
            <w:r>
              <w:rPr>
                <w:color w:val="000000"/>
                <w:sz w:val="20"/>
                <w:szCs w:val="20"/>
                <w:lang w:eastAsia="en-US"/>
              </w:rPr>
              <w:t xml:space="preserve"> (</w:t>
            </w:r>
            <w:r>
              <w:rPr>
                <w:i/>
                <w:color w:val="000000"/>
                <w:sz w:val="20"/>
                <w:szCs w:val="20"/>
                <w:lang w:eastAsia="en-US"/>
              </w:rPr>
              <w:t>e.g.</w:t>
            </w:r>
            <w:r>
              <w:rPr>
                <w:color w:val="000000"/>
                <w:sz w:val="20"/>
                <w:szCs w:val="20"/>
                <w:lang w:eastAsia="en-US"/>
              </w:rPr>
              <w:t xml:space="preserve"> Almadasuchus) </w:t>
            </w:r>
            <w:r>
              <w:rPr>
                <w:i/>
                <w:color w:val="000000"/>
                <w:sz w:val="20"/>
                <w:szCs w:val="20"/>
                <w:lang w:eastAsia="en-US"/>
              </w:rPr>
              <w:t>and Mesoeucrocodylia.</w:t>
            </w:r>
          </w:p>
          <w:p w14:paraId="01A9C297" w14:textId="77777777" w:rsidR="007A6B86" w:rsidRDefault="007A6B86" w:rsidP="007A6B86">
            <w:pPr>
              <w:rPr>
                <w:i/>
                <w:color w:val="000000"/>
                <w:sz w:val="20"/>
                <w:szCs w:val="20"/>
                <w:lang w:eastAsia="en-US"/>
              </w:rPr>
            </w:pPr>
            <w:r>
              <w:rPr>
                <w:i/>
                <w:color w:val="000000"/>
                <w:sz w:val="20"/>
                <w:szCs w:val="20"/>
                <w:lang w:eastAsia="en-US"/>
              </w:rPr>
              <w:t>In derived forms the squamosal will also help enclose the cranioquadrate canal.</w:t>
            </w:r>
          </w:p>
          <w:p w14:paraId="689AD2AD" w14:textId="77777777" w:rsidR="007A6B86" w:rsidRDefault="007A6B86" w:rsidP="007A6B86">
            <w:pPr>
              <w:autoSpaceDE w:val="0"/>
              <w:autoSpaceDN w:val="0"/>
              <w:adjustRightInd w:val="0"/>
              <w:rPr>
                <w:i/>
                <w:iCs/>
                <w:color w:val="000000"/>
                <w:sz w:val="20"/>
                <w:szCs w:val="20"/>
                <w:lang w:eastAsia="en-US"/>
              </w:rPr>
            </w:pPr>
            <w:r>
              <w:rPr>
                <w:i/>
                <w:iCs/>
                <w:color w:val="000000"/>
                <w:sz w:val="20"/>
                <w:szCs w:val="20"/>
                <w:lang w:eastAsia="en-US"/>
              </w:rPr>
              <w:t>Contact between quadrate and exoccipital is extensive (2) in all crown crocodylians, but in all stem metasuchians this contact is feeble (1).</w:t>
            </w:r>
          </w:p>
          <w:p w14:paraId="16911D0E" w14:textId="77777777" w:rsidR="007A6B86" w:rsidRDefault="007A6B86" w:rsidP="007A6B86">
            <w:pPr>
              <w:rPr>
                <w:color w:val="000000"/>
                <w:sz w:val="20"/>
                <w:szCs w:val="20"/>
                <w:lang w:eastAsia="en-US"/>
              </w:rPr>
            </w:pPr>
            <w:r>
              <w:rPr>
                <w:color w:val="000000"/>
                <w:sz w:val="20"/>
                <w:szCs w:val="20"/>
                <w:lang w:eastAsia="en-US"/>
              </w:rPr>
              <w:t>0. absent (and the quadrate and exoccipital do not meet to enclose the cranioquadrate canal)</w:t>
            </w:r>
          </w:p>
          <w:p w14:paraId="581457BC" w14:textId="77777777" w:rsidR="007A6B86" w:rsidRDefault="007A6B86" w:rsidP="007A6B86">
            <w:pPr>
              <w:rPr>
                <w:color w:val="000000"/>
                <w:sz w:val="20"/>
                <w:szCs w:val="20"/>
                <w:lang w:eastAsia="en-US"/>
              </w:rPr>
            </w:pPr>
            <w:r>
              <w:rPr>
                <w:color w:val="000000"/>
                <w:sz w:val="20"/>
                <w:szCs w:val="20"/>
                <w:lang w:eastAsia="en-US"/>
              </w:rPr>
              <w:t>1. lateral contact between the quadrate and exoccipital is feeble, but these bones do meet to enclose the cranioquadrate canal</w:t>
            </w:r>
          </w:p>
          <w:p w14:paraId="1F76A33C" w14:textId="77777777" w:rsidR="007A6B86" w:rsidRDefault="007A6B86" w:rsidP="007A6B86">
            <w:pPr>
              <w:rPr>
                <w:color w:val="000000"/>
                <w:sz w:val="20"/>
                <w:szCs w:val="20"/>
                <w:lang w:eastAsia="en-US"/>
              </w:rPr>
            </w:pPr>
            <w:r>
              <w:rPr>
                <w:color w:val="000000"/>
                <w:sz w:val="20"/>
                <w:szCs w:val="20"/>
                <w:lang w:eastAsia="en-US"/>
              </w:rPr>
              <w:t>2. lateral contact between the quadrate and exoccipital is broad, and these bones do meet to enclose the cranioquadrate canal</w:t>
            </w:r>
          </w:p>
        </w:tc>
      </w:tr>
      <w:tr w:rsidR="007A6B86" w14:paraId="2B22B9B6" w14:textId="77777777" w:rsidTr="007A6B86">
        <w:tc>
          <w:tcPr>
            <w:tcW w:w="0" w:type="auto"/>
            <w:tcBorders>
              <w:top w:val="single" w:sz="4" w:space="0" w:color="auto"/>
              <w:left w:val="single" w:sz="4" w:space="0" w:color="auto"/>
              <w:bottom w:val="single" w:sz="4" w:space="0" w:color="auto"/>
              <w:right w:val="single" w:sz="4" w:space="0" w:color="auto"/>
            </w:tcBorders>
          </w:tcPr>
          <w:p w14:paraId="16C07D4C" w14:textId="0885E400" w:rsidR="007A6B86" w:rsidRDefault="007A6B86" w:rsidP="007A6B86">
            <w:pPr>
              <w:rPr>
                <w:color w:val="000000"/>
                <w:sz w:val="20"/>
                <w:szCs w:val="20"/>
                <w:lang w:eastAsia="en-US"/>
              </w:rPr>
            </w:pPr>
            <w:r>
              <w:rPr>
                <w:color w:val="000000"/>
                <w:sz w:val="20"/>
                <w:szCs w:val="20"/>
                <w:lang w:eastAsia="en-US"/>
              </w:rPr>
              <w:lastRenderedPageBreak/>
              <w:t>228</w:t>
            </w:r>
          </w:p>
        </w:tc>
        <w:tc>
          <w:tcPr>
            <w:tcW w:w="0" w:type="auto"/>
            <w:tcBorders>
              <w:top w:val="single" w:sz="4" w:space="0" w:color="auto"/>
              <w:left w:val="single" w:sz="4" w:space="0" w:color="auto"/>
              <w:bottom w:val="single" w:sz="4" w:space="0" w:color="auto"/>
              <w:right w:val="single" w:sz="4" w:space="0" w:color="auto"/>
            </w:tcBorders>
            <w:vAlign w:val="bottom"/>
            <w:hideMark/>
          </w:tcPr>
          <w:p w14:paraId="71937EF5" w14:textId="77777777" w:rsidR="007A6B86" w:rsidRDefault="007A6B86" w:rsidP="007A6B86">
            <w:pPr>
              <w:rPr>
                <w:b/>
                <w:color w:val="000000"/>
                <w:sz w:val="20"/>
                <w:szCs w:val="20"/>
                <w:lang w:eastAsia="en-US"/>
              </w:rPr>
            </w:pPr>
            <w:r>
              <w:rPr>
                <w:b/>
                <w:color w:val="000000"/>
                <w:sz w:val="20"/>
                <w:szCs w:val="20"/>
                <w:lang w:eastAsia="en-US"/>
              </w:rPr>
              <w:t>Cranioquadrate canal, bones enclosing:</w:t>
            </w:r>
          </w:p>
          <w:p w14:paraId="427A7F9B" w14:textId="2B169B57" w:rsidR="007A6B86" w:rsidRDefault="007A6B86" w:rsidP="007A6B86">
            <w:pPr>
              <w:rPr>
                <w:i/>
                <w:iCs/>
                <w:color w:val="000000"/>
                <w:sz w:val="20"/>
                <w:szCs w:val="20"/>
                <w:lang w:eastAsia="en-US"/>
              </w:rPr>
            </w:pPr>
            <w:r>
              <w:rPr>
                <w:i/>
                <w:sz w:val="20"/>
                <w:szCs w:val="20"/>
                <w:lang w:eastAsia="en-US"/>
              </w:rPr>
              <w:t xml:space="preserve">Ristevski et al. (2018, ds 2, ch. 204); Smith et al. (in review, ds 1, ch. 208); </w:t>
            </w:r>
            <w:r>
              <w:rPr>
                <w:i/>
                <w:sz w:val="20"/>
                <w:szCs w:val="20"/>
              </w:rPr>
              <w:t>Ősi et al. (in review, ds 1, ch. 226)</w:t>
            </w:r>
            <w:r>
              <w:rPr>
                <w:i/>
                <w:sz w:val="20"/>
                <w:szCs w:val="20"/>
                <w:lang w:eastAsia="en-US"/>
              </w:rPr>
              <w:t>.</w:t>
            </w:r>
          </w:p>
          <w:p w14:paraId="707E27DC" w14:textId="77777777" w:rsidR="007A6B86" w:rsidRDefault="007A6B86" w:rsidP="007A6B86">
            <w:pPr>
              <w:rPr>
                <w:i/>
                <w:iCs/>
                <w:color w:val="000000"/>
                <w:sz w:val="20"/>
                <w:szCs w:val="20"/>
                <w:lang w:eastAsia="en-US"/>
              </w:rPr>
            </w:pPr>
            <w:r>
              <w:rPr>
                <w:i/>
                <w:iCs/>
                <w:color w:val="000000"/>
                <w:sz w:val="20"/>
                <w:szCs w:val="20"/>
                <w:lang w:eastAsia="en-US"/>
              </w:rPr>
              <w:t>Scores for a similar morphology as Andrade et al. (2011, ch. 307), but with distinct differences.</w:t>
            </w:r>
          </w:p>
          <w:p w14:paraId="32CC18DC" w14:textId="77777777" w:rsidR="007A6B86" w:rsidRDefault="007A6B86" w:rsidP="007A6B86">
            <w:pPr>
              <w:rPr>
                <w:i/>
                <w:iCs/>
                <w:color w:val="000000"/>
                <w:sz w:val="20"/>
                <w:szCs w:val="20"/>
                <w:lang w:eastAsia="en-US"/>
              </w:rPr>
            </w:pPr>
            <w:r>
              <w:rPr>
                <w:i/>
                <w:iCs/>
                <w:color w:val="000000"/>
                <w:sz w:val="20"/>
                <w:szCs w:val="20"/>
                <w:lang w:eastAsia="en-US"/>
              </w:rPr>
              <w:t>Cranioquadrate canal does not imply in the presence of a passage, and therefore may be opened laterally. The canal is only considered absent (0) in basal crocodylomorphs and basal crocodyliformes.</w:t>
            </w:r>
          </w:p>
          <w:p w14:paraId="5AE2862A" w14:textId="77777777" w:rsidR="007A6B86" w:rsidRDefault="007A6B86" w:rsidP="007A6B86">
            <w:pPr>
              <w:rPr>
                <w:i/>
                <w:color w:val="000000"/>
                <w:sz w:val="20"/>
                <w:szCs w:val="20"/>
                <w:lang w:eastAsia="en-US"/>
              </w:rPr>
            </w:pPr>
            <w:r>
              <w:rPr>
                <w:i/>
                <w:iCs/>
                <w:color w:val="000000"/>
                <w:sz w:val="20"/>
                <w:szCs w:val="20"/>
                <w:lang w:eastAsia="en-US"/>
              </w:rPr>
              <w:t>Note at present state (0) here correlates with the state (0) in character quantifying the contact between the quadrate and exoccipital around the cranioquadrate canal. However, here a taxon with an enclosed cranioquadrate canal which does not have a squamosal participation would be scored as (0).</w:t>
            </w:r>
          </w:p>
          <w:p w14:paraId="3F41D5B8" w14:textId="77777777" w:rsidR="007A6B86" w:rsidRDefault="007A6B86" w:rsidP="007A6B86">
            <w:pPr>
              <w:rPr>
                <w:i/>
                <w:color w:val="000000"/>
                <w:sz w:val="20"/>
                <w:szCs w:val="20"/>
                <w:lang w:eastAsia="en-US"/>
              </w:rPr>
            </w:pPr>
            <w:r>
              <w:rPr>
                <w:i/>
                <w:color w:val="000000"/>
                <w:sz w:val="20"/>
                <w:szCs w:val="20"/>
                <w:lang w:eastAsia="en-US"/>
              </w:rPr>
              <w:t>State (1) occurs in Thalattosuchia.</w:t>
            </w:r>
          </w:p>
          <w:p w14:paraId="5BB0D33A" w14:textId="77777777" w:rsidR="007A6B86" w:rsidRDefault="007A6B86" w:rsidP="007A6B86">
            <w:pPr>
              <w:rPr>
                <w:i/>
                <w:color w:val="000000"/>
                <w:sz w:val="20"/>
                <w:szCs w:val="20"/>
                <w:lang w:eastAsia="en-US"/>
              </w:rPr>
            </w:pPr>
            <w:r>
              <w:rPr>
                <w:i/>
                <w:color w:val="000000"/>
                <w:sz w:val="20"/>
                <w:szCs w:val="20"/>
                <w:lang w:eastAsia="en-US"/>
              </w:rPr>
              <w:t>State (2) is common among goniopholidids and pholidosaurids.</w:t>
            </w:r>
          </w:p>
          <w:p w14:paraId="29A43AAD" w14:textId="77777777" w:rsidR="007A6B86" w:rsidRDefault="007A6B86" w:rsidP="007A6B86">
            <w:pPr>
              <w:rPr>
                <w:i/>
                <w:color w:val="000000"/>
                <w:sz w:val="20"/>
                <w:szCs w:val="20"/>
                <w:lang w:eastAsia="en-US"/>
              </w:rPr>
            </w:pPr>
            <w:r>
              <w:rPr>
                <w:i/>
                <w:color w:val="000000"/>
                <w:sz w:val="20"/>
                <w:szCs w:val="20"/>
                <w:lang w:eastAsia="en-US"/>
              </w:rPr>
              <w:t>State (3) occurs in Metasuchia, but with some losses (especially in Neosuchia).</w:t>
            </w:r>
          </w:p>
          <w:p w14:paraId="1C6BDA30" w14:textId="77777777" w:rsidR="007A6B86" w:rsidRDefault="007A6B86" w:rsidP="007A6B86">
            <w:pPr>
              <w:rPr>
                <w:color w:val="000000"/>
                <w:sz w:val="20"/>
                <w:szCs w:val="20"/>
                <w:lang w:eastAsia="en-US"/>
              </w:rPr>
            </w:pPr>
            <w:r>
              <w:rPr>
                <w:color w:val="000000"/>
                <w:sz w:val="20"/>
                <w:szCs w:val="20"/>
                <w:lang w:eastAsia="en-US"/>
              </w:rPr>
              <w:t>0. quadrate, squamosal and exoccipital do not enclose the cranioquadrate canal along its length</w:t>
            </w:r>
          </w:p>
          <w:p w14:paraId="709E2705" w14:textId="77777777" w:rsidR="007A6B86" w:rsidRDefault="007A6B86" w:rsidP="007A6B86">
            <w:pPr>
              <w:rPr>
                <w:color w:val="000000"/>
                <w:sz w:val="20"/>
                <w:szCs w:val="20"/>
                <w:lang w:eastAsia="en-US"/>
              </w:rPr>
            </w:pPr>
            <w:r>
              <w:rPr>
                <w:color w:val="000000"/>
                <w:sz w:val="20"/>
                <w:szCs w:val="20"/>
                <w:lang w:eastAsia="en-US"/>
              </w:rPr>
              <w:t>1. squamosal laterally encloses the cranioquadrate canal, the quadrate ventrally, and the exoccipital posteriorly, medially and partly ventrally encloses the canal. This results in the canal opening laterally and/or posterolaterally</w:t>
            </w:r>
          </w:p>
          <w:p w14:paraId="7E4BE4DF" w14:textId="77777777" w:rsidR="007A6B86" w:rsidRDefault="007A6B86" w:rsidP="007A6B86">
            <w:pPr>
              <w:rPr>
                <w:color w:val="000000"/>
                <w:sz w:val="20"/>
                <w:szCs w:val="20"/>
                <w:lang w:eastAsia="en-US"/>
              </w:rPr>
            </w:pPr>
            <w:r>
              <w:rPr>
                <w:color w:val="000000"/>
                <w:sz w:val="20"/>
                <w:szCs w:val="20"/>
                <w:lang w:eastAsia="en-US"/>
              </w:rPr>
              <w:t xml:space="preserve">2. quadrate and squamosal do not laterally enclose the cranioquadrate canal, and it is laterally exposed but still exits on the occipital surface. </w:t>
            </w:r>
            <w:r>
              <w:rPr>
                <w:i/>
                <w:color w:val="000000"/>
                <w:sz w:val="20"/>
                <w:szCs w:val="20"/>
                <w:lang w:eastAsia="en-US"/>
              </w:rPr>
              <w:t>This looks to be a modification of state (3), where there is no ossified lateral enclosure, resulting in the ‘open morphotype’</w:t>
            </w:r>
            <w:r>
              <w:rPr>
                <w:color w:val="000000"/>
                <w:sz w:val="20"/>
                <w:szCs w:val="20"/>
                <w:lang w:eastAsia="en-US"/>
              </w:rPr>
              <w:t>.</w:t>
            </w:r>
          </w:p>
          <w:p w14:paraId="40983B2B" w14:textId="77777777" w:rsidR="007A6B86" w:rsidRDefault="007A6B86" w:rsidP="007A6B86">
            <w:pPr>
              <w:rPr>
                <w:b/>
                <w:color w:val="000000"/>
                <w:sz w:val="20"/>
                <w:szCs w:val="20"/>
                <w:lang w:eastAsia="en-US"/>
              </w:rPr>
            </w:pPr>
            <w:r>
              <w:rPr>
                <w:color w:val="000000"/>
                <w:sz w:val="20"/>
                <w:szCs w:val="20"/>
                <w:lang w:eastAsia="en-US"/>
              </w:rPr>
              <w:t>3. quadrate and squamosal laterally enclose the cranioquadrate canal, and the exoccipital helps enclose it dorsally. This results in the canal opening on the occipital surface</w:t>
            </w:r>
          </w:p>
        </w:tc>
      </w:tr>
      <w:tr w:rsidR="007A6B86" w14:paraId="57A4496D" w14:textId="77777777" w:rsidTr="007A6B86">
        <w:tc>
          <w:tcPr>
            <w:tcW w:w="0" w:type="auto"/>
            <w:tcBorders>
              <w:top w:val="single" w:sz="4" w:space="0" w:color="auto"/>
              <w:left w:val="single" w:sz="4" w:space="0" w:color="auto"/>
              <w:bottom w:val="single" w:sz="4" w:space="0" w:color="auto"/>
              <w:right w:val="single" w:sz="4" w:space="0" w:color="auto"/>
            </w:tcBorders>
          </w:tcPr>
          <w:p w14:paraId="6E3B53D4" w14:textId="1E82D24B" w:rsidR="007A6B86" w:rsidRDefault="007A6B86" w:rsidP="007A6B86">
            <w:pPr>
              <w:rPr>
                <w:color w:val="000000"/>
                <w:sz w:val="20"/>
                <w:szCs w:val="20"/>
                <w:lang w:eastAsia="en-US"/>
              </w:rPr>
            </w:pPr>
            <w:r>
              <w:rPr>
                <w:color w:val="000000"/>
                <w:sz w:val="20"/>
                <w:szCs w:val="20"/>
                <w:lang w:eastAsia="en-US"/>
              </w:rPr>
              <w:t>229</w:t>
            </w:r>
          </w:p>
        </w:tc>
        <w:tc>
          <w:tcPr>
            <w:tcW w:w="0" w:type="auto"/>
            <w:tcBorders>
              <w:top w:val="single" w:sz="4" w:space="0" w:color="auto"/>
              <w:left w:val="single" w:sz="4" w:space="0" w:color="auto"/>
              <w:bottom w:val="single" w:sz="4" w:space="0" w:color="auto"/>
              <w:right w:val="single" w:sz="4" w:space="0" w:color="auto"/>
            </w:tcBorders>
            <w:vAlign w:val="bottom"/>
            <w:hideMark/>
          </w:tcPr>
          <w:p w14:paraId="750BEE9D" w14:textId="77777777" w:rsidR="007A6B86" w:rsidRDefault="007A6B86" w:rsidP="007A6B86">
            <w:pPr>
              <w:rPr>
                <w:b/>
                <w:sz w:val="20"/>
                <w:szCs w:val="20"/>
                <w:lang w:eastAsia="en-US"/>
              </w:rPr>
            </w:pPr>
            <w:r>
              <w:rPr>
                <w:b/>
                <w:sz w:val="20"/>
                <w:szCs w:val="20"/>
                <w:lang w:eastAsia="en-US"/>
              </w:rPr>
              <w:t>Cranioquadrate canal, presence of a squamosal descending process separating the cranioquadrate canal from the external auditory meatus:</w:t>
            </w:r>
          </w:p>
          <w:p w14:paraId="65CDEDF3" w14:textId="59699CA1" w:rsidR="007A6B86" w:rsidRDefault="007A6B86" w:rsidP="007A6B86">
            <w:pPr>
              <w:rPr>
                <w:i/>
                <w:sz w:val="20"/>
                <w:szCs w:val="20"/>
                <w:lang w:eastAsia="en-US"/>
              </w:rPr>
            </w:pPr>
            <w:r>
              <w:rPr>
                <w:i/>
                <w:sz w:val="20"/>
                <w:szCs w:val="20"/>
                <w:lang w:eastAsia="en-US"/>
              </w:rPr>
              <w:t xml:space="preserve">Ristevski et al. (2018, ds 2, ch. 205); Smith et al. (in review, ds 1, ch. 209); </w:t>
            </w:r>
            <w:r>
              <w:rPr>
                <w:i/>
                <w:sz w:val="20"/>
                <w:szCs w:val="20"/>
              </w:rPr>
              <w:t>Ősi et al. (in review, ds 1, ch. 227)</w:t>
            </w:r>
            <w:r>
              <w:rPr>
                <w:i/>
                <w:sz w:val="20"/>
                <w:szCs w:val="20"/>
                <w:lang w:eastAsia="en-US"/>
              </w:rPr>
              <w:t>.</w:t>
            </w:r>
          </w:p>
          <w:p w14:paraId="282E794B" w14:textId="55C5E497" w:rsidR="007A6B86" w:rsidRDefault="007A6B86" w:rsidP="007A6B86">
            <w:pPr>
              <w:rPr>
                <w:i/>
                <w:sz w:val="20"/>
                <w:szCs w:val="20"/>
                <w:lang w:eastAsia="en-US"/>
              </w:rPr>
            </w:pPr>
            <w:r>
              <w:rPr>
                <w:i/>
                <w:sz w:val="20"/>
                <w:szCs w:val="20"/>
                <w:lang w:eastAsia="en-US"/>
              </w:rPr>
              <w:t xml:space="preserve">State (1) occurs in thalattosuchians. Note that the </w:t>
            </w:r>
            <w:r>
              <w:rPr>
                <w:sz w:val="20"/>
                <w:szCs w:val="20"/>
                <w:lang w:eastAsia="en-US"/>
              </w:rPr>
              <w:t>Teleosaurus cadomensis</w:t>
            </w:r>
            <w:r>
              <w:rPr>
                <w:i/>
                <w:sz w:val="20"/>
                <w:szCs w:val="20"/>
                <w:lang w:eastAsia="en-US"/>
              </w:rPr>
              <w:t xml:space="preserve"> specimen figured by Jouve (2009) had a broken squamosal descending lamina, and that the skull had been acid prepared. Here it is scored as (1). </w:t>
            </w:r>
            <w:r>
              <w:rPr>
                <w:sz w:val="20"/>
                <w:szCs w:val="20"/>
                <w:lang w:eastAsia="en-US"/>
              </w:rPr>
              <w:t xml:space="preserve">Pelagosaurus typus </w:t>
            </w:r>
            <w:r>
              <w:rPr>
                <w:i/>
                <w:sz w:val="20"/>
                <w:szCs w:val="20"/>
                <w:lang w:eastAsia="en-US"/>
              </w:rPr>
              <w:t xml:space="preserve">is also scored as (1), as the skull NHMUK PV OR 32599 is also acid prepared and many of the thin laminae are broken. </w:t>
            </w:r>
          </w:p>
          <w:p w14:paraId="19EFE8F2" w14:textId="77777777" w:rsidR="007A6B86" w:rsidRDefault="007A6B86" w:rsidP="007A6B86">
            <w:pPr>
              <w:rPr>
                <w:sz w:val="20"/>
                <w:szCs w:val="20"/>
                <w:lang w:eastAsia="en-US"/>
              </w:rPr>
            </w:pPr>
            <w:r>
              <w:rPr>
                <w:sz w:val="20"/>
                <w:szCs w:val="20"/>
                <w:lang w:eastAsia="en-US"/>
              </w:rPr>
              <w:t>0. absent, no clear separation of these structures</w:t>
            </w:r>
          </w:p>
          <w:p w14:paraId="23C85652" w14:textId="77777777" w:rsidR="007A6B86" w:rsidRDefault="007A6B86" w:rsidP="007A6B86">
            <w:pPr>
              <w:rPr>
                <w:lang w:eastAsia="en-US"/>
              </w:rPr>
            </w:pPr>
            <w:r>
              <w:rPr>
                <w:sz w:val="20"/>
                <w:szCs w:val="20"/>
                <w:lang w:eastAsia="en-US"/>
              </w:rPr>
              <w:t>1. present, the cranioquadrate canal and the external auditory meatus are distinct openings, sharing a common wall (squamosal descending process)</w:t>
            </w:r>
          </w:p>
        </w:tc>
      </w:tr>
    </w:tbl>
    <w:p w14:paraId="7089DBF6" w14:textId="77777777" w:rsidR="004C76BC" w:rsidRDefault="004C76BC" w:rsidP="004C76BC">
      <w:pPr>
        <w:rPr>
          <w:sz w:val="20"/>
          <w:szCs w:val="20"/>
        </w:rPr>
      </w:pPr>
    </w:p>
    <w:p w14:paraId="73C85903" w14:textId="6AFABDE7" w:rsidR="004C76BC" w:rsidRDefault="004C76BC" w:rsidP="004C76BC">
      <w:bookmarkStart w:id="58" w:name="_Hlk485720121"/>
      <w:r>
        <w:rPr>
          <w:b/>
        </w:rPr>
        <w:t xml:space="preserve">Mandibular geometry </w:t>
      </w:r>
      <w:r>
        <w:t>(Ch. 2</w:t>
      </w:r>
      <w:r w:rsidR="00D67975">
        <w:t>30</w:t>
      </w:r>
      <w:r>
        <w:t xml:space="preserve"> – 23</w:t>
      </w:r>
      <w:r w:rsidR="00D67975">
        <w:t>7</w:t>
      </w:r>
      <w:r>
        <w:t>; 1.762% of characters)</w:t>
      </w:r>
    </w:p>
    <w:p w14:paraId="680BB09D" w14:textId="77777777" w:rsidR="004C76BC" w:rsidRDefault="004C76BC" w:rsidP="004C76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08C726E3" w14:textId="77777777" w:rsidTr="00AF438E">
        <w:tc>
          <w:tcPr>
            <w:tcW w:w="0" w:type="auto"/>
            <w:tcBorders>
              <w:top w:val="single" w:sz="4" w:space="0" w:color="auto"/>
              <w:left w:val="single" w:sz="4" w:space="0" w:color="auto"/>
              <w:bottom w:val="single" w:sz="4" w:space="0" w:color="auto"/>
              <w:right w:val="single" w:sz="4" w:space="0" w:color="auto"/>
            </w:tcBorders>
            <w:hideMark/>
          </w:tcPr>
          <w:bookmarkEnd w:id="58"/>
          <w:p w14:paraId="23835FDD"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2015930" w14:textId="77777777" w:rsidR="004C76BC" w:rsidRDefault="004C76BC" w:rsidP="00AF438E">
            <w:pPr>
              <w:rPr>
                <w:sz w:val="20"/>
                <w:szCs w:val="20"/>
                <w:lang w:eastAsia="en-US"/>
              </w:rPr>
            </w:pPr>
            <w:r>
              <w:rPr>
                <w:sz w:val="20"/>
                <w:szCs w:val="20"/>
                <w:lang w:eastAsia="en-US"/>
              </w:rPr>
              <w:t>Description</w:t>
            </w:r>
          </w:p>
        </w:tc>
      </w:tr>
      <w:tr w:rsidR="00D67975" w14:paraId="27BB1E53"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B2B7888" w14:textId="3A0087E3" w:rsidR="00D67975" w:rsidRDefault="00D67975" w:rsidP="00D67975">
            <w:pPr>
              <w:rPr>
                <w:color w:val="000000"/>
                <w:sz w:val="20"/>
                <w:szCs w:val="20"/>
                <w:lang w:eastAsia="en-US"/>
              </w:rPr>
            </w:pPr>
            <w:r>
              <w:rPr>
                <w:color w:val="000000"/>
                <w:sz w:val="20"/>
                <w:szCs w:val="20"/>
                <w:lang w:eastAsia="en-US"/>
              </w:rPr>
              <w:t>230</w:t>
            </w:r>
          </w:p>
        </w:tc>
        <w:tc>
          <w:tcPr>
            <w:tcW w:w="0" w:type="auto"/>
            <w:tcBorders>
              <w:top w:val="single" w:sz="4" w:space="0" w:color="auto"/>
              <w:left w:val="single" w:sz="4" w:space="0" w:color="auto"/>
              <w:bottom w:val="single" w:sz="4" w:space="0" w:color="auto"/>
              <w:right w:val="single" w:sz="4" w:space="0" w:color="auto"/>
            </w:tcBorders>
            <w:vAlign w:val="bottom"/>
            <w:hideMark/>
          </w:tcPr>
          <w:p w14:paraId="2DBBCE5E" w14:textId="77777777" w:rsidR="00D67975" w:rsidRDefault="00D67975" w:rsidP="00D67975">
            <w:pPr>
              <w:rPr>
                <w:b/>
                <w:color w:val="000000"/>
                <w:sz w:val="20"/>
                <w:szCs w:val="20"/>
                <w:lang w:eastAsia="en-US"/>
              </w:rPr>
            </w:pPr>
            <w:r>
              <w:rPr>
                <w:b/>
                <w:color w:val="000000"/>
                <w:sz w:val="20"/>
                <w:szCs w:val="20"/>
                <w:lang w:eastAsia="en-US"/>
              </w:rPr>
              <w:t>Mandible geometry, relative positions of the dentary tooth-row and coronid process, and development of dorsal curvature of the posterior-end of the mandible:</w:t>
            </w:r>
          </w:p>
          <w:p w14:paraId="18E8B5F5" w14:textId="13FF914E"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167); Young et al. (2013a, ch. 109); </w:t>
            </w:r>
            <w:r>
              <w:rPr>
                <w:i/>
                <w:sz w:val="20"/>
                <w:szCs w:val="20"/>
                <w:lang w:eastAsia="en-US"/>
              </w:rPr>
              <w:t xml:space="preserve">Young et al. (2012, ch. 127); Young (2014, ch. 131); Young et al. (2016, ds 2, ch. 153); Ristevski et al. (2018, ds 2, ch. 207); Smith et al. (in review, ds 1, ch. 211); </w:t>
            </w:r>
            <w:r>
              <w:rPr>
                <w:i/>
                <w:sz w:val="20"/>
                <w:szCs w:val="20"/>
              </w:rPr>
              <w:t>Ősi et al. (in review, ds 1, ch. 229)</w:t>
            </w:r>
            <w:r>
              <w:rPr>
                <w:i/>
                <w:sz w:val="20"/>
                <w:szCs w:val="20"/>
                <w:lang w:eastAsia="en-US"/>
              </w:rPr>
              <w:t>.</w:t>
            </w:r>
          </w:p>
          <w:p w14:paraId="32992842" w14:textId="77777777" w:rsidR="00D67975" w:rsidRDefault="00D67975" w:rsidP="00D67975">
            <w:pPr>
              <w:rPr>
                <w:i/>
                <w:color w:val="000000"/>
                <w:sz w:val="20"/>
                <w:szCs w:val="20"/>
                <w:lang w:eastAsia="en-US"/>
              </w:rPr>
            </w:pPr>
            <w:r>
              <w:rPr>
                <w:i/>
                <w:color w:val="000000"/>
                <w:sz w:val="20"/>
                <w:szCs w:val="20"/>
                <w:lang w:eastAsia="en-US"/>
              </w:rPr>
              <w:t xml:space="preserve">State (1) is a putative apomorphy of Metriorhynchidae. </w:t>
            </w:r>
          </w:p>
          <w:p w14:paraId="38AA44EB" w14:textId="77777777" w:rsidR="00D67975" w:rsidRDefault="00D67975" w:rsidP="00D67975">
            <w:pPr>
              <w:rPr>
                <w:i/>
                <w:color w:val="000000"/>
                <w:sz w:val="20"/>
                <w:szCs w:val="20"/>
                <w:lang w:eastAsia="en-US"/>
              </w:rPr>
            </w:pPr>
            <w:r>
              <w:rPr>
                <w:i/>
                <w:color w:val="000000"/>
                <w:sz w:val="20"/>
                <w:szCs w:val="20"/>
                <w:lang w:eastAsia="en-US"/>
              </w:rPr>
              <w:t>Quantifies the incipient increase of gape at the base of Metriorhynchidae.</w:t>
            </w:r>
          </w:p>
          <w:p w14:paraId="7722B626" w14:textId="77777777" w:rsidR="00D67975" w:rsidRDefault="00D67975" w:rsidP="00D67975">
            <w:pPr>
              <w:rPr>
                <w:color w:val="000000"/>
                <w:sz w:val="20"/>
                <w:szCs w:val="20"/>
                <w:lang w:eastAsia="en-US"/>
              </w:rPr>
            </w:pPr>
            <w:r>
              <w:rPr>
                <w:color w:val="000000"/>
                <w:sz w:val="20"/>
                <w:szCs w:val="20"/>
                <w:lang w:eastAsia="en-US"/>
              </w:rPr>
              <w:t>0. gentle curvature in the dorsal margin of the mandible, from the coronoid process to the end of the tooth-row</w:t>
            </w:r>
          </w:p>
          <w:p w14:paraId="09B2B44A" w14:textId="77777777" w:rsidR="00D67975" w:rsidRDefault="00D67975" w:rsidP="00D67975">
            <w:pPr>
              <w:rPr>
                <w:color w:val="000000"/>
                <w:sz w:val="20"/>
                <w:szCs w:val="20"/>
                <w:lang w:eastAsia="en-US"/>
              </w:rPr>
            </w:pPr>
            <w:r>
              <w:rPr>
                <w:color w:val="000000"/>
                <w:sz w:val="20"/>
                <w:szCs w:val="20"/>
                <w:lang w:eastAsia="en-US"/>
              </w:rPr>
              <w:t>1. strong curvature, raising the coronoid process considerably above the tooth-row</w:t>
            </w:r>
          </w:p>
        </w:tc>
      </w:tr>
      <w:tr w:rsidR="00D67975" w14:paraId="2805D5F1" w14:textId="77777777" w:rsidTr="00D67975">
        <w:tc>
          <w:tcPr>
            <w:tcW w:w="0" w:type="auto"/>
            <w:tcBorders>
              <w:top w:val="single" w:sz="4" w:space="0" w:color="auto"/>
              <w:left w:val="single" w:sz="4" w:space="0" w:color="auto"/>
              <w:bottom w:val="single" w:sz="4" w:space="0" w:color="auto"/>
              <w:right w:val="single" w:sz="4" w:space="0" w:color="auto"/>
            </w:tcBorders>
          </w:tcPr>
          <w:p w14:paraId="50872CC5" w14:textId="4169DC6B" w:rsidR="00D67975" w:rsidRDefault="00D67975" w:rsidP="00D67975">
            <w:pPr>
              <w:rPr>
                <w:color w:val="000000"/>
                <w:sz w:val="20"/>
                <w:szCs w:val="20"/>
                <w:lang w:eastAsia="en-US"/>
              </w:rPr>
            </w:pPr>
            <w:r>
              <w:rPr>
                <w:color w:val="000000"/>
                <w:sz w:val="20"/>
                <w:szCs w:val="20"/>
                <w:lang w:eastAsia="en-US"/>
              </w:rPr>
              <w:t>231</w:t>
            </w:r>
          </w:p>
        </w:tc>
        <w:tc>
          <w:tcPr>
            <w:tcW w:w="0" w:type="auto"/>
            <w:tcBorders>
              <w:top w:val="single" w:sz="4" w:space="0" w:color="auto"/>
              <w:left w:val="single" w:sz="4" w:space="0" w:color="auto"/>
              <w:bottom w:val="single" w:sz="4" w:space="0" w:color="auto"/>
              <w:right w:val="single" w:sz="4" w:space="0" w:color="auto"/>
            </w:tcBorders>
            <w:vAlign w:val="bottom"/>
            <w:hideMark/>
          </w:tcPr>
          <w:p w14:paraId="6CCD5A81" w14:textId="77777777" w:rsidR="00D67975" w:rsidRDefault="00D67975" w:rsidP="00D67975">
            <w:pPr>
              <w:rPr>
                <w:b/>
                <w:color w:val="000000"/>
                <w:sz w:val="20"/>
                <w:szCs w:val="20"/>
                <w:lang w:eastAsia="en-US"/>
              </w:rPr>
            </w:pPr>
            <w:r>
              <w:rPr>
                <w:b/>
                <w:color w:val="000000"/>
                <w:sz w:val="20"/>
                <w:szCs w:val="20"/>
                <w:lang w:eastAsia="en-US"/>
              </w:rPr>
              <w:t>Mandible geometry, relative positions of coronoid process, retroarticular process and glenoid fossa:</w:t>
            </w:r>
          </w:p>
          <w:p w14:paraId="1D15F802" w14:textId="64DAE1DC"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168); Young et al. (2013a, ch. 110); </w:t>
            </w:r>
            <w:r>
              <w:rPr>
                <w:i/>
                <w:sz w:val="20"/>
                <w:szCs w:val="20"/>
                <w:lang w:eastAsia="en-US"/>
              </w:rPr>
              <w:t xml:space="preserve">Young et al. (2012, ch. 128); Young (2014, ch. 132); Young et al. (2016, ds 2, ch. 154); Ristevski et al. (2018, ds 2, ch. 208); Smith et al. (in review, ds 1, ch. 212); </w:t>
            </w:r>
            <w:r>
              <w:rPr>
                <w:i/>
                <w:sz w:val="20"/>
                <w:szCs w:val="20"/>
              </w:rPr>
              <w:t>Ősi et al. (in review, ds 1, ch. 230)</w:t>
            </w:r>
            <w:r>
              <w:rPr>
                <w:i/>
                <w:sz w:val="20"/>
                <w:szCs w:val="20"/>
                <w:lang w:eastAsia="en-US"/>
              </w:rPr>
              <w:t>.</w:t>
            </w:r>
          </w:p>
          <w:p w14:paraId="6ED822FD" w14:textId="77777777" w:rsidR="00D67975" w:rsidRDefault="00D67975" w:rsidP="00D67975">
            <w:pPr>
              <w:rPr>
                <w:i/>
                <w:color w:val="000000"/>
                <w:sz w:val="20"/>
                <w:szCs w:val="20"/>
                <w:lang w:eastAsia="en-US"/>
              </w:rPr>
            </w:pPr>
            <w:r>
              <w:rPr>
                <w:i/>
                <w:color w:val="000000"/>
                <w:sz w:val="20"/>
                <w:szCs w:val="20"/>
                <w:lang w:eastAsia="en-US"/>
              </w:rPr>
              <w:t>State (1) is a putative apomorphy of Geosaurini.</w:t>
            </w:r>
          </w:p>
          <w:p w14:paraId="74C341F0" w14:textId="77777777" w:rsidR="00D67975" w:rsidRDefault="00D67975" w:rsidP="00D67975">
            <w:pPr>
              <w:rPr>
                <w:i/>
                <w:color w:val="000000"/>
                <w:sz w:val="20"/>
                <w:szCs w:val="20"/>
                <w:lang w:eastAsia="en-US"/>
              </w:rPr>
            </w:pPr>
            <w:r>
              <w:rPr>
                <w:i/>
                <w:color w:val="000000"/>
                <w:sz w:val="20"/>
                <w:szCs w:val="20"/>
                <w:lang w:eastAsia="en-US"/>
              </w:rPr>
              <w:t xml:space="preserve">This character quantifies the greater increase in gape associated with macrophagous geosaurines. </w:t>
            </w:r>
          </w:p>
          <w:p w14:paraId="01C5821D" w14:textId="77777777" w:rsidR="00D67975" w:rsidRDefault="00D67975" w:rsidP="00D67975">
            <w:pPr>
              <w:rPr>
                <w:color w:val="000000"/>
                <w:sz w:val="20"/>
                <w:szCs w:val="20"/>
                <w:lang w:eastAsia="en-US"/>
              </w:rPr>
            </w:pPr>
            <w:r>
              <w:rPr>
                <w:color w:val="000000"/>
                <w:sz w:val="20"/>
                <w:szCs w:val="20"/>
                <w:lang w:eastAsia="en-US"/>
              </w:rPr>
              <w:t xml:space="preserve">0. coronoid process level to both the retroarticular process and glenoid fossa </w:t>
            </w:r>
          </w:p>
          <w:p w14:paraId="111D31A2" w14:textId="77777777" w:rsidR="00D67975" w:rsidRDefault="00D67975" w:rsidP="00D67975">
            <w:pPr>
              <w:rPr>
                <w:color w:val="000000"/>
                <w:sz w:val="20"/>
                <w:szCs w:val="20"/>
                <w:lang w:eastAsia="en-US"/>
              </w:rPr>
            </w:pPr>
            <w:r>
              <w:rPr>
                <w:color w:val="000000"/>
                <w:sz w:val="20"/>
                <w:szCs w:val="20"/>
                <w:lang w:eastAsia="en-US"/>
              </w:rPr>
              <w:t>1. coronoid process ventral to both the retroarticular process and glenoid fossa</w:t>
            </w:r>
          </w:p>
        </w:tc>
      </w:tr>
      <w:tr w:rsidR="00D67975" w14:paraId="4443C8F8" w14:textId="77777777" w:rsidTr="00D67975">
        <w:tc>
          <w:tcPr>
            <w:tcW w:w="0" w:type="auto"/>
            <w:tcBorders>
              <w:top w:val="single" w:sz="4" w:space="0" w:color="auto"/>
              <w:left w:val="single" w:sz="4" w:space="0" w:color="auto"/>
              <w:bottom w:val="single" w:sz="4" w:space="0" w:color="auto"/>
              <w:right w:val="single" w:sz="4" w:space="0" w:color="auto"/>
            </w:tcBorders>
          </w:tcPr>
          <w:p w14:paraId="02ED50FA" w14:textId="1539BD41" w:rsidR="00D67975" w:rsidRDefault="00D67975" w:rsidP="00D67975">
            <w:pPr>
              <w:rPr>
                <w:color w:val="000000"/>
                <w:sz w:val="20"/>
                <w:szCs w:val="20"/>
                <w:lang w:eastAsia="en-US"/>
              </w:rPr>
            </w:pPr>
            <w:r>
              <w:rPr>
                <w:color w:val="000000"/>
                <w:sz w:val="20"/>
                <w:szCs w:val="20"/>
                <w:lang w:eastAsia="en-US"/>
              </w:rPr>
              <w:t>232</w:t>
            </w:r>
          </w:p>
        </w:tc>
        <w:tc>
          <w:tcPr>
            <w:tcW w:w="0" w:type="auto"/>
            <w:tcBorders>
              <w:top w:val="single" w:sz="4" w:space="0" w:color="auto"/>
              <w:left w:val="single" w:sz="4" w:space="0" w:color="auto"/>
              <w:bottom w:val="single" w:sz="4" w:space="0" w:color="auto"/>
              <w:right w:val="single" w:sz="4" w:space="0" w:color="auto"/>
            </w:tcBorders>
            <w:vAlign w:val="bottom"/>
            <w:hideMark/>
          </w:tcPr>
          <w:p w14:paraId="654832CD" w14:textId="77777777" w:rsidR="00D67975" w:rsidRDefault="00D67975" w:rsidP="00D67975">
            <w:pPr>
              <w:rPr>
                <w:b/>
                <w:color w:val="000000"/>
                <w:sz w:val="20"/>
                <w:szCs w:val="20"/>
                <w:lang w:eastAsia="en-US"/>
              </w:rPr>
            </w:pPr>
            <w:r>
              <w:rPr>
                <w:b/>
                <w:color w:val="000000"/>
                <w:sz w:val="20"/>
                <w:szCs w:val="20"/>
                <w:lang w:eastAsia="en-US"/>
              </w:rPr>
              <w:t xml:space="preserve">Mandibular rami, presence of a sharp dorsal inclination: </w:t>
            </w:r>
          </w:p>
          <w:p w14:paraId="1DD1D438" w14:textId="5ECEC99C" w:rsidR="00D67975" w:rsidRDefault="00D67975" w:rsidP="00D67975">
            <w:pPr>
              <w:rPr>
                <w:i/>
                <w:color w:val="000000"/>
                <w:sz w:val="20"/>
                <w:szCs w:val="20"/>
                <w:lang w:eastAsia="en-US"/>
              </w:rPr>
            </w:pPr>
            <w:r>
              <w:rPr>
                <w:i/>
                <w:sz w:val="20"/>
                <w:szCs w:val="20"/>
                <w:lang w:eastAsia="en-US"/>
              </w:rPr>
              <w:t xml:space="preserve">Ristevski et al. (2018, ds 2, ch. 209); Smith et al. (in review, ds 1, ch. 213); </w:t>
            </w:r>
            <w:r>
              <w:rPr>
                <w:i/>
                <w:sz w:val="20"/>
                <w:szCs w:val="20"/>
              </w:rPr>
              <w:t>Ősi et al. (in review, ds 1, ch. 231)</w:t>
            </w:r>
            <w:r>
              <w:rPr>
                <w:i/>
                <w:sz w:val="20"/>
                <w:szCs w:val="20"/>
                <w:lang w:eastAsia="en-US"/>
              </w:rPr>
              <w:t>.</w:t>
            </w:r>
          </w:p>
          <w:p w14:paraId="15C7287C" w14:textId="77777777" w:rsidR="00D67975" w:rsidRDefault="00D67975" w:rsidP="00D67975">
            <w:pPr>
              <w:rPr>
                <w:i/>
                <w:color w:val="000000"/>
                <w:sz w:val="20"/>
                <w:szCs w:val="20"/>
                <w:lang w:eastAsia="en-US"/>
              </w:rPr>
            </w:pPr>
            <w:r>
              <w:rPr>
                <w:i/>
                <w:color w:val="000000"/>
                <w:sz w:val="20"/>
                <w:szCs w:val="20"/>
                <w:lang w:eastAsia="en-US"/>
              </w:rPr>
              <w:lastRenderedPageBreak/>
              <w:t>State (1) is a putative apomorphy of Plesiosuchina.</w:t>
            </w:r>
          </w:p>
          <w:p w14:paraId="1468E31C" w14:textId="77777777" w:rsidR="00D67975" w:rsidRDefault="00D67975" w:rsidP="00D67975">
            <w:pPr>
              <w:rPr>
                <w:sz w:val="20"/>
                <w:szCs w:val="20"/>
                <w:lang w:eastAsia="en-US"/>
              </w:rPr>
            </w:pPr>
            <w:r>
              <w:rPr>
                <w:sz w:val="20"/>
                <w:szCs w:val="20"/>
                <w:lang w:eastAsia="en-US"/>
              </w:rPr>
              <w:t>0. absent</w:t>
            </w:r>
          </w:p>
          <w:p w14:paraId="16DD5648" w14:textId="77777777" w:rsidR="00D67975" w:rsidRDefault="00D67975" w:rsidP="00D67975">
            <w:pPr>
              <w:rPr>
                <w:b/>
                <w:color w:val="000000"/>
                <w:sz w:val="20"/>
                <w:szCs w:val="20"/>
                <w:lang w:eastAsia="en-US"/>
              </w:rPr>
            </w:pPr>
            <w:r>
              <w:rPr>
                <w:sz w:val="20"/>
                <w:szCs w:val="20"/>
                <w:lang w:eastAsia="en-US"/>
              </w:rPr>
              <w:t>1. present - immediately posterior to the mandibular symphysis the mandible sharply rises dorsally such that the ventral margin of the dentary (along with angular) is dorsally deflected (resulting in a distinct 'kink' along the mandibular ventral margin)</w:t>
            </w:r>
          </w:p>
        </w:tc>
      </w:tr>
      <w:tr w:rsidR="00D67975" w14:paraId="09C7E6C4" w14:textId="77777777" w:rsidTr="00D67975">
        <w:tc>
          <w:tcPr>
            <w:tcW w:w="0" w:type="auto"/>
            <w:tcBorders>
              <w:top w:val="single" w:sz="4" w:space="0" w:color="auto"/>
              <w:left w:val="single" w:sz="4" w:space="0" w:color="auto"/>
              <w:bottom w:val="single" w:sz="4" w:space="0" w:color="auto"/>
              <w:right w:val="single" w:sz="4" w:space="0" w:color="auto"/>
            </w:tcBorders>
          </w:tcPr>
          <w:p w14:paraId="7781B080" w14:textId="631E2BEC" w:rsidR="00D67975" w:rsidRDefault="00D67975" w:rsidP="00D67975">
            <w:pPr>
              <w:rPr>
                <w:color w:val="000000"/>
                <w:sz w:val="20"/>
                <w:szCs w:val="20"/>
                <w:lang w:eastAsia="en-US"/>
              </w:rPr>
            </w:pPr>
            <w:r>
              <w:rPr>
                <w:color w:val="000000"/>
                <w:sz w:val="20"/>
                <w:szCs w:val="20"/>
                <w:lang w:eastAsia="en-US"/>
              </w:rPr>
              <w:lastRenderedPageBreak/>
              <w:t>233</w:t>
            </w:r>
          </w:p>
        </w:tc>
        <w:tc>
          <w:tcPr>
            <w:tcW w:w="0" w:type="auto"/>
            <w:tcBorders>
              <w:top w:val="single" w:sz="4" w:space="0" w:color="auto"/>
              <w:left w:val="single" w:sz="4" w:space="0" w:color="auto"/>
              <w:bottom w:val="single" w:sz="4" w:space="0" w:color="auto"/>
              <w:right w:val="single" w:sz="4" w:space="0" w:color="auto"/>
            </w:tcBorders>
            <w:vAlign w:val="bottom"/>
            <w:hideMark/>
          </w:tcPr>
          <w:p w14:paraId="455D199B" w14:textId="77777777" w:rsidR="00D67975" w:rsidRDefault="00D67975" w:rsidP="00D67975">
            <w:pPr>
              <w:autoSpaceDE w:val="0"/>
              <w:autoSpaceDN w:val="0"/>
              <w:adjustRightInd w:val="0"/>
              <w:rPr>
                <w:rFonts w:eastAsiaTheme="minorHAnsi"/>
                <w:b/>
                <w:bCs/>
                <w:sz w:val="20"/>
                <w:szCs w:val="20"/>
                <w:lang w:eastAsia="en-US"/>
              </w:rPr>
            </w:pPr>
            <w:r>
              <w:rPr>
                <w:b/>
                <w:bCs/>
                <w:sz w:val="20"/>
                <w:szCs w:val="20"/>
                <w:lang w:eastAsia="en-US"/>
              </w:rPr>
              <w:t>Mandible, orientation of hemimandibles at their medial contact:</w:t>
            </w:r>
          </w:p>
          <w:p w14:paraId="1FAC39EF" w14:textId="6EEB932D" w:rsidR="00D67975" w:rsidRDefault="00D67975" w:rsidP="00D67975">
            <w:pPr>
              <w:autoSpaceDE w:val="0"/>
              <w:autoSpaceDN w:val="0"/>
              <w:adjustRightInd w:val="0"/>
              <w:rPr>
                <w:sz w:val="20"/>
                <w:szCs w:val="20"/>
                <w:lang w:eastAsia="en-US"/>
              </w:rPr>
            </w:pPr>
            <w:r>
              <w:rPr>
                <w:bCs/>
                <w:i/>
                <w:sz w:val="20"/>
                <w:lang w:eastAsia="en-US"/>
              </w:rPr>
              <w:t>Andrade et al. (2011, ch. 320);</w:t>
            </w:r>
            <w:r>
              <w:rPr>
                <w:i/>
                <w:sz w:val="20"/>
                <w:szCs w:val="20"/>
                <w:lang w:eastAsia="en-US"/>
              </w:rPr>
              <w:t xml:space="preserve"> Ristevski et al. (2018, ds 1, ch. 320); Smith et al. (in review, ds 2, ch. 320); </w:t>
            </w:r>
            <w:r>
              <w:rPr>
                <w:i/>
                <w:sz w:val="20"/>
                <w:szCs w:val="20"/>
              </w:rPr>
              <w:t>Ősi et al. (in review, ds 1, ch. 232)</w:t>
            </w:r>
            <w:r>
              <w:rPr>
                <w:bCs/>
                <w:i/>
                <w:sz w:val="20"/>
                <w:lang w:eastAsia="en-US"/>
              </w:rPr>
              <w:t>.</w:t>
            </w:r>
          </w:p>
          <w:p w14:paraId="2D374B82" w14:textId="77777777" w:rsidR="00D67975" w:rsidRDefault="00D67975" w:rsidP="00D67975">
            <w:pPr>
              <w:autoSpaceDE w:val="0"/>
              <w:autoSpaceDN w:val="0"/>
              <w:adjustRightInd w:val="0"/>
              <w:rPr>
                <w:sz w:val="20"/>
                <w:szCs w:val="20"/>
                <w:lang w:eastAsia="en-US"/>
              </w:rPr>
            </w:pPr>
            <w:r>
              <w:rPr>
                <w:sz w:val="20"/>
                <w:szCs w:val="20"/>
                <w:lang w:eastAsia="en-US"/>
              </w:rPr>
              <w:t>0. evidently acute angle, hemimandibles meet at approximately 45 degrees of each other, or less</w:t>
            </w:r>
          </w:p>
          <w:p w14:paraId="3D589138" w14:textId="77777777" w:rsidR="00D67975" w:rsidRDefault="00D67975" w:rsidP="00D67975">
            <w:pPr>
              <w:rPr>
                <w:b/>
                <w:color w:val="000000"/>
                <w:sz w:val="20"/>
                <w:szCs w:val="20"/>
                <w:lang w:eastAsia="en-US"/>
              </w:rPr>
            </w:pPr>
            <w:r>
              <w:rPr>
                <w:sz w:val="20"/>
                <w:szCs w:val="20"/>
                <w:lang w:eastAsia="en-US"/>
              </w:rPr>
              <w:t>1. broad angle, hemimandibles meet at approximately 70 degrees of each other, or more</w:t>
            </w:r>
          </w:p>
        </w:tc>
      </w:tr>
      <w:tr w:rsidR="00D67975" w14:paraId="1A235EEA" w14:textId="77777777" w:rsidTr="00D67975">
        <w:tc>
          <w:tcPr>
            <w:tcW w:w="0" w:type="auto"/>
            <w:tcBorders>
              <w:top w:val="single" w:sz="4" w:space="0" w:color="auto"/>
              <w:left w:val="single" w:sz="4" w:space="0" w:color="auto"/>
              <w:bottom w:val="single" w:sz="4" w:space="0" w:color="auto"/>
              <w:right w:val="single" w:sz="4" w:space="0" w:color="auto"/>
            </w:tcBorders>
          </w:tcPr>
          <w:p w14:paraId="54ECA360" w14:textId="1787D740" w:rsidR="00D67975" w:rsidRDefault="00D67975" w:rsidP="00D67975">
            <w:pPr>
              <w:rPr>
                <w:color w:val="000000"/>
                <w:sz w:val="20"/>
                <w:szCs w:val="20"/>
                <w:lang w:eastAsia="en-US"/>
              </w:rPr>
            </w:pPr>
            <w:r>
              <w:rPr>
                <w:color w:val="000000"/>
                <w:sz w:val="20"/>
                <w:szCs w:val="20"/>
                <w:lang w:eastAsia="en-US"/>
              </w:rPr>
              <w:t>234</w:t>
            </w:r>
          </w:p>
        </w:tc>
        <w:tc>
          <w:tcPr>
            <w:tcW w:w="0" w:type="auto"/>
            <w:tcBorders>
              <w:top w:val="single" w:sz="4" w:space="0" w:color="auto"/>
              <w:left w:val="single" w:sz="4" w:space="0" w:color="auto"/>
              <w:bottom w:val="single" w:sz="4" w:space="0" w:color="auto"/>
              <w:right w:val="single" w:sz="4" w:space="0" w:color="auto"/>
            </w:tcBorders>
            <w:hideMark/>
          </w:tcPr>
          <w:p w14:paraId="1544803B" w14:textId="77777777" w:rsidR="00D67975" w:rsidRDefault="00D67975" w:rsidP="00D67975">
            <w:pPr>
              <w:autoSpaceDE w:val="0"/>
              <w:autoSpaceDN w:val="0"/>
              <w:adjustRightInd w:val="0"/>
              <w:rPr>
                <w:b/>
                <w:bCs/>
                <w:color w:val="000000"/>
                <w:sz w:val="20"/>
                <w:szCs w:val="20"/>
                <w:lang w:eastAsia="en-US"/>
              </w:rPr>
            </w:pPr>
            <w:r>
              <w:rPr>
                <w:b/>
                <w:bCs/>
                <w:color w:val="000000"/>
                <w:sz w:val="20"/>
                <w:szCs w:val="20"/>
                <w:lang w:eastAsia="en-US"/>
              </w:rPr>
              <w:t>Mandible, morphology of distal rami in dorsal/ventral views:</w:t>
            </w:r>
          </w:p>
          <w:p w14:paraId="7FF80F8D" w14:textId="323D1DF0" w:rsidR="00D67975" w:rsidRDefault="00D67975" w:rsidP="00D67975">
            <w:pPr>
              <w:autoSpaceDE w:val="0"/>
              <w:autoSpaceDN w:val="0"/>
              <w:adjustRightInd w:val="0"/>
              <w:rPr>
                <w:i/>
                <w:iCs/>
                <w:color w:val="000000"/>
                <w:sz w:val="20"/>
                <w:szCs w:val="20"/>
                <w:lang w:eastAsia="en-US"/>
              </w:rPr>
            </w:pPr>
            <w:r>
              <w:rPr>
                <w:bCs/>
                <w:i/>
                <w:color w:val="000000"/>
                <w:sz w:val="20"/>
                <w:lang w:eastAsia="en-US"/>
              </w:rPr>
              <w:t xml:space="preserve">Andrade et al. (2011, ch. 321); </w:t>
            </w:r>
            <w:r>
              <w:rPr>
                <w:i/>
                <w:sz w:val="20"/>
                <w:szCs w:val="20"/>
                <w:lang w:eastAsia="en-US"/>
              </w:rPr>
              <w:t xml:space="preserve">Ristevski et al. (2018, ds 2, ch. 210); Smith et al. (in review, ds 1, ch. 214); </w:t>
            </w:r>
            <w:r>
              <w:rPr>
                <w:i/>
                <w:sz w:val="20"/>
                <w:szCs w:val="20"/>
              </w:rPr>
              <w:t>Ősi et al. (in review, ds 1, ch. 233)</w:t>
            </w:r>
            <w:r>
              <w:rPr>
                <w:bCs/>
                <w:i/>
                <w:color w:val="000000"/>
                <w:sz w:val="20"/>
                <w:lang w:eastAsia="en-US"/>
              </w:rPr>
              <w:t>.</w:t>
            </w:r>
          </w:p>
          <w:p w14:paraId="6A79964C" w14:textId="77777777" w:rsidR="00D67975" w:rsidRDefault="00D67975" w:rsidP="00D67975">
            <w:pPr>
              <w:autoSpaceDE w:val="0"/>
              <w:autoSpaceDN w:val="0"/>
              <w:adjustRightInd w:val="0"/>
              <w:rPr>
                <w:i/>
                <w:iCs/>
                <w:color w:val="000000"/>
                <w:sz w:val="20"/>
                <w:szCs w:val="20"/>
                <w:lang w:eastAsia="en-US"/>
              </w:rPr>
            </w:pPr>
            <w:r>
              <w:rPr>
                <w:i/>
                <w:iCs/>
                <w:color w:val="000000"/>
                <w:sz w:val="20"/>
                <w:szCs w:val="20"/>
                <w:lang w:eastAsia="en-US"/>
              </w:rPr>
              <w:t>Note that the broad-Y shape in (1) is not the result of elongation of the symphysis (which is present, but not exclusively in these forms), but by the arched distal rami, meeting at mid-mandible.</w:t>
            </w:r>
          </w:p>
          <w:p w14:paraId="5587C809" w14:textId="77777777" w:rsidR="00D67975" w:rsidRDefault="00D67975" w:rsidP="00D67975">
            <w:pPr>
              <w:autoSpaceDE w:val="0"/>
              <w:autoSpaceDN w:val="0"/>
              <w:adjustRightInd w:val="0"/>
              <w:rPr>
                <w:i/>
                <w:iCs/>
                <w:color w:val="000000"/>
                <w:sz w:val="20"/>
                <w:szCs w:val="20"/>
                <w:lang w:eastAsia="en-US"/>
              </w:rPr>
            </w:pPr>
            <w:r>
              <w:rPr>
                <w:i/>
                <w:iCs/>
                <w:color w:val="000000"/>
                <w:sz w:val="20"/>
                <w:szCs w:val="20"/>
                <w:lang w:eastAsia="en-US"/>
              </w:rPr>
              <w:t>State (1) is putative apomorphy of Notosuchidae + Sphagesauridae.</w:t>
            </w:r>
          </w:p>
          <w:p w14:paraId="5511E6B9"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0. distal rami mostly straight or poorly curved</w:t>
            </w:r>
          </w:p>
          <w:p w14:paraId="2ACD1ECD" w14:textId="77777777" w:rsidR="00D67975" w:rsidRDefault="00D67975" w:rsidP="00D67975">
            <w:pPr>
              <w:rPr>
                <w:b/>
                <w:color w:val="000000"/>
                <w:sz w:val="20"/>
                <w:szCs w:val="20"/>
                <w:lang w:eastAsia="en-US"/>
              </w:rPr>
            </w:pPr>
            <w:r>
              <w:rPr>
                <w:color w:val="000000"/>
                <w:sz w:val="20"/>
                <w:szCs w:val="20"/>
                <w:lang w:eastAsia="en-US"/>
              </w:rPr>
              <w:t>1. distal rami strongly curved medially at mid-mandible, giving the mandible a broad-Y shape</w:t>
            </w:r>
          </w:p>
        </w:tc>
      </w:tr>
      <w:tr w:rsidR="00D67975" w14:paraId="3C3FCE94" w14:textId="77777777" w:rsidTr="00D67975">
        <w:tc>
          <w:tcPr>
            <w:tcW w:w="0" w:type="auto"/>
            <w:tcBorders>
              <w:top w:val="single" w:sz="4" w:space="0" w:color="auto"/>
              <w:left w:val="single" w:sz="4" w:space="0" w:color="auto"/>
              <w:bottom w:val="single" w:sz="4" w:space="0" w:color="auto"/>
              <w:right w:val="single" w:sz="4" w:space="0" w:color="auto"/>
            </w:tcBorders>
          </w:tcPr>
          <w:p w14:paraId="59FCF293" w14:textId="515975E9" w:rsidR="00D67975" w:rsidRDefault="00D67975" w:rsidP="00D67975">
            <w:pPr>
              <w:rPr>
                <w:sz w:val="20"/>
                <w:szCs w:val="20"/>
                <w:lang w:eastAsia="en-US"/>
              </w:rPr>
            </w:pPr>
            <w:r>
              <w:rPr>
                <w:color w:val="000000"/>
                <w:sz w:val="20"/>
                <w:szCs w:val="20"/>
                <w:lang w:eastAsia="en-US"/>
              </w:rPr>
              <w:t>235</w:t>
            </w:r>
          </w:p>
        </w:tc>
        <w:tc>
          <w:tcPr>
            <w:tcW w:w="0" w:type="auto"/>
            <w:tcBorders>
              <w:top w:val="single" w:sz="4" w:space="0" w:color="auto"/>
              <w:left w:val="single" w:sz="4" w:space="0" w:color="auto"/>
              <w:bottom w:val="single" w:sz="4" w:space="0" w:color="auto"/>
              <w:right w:val="single" w:sz="4" w:space="0" w:color="auto"/>
            </w:tcBorders>
            <w:hideMark/>
          </w:tcPr>
          <w:p w14:paraId="57F2DAC0" w14:textId="77777777" w:rsidR="00D67975" w:rsidRDefault="00D67975" w:rsidP="00D67975">
            <w:pPr>
              <w:autoSpaceDE w:val="0"/>
              <w:autoSpaceDN w:val="0"/>
              <w:adjustRightInd w:val="0"/>
              <w:rPr>
                <w:rFonts w:eastAsiaTheme="minorHAnsi"/>
                <w:b/>
                <w:bCs/>
                <w:sz w:val="20"/>
                <w:szCs w:val="20"/>
                <w:lang w:eastAsia="en-US"/>
              </w:rPr>
            </w:pPr>
            <w:r>
              <w:rPr>
                <w:b/>
                <w:bCs/>
                <w:sz w:val="20"/>
                <w:szCs w:val="20"/>
                <w:lang w:eastAsia="en-US"/>
              </w:rPr>
              <w:t>Mandible, ventral border at angular, in lateral view: (ORDERED)</w:t>
            </w:r>
          </w:p>
          <w:p w14:paraId="1ABEE06D" w14:textId="6AD3AC4F" w:rsidR="00D67975" w:rsidRDefault="00D67975" w:rsidP="00D67975">
            <w:pPr>
              <w:autoSpaceDE w:val="0"/>
              <w:autoSpaceDN w:val="0"/>
              <w:adjustRightInd w:val="0"/>
              <w:rPr>
                <w:i/>
                <w:iCs/>
                <w:sz w:val="20"/>
                <w:szCs w:val="20"/>
                <w:lang w:eastAsia="en-US"/>
              </w:rPr>
            </w:pPr>
            <w:r>
              <w:rPr>
                <w:bCs/>
                <w:i/>
                <w:sz w:val="20"/>
                <w:lang w:eastAsia="en-US"/>
              </w:rPr>
              <w:t>Andrade et al. (2011, ch. 322);</w:t>
            </w:r>
            <w:r>
              <w:rPr>
                <w:i/>
                <w:sz w:val="20"/>
                <w:szCs w:val="20"/>
                <w:lang w:eastAsia="en-US"/>
              </w:rPr>
              <w:t xml:space="preserve"> Ristevski et al. (2018, ds 1, ch. 322); Smith et al. (in review, ds 2, ch. 322); </w:t>
            </w:r>
            <w:r>
              <w:rPr>
                <w:i/>
                <w:sz w:val="20"/>
                <w:szCs w:val="20"/>
              </w:rPr>
              <w:t>Ősi et al. (in review, ds 1, ch. 234)</w:t>
            </w:r>
            <w:r>
              <w:rPr>
                <w:bCs/>
                <w:i/>
                <w:sz w:val="20"/>
                <w:lang w:eastAsia="en-US"/>
              </w:rPr>
              <w:t>.</w:t>
            </w:r>
          </w:p>
          <w:p w14:paraId="27B485EC" w14:textId="77777777" w:rsidR="00D67975" w:rsidRDefault="00D67975" w:rsidP="00D67975">
            <w:pPr>
              <w:autoSpaceDE w:val="0"/>
              <w:autoSpaceDN w:val="0"/>
              <w:adjustRightInd w:val="0"/>
              <w:rPr>
                <w:i/>
                <w:iCs/>
                <w:sz w:val="20"/>
                <w:szCs w:val="20"/>
                <w:lang w:eastAsia="en-US"/>
              </w:rPr>
            </w:pPr>
            <w:r>
              <w:rPr>
                <w:i/>
                <w:iCs/>
                <w:sz w:val="20"/>
                <w:szCs w:val="20"/>
                <w:lang w:eastAsia="en-US"/>
              </w:rPr>
              <w:t>This character, created by Andrade et al. (2011), is potentially co-dependent with Pol et al. (2012, ch. 280), which is not included here (see also Turner &amp; Buckley 2008, ch. 280)</w:t>
            </w:r>
          </w:p>
          <w:p w14:paraId="53827DC8"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 State (0) is based on descriptions by Woodward (1896), Price (1945) and Andrade &amp; Bertini (2008b). State (2) is originally based on descriptions by Hooley (1907), Schwarz (2002) and Ősi et al. (2007).</w:t>
            </w:r>
          </w:p>
          <w:p w14:paraId="502053B2" w14:textId="77777777" w:rsidR="00D67975" w:rsidRDefault="00D67975" w:rsidP="00D67975">
            <w:pPr>
              <w:autoSpaceDE w:val="0"/>
              <w:autoSpaceDN w:val="0"/>
              <w:adjustRightInd w:val="0"/>
              <w:rPr>
                <w:sz w:val="20"/>
                <w:szCs w:val="20"/>
                <w:lang w:eastAsia="en-US"/>
              </w:rPr>
            </w:pPr>
            <w:r>
              <w:rPr>
                <w:sz w:val="20"/>
                <w:szCs w:val="20"/>
                <w:lang w:eastAsia="en-US"/>
              </w:rPr>
              <w:t>0. angular straight and mostly horizontal, or poorly curved, from the anterior to the posterior end</w:t>
            </w:r>
          </w:p>
          <w:p w14:paraId="0337BF0A" w14:textId="77777777" w:rsidR="00D67975" w:rsidRDefault="00D67975" w:rsidP="00D67975">
            <w:pPr>
              <w:autoSpaceDE w:val="0"/>
              <w:autoSpaceDN w:val="0"/>
              <w:adjustRightInd w:val="0"/>
              <w:rPr>
                <w:sz w:val="20"/>
                <w:szCs w:val="20"/>
                <w:lang w:eastAsia="en-US"/>
              </w:rPr>
            </w:pPr>
            <w:r>
              <w:rPr>
                <w:sz w:val="20"/>
                <w:szCs w:val="20"/>
                <w:lang w:eastAsia="en-US"/>
              </w:rPr>
              <w:t>1. angular evidently (but gently) curved</w:t>
            </w:r>
          </w:p>
          <w:p w14:paraId="0CA8A147" w14:textId="77777777" w:rsidR="00D67975" w:rsidRDefault="00D67975" w:rsidP="00D67975">
            <w:pPr>
              <w:autoSpaceDE w:val="0"/>
              <w:autoSpaceDN w:val="0"/>
              <w:adjustRightInd w:val="0"/>
              <w:rPr>
                <w:b/>
                <w:bCs/>
                <w:color w:val="000000"/>
                <w:sz w:val="20"/>
                <w:szCs w:val="20"/>
                <w:lang w:eastAsia="en-US"/>
              </w:rPr>
            </w:pPr>
            <w:r>
              <w:rPr>
                <w:sz w:val="20"/>
                <w:szCs w:val="20"/>
                <w:lang w:eastAsia="en-US"/>
              </w:rPr>
              <w:t>2. angular abruptly curved, always below glenoid fossa, with mid-posterior sections of angular sub-vertical, facing posteriorly</w:t>
            </w:r>
          </w:p>
        </w:tc>
      </w:tr>
      <w:tr w:rsidR="00D67975" w14:paraId="33E00A38" w14:textId="77777777" w:rsidTr="00D67975">
        <w:tc>
          <w:tcPr>
            <w:tcW w:w="0" w:type="auto"/>
            <w:tcBorders>
              <w:top w:val="single" w:sz="4" w:space="0" w:color="auto"/>
              <w:left w:val="single" w:sz="4" w:space="0" w:color="auto"/>
              <w:bottom w:val="single" w:sz="4" w:space="0" w:color="auto"/>
              <w:right w:val="single" w:sz="4" w:space="0" w:color="auto"/>
            </w:tcBorders>
          </w:tcPr>
          <w:p w14:paraId="76E4CD8F" w14:textId="700D464E" w:rsidR="00D67975" w:rsidRDefault="00D67975" w:rsidP="00D67975">
            <w:pPr>
              <w:rPr>
                <w:sz w:val="20"/>
                <w:szCs w:val="20"/>
                <w:lang w:eastAsia="en-US"/>
              </w:rPr>
            </w:pPr>
            <w:r>
              <w:rPr>
                <w:color w:val="000000"/>
                <w:sz w:val="20"/>
                <w:szCs w:val="20"/>
                <w:lang w:eastAsia="en-US"/>
              </w:rPr>
              <w:t>236</w:t>
            </w:r>
          </w:p>
        </w:tc>
        <w:tc>
          <w:tcPr>
            <w:tcW w:w="0" w:type="auto"/>
            <w:tcBorders>
              <w:top w:val="single" w:sz="4" w:space="0" w:color="auto"/>
              <w:left w:val="single" w:sz="4" w:space="0" w:color="auto"/>
              <w:bottom w:val="single" w:sz="4" w:space="0" w:color="auto"/>
              <w:right w:val="single" w:sz="4" w:space="0" w:color="auto"/>
            </w:tcBorders>
            <w:hideMark/>
          </w:tcPr>
          <w:p w14:paraId="42AED4A5" w14:textId="77777777" w:rsidR="00D67975" w:rsidRDefault="00D67975" w:rsidP="00D67975">
            <w:pPr>
              <w:autoSpaceDE w:val="0"/>
              <w:autoSpaceDN w:val="0"/>
              <w:adjustRightInd w:val="0"/>
              <w:rPr>
                <w:b/>
                <w:bCs/>
                <w:sz w:val="20"/>
                <w:szCs w:val="20"/>
                <w:lang w:eastAsia="en-US"/>
              </w:rPr>
            </w:pPr>
            <w:r>
              <w:rPr>
                <w:b/>
                <w:bCs/>
                <w:sz w:val="20"/>
                <w:szCs w:val="20"/>
                <w:lang w:eastAsia="en-US"/>
              </w:rPr>
              <w:t>Mandible, morphology of ventral margin, in lateral view:</w:t>
            </w:r>
          </w:p>
          <w:p w14:paraId="482094C8" w14:textId="1CF79A8B" w:rsidR="00D67975" w:rsidRDefault="00D67975" w:rsidP="00D67975">
            <w:pPr>
              <w:autoSpaceDE w:val="0"/>
              <w:autoSpaceDN w:val="0"/>
              <w:adjustRightInd w:val="0"/>
              <w:rPr>
                <w:i/>
                <w:iCs/>
                <w:sz w:val="20"/>
                <w:szCs w:val="20"/>
                <w:lang w:eastAsia="en-US"/>
              </w:rPr>
            </w:pPr>
            <w:r>
              <w:rPr>
                <w:bCs/>
                <w:i/>
                <w:sz w:val="20"/>
                <w:lang w:eastAsia="en-US"/>
              </w:rPr>
              <w:t>Andrade et al. (2011, ch. 323);</w:t>
            </w:r>
            <w:r>
              <w:rPr>
                <w:i/>
                <w:sz w:val="20"/>
                <w:szCs w:val="20"/>
                <w:lang w:eastAsia="en-US"/>
              </w:rPr>
              <w:t xml:space="preserve"> Ristevski et al. (2018, ds 1, ch. 323); Smith et al. (in review, ds 2, ch. 323); </w:t>
            </w:r>
            <w:r>
              <w:rPr>
                <w:i/>
                <w:sz w:val="20"/>
                <w:szCs w:val="20"/>
              </w:rPr>
              <w:t>Ősi et al. (in review, ds 1, ch. 235)</w:t>
            </w:r>
            <w:r>
              <w:rPr>
                <w:bCs/>
                <w:i/>
                <w:sz w:val="20"/>
                <w:lang w:eastAsia="en-US"/>
              </w:rPr>
              <w:t>.</w:t>
            </w:r>
          </w:p>
          <w:p w14:paraId="24F8AA81" w14:textId="77777777" w:rsidR="00D67975" w:rsidRDefault="00D67975" w:rsidP="00D67975">
            <w:pPr>
              <w:autoSpaceDE w:val="0"/>
              <w:autoSpaceDN w:val="0"/>
              <w:adjustRightInd w:val="0"/>
              <w:rPr>
                <w:i/>
                <w:iCs/>
                <w:sz w:val="20"/>
                <w:szCs w:val="20"/>
                <w:lang w:eastAsia="en-US"/>
              </w:rPr>
            </w:pPr>
            <w:r>
              <w:rPr>
                <w:i/>
                <w:iCs/>
                <w:sz w:val="20"/>
                <w:szCs w:val="20"/>
                <w:lang w:eastAsia="en-US"/>
              </w:rPr>
              <w:t>The triple contact between dentary, angular and surangular can be taken as reference, if mandibular fenestra is absent</w:t>
            </w:r>
          </w:p>
          <w:p w14:paraId="72B1D547" w14:textId="77777777" w:rsidR="00D67975" w:rsidRDefault="00D67975" w:rsidP="00D67975">
            <w:pPr>
              <w:autoSpaceDE w:val="0"/>
              <w:autoSpaceDN w:val="0"/>
              <w:adjustRightInd w:val="0"/>
              <w:rPr>
                <w:sz w:val="20"/>
                <w:szCs w:val="20"/>
                <w:lang w:eastAsia="en-US"/>
              </w:rPr>
            </w:pPr>
            <w:r>
              <w:rPr>
                <w:sz w:val="20"/>
                <w:szCs w:val="20"/>
                <w:lang w:eastAsia="en-US"/>
              </w:rPr>
              <w:t>0. mandible is curved ventrally, with maximum curvature at anterior section of angular, below the mandibular fenestra (when present), or not curved at all</w:t>
            </w:r>
          </w:p>
          <w:p w14:paraId="2B4FEA66" w14:textId="77777777" w:rsidR="00D67975" w:rsidRDefault="00D67975" w:rsidP="00D67975">
            <w:pPr>
              <w:autoSpaceDE w:val="0"/>
              <w:autoSpaceDN w:val="0"/>
              <w:adjustRightInd w:val="0"/>
              <w:rPr>
                <w:b/>
                <w:bCs/>
                <w:color w:val="000000"/>
                <w:sz w:val="20"/>
                <w:szCs w:val="20"/>
                <w:lang w:eastAsia="en-US"/>
              </w:rPr>
            </w:pPr>
            <w:r>
              <w:rPr>
                <w:sz w:val="20"/>
                <w:szCs w:val="20"/>
                <w:lang w:eastAsia="en-US"/>
              </w:rPr>
              <w:t>1. mandible is curved posteroventrally, with maximum curvature at posterior section of angular, below (or almost below) the mandibular glenoid fossa, usually posterior to mandibular fenestra (when present)</w:t>
            </w:r>
          </w:p>
        </w:tc>
      </w:tr>
      <w:tr w:rsidR="00D67975" w14:paraId="371D7433" w14:textId="77777777" w:rsidTr="00D67975">
        <w:tc>
          <w:tcPr>
            <w:tcW w:w="0" w:type="auto"/>
            <w:tcBorders>
              <w:top w:val="single" w:sz="4" w:space="0" w:color="auto"/>
              <w:left w:val="single" w:sz="4" w:space="0" w:color="auto"/>
              <w:bottom w:val="single" w:sz="4" w:space="0" w:color="auto"/>
              <w:right w:val="single" w:sz="4" w:space="0" w:color="auto"/>
            </w:tcBorders>
          </w:tcPr>
          <w:p w14:paraId="34F4E4E7" w14:textId="5838C367" w:rsidR="00D67975" w:rsidRDefault="00D67975" w:rsidP="00D67975">
            <w:pPr>
              <w:rPr>
                <w:sz w:val="20"/>
                <w:szCs w:val="20"/>
                <w:lang w:eastAsia="en-US"/>
              </w:rPr>
            </w:pPr>
            <w:r>
              <w:rPr>
                <w:color w:val="000000"/>
                <w:sz w:val="20"/>
                <w:szCs w:val="20"/>
                <w:lang w:eastAsia="en-US"/>
              </w:rPr>
              <w:t>237</w:t>
            </w:r>
          </w:p>
        </w:tc>
        <w:tc>
          <w:tcPr>
            <w:tcW w:w="0" w:type="auto"/>
            <w:tcBorders>
              <w:top w:val="single" w:sz="4" w:space="0" w:color="auto"/>
              <w:left w:val="single" w:sz="4" w:space="0" w:color="auto"/>
              <w:bottom w:val="single" w:sz="4" w:space="0" w:color="auto"/>
              <w:right w:val="single" w:sz="4" w:space="0" w:color="auto"/>
            </w:tcBorders>
            <w:hideMark/>
          </w:tcPr>
          <w:p w14:paraId="31FE549A" w14:textId="77777777" w:rsidR="00D67975" w:rsidRDefault="00D67975" w:rsidP="00D67975">
            <w:pPr>
              <w:autoSpaceDE w:val="0"/>
              <w:autoSpaceDN w:val="0"/>
              <w:adjustRightInd w:val="0"/>
              <w:rPr>
                <w:b/>
                <w:bCs/>
                <w:sz w:val="20"/>
                <w:szCs w:val="20"/>
                <w:lang w:eastAsia="en-US"/>
              </w:rPr>
            </w:pPr>
            <w:r>
              <w:rPr>
                <w:b/>
                <w:bCs/>
                <w:sz w:val="20"/>
                <w:szCs w:val="20"/>
                <w:lang w:eastAsia="en-US"/>
              </w:rPr>
              <w:t>Mandible, dorsal border at dentary-surangular contact, in lateral view:</w:t>
            </w:r>
          </w:p>
          <w:p w14:paraId="050053E4" w14:textId="28416FB0" w:rsidR="00D67975" w:rsidRDefault="00D67975" w:rsidP="00D67975">
            <w:pPr>
              <w:autoSpaceDE w:val="0"/>
              <w:autoSpaceDN w:val="0"/>
              <w:adjustRightInd w:val="0"/>
              <w:rPr>
                <w:b/>
                <w:bCs/>
                <w:sz w:val="20"/>
                <w:szCs w:val="20"/>
                <w:lang w:eastAsia="en-US"/>
              </w:rPr>
            </w:pPr>
            <w:r>
              <w:rPr>
                <w:bCs/>
                <w:i/>
                <w:sz w:val="20"/>
                <w:szCs w:val="20"/>
                <w:lang w:eastAsia="en-US"/>
              </w:rPr>
              <w:t xml:space="preserve">Clark (1994, ch. 74); Sereno </w:t>
            </w:r>
            <w:r>
              <w:rPr>
                <w:bCs/>
                <w:i/>
                <w:iCs/>
                <w:sz w:val="20"/>
                <w:szCs w:val="20"/>
                <w:lang w:eastAsia="en-US"/>
              </w:rPr>
              <w:t>et al. (</w:t>
            </w:r>
            <w:r>
              <w:rPr>
                <w:bCs/>
                <w:i/>
                <w:sz w:val="20"/>
                <w:szCs w:val="20"/>
                <w:lang w:eastAsia="en-US"/>
              </w:rPr>
              <w:t>2003, ch. 41);</w:t>
            </w:r>
            <w:r>
              <w:rPr>
                <w:b/>
                <w:bCs/>
                <w:sz w:val="20"/>
                <w:szCs w:val="20"/>
                <w:lang w:eastAsia="en-US"/>
              </w:rPr>
              <w:t xml:space="preserve"> </w:t>
            </w:r>
            <w:r>
              <w:rPr>
                <w:bCs/>
                <w:i/>
                <w:sz w:val="20"/>
                <w:lang w:eastAsia="en-US"/>
              </w:rPr>
              <w:t>Andrade et al. (2011, ch. 324);</w:t>
            </w:r>
            <w:r>
              <w:rPr>
                <w:i/>
                <w:sz w:val="20"/>
                <w:szCs w:val="20"/>
                <w:lang w:eastAsia="en-US"/>
              </w:rPr>
              <w:t xml:space="preserve"> Ristevski et al. (2018, ds 1, ch. 324); Smith et al. (in review, ds 2, ch. 324); </w:t>
            </w:r>
            <w:r>
              <w:rPr>
                <w:i/>
                <w:sz w:val="20"/>
                <w:szCs w:val="20"/>
              </w:rPr>
              <w:t>Ősi et al. (in review, ds 1, ch. 236)</w:t>
            </w:r>
            <w:r>
              <w:rPr>
                <w:bCs/>
                <w:i/>
                <w:sz w:val="20"/>
                <w:lang w:eastAsia="en-US"/>
              </w:rPr>
              <w:t>.</w:t>
            </w:r>
          </w:p>
          <w:p w14:paraId="789F114A" w14:textId="77777777" w:rsidR="00D67975" w:rsidRDefault="00D67975" w:rsidP="00D67975">
            <w:pPr>
              <w:autoSpaceDE w:val="0"/>
              <w:autoSpaceDN w:val="0"/>
              <w:adjustRightInd w:val="0"/>
              <w:rPr>
                <w:i/>
                <w:iCs/>
                <w:sz w:val="20"/>
                <w:szCs w:val="20"/>
                <w:lang w:eastAsia="en-US"/>
              </w:rPr>
            </w:pPr>
            <w:r>
              <w:rPr>
                <w:i/>
                <w:iCs/>
                <w:sz w:val="20"/>
                <w:szCs w:val="20"/>
                <w:lang w:eastAsia="en-US"/>
              </w:rPr>
              <w:t>State (2) is putative apomorphy of Notosuchidae + Sphagesauridae + Comahuesuchidae.</w:t>
            </w:r>
          </w:p>
          <w:p w14:paraId="09673E52" w14:textId="77777777" w:rsidR="00D67975" w:rsidRDefault="00D67975" w:rsidP="00D67975">
            <w:pPr>
              <w:autoSpaceDE w:val="0"/>
              <w:autoSpaceDN w:val="0"/>
              <w:adjustRightInd w:val="0"/>
              <w:rPr>
                <w:sz w:val="20"/>
                <w:szCs w:val="20"/>
                <w:lang w:eastAsia="en-US"/>
              </w:rPr>
            </w:pPr>
            <w:r>
              <w:rPr>
                <w:sz w:val="20"/>
                <w:szCs w:val="20"/>
                <w:lang w:eastAsia="en-US"/>
              </w:rPr>
              <w:t>0. mostly straight</w:t>
            </w:r>
          </w:p>
          <w:p w14:paraId="58CE7BC5" w14:textId="77777777" w:rsidR="00D67975" w:rsidRDefault="00D67975" w:rsidP="00D67975">
            <w:pPr>
              <w:autoSpaceDE w:val="0"/>
              <w:autoSpaceDN w:val="0"/>
              <w:adjustRightInd w:val="0"/>
              <w:rPr>
                <w:sz w:val="20"/>
                <w:szCs w:val="20"/>
                <w:lang w:eastAsia="en-US"/>
              </w:rPr>
            </w:pPr>
            <w:r>
              <w:rPr>
                <w:sz w:val="20"/>
                <w:szCs w:val="20"/>
                <w:lang w:eastAsia="en-US"/>
              </w:rPr>
              <w:t>1. gently arched dorsally</w:t>
            </w:r>
          </w:p>
          <w:p w14:paraId="046F2650" w14:textId="77777777" w:rsidR="00D67975" w:rsidRDefault="00D67975" w:rsidP="00D67975">
            <w:pPr>
              <w:autoSpaceDE w:val="0"/>
              <w:autoSpaceDN w:val="0"/>
              <w:adjustRightInd w:val="0"/>
              <w:rPr>
                <w:b/>
                <w:bCs/>
                <w:color w:val="000000"/>
                <w:sz w:val="20"/>
                <w:szCs w:val="20"/>
                <w:lang w:eastAsia="en-US"/>
              </w:rPr>
            </w:pPr>
            <w:r>
              <w:rPr>
                <w:sz w:val="20"/>
                <w:szCs w:val="20"/>
                <w:lang w:eastAsia="en-US"/>
              </w:rPr>
              <w:t>2. strongly arched dorsally</w:t>
            </w:r>
          </w:p>
        </w:tc>
      </w:tr>
    </w:tbl>
    <w:p w14:paraId="7FFF97A6" w14:textId="77777777" w:rsidR="004C76BC" w:rsidRDefault="004C76BC" w:rsidP="004C76BC">
      <w:pPr>
        <w:rPr>
          <w:sz w:val="20"/>
          <w:szCs w:val="20"/>
        </w:rPr>
      </w:pPr>
    </w:p>
    <w:p w14:paraId="0B69B451" w14:textId="209763FD" w:rsidR="004C76BC" w:rsidRDefault="004C76BC" w:rsidP="004C76BC">
      <w:r>
        <w:rPr>
          <w:b/>
          <w:bCs/>
        </w:rPr>
        <w:t xml:space="preserve">Mandible </w:t>
      </w:r>
      <w:r>
        <w:t>(Ch. 23</w:t>
      </w:r>
      <w:r w:rsidR="00D67975">
        <w:t>8</w:t>
      </w:r>
      <w:r>
        <w:t xml:space="preserve"> – 26</w:t>
      </w:r>
      <w:r w:rsidR="00D67975">
        <w:t>9</w:t>
      </w:r>
      <w:r>
        <w:t>; 7.048% of characters)</w:t>
      </w:r>
    </w:p>
    <w:p w14:paraId="71374863" w14:textId="77777777" w:rsidR="004C76BC" w:rsidRDefault="004C76BC" w:rsidP="004C76BC">
      <w:pPr>
        <w:rPr>
          <w:rFonts w:eastAsiaTheme="minorHAnsi"/>
          <w:i/>
        </w:rPr>
      </w:pPr>
      <w:r>
        <w:rPr>
          <w:i/>
        </w:rPr>
        <w:t xml:space="preserve">[Dermatocranium mandibular series (= </w:t>
      </w:r>
      <w:bookmarkStart w:id="59" w:name="_Hlk486861914"/>
      <w:r>
        <w:rPr>
          <w:i/>
        </w:rPr>
        <w:t xml:space="preserve">ossa </w:t>
      </w:r>
      <w:bookmarkEnd w:id="59"/>
      <w:r>
        <w:rPr>
          <w:i/>
        </w:rPr>
        <w:t>dentalia, ossa splenialia, ossa angularia, ossa supraangularia, ossa præarticularia, ossa coronoidea); and the mandibular contribution of the splanchnocranium (= ossa articularia and cartilagines meckeli)]</w:t>
      </w:r>
    </w:p>
    <w:p w14:paraId="70E0EA4F"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4525786F" w14:textId="77777777" w:rsidTr="00AF438E">
        <w:tc>
          <w:tcPr>
            <w:tcW w:w="516" w:type="dxa"/>
            <w:tcBorders>
              <w:top w:val="single" w:sz="4" w:space="0" w:color="auto"/>
              <w:left w:val="single" w:sz="4" w:space="0" w:color="auto"/>
              <w:bottom w:val="single" w:sz="4" w:space="0" w:color="auto"/>
              <w:right w:val="single" w:sz="4" w:space="0" w:color="auto"/>
            </w:tcBorders>
            <w:hideMark/>
          </w:tcPr>
          <w:p w14:paraId="7F89CBB6"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6458FE6D" w14:textId="77777777" w:rsidR="004C76BC" w:rsidRDefault="004C76BC" w:rsidP="00AF438E">
            <w:pPr>
              <w:rPr>
                <w:sz w:val="20"/>
                <w:szCs w:val="20"/>
                <w:lang w:eastAsia="en-US"/>
              </w:rPr>
            </w:pPr>
            <w:r>
              <w:rPr>
                <w:sz w:val="20"/>
                <w:szCs w:val="20"/>
                <w:lang w:eastAsia="en-US"/>
              </w:rPr>
              <w:t>Description</w:t>
            </w:r>
          </w:p>
        </w:tc>
      </w:tr>
      <w:tr w:rsidR="00D67975" w14:paraId="7B25DCD0" w14:textId="77777777" w:rsidTr="00AF438E">
        <w:tc>
          <w:tcPr>
            <w:tcW w:w="516" w:type="dxa"/>
            <w:tcBorders>
              <w:top w:val="single" w:sz="4" w:space="0" w:color="auto"/>
              <w:left w:val="single" w:sz="4" w:space="0" w:color="auto"/>
              <w:bottom w:val="single" w:sz="4" w:space="0" w:color="auto"/>
              <w:right w:val="single" w:sz="4" w:space="0" w:color="auto"/>
            </w:tcBorders>
            <w:hideMark/>
          </w:tcPr>
          <w:p w14:paraId="498A1630" w14:textId="6CC8693A" w:rsidR="00D67975" w:rsidRDefault="00D67975" w:rsidP="00D67975">
            <w:pPr>
              <w:rPr>
                <w:color w:val="000000"/>
                <w:sz w:val="20"/>
                <w:szCs w:val="20"/>
                <w:lang w:eastAsia="en-US"/>
              </w:rPr>
            </w:pPr>
            <w:r>
              <w:rPr>
                <w:color w:val="000000"/>
                <w:sz w:val="20"/>
                <w:szCs w:val="20"/>
                <w:lang w:eastAsia="en-US"/>
              </w:rPr>
              <w:t>238</w:t>
            </w:r>
          </w:p>
        </w:tc>
        <w:tc>
          <w:tcPr>
            <w:tcW w:w="0" w:type="auto"/>
            <w:tcBorders>
              <w:top w:val="single" w:sz="4" w:space="0" w:color="auto"/>
              <w:left w:val="single" w:sz="4" w:space="0" w:color="auto"/>
              <w:bottom w:val="single" w:sz="4" w:space="0" w:color="auto"/>
              <w:right w:val="single" w:sz="4" w:space="0" w:color="auto"/>
            </w:tcBorders>
            <w:vAlign w:val="bottom"/>
            <w:hideMark/>
          </w:tcPr>
          <w:p w14:paraId="5181FD70" w14:textId="77777777" w:rsidR="00D67975" w:rsidRDefault="00D67975" w:rsidP="00D67975">
            <w:pPr>
              <w:autoSpaceDE w:val="0"/>
              <w:autoSpaceDN w:val="0"/>
              <w:adjustRightInd w:val="0"/>
              <w:rPr>
                <w:b/>
                <w:sz w:val="20"/>
                <w:szCs w:val="20"/>
                <w:lang w:eastAsia="en-US"/>
              </w:rPr>
            </w:pPr>
            <w:r>
              <w:rPr>
                <w:b/>
                <w:sz w:val="20"/>
                <w:szCs w:val="20"/>
                <w:lang w:eastAsia="en-US"/>
              </w:rPr>
              <w:t>Anterior mandible (dentary), dorsal margin of the anterior portion compared to the dorsal margin of the posterior portion:</w:t>
            </w:r>
          </w:p>
          <w:p w14:paraId="02E48EE7" w14:textId="4869347E" w:rsidR="00D67975" w:rsidRDefault="00D67975" w:rsidP="00D67975">
            <w:pPr>
              <w:rPr>
                <w:i/>
                <w:sz w:val="20"/>
                <w:szCs w:val="20"/>
                <w:lang w:eastAsia="en-US"/>
              </w:rPr>
            </w:pPr>
            <w:r>
              <w:rPr>
                <w:i/>
                <w:sz w:val="20"/>
                <w:szCs w:val="20"/>
                <w:lang w:eastAsia="en-US"/>
              </w:rPr>
              <w:t xml:space="preserve">Nesbitt (2011, ch. 154); Young et al. (2012, ch. 129); Young (2014, ch. 133); Young et al. (2016, ds 2, ch. 155); Ristevski et al. (2018, ds 2, ch. 211); Smith et al. (in review, ds 1, ch. 215); </w:t>
            </w:r>
            <w:r>
              <w:rPr>
                <w:i/>
                <w:sz w:val="20"/>
                <w:szCs w:val="20"/>
              </w:rPr>
              <w:t>Ősi et al. (in review, ds 1, ch. 237)</w:t>
            </w:r>
            <w:r>
              <w:rPr>
                <w:i/>
                <w:sz w:val="20"/>
                <w:szCs w:val="20"/>
                <w:lang w:eastAsia="en-US"/>
              </w:rPr>
              <w:t>.</w:t>
            </w:r>
          </w:p>
          <w:p w14:paraId="154AE5E6" w14:textId="77777777" w:rsidR="00D67975" w:rsidRDefault="00D67975" w:rsidP="00D67975">
            <w:pPr>
              <w:autoSpaceDE w:val="0"/>
              <w:autoSpaceDN w:val="0"/>
              <w:adjustRightInd w:val="0"/>
              <w:rPr>
                <w:sz w:val="20"/>
                <w:szCs w:val="20"/>
                <w:lang w:eastAsia="en-US"/>
              </w:rPr>
            </w:pPr>
            <w:r>
              <w:rPr>
                <w:sz w:val="20"/>
                <w:szCs w:val="20"/>
                <w:lang w:eastAsia="en-US"/>
              </w:rPr>
              <w:t>0. horizontal (in the same plane)</w:t>
            </w:r>
          </w:p>
          <w:p w14:paraId="756261F3" w14:textId="77777777" w:rsidR="00D67975" w:rsidRDefault="00D67975" w:rsidP="00D67975">
            <w:pPr>
              <w:rPr>
                <w:sz w:val="20"/>
                <w:szCs w:val="20"/>
                <w:lang w:eastAsia="en-US"/>
              </w:rPr>
            </w:pPr>
            <w:r>
              <w:rPr>
                <w:sz w:val="20"/>
                <w:szCs w:val="20"/>
                <w:lang w:eastAsia="en-US"/>
              </w:rPr>
              <w:lastRenderedPageBreak/>
              <w:t>1. ventrally deflected</w:t>
            </w:r>
          </w:p>
          <w:p w14:paraId="5A549D5D" w14:textId="77777777" w:rsidR="00D67975" w:rsidRDefault="00D67975" w:rsidP="00D67975">
            <w:pPr>
              <w:rPr>
                <w:sz w:val="20"/>
                <w:szCs w:val="20"/>
                <w:lang w:eastAsia="en-US"/>
              </w:rPr>
            </w:pPr>
            <w:r>
              <w:rPr>
                <w:sz w:val="20"/>
                <w:szCs w:val="20"/>
                <w:lang w:eastAsia="en-US"/>
              </w:rPr>
              <w:t>2. dorsally expanded</w:t>
            </w:r>
          </w:p>
        </w:tc>
      </w:tr>
      <w:tr w:rsidR="00D67975" w14:paraId="44F3E55C" w14:textId="77777777" w:rsidTr="00D67975">
        <w:tc>
          <w:tcPr>
            <w:tcW w:w="516" w:type="dxa"/>
            <w:tcBorders>
              <w:top w:val="single" w:sz="4" w:space="0" w:color="auto"/>
              <w:left w:val="single" w:sz="4" w:space="0" w:color="auto"/>
              <w:bottom w:val="single" w:sz="4" w:space="0" w:color="auto"/>
              <w:right w:val="single" w:sz="4" w:space="0" w:color="auto"/>
            </w:tcBorders>
          </w:tcPr>
          <w:p w14:paraId="76950435" w14:textId="5F79C5A3" w:rsidR="00D67975" w:rsidRDefault="00D67975" w:rsidP="00D67975">
            <w:pPr>
              <w:rPr>
                <w:color w:val="000000"/>
                <w:sz w:val="20"/>
                <w:szCs w:val="20"/>
                <w:lang w:eastAsia="en-US"/>
              </w:rPr>
            </w:pPr>
            <w:r>
              <w:rPr>
                <w:sz w:val="20"/>
                <w:szCs w:val="20"/>
                <w:lang w:eastAsia="en-US"/>
              </w:rPr>
              <w:lastRenderedPageBreak/>
              <w:t>239</w:t>
            </w:r>
          </w:p>
        </w:tc>
        <w:tc>
          <w:tcPr>
            <w:tcW w:w="0" w:type="auto"/>
            <w:tcBorders>
              <w:top w:val="single" w:sz="4" w:space="0" w:color="auto"/>
              <w:left w:val="single" w:sz="4" w:space="0" w:color="auto"/>
              <w:bottom w:val="single" w:sz="4" w:space="0" w:color="auto"/>
              <w:right w:val="single" w:sz="4" w:space="0" w:color="auto"/>
            </w:tcBorders>
            <w:vAlign w:val="bottom"/>
            <w:hideMark/>
          </w:tcPr>
          <w:p w14:paraId="4DCF4DC7" w14:textId="77777777" w:rsidR="00D67975" w:rsidRDefault="00D67975" w:rsidP="00D67975">
            <w:pPr>
              <w:rPr>
                <w:b/>
                <w:color w:val="000000"/>
                <w:sz w:val="20"/>
                <w:szCs w:val="20"/>
                <w:lang w:eastAsia="en-US"/>
              </w:rPr>
            </w:pPr>
            <w:r>
              <w:rPr>
                <w:b/>
                <w:color w:val="000000"/>
                <w:sz w:val="20"/>
                <w:szCs w:val="20"/>
                <w:lang w:eastAsia="en-US"/>
              </w:rPr>
              <w:t>Anterior mandible (dentary), in dorsal or ventral view:</w:t>
            </w:r>
          </w:p>
          <w:p w14:paraId="24E7B41F" w14:textId="18A1204D"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181 modified); Young et al. (2013a, ch. 111 modified); </w:t>
            </w:r>
            <w:r>
              <w:rPr>
                <w:i/>
                <w:sz w:val="20"/>
                <w:szCs w:val="20"/>
                <w:lang w:eastAsia="en-US"/>
              </w:rPr>
              <w:t xml:space="preserve">Young et al. (2012, ch. 130 modified); Young (2014, ch. 135 modified); Young et al. (2016, ds 2, ch. 156 modified); Ristevski et al. (2018, ds 2, ch. 212); Smith et al. (in review, ds 1, ch. 216); </w:t>
            </w:r>
            <w:r>
              <w:rPr>
                <w:i/>
                <w:sz w:val="20"/>
                <w:szCs w:val="20"/>
              </w:rPr>
              <w:t>Ősi et al. (in review, ds 1, ch. 238)</w:t>
            </w:r>
            <w:r>
              <w:rPr>
                <w:i/>
                <w:sz w:val="20"/>
                <w:szCs w:val="20"/>
                <w:lang w:eastAsia="en-US"/>
              </w:rPr>
              <w:t>.</w:t>
            </w:r>
          </w:p>
          <w:p w14:paraId="67F5C128" w14:textId="77777777" w:rsidR="00D67975" w:rsidRDefault="00D67975" w:rsidP="00D67975">
            <w:pPr>
              <w:autoSpaceDE w:val="0"/>
              <w:autoSpaceDN w:val="0"/>
              <w:adjustRightInd w:val="0"/>
              <w:rPr>
                <w:i/>
                <w:sz w:val="20"/>
                <w:szCs w:val="20"/>
                <w:lang w:eastAsia="en-US"/>
              </w:rPr>
            </w:pPr>
            <w:r>
              <w:rPr>
                <w:i/>
                <w:sz w:val="20"/>
                <w:szCs w:val="20"/>
                <w:lang w:eastAsia="en-US"/>
              </w:rPr>
              <w:t>Note, Ristevski et al. (2018, ds 2) added two new character states. These where added to determine whether the ‘spatulate’ anterior dentary morphotypes would homologous.</w:t>
            </w:r>
          </w:p>
          <w:p w14:paraId="5A0008B3" w14:textId="77777777" w:rsidR="00D67975" w:rsidRDefault="00D67975" w:rsidP="00D67975">
            <w:pPr>
              <w:rPr>
                <w:i/>
                <w:color w:val="000000"/>
                <w:sz w:val="20"/>
                <w:szCs w:val="20"/>
                <w:lang w:eastAsia="en-US"/>
              </w:rPr>
            </w:pPr>
            <w:r>
              <w:rPr>
                <w:i/>
                <w:color w:val="000000"/>
                <w:sz w:val="20"/>
                <w:szCs w:val="20"/>
                <w:lang w:eastAsia="en-US"/>
              </w:rPr>
              <w:t>State (1) occurs in most pholidosaurids, and in some dyrosaurids and eusuchians.</w:t>
            </w:r>
          </w:p>
          <w:p w14:paraId="4E5AADD1" w14:textId="309D4D12" w:rsidR="00D67975" w:rsidRDefault="00D67975" w:rsidP="00D67975">
            <w:pPr>
              <w:rPr>
                <w:i/>
                <w:color w:val="000000"/>
                <w:sz w:val="20"/>
                <w:szCs w:val="20"/>
                <w:lang w:eastAsia="en-US"/>
              </w:rPr>
            </w:pPr>
            <w:r>
              <w:rPr>
                <w:i/>
                <w:color w:val="000000"/>
                <w:sz w:val="20"/>
                <w:szCs w:val="20"/>
                <w:lang w:eastAsia="en-US"/>
              </w:rPr>
              <w:t xml:space="preserve">State (2) is a putative apomorphy of </w:t>
            </w:r>
            <w:r w:rsidR="00007246">
              <w:rPr>
                <w:i/>
                <w:color w:val="000000"/>
                <w:sz w:val="20"/>
                <w:szCs w:val="20"/>
                <w:lang w:eastAsia="en-US"/>
              </w:rPr>
              <w:t>Teleosauroidea.</w:t>
            </w:r>
          </w:p>
          <w:p w14:paraId="07CB0F42" w14:textId="77777777" w:rsidR="00D67975" w:rsidRDefault="00D67975" w:rsidP="00D67975">
            <w:pPr>
              <w:rPr>
                <w:i/>
                <w:color w:val="000000"/>
                <w:sz w:val="20"/>
                <w:szCs w:val="20"/>
                <w:lang w:eastAsia="en-US"/>
              </w:rPr>
            </w:pPr>
            <w:r>
              <w:rPr>
                <w:i/>
                <w:color w:val="000000"/>
                <w:sz w:val="20"/>
                <w:szCs w:val="20"/>
                <w:lang w:eastAsia="en-US"/>
              </w:rPr>
              <w:t xml:space="preserve">State (3) is a putative apomorphy of </w:t>
            </w:r>
            <w:r>
              <w:rPr>
                <w:color w:val="000000"/>
                <w:sz w:val="20"/>
                <w:szCs w:val="20"/>
                <w:lang w:eastAsia="en-US"/>
              </w:rPr>
              <w:t>Sarcosuchus</w:t>
            </w:r>
            <w:r>
              <w:rPr>
                <w:i/>
                <w:color w:val="000000"/>
                <w:sz w:val="20"/>
                <w:szCs w:val="20"/>
                <w:lang w:eastAsia="en-US"/>
              </w:rPr>
              <w:t xml:space="preserve"> and </w:t>
            </w:r>
            <w:r>
              <w:rPr>
                <w:color w:val="000000"/>
                <w:sz w:val="20"/>
                <w:szCs w:val="20"/>
                <w:lang w:eastAsia="en-US"/>
              </w:rPr>
              <w:t>Chalawan.</w:t>
            </w:r>
          </w:p>
          <w:p w14:paraId="141512C6" w14:textId="77777777" w:rsidR="00D67975" w:rsidRDefault="00D67975" w:rsidP="00D67975">
            <w:pPr>
              <w:rPr>
                <w:color w:val="000000"/>
                <w:sz w:val="20"/>
                <w:szCs w:val="20"/>
                <w:lang w:eastAsia="en-US"/>
              </w:rPr>
            </w:pPr>
            <w:r>
              <w:rPr>
                <w:color w:val="000000"/>
                <w:sz w:val="20"/>
                <w:szCs w:val="20"/>
                <w:lang w:eastAsia="en-US"/>
              </w:rPr>
              <w:t>0. outer margin converging towards tip or parallel</w:t>
            </w:r>
          </w:p>
          <w:p w14:paraId="077DE776" w14:textId="77777777" w:rsidR="00D67975" w:rsidRDefault="00D67975" w:rsidP="00D67975">
            <w:pPr>
              <w:rPr>
                <w:color w:val="000000"/>
                <w:sz w:val="20"/>
                <w:szCs w:val="20"/>
                <w:lang w:eastAsia="en-US"/>
              </w:rPr>
            </w:pPr>
            <w:r>
              <w:rPr>
                <w:color w:val="000000"/>
                <w:sz w:val="20"/>
                <w:szCs w:val="20"/>
                <w:lang w:eastAsia="en-US"/>
              </w:rPr>
              <w:t>1. distinct spatulate shape, with the maximum transverse width at the D2 alveoli</w:t>
            </w:r>
          </w:p>
          <w:p w14:paraId="04254FD2" w14:textId="77777777" w:rsidR="00D67975" w:rsidRDefault="00D67975" w:rsidP="00D67975">
            <w:pPr>
              <w:rPr>
                <w:color w:val="000000"/>
                <w:sz w:val="20"/>
                <w:szCs w:val="20"/>
                <w:lang w:eastAsia="en-US"/>
              </w:rPr>
            </w:pPr>
            <w:r>
              <w:rPr>
                <w:color w:val="000000"/>
                <w:sz w:val="20"/>
                <w:szCs w:val="20"/>
                <w:lang w:eastAsia="en-US"/>
              </w:rPr>
              <w:t>2. distinct spatulate shape, with the maximum transverse width at the D3-D4 couplet</w:t>
            </w:r>
          </w:p>
          <w:p w14:paraId="2673D660" w14:textId="77777777" w:rsidR="00D67975" w:rsidRDefault="00D67975" w:rsidP="00D67975">
            <w:pPr>
              <w:rPr>
                <w:color w:val="000000"/>
                <w:sz w:val="20"/>
                <w:szCs w:val="20"/>
                <w:lang w:eastAsia="en-US"/>
              </w:rPr>
            </w:pPr>
            <w:r>
              <w:rPr>
                <w:color w:val="000000"/>
                <w:sz w:val="20"/>
                <w:szCs w:val="20"/>
                <w:lang w:eastAsia="en-US"/>
              </w:rPr>
              <w:t>3. distinct spatulate shape, with the maximum transverse width at the D4 alevoli</w:t>
            </w:r>
          </w:p>
        </w:tc>
      </w:tr>
      <w:tr w:rsidR="00D67975" w14:paraId="40437E4D" w14:textId="77777777" w:rsidTr="00D67975">
        <w:tc>
          <w:tcPr>
            <w:tcW w:w="516" w:type="dxa"/>
            <w:tcBorders>
              <w:top w:val="single" w:sz="4" w:space="0" w:color="auto"/>
              <w:left w:val="single" w:sz="4" w:space="0" w:color="auto"/>
              <w:bottom w:val="single" w:sz="4" w:space="0" w:color="auto"/>
              <w:right w:val="single" w:sz="4" w:space="0" w:color="auto"/>
            </w:tcBorders>
          </w:tcPr>
          <w:p w14:paraId="5BB2D502" w14:textId="5D9FE9E3" w:rsidR="00D67975" w:rsidRDefault="00D67975" w:rsidP="00D67975">
            <w:pPr>
              <w:rPr>
                <w:color w:val="000000"/>
                <w:sz w:val="20"/>
                <w:szCs w:val="20"/>
                <w:lang w:eastAsia="en-US"/>
              </w:rPr>
            </w:pPr>
            <w:r>
              <w:rPr>
                <w:sz w:val="20"/>
                <w:szCs w:val="20"/>
                <w:lang w:eastAsia="en-US"/>
              </w:rPr>
              <w:t>240</w:t>
            </w:r>
          </w:p>
        </w:tc>
        <w:tc>
          <w:tcPr>
            <w:tcW w:w="0" w:type="auto"/>
            <w:tcBorders>
              <w:top w:val="single" w:sz="4" w:space="0" w:color="auto"/>
              <w:left w:val="single" w:sz="4" w:space="0" w:color="auto"/>
              <w:bottom w:val="single" w:sz="4" w:space="0" w:color="auto"/>
              <w:right w:val="single" w:sz="4" w:space="0" w:color="auto"/>
            </w:tcBorders>
            <w:vAlign w:val="bottom"/>
            <w:hideMark/>
          </w:tcPr>
          <w:p w14:paraId="76A29EB7" w14:textId="77777777" w:rsidR="00D67975" w:rsidRDefault="00D67975" w:rsidP="00D67975">
            <w:pPr>
              <w:rPr>
                <w:b/>
                <w:color w:val="000000"/>
                <w:sz w:val="20"/>
                <w:szCs w:val="20"/>
                <w:lang w:eastAsia="en-US"/>
              </w:rPr>
            </w:pPr>
            <w:r>
              <w:rPr>
                <w:b/>
                <w:color w:val="000000"/>
                <w:sz w:val="20"/>
                <w:szCs w:val="20"/>
                <w:lang w:eastAsia="en-US"/>
              </w:rPr>
              <w:t>Anterior mandible (dentary), in dorsal or ventral view:</w:t>
            </w:r>
          </w:p>
          <w:p w14:paraId="57AFCF63" w14:textId="0A437EC2"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157 + 158); Ristevski et al. (2018, ds 2, ch. 213); Smith et al. (in review, ds 1, ch. 217); </w:t>
            </w:r>
            <w:r>
              <w:rPr>
                <w:i/>
                <w:sz w:val="20"/>
                <w:szCs w:val="20"/>
              </w:rPr>
              <w:t>Ősi et al. (in review, ds 1, ch. 239)</w:t>
            </w:r>
            <w:r>
              <w:rPr>
                <w:i/>
                <w:sz w:val="20"/>
                <w:szCs w:val="20"/>
                <w:lang w:eastAsia="en-US"/>
              </w:rPr>
              <w:t>.</w:t>
            </w:r>
          </w:p>
          <w:p w14:paraId="0EB3DB04" w14:textId="77777777" w:rsidR="00D67975" w:rsidRDefault="00D67975" w:rsidP="00D67975">
            <w:pPr>
              <w:rPr>
                <w:color w:val="000000"/>
                <w:sz w:val="20"/>
                <w:szCs w:val="20"/>
                <w:lang w:eastAsia="en-US"/>
              </w:rPr>
            </w:pPr>
            <w:r>
              <w:rPr>
                <w:i/>
                <w:color w:val="000000"/>
                <w:sz w:val="20"/>
                <w:szCs w:val="20"/>
                <w:lang w:eastAsia="en-US"/>
              </w:rPr>
              <w:t>State (1) occurs in basal dyrosaurids and tomistomine crocodyloids</w:t>
            </w:r>
            <w:r>
              <w:rPr>
                <w:color w:val="000000"/>
                <w:sz w:val="20"/>
                <w:szCs w:val="20"/>
                <w:lang w:eastAsia="en-US"/>
              </w:rPr>
              <w:t>.</w:t>
            </w:r>
          </w:p>
          <w:p w14:paraId="24E5D7F6" w14:textId="77777777" w:rsidR="00D67975" w:rsidRDefault="00D67975" w:rsidP="00D67975">
            <w:pPr>
              <w:rPr>
                <w:i/>
                <w:color w:val="000000"/>
                <w:sz w:val="20"/>
                <w:szCs w:val="20"/>
                <w:lang w:eastAsia="en-US"/>
              </w:rPr>
            </w:pPr>
            <w:r>
              <w:rPr>
                <w:i/>
                <w:color w:val="000000"/>
                <w:sz w:val="20"/>
                <w:szCs w:val="20"/>
                <w:lang w:eastAsia="en-US"/>
              </w:rPr>
              <w:t xml:space="preserve">State (2) occurs in </w:t>
            </w:r>
            <w:r>
              <w:rPr>
                <w:color w:val="000000"/>
                <w:sz w:val="20"/>
                <w:szCs w:val="20"/>
                <w:lang w:eastAsia="en-US"/>
              </w:rPr>
              <w:t xml:space="preserve">Hamadasuchus, </w:t>
            </w:r>
            <w:r>
              <w:rPr>
                <w:i/>
                <w:color w:val="000000"/>
                <w:sz w:val="20"/>
                <w:szCs w:val="20"/>
                <w:lang w:eastAsia="en-US"/>
              </w:rPr>
              <w:t xml:space="preserve">Peirosauridae and </w:t>
            </w:r>
            <w:r>
              <w:rPr>
                <w:color w:val="000000"/>
                <w:sz w:val="20"/>
                <w:szCs w:val="20"/>
                <w:lang w:eastAsia="en-US"/>
              </w:rPr>
              <w:t>Baurusuchus.</w:t>
            </w:r>
          </w:p>
          <w:p w14:paraId="209AB1FD" w14:textId="77777777" w:rsidR="00D67975" w:rsidRDefault="00D67975" w:rsidP="00D67975">
            <w:pPr>
              <w:rPr>
                <w:i/>
                <w:color w:val="000000"/>
                <w:sz w:val="20"/>
                <w:szCs w:val="20"/>
                <w:lang w:eastAsia="en-US"/>
              </w:rPr>
            </w:pPr>
            <w:r>
              <w:rPr>
                <w:i/>
                <w:color w:val="000000"/>
                <w:sz w:val="20"/>
                <w:szCs w:val="20"/>
                <w:lang w:eastAsia="en-US"/>
              </w:rPr>
              <w:t>States (1) and (2) differ in that the ‘trowel’-shape has a shorter, broader and deeper symphyseal region; the anteriorly tapering maximal anterior width is more pronounced, and the width at the posterior symphyseal region is greater than the maximal anterior width.</w:t>
            </w:r>
          </w:p>
          <w:p w14:paraId="69AB0489" w14:textId="77777777" w:rsidR="00D67975" w:rsidRDefault="00D67975" w:rsidP="00D67975">
            <w:pPr>
              <w:rPr>
                <w:color w:val="000000"/>
                <w:sz w:val="20"/>
                <w:szCs w:val="20"/>
                <w:lang w:eastAsia="en-US"/>
              </w:rPr>
            </w:pPr>
            <w:r>
              <w:rPr>
                <w:color w:val="000000"/>
                <w:sz w:val="20"/>
                <w:szCs w:val="20"/>
                <w:lang w:eastAsia="en-US"/>
              </w:rPr>
              <w:t>0. non-'gladius', or ‘trowel’-shaped</w:t>
            </w:r>
          </w:p>
          <w:p w14:paraId="60D9DC80" w14:textId="77777777" w:rsidR="00D67975" w:rsidRDefault="00D67975" w:rsidP="00D67975">
            <w:pPr>
              <w:rPr>
                <w:color w:val="000000"/>
                <w:sz w:val="20"/>
                <w:szCs w:val="20"/>
                <w:lang w:eastAsia="en-US"/>
              </w:rPr>
            </w:pPr>
            <w:r>
              <w:rPr>
                <w:color w:val="000000"/>
                <w:sz w:val="20"/>
                <w:szCs w:val="20"/>
                <w:lang w:eastAsia="en-US"/>
              </w:rPr>
              <w:t>1. 'gladius'-shaped - i.e. a long symphyseal region with the anterior maximal width near the D3–D5 region, with the dentaries tapering anteriorly. Immediately posterior to the maximal width, the dentaries begin to narrow until they reach a minimal width, and begin expanding again. At the end of the symphyseal region the breadth is now wider than the anterior maximal width</w:t>
            </w:r>
          </w:p>
          <w:p w14:paraId="20ED0773" w14:textId="77777777" w:rsidR="00D67975" w:rsidRDefault="00D67975" w:rsidP="00D67975">
            <w:pPr>
              <w:rPr>
                <w:color w:val="000000"/>
                <w:sz w:val="20"/>
                <w:szCs w:val="20"/>
                <w:lang w:eastAsia="en-US"/>
              </w:rPr>
            </w:pPr>
            <w:r>
              <w:rPr>
                <w:color w:val="000000"/>
                <w:sz w:val="20"/>
                <w:szCs w:val="20"/>
                <w:lang w:eastAsia="en-US"/>
              </w:rPr>
              <w:t>2. 'trowel'-shaped - i.e. a moderate to short symphyseal region with the anterior maximal width near the D3–D5 region, with the dentaries tapering strongly anteriorly. Immediately posterior to the maximal width the dentaries begin to narrow until they reach a minimal width, and begin expanding again. At the end of the symphyseal region the breadth is either narrower or subequal to the anterior maximal width</w:t>
            </w:r>
          </w:p>
        </w:tc>
      </w:tr>
      <w:tr w:rsidR="00D67975" w14:paraId="13393B4C" w14:textId="77777777" w:rsidTr="00D67975">
        <w:tc>
          <w:tcPr>
            <w:tcW w:w="516" w:type="dxa"/>
            <w:tcBorders>
              <w:top w:val="single" w:sz="4" w:space="0" w:color="auto"/>
              <w:left w:val="single" w:sz="4" w:space="0" w:color="auto"/>
              <w:bottom w:val="single" w:sz="4" w:space="0" w:color="auto"/>
              <w:right w:val="single" w:sz="4" w:space="0" w:color="auto"/>
            </w:tcBorders>
          </w:tcPr>
          <w:p w14:paraId="78511A4C" w14:textId="5ADC83FA" w:rsidR="00D67975" w:rsidRDefault="00D67975" w:rsidP="00D67975">
            <w:pPr>
              <w:rPr>
                <w:sz w:val="20"/>
                <w:szCs w:val="20"/>
                <w:lang w:eastAsia="en-US"/>
              </w:rPr>
            </w:pPr>
            <w:r>
              <w:rPr>
                <w:sz w:val="20"/>
                <w:szCs w:val="20"/>
                <w:lang w:eastAsia="en-US"/>
              </w:rPr>
              <w:t>241</w:t>
            </w:r>
          </w:p>
        </w:tc>
        <w:tc>
          <w:tcPr>
            <w:tcW w:w="0" w:type="auto"/>
            <w:tcBorders>
              <w:top w:val="single" w:sz="4" w:space="0" w:color="auto"/>
              <w:left w:val="single" w:sz="4" w:space="0" w:color="auto"/>
              <w:bottom w:val="single" w:sz="4" w:space="0" w:color="auto"/>
              <w:right w:val="single" w:sz="4" w:space="0" w:color="auto"/>
            </w:tcBorders>
            <w:vAlign w:val="bottom"/>
            <w:hideMark/>
          </w:tcPr>
          <w:p w14:paraId="5A6ADD01" w14:textId="77777777" w:rsidR="00D67975" w:rsidRDefault="00D67975" w:rsidP="00D67975">
            <w:pPr>
              <w:rPr>
                <w:b/>
                <w:color w:val="000000"/>
                <w:sz w:val="20"/>
                <w:szCs w:val="20"/>
                <w:lang w:eastAsia="en-US"/>
              </w:rPr>
            </w:pPr>
            <w:r>
              <w:rPr>
                <w:b/>
                <w:color w:val="000000"/>
                <w:sz w:val="20"/>
                <w:szCs w:val="20"/>
                <w:lang w:eastAsia="en-US"/>
              </w:rPr>
              <w:t>Mandibular symphysis, length:</w:t>
            </w:r>
          </w:p>
          <w:p w14:paraId="50AD51E5" w14:textId="089965A9" w:rsidR="00D67975" w:rsidRDefault="00D67975" w:rsidP="00D67975">
            <w:pPr>
              <w:autoSpaceDE w:val="0"/>
              <w:autoSpaceDN w:val="0"/>
              <w:adjustRightInd w:val="0"/>
              <w:rPr>
                <w:i/>
                <w:sz w:val="20"/>
                <w:szCs w:val="20"/>
                <w:lang w:eastAsia="en-US"/>
              </w:rPr>
            </w:pPr>
            <w:r>
              <w:rPr>
                <w:i/>
                <w:sz w:val="20"/>
                <w:szCs w:val="20"/>
                <w:lang w:eastAsia="en-US"/>
              </w:rPr>
              <w:t xml:space="preserve">Young (2006, ch. 20 modified); Wilkinson et al. (2008, ch. 43 modified); Young &amp; Andrade (2009, ch. 43 modified); </w:t>
            </w:r>
            <w:r>
              <w:rPr>
                <w:bCs/>
                <w:i/>
                <w:color w:val="000000"/>
                <w:sz w:val="20"/>
                <w:szCs w:val="20"/>
                <w:lang w:eastAsia="en-US"/>
              </w:rPr>
              <w:t xml:space="preserve">Young et al. (2011, ch. 43 modified); Young et al. (2013a, ch. 112 modified); </w:t>
            </w:r>
            <w:r>
              <w:rPr>
                <w:i/>
                <w:sz w:val="20"/>
                <w:szCs w:val="20"/>
                <w:lang w:eastAsia="en-US"/>
              </w:rPr>
              <w:t xml:space="preserve">Young et al. (2012, ch. 132); Young (2014, ch. 136); Young et al. (2016, ds 2, ch. 159); Ristevski et al. (2018, ds 2, ch. 214); Smith et al. (in review, ds 1, ch. 218); </w:t>
            </w:r>
            <w:r>
              <w:rPr>
                <w:i/>
                <w:sz w:val="20"/>
                <w:szCs w:val="20"/>
              </w:rPr>
              <w:t>Ősi et al. (in review, ds 1, ch. 240)</w:t>
            </w:r>
            <w:r>
              <w:rPr>
                <w:i/>
                <w:sz w:val="20"/>
                <w:szCs w:val="20"/>
                <w:lang w:eastAsia="en-US"/>
              </w:rPr>
              <w:t>.</w:t>
            </w:r>
          </w:p>
          <w:p w14:paraId="242B9290" w14:textId="77777777" w:rsidR="00D67975" w:rsidRDefault="00D67975" w:rsidP="00D67975">
            <w:pPr>
              <w:rPr>
                <w:sz w:val="20"/>
                <w:szCs w:val="20"/>
                <w:lang w:eastAsia="en-US"/>
              </w:rPr>
            </w:pPr>
            <w:r>
              <w:rPr>
                <w:sz w:val="20"/>
                <w:szCs w:val="20"/>
                <w:lang w:eastAsia="en-US"/>
              </w:rPr>
              <w:t>0. symphysis less than a third of mandible length (lower than 0.3)</w:t>
            </w:r>
          </w:p>
          <w:p w14:paraId="36A26605" w14:textId="77777777" w:rsidR="00D67975" w:rsidRDefault="00D67975" w:rsidP="00D67975">
            <w:pPr>
              <w:rPr>
                <w:sz w:val="20"/>
                <w:szCs w:val="20"/>
                <w:lang w:eastAsia="en-US"/>
              </w:rPr>
            </w:pPr>
            <w:r>
              <w:rPr>
                <w:sz w:val="20"/>
                <w:szCs w:val="20"/>
                <w:lang w:eastAsia="en-US"/>
              </w:rPr>
              <w:t>1. symphysis less than half and more than a third of mandible length (between 0.3 and 0.45)</w:t>
            </w:r>
          </w:p>
          <w:p w14:paraId="0F30A124" w14:textId="77777777" w:rsidR="00D67975" w:rsidRDefault="00D67975" w:rsidP="00D67975">
            <w:pPr>
              <w:rPr>
                <w:sz w:val="20"/>
                <w:szCs w:val="20"/>
                <w:lang w:eastAsia="en-US"/>
              </w:rPr>
            </w:pPr>
            <w:r>
              <w:rPr>
                <w:sz w:val="20"/>
                <w:szCs w:val="20"/>
                <w:lang w:eastAsia="en-US"/>
              </w:rPr>
              <w:t>2. symphysis under half of mandible length (between 0.45 and 0.5)</w:t>
            </w:r>
          </w:p>
          <w:p w14:paraId="57A294F4" w14:textId="77777777" w:rsidR="00D67975" w:rsidRDefault="00D67975" w:rsidP="00D67975">
            <w:pPr>
              <w:rPr>
                <w:b/>
                <w:color w:val="000000"/>
                <w:sz w:val="20"/>
                <w:szCs w:val="20"/>
                <w:lang w:eastAsia="en-US"/>
              </w:rPr>
            </w:pPr>
            <w:r>
              <w:rPr>
                <w:sz w:val="20"/>
                <w:szCs w:val="20"/>
                <w:lang w:eastAsia="en-US"/>
              </w:rPr>
              <w:t>3. symphysis greater than half of mandible length (more than 0.5)</w:t>
            </w:r>
          </w:p>
        </w:tc>
      </w:tr>
      <w:tr w:rsidR="00D67975" w14:paraId="18094736" w14:textId="77777777" w:rsidTr="00D67975">
        <w:tc>
          <w:tcPr>
            <w:tcW w:w="516" w:type="dxa"/>
            <w:tcBorders>
              <w:top w:val="single" w:sz="4" w:space="0" w:color="auto"/>
              <w:left w:val="single" w:sz="4" w:space="0" w:color="auto"/>
              <w:bottom w:val="single" w:sz="4" w:space="0" w:color="auto"/>
              <w:right w:val="single" w:sz="4" w:space="0" w:color="auto"/>
            </w:tcBorders>
          </w:tcPr>
          <w:p w14:paraId="15A4803E" w14:textId="58BFF7D8" w:rsidR="00D67975" w:rsidRDefault="00D67975" w:rsidP="00D67975">
            <w:pPr>
              <w:rPr>
                <w:sz w:val="20"/>
                <w:szCs w:val="20"/>
                <w:lang w:eastAsia="en-US"/>
              </w:rPr>
            </w:pPr>
            <w:r>
              <w:rPr>
                <w:color w:val="000000"/>
                <w:sz w:val="20"/>
                <w:szCs w:val="20"/>
                <w:lang w:eastAsia="en-US"/>
              </w:rPr>
              <w:t>242</w:t>
            </w:r>
          </w:p>
        </w:tc>
        <w:tc>
          <w:tcPr>
            <w:tcW w:w="0" w:type="auto"/>
            <w:tcBorders>
              <w:top w:val="single" w:sz="4" w:space="0" w:color="auto"/>
              <w:left w:val="single" w:sz="4" w:space="0" w:color="auto"/>
              <w:bottom w:val="single" w:sz="4" w:space="0" w:color="auto"/>
              <w:right w:val="single" w:sz="4" w:space="0" w:color="auto"/>
            </w:tcBorders>
            <w:vAlign w:val="bottom"/>
            <w:hideMark/>
          </w:tcPr>
          <w:p w14:paraId="62D895C0" w14:textId="77777777" w:rsidR="00D67975" w:rsidRDefault="00D67975" w:rsidP="00D67975">
            <w:pPr>
              <w:rPr>
                <w:b/>
                <w:color w:val="000000"/>
                <w:sz w:val="20"/>
                <w:szCs w:val="20"/>
                <w:lang w:eastAsia="en-US"/>
              </w:rPr>
            </w:pPr>
            <w:r>
              <w:rPr>
                <w:b/>
                <w:color w:val="000000"/>
                <w:sz w:val="20"/>
                <w:szCs w:val="20"/>
                <w:lang w:eastAsia="en-US"/>
              </w:rPr>
              <w:t>Mandibular symphysis, depth:</w:t>
            </w:r>
          </w:p>
          <w:p w14:paraId="29F5CEAD" w14:textId="4D0E178A" w:rsidR="00D67975" w:rsidRDefault="00D67975" w:rsidP="00D67975">
            <w:pPr>
              <w:autoSpaceDE w:val="0"/>
              <w:autoSpaceDN w:val="0"/>
              <w:adjustRightInd w:val="0"/>
              <w:rPr>
                <w:i/>
                <w:sz w:val="20"/>
                <w:szCs w:val="20"/>
                <w:lang w:eastAsia="en-US"/>
              </w:rPr>
            </w:pPr>
            <w:r>
              <w:rPr>
                <w:i/>
                <w:sz w:val="20"/>
                <w:szCs w:val="20"/>
                <w:lang w:eastAsia="en-US"/>
              </w:rPr>
              <w:t xml:space="preserve">Young (2006, ch. 21); Wilkinson et al. (2008, ch. 44); Young &amp; Andrade (2009, ch. 44); </w:t>
            </w:r>
            <w:r>
              <w:rPr>
                <w:bCs/>
                <w:i/>
                <w:color w:val="000000"/>
                <w:sz w:val="20"/>
                <w:szCs w:val="20"/>
                <w:lang w:eastAsia="en-US"/>
              </w:rPr>
              <w:t xml:space="preserve">Young et al. (2011, ch. 44); Young et al. (2013a, ch. 113); </w:t>
            </w:r>
            <w:r>
              <w:rPr>
                <w:i/>
                <w:sz w:val="20"/>
                <w:szCs w:val="20"/>
                <w:lang w:eastAsia="en-US"/>
              </w:rPr>
              <w:t xml:space="preserve">Young et al. (2012, ch. 133); Young (2014, ch. 137); Young et al. (2016, ds 2, ch. 160); Ristevski et al. (2018, ds 2, ch. 215); Smith et al. (in review, ds 1, ch. 219); </w:t>
            </w:r>
            <w:r>
              <w:rPr>
                <w:i/>
                <w:sz w:val="20"/>
                <w:szCs w:val="20"/>
              </w:rPr>
              <w:t>Ősi et al. (in review, ds 1, ch. 241)</w:t>
            </w:r>
            <w:r>
              <w:rPr>
                <w:i/>
                <w:sz w:val="20"/>
                <w:szCs w:val="20"/>
                <w:lang w:eastAsia="en-US"/>
              </w:rPr>
              <w:t>.</w:t>
            </w:r>
          </w:p>
          <w:p w14:paraId="56069A37" w14:textId="77777777" w:rsidR="00D67975" w:rsidRDefault="00D67975" w:rsidP="00D67975">
            <w:pPr>
              <w:rPr>
                <w:color w:val="000000"/>
                <w:sz w:val="20"/>
                <w:szCs w:val="20"/>
                <w:lang w:eastAsia="en-US"/>
              </w:rPr>
            </w:pPr>
            <w:r>
              <w:rPr>
                <w:color w:val="000000"/>
                <w:sz w:val="20"/>
                <w:szCs w:val="20"/>
                <w:lang w:eastAsia="en-US"/>
              </w:rPr>
              <w:t>0. deep (9% or more of mandible length)</w:t>
            </w:r>
          </w:p>
          <w:p w14:paraId="565701E0" w14:textId="77777777" w:rsidR="00D67975" w:rsidRDefault="00D67975" w:rsidP="00D67975">
            <w:pPr>
              <w:rPr>
                <w:color w:val="000000"/>
                <w:sz w:val="20"/>
                <w:szCs w:val="20"/>
                <w:lang w:eastAsia="en-US"/>
              </w:rPr>
            </w:pPr>
            <w:r>
              <w:rPr>
                <w:color w:val="000000"/>
                <w:sz w:val="20"/>
                <w:szCs w:val="20"/>
                <w:lang w:eastAsia="en-US"/>
              </w:rPr>
              <w:t>1. moderate (6.5–8% of mandible length)</w:t>
            </w:r>
          </w:p>
          <w:p w14:paraId="62EFDCAB" w14:textId="77777777" w:rsidR="00D67975" w:rsidRDefault="00D67975" w:rsidP="00D67975">
            <w:pPr>
              <w:rPr>
                <w:color w:val="000000"/>
                <w:sz w:val="20"/>
                <w:szCs w:val="20"/>
                <w:lang w:eastAsia="en-US"/>
              </w:rPr>
            </w:pPr>
            <w:r>
              <w:rPr>
                <w:color w:val="000000"/>
                <w:sz w:val="20"/>
                <w:szCs w:val="20"/>
                <w:lang w:eastAsia="en-US"/>
              </w:rPr>
              <w:t>2. narrow (4.5–6% of mandible length)</w:t>
            </w:r>
          </w:p>
          <w:p w14:paraId="26F17459" w14:textId="77777777" w:rsidR="00D67975" w:rsidRDefault="00D67975" w:rsidP="00D67975">
            <w:pPr>
              <w:rPr>
                <w:sz w:val="20"/>
                <w:szCs w:val="20"/>
                <w:lang w:eastAsia="en-US"/>
              </w:rPr>
            </w:pPr>
            <w:r>
              <w:rPr>
                <w:color w:val="000000"/>
                <w:sz w:val="20"/>
                <w:szCs w:val="20"/>
                <w:lang w:eastAsia="en-US"/>
              </w:rPr>
              <w:t>3. very narrow (4% or less of mandible length)</w:t>
            </w:r>
          </w:p>
        </w:tc>
      </w:tr>
      <w:tr w:rsidR="00D67975" w14:paraId="0B728913" w14:textId="77777777" w:rsidTr="00D67975">
        <w:tc>
          <w:tcPr>
            <w:tcW w:w="516" w:type="dxa"/>
            <w:tcBorders>
              <w:top w:val="single" w:sz="4" w:space="0" w:color="auto"/>
              <w:left w:val="single" w:sz="4" w:space="0" w:color="auto"/>
              <w:bottom w:val="single" w:sz="4" w:space="0" w:color="auto"/>
              <w:right w:val="single" w:sz="4" w:space="0" w:color="auto"/>
            </w:tcBorders>
          </w:tcPr>
          <w:p w14:paraId="36FDA408" w14:textId="5793F422" w:rsidR="00D67975" w:rsidRDefault="00D67975" w:rsidP="00D67975">
            <w:pPr>
              <w:rPr>
                <w:color w:val="000000"/>
                <w:sz w:val="20"/>
                <w:szCs w:val="20"/>
                <w:lang w:eastAsia="en-US"/>
              </w:rPr>
            </w:pPr>
            <w:r>
              <w:rPr>
                <w:color w:val="000000"/>
                <w:sz w:val="20"/>
                <w:szCs w:val="20"/>
                <w:lang w:eastAsia="en-US"/>
              </w:rPr>
              <w:t>243</w:t>
            </w:r>
          </w:p>
        </w:tc>
        <w:tc>
          <w:tcPr>
            <w:tcW w:w="0" w:type="auto"/>
            <w:tcBorders>
              <w:top w:val="single" w:sz="4" w:space="0" w:color="auto"/>
              <w:left w:val="single" w:sz="4" w:space="0" w:color="auto"/>
              <w:bottom w:val="single" w:sz="4" w:space="0" w:color="auto"/>
              <w:right w:val="single" w:sz="4" w:space="0" w:color="auto"/>
            </w:tcBorders>
            <w:vAlign w:val="bottom"/>
            <w:hideMark/>
          </w:tcPr>
          <w:p w14:paraId="3B8A9056" w14:textId="77777777" w:rsidR="00D67975" w:rsidRDefault="00D67975" w:rsidP="00D67975">
            <w:pPr>
              <w:autoSpaceDE w:val="0"/>
              <w:autoSpaceDN w:val="0"/>
              <w:adjustRightInd w:val="0"/>
              <w:rPr>
                <w:rFonts w:eastAsiaTheme="minorHAnsi"/>
                <w:b/>
                <w:bCs/>
                <w:sz w:val="20"/>
                <w:szCs w:val="20"/>
                <w:lang w:eastAsia="en-US"/>
              </w:rPr>
            </w:pPr>
            <w:r>
              <w:rPr>
                <w:b/>
                <w:bCs/>
                <w:sz w:val="20"/>
                <w:szCs w:val="20"/>
                <w:lang w:eastAsia="en-US"/>
              </w:rPr>
              <w:t>External mandibular fenestra, presence:</w:t>
            </w:r>
          </w:p>
          <w:p w14:paraId="4DD00D61" w14:textId="6BC3FD4C" w:rsidR="00D67975" w:rsidRDefault="00D67975" w:rsidP="00D67975">
            <w:pPr>
              <w:autoSpaceDE w:val="0"/>
              <w:autoSpaceDN w:val="0"/>
              <w:adjustRightInd w:val="0"/>
              <w:rPr>
                <w:bCs/>
                <w:i/>
                <w:sz w:val="20"/>
                <w:lang w:eastAsia="en-US"/>
              </w:rPr>
            </w:pPr>
            <w:r>
              <w:rPr>
                <w:bCs/>
                <w:i/>
                <w:sz w:val="20"/>
                <w:szCs w:val="20"/>
                <w:lang w:eastAsia="en-US"/>
              </w:rPr>
              <w:t xml:space="preserve">Clark (1994, ch. 75 modified); Ortega </w:t>
            </w:r>
            <w:r>
              <w:rPr>
                <w:bCs/>
                <w:i/>
                <w:iCs/>
                <w:sz w:val="20"/>
                <w:szCs w:val="20"/>
                <w:lang w:eastAsia="en-US"/>
              </w:rPr>
              <w:t>et al. (</w:t>
            </w:r>
            <w:r>
              <w:rPr>
                <w:bCs/>
                <w:i/>
                <w:sz w:val="20"/>
                <w:szCs w:val="20"/>
                <w:lang w:eastAsia="en-US"/>
              </w:rPr>
              <w:t>2000, ch. 80 revised);</w:t>
            </w:r>
            <w:r>
              <w:rPr>
                <w:b/>
                <w:bCs/>
                <w:sz w:val="20"/>
                <w:szCs w:val="20"/>
                <w:lang w:eastAsia="en-US"/>
              </w:rPr>
              <w:t xml:space="preserve"> </w:t>
            </w:r>
            <w:r>
              <w:rPr>
                <w:i/>
                <w:sz w:val="20"/>
                <w:szCs w:val="20"/>
                <w:lang w:eastAsia="en-US"/>
              </w:rPr>
              <w:t xml:space="preserve">Young (2006, ch. 22 part); Wilkinson et al. (2008, ch. 45 part); Young &amp; Andrade (2009, ch. 45 part); </w:t>
            </w:r>
            <w:r>
              <w:rPr>
                <w:bCs/>
                <w:i/>
                <w:sz w:val="20"/>
                <w:lang w:eastAsia="en-US"/>
              </w:rPr>
              <w:t>Andrade et al. (2011, ch. 312);</w:t>
            </w:r>
            <w:r>
              <w:rPr>
                <w:i/>
                <w:sz w:val="20"/>
                <w:szCs w:val="20"/>
                <w:lang w:eastAsia="en-US"/>
              </w:rPr>
              <w:t xml:space="preserve"> </w:t>
            </w:r>
            <w:r>
              <w:rPr>
                <w:bCs/>
                <w:i/>
                <w:color w:val="000000"/>
                <w:sz w:val="20"/>
                <w:szCs w:val="20"/>
                <w:lang w:eastAsia="en-US"/>
              </w:rPr>
              <w:t xml:space="preserve">Young et al. (2011, ch. 45 part); Young et al. (2013a, ch. 114 part); </w:t>
            </w:r>
            <w:r>
              <w:rPr>
                <w:i/>
                <w:sz w:val="20"/>
                <w:szCs w:val="20"/>
                <w:lang w:eastAsia="en-US"/>
              </w:rPr>
              <w:t xml:space="preserve">Young et al. (2012, ch. 134 part); Young (2014, ch. 138 part); Young et al. (2016, ds 2, ch. 161 part); Ristevski et al. (2018, ds 1, ch. 312); Smith et al. (in review, ds 2, ch. 312); </w:t>
            </w:r>
            <w:r>
              <w:rPr>
                <w:i/>
                <w:sz w:val="20"/>
                <w:szCs w:val="20"/>
              </w:rPr>
              <w:t>Ősi et al. (in review, ds 1, ch. 242)</w:t>
            </w:r>
            <w:r>
              <w:rPr>
                <w:bCs/>
                <w:i/>
                <w:sz w:val="20"/>
                <w:lang w:eastAsia="en-US"/>
              </w:rPr>
              <w:t>.</w:t>
            </w:r>
          </w:p>
          <w:p w14:paraId="419E2FC9" w14:textId="77777777" w:rsidR="00D67975" w:rsidRDefault="00D67975" w:rsidP="00D67975">
            <w:pPr>
              <w:rPr>
                <w:i/>
                <w:color w:val="000000"/>
                <w:sz w:val="20"/>
                <w:szCs w:val="20"/>
                <w:lang w:eastAsia="en-US"/>
              </w:rPr>
            </w:pPr>
            <w:r>
              <w:rPr>
                <w:i/>
                <w:color w:val="000000"/>
                <w:sz w:val="20"/>
                <w:szCs w:val="20"/>
                <w:lang w:eastAsia="en-US"/>
              </w:rPr>
              <w:t xml:space="preserve">State (0) occurs in Gobiosuchidae, Hylaeochampsidae, Bernissartiidae, Paralligatoridae and Metriorhynchidae. Also in derived goniopholidids (e.g. </w:t>
            </w:r>
            <w:r>
              <w:rPr>
                <w:color w:val="000000"/>
                <w:sz w:val="20"/>
                <w:szCs w:val="20"/>
                <w:lang w:eastAsia="en-US"/>
              </w:rPr>
              <w:t xml:space="preserve">Anteophthalmosuchus </w:t>
            </w:r>
            <w:r>
              <w:rPr>
                <w:i/>
                <w:color w:val="000000"/>
                <w:sz w:val="20"/>
                <w:szCs w:val="20"/>
                <w:lang w:eastAsia="en-US"/>
              </w:rPr>
              <w:t xml:space="preserve">and </w:t>
            </w:r>
            <w:r>
              <w:rPr>
                <w:color w:val="000000"/>
                <w:sz w:val="20"/>
                <w:szCs w:val="20"/>
                <w:lang w:eastAsia="en-US"/>
              </w:rPr>
              <w:t xml:space="preserve">Goniopholis </w:t>
            </w:r>
            <w:r>
              <w:rPr>
                <w:i/>
                <w:color w:val="000000"/>
                <w:sz w:val="20"/>
                <w:szCs w:val="20"/>
                <w:lang w:eastAsia="en-US"/>
              </w:rPr>
              <w:t xml:space="preserve">sensu </w:t>
            </w:r>
            <w:r>
              <w:rPr>
                <w:i/>
                <w:color w:val="000000"/>
                <w:sz w:val="20"/>
                <w:szCs w:val="20"/>
                <w:lang w:eastAsia="en-US"/>
              </w:rPr>
              <w:lastRenderedPageBreak/>
              <w:t>stricto – Andrade et al., 2011), derived pholidosaurids (</w:t>
            </w:r>
            <w:r>
              <w:rPr>
                <w:color w:val="000000"/>
                <w:sz w:val="20"/>
                <w:szCs w:val="20"/>
                <w:lang w:eastAsia="en-US"/>
              </w:rPr>
              <w:t>Oceanosuchus</w:t>
            </w:r>
            <w:r>
              <w:rPr>
                <w:i/>
                <w:color w:val="000000"/>
                <w:sz w:val="20"/>
                <w:szCs w:val="20"/>
                <w:lang w:eastAsia="en-US"/>
              </w:rPr>
              <w:t xml:space="preserve"> and </w:t>
            </w:r>
            <w:r>
              <w:rPr>
                <w:color w:val="000000"/>
                <w:sz w:val="20"/>
                <w:szCs w:val="20"/>
                <w:lang w:eastAsia="en-US"/>
              </w:rPr>
              <w:t>Terminonaris browni</w:t>
            </w:r>
            <w:r>
              <w:rPr>
                <w:i/>
                <w:color w:val="000000"/>
                <w:sz w:val="20"/>
                <w:szCs w:val="20"/>
                <w:lang w:eastAsia="en-US"/>
              </w:rPr>
              <w:t>), and within Dyrosauridae (</w:t>
            </w:r>
            <w:r>
              <w:rPr>
                <w:color w:val="000000"/>
                <w:sz w:val="20"/>
                <w:szCs w:val="20"/>
                <w:lang w:eastAsia="en-US"/>
              </w:rPr>
              <w:t>Sabinosuchus</w:t>
            </w:r>
            <w:r>
              <w:rPr>
                <w:i/>
                <w:color w:val="000000"/>
                <w:sz w:val="20"/>
                <w:szCs w:val="20"/>
                <w:lang w:eastAsia="en-US"/>
              </w:rPr>
              <w:t>).</w:t>
            </w:r>
          </w:p>
          <w:p w14:paraId="6C9BFAEC" w14:textId="77777777" w:rsidR="00D67975" w:rsidRDefault="00D67975" w:rsidP="00D67975">
            <w:pPr>
              <w:autoSpaceDE w:val="0"/>
              <w:autoSpaceDN w:val="0"/>
              <w:adjustRightInd w:val="0"/>
              <w:rPr>
                <w:sz w:val="20"/>
                <w:szCs w:val="20"/>
                <w:lang w:eastAsia="en-US"/>
              </w:rPr>
            </w:pPr>
            <w:r>
              <w:rPr>
                <w:sz w:val="20"/>
                <w:szCs w:val="20"/>
                <w:lang w:eastAsia="en-US"/>
              </w:rPr>
              <w:t>0. absent</w:t>
            </w:r>
          </w:p>
          <w:p w14:paraId="36F625D2" w14:textId="77777777" w:rsidR="00D67975" w:rsidRDefault="00D67975" w:rsidP="00D67975">
            <w:pPr>
              <w:autoSpaceDE w:val="0"/>
              <w:autoSpaceDN w:val="0"/>
              <w:adjustRightInd w:val="0"/>
              <w:rPr>
                <w:sz w:val="20"/>
                <w:szCs w:val="20"/>
                <w:lang w:eastAsia="en-US"/>
              </w:rPr>
            </w:pPr>
            <w:r>
              <w:rPr>
                <w:sz w:val="20"/>
                <w:szCs w:val="20"/>
                <w:lang w:eastAsia="en-US"/>
              </w:rPr>
              <w:t>1. present as a diminutive passage</w:t>
            </w:r>
          </w:p>
          <w:p w14:paraId="1C15CD52" w14:textId="77777777" w:rsidR="00D67975" w:rsidRDefault="00D67975" w:rsidP="00D67975">
            <w:pPr>
              <w:autoSpaceDE w:val="0"/>
              <w:autoSpaceDN w:val="0"/>
              <w:adjustRightInd w:val="0"/>
              <w:rPr>
                <w:b/>
                <w:color w:val="000000"/>
                <w:sz w:val="20"/>
                <w:szCs w:val="20"/>
                <w:lang w:eastAsia="en-US"/>
              </w:rPr>
            </w:pPr>
            <w:r>
              <w:rPr>
                <w:sz w:val="20"/>
                <w:szCs w:val="20"/>
                <w:lang w:eastAsia="en-US"/>
              </w:rPr>
              <w:t>2. present as an evident fenestra</w:t>
            </w:r>
          </w:p>
        </w:tc>
      </w:tr>
      <w:tr w:rsidR="00D67975" w14:paraId="5EF111AF" w14:textId="77777777" w:rsidTr="00D67975">
        <w:tc>
          <w:tcPr>
            <w:tcW w:w="516" w:type="dxa"/>
            <w:tcBorders>
              <w:top w:val="single" w:sz="4" w:space="0" w:color="auto"/>
              <w:left w:val="single" w:sz="4" w:space="0" w:color="auto"/>
              <w:bottom w:val="single" w:sz="4" w:space="0" w:color="auto"/>
              <w:right w:val="single" w:sz="4" w:space="0" w:color="auto"/>
            </w:tcBorders>
          </w:tcPr>
          <w:p w14:paraId="44015FEA" w14:textId="62098DF2" w:rsidR="00D67975" w:rsidRDefault="00D67975" w:rsidP="00D67975">
            <w:pPr>
              <w:rPr>
                <w:color w:val="000000"/>
                <w:sz w:val="20"/>
                <w:szCs w:val="20"/>
                <w:lang w:eastAsia="en-US"/>
              </w:rPr>
            </w:pPr>
            <w:r>
              <w:rPr>
                <w:sz w:val="20"/>
                <w:szCs w:val="20"/>
                <w:lang w:eastAsia="en-US"/>
              </w:rPr>
              <w:lastRenderedPageBreak/>
              <w:t>244</w:t>
            </w:r>
          </w:p>
        </w:tc>
        <w:tc>
          <w:tcPr>
            <w:tcW w:w="0" w:type="auto"/>
            <w:tcBorders>
              <w:top w:val="single" w:sz="4" w:space="0" w:color="auto"/>
              <w:left w:val="single" w:sz="4" w:space="0" w:color="auto"/>
              <w:bottom w:val="single" w:sz="4" w:space="0" w:color="auto"/>
              <w:right w:val="single" w:sz="4" w:space="0" w:color="auto"/>
            </w:tcBorders>
            <w:vAlign w:val="bottom"/>
            <w:hideMark/>
          </w:tcPr>
          <w:p w14:paraId="03C96ED3" w14:textId="77777777" w:rsidR="00D67975" w:rsidRDefault="00D67975" w:rsidP="00D67975">
            <w:pPr>
              <w:autoSpaceDE w:val="0"/>
              <w:autoSpaceDN w:val="0"/>
              <w:adjustRightInd w:val="0"/>
              <w:rPr>
                <w:rFonts w:eastAsiaTheme="minorHAnsi"/>
                <w:b/>
                <w:bCs/>
                <w:sz w:val="20"/>
                <w:szCs w:val="20"/>
                <w:lang w:eastAsia="en-US"/>
              </w:rPr>
            </w:pPr>
            <w:r>
              <w:rPr>
                <w:b/>
                <w:bCs/>
                <w:sz w:val="20"/>
                <w:szCs w:val="20"/>
                <w:lang w:eastAsia="en-US"/>
              </w:rPr>
              <w:t>External mandibular fenestra, shape: (*)</w:t>
            </w:r>
          </w:p>
          <w:p w14:paraId="61AD4DD2" w14:textId="4CEA27D9" w:rsidR="00D67975" w:rsidRDefault="00D67975" w:rsidP="00D67975">
            <w:pPr>
              <w:autoSpaceDE w:val="0"/>
              <w:autoSpaceDN w:val="0"/>
              <w:adjustRightInd w:val="0"/>
              <w:rPr>
                <w:bCs/>
                <w:i/>
                <w:sz w:val="20"/>
                <w:lang w:eastAsia="en-US"/>
              </w:rPr>
            </w:pPr>
            <w:r>
              <w:rPr>
                <w:bCs/>
                <w:i/>
                <w:sz w:val="20"/>
                <w:lang w:eastAsia="en-US"/>
              </w:rPr>
              <w:t>Andrade et al. (2011, ch. 315);</w:t>
            </w:r>
            <w:r>
              <w:rPr>
                <w:i/>
                <w:sz w:val="20"/>
                <w:szCs w:val="20"/>
                <w:lang w:eastAsia="en-US"/>
              </w:rPr>
              <w:t xml:space="preserve"> Ristevski et al. (2018, ds 1, ch. 315); Smith et al. (in review, ds 2, ch. 315); </w:t>
            </w:r>
            <w:r>
              <w:rPr>
                <w:i/>
                <w:sz w:val="20"/>
                <w:szCs w:val="20"/>
              </w:rPr>
              <w:t>Ősi et al. (in review, ds 1, ch. 243)</w:t>
            </w:r>
            <w:r>
              <w:rPr>
                <w:bCs/>
                <w:i/>
                <w:sz w:val="20"/>
                <w:lang w:eastAsia="en-US"/>
              </w:rPr>
              <w:t>.</w:t>
            </w:r>
          </w:p>
          <w:p w14:paraId="508F61D5" w14:textId="77777777" w:rsidR="00D67975" w:rsidRDefault="00D67975" w:rsidP="00D67975">
            <w:pPr>
              <w:autoSpaceDE w:val="0"/>
              <w:autoSpaceDN w:val="0"/>
              <w:adjustRightInd w:val="0"/>
              <w:rPr>
                <w:sz w:val="20"/>
                <w:szCs w:val="20"/>
                <w:lang w:eastAsia="en-US"/>
              </w:rPr>
            </w:pPr>
            <w:r>
              <w:rPr>
                <w:bCs/>
                <w:i/>
                <w:sz w:val="20"/>
                <w:lang w:eastAsia="en-US"/>
              </w:rPr>
              <w:t>This character is not applicable for taxa that lack external mandibular fenestrae.</w:t>
            </w:r>
          </w:p>
          <w:p w14:paraId="27A8FB7A" w14:textId="77777777" w:rsidR="00D67975" w:rsidRDefault="00D67975" w:rsidP="00D67975">
            <w:pPr>
              <w:autoSpaceDE w:val="0"/>
              <w:autoSpaceDN w:val="0"/>
              <w:adjustRightInd w:val="0"/>
              <w:rPr>
                <w:sz w:val="20"/>
                <w:szCs w:val="20"/>
                <w:lang w:eastAsia="en-US"/>
              </w:rPr>
            </w:pPr>
            <w:r>
              <w:rPr>
                <w:sz w:val="20"/>
                <w:szCs w:val="20"/>
                <w:lang w:eastAsia="en-US"/>
              </w:rPr>
              <w:t>0. subcircular to poorly elliptic</w:t>
            </w:r>
          </w:p>
          <w:p w14:paraId="18C43BA8" w14:textId="77777777" w:rsidR="00D67975" w:rsidRDefault="00D67975" w:rsidP="00D67975">
            <w:pPr>
              <w:autoSpaceDE w:val="0"/>
              <w:autoSpaceDN w:val="0"/>
              <w:adjustRightInd w:val="0"/>
              <w:rPr>
                <w:sz w:val="20"/>
                <w:szCs w:val="20"/>
                <w:lang w:eastAsia="en-US"/>
              </w:rPr>
            </w:pPr>
            <w:r>
              <w:rPr>
                <w:sz w:val="20"/>
                <w:szCs w:val="20"/>
                <w:lang w:eastAsia="en-US"/>
              </w:rPr>
              <w:t>1. highly elliptic, anteroposterior axis much longer than dorso-ventral axis, three time or more, but both ends rounded</w:t>
            </w:r>
          </w:p>
          <w:p w14:paraId="3B3168AF" w14:textId="77777777" w:rsidR="00D67975" w:rsidRDefault="00D67975" w:rsidP="00D67975">
            <w:pPr>
              <w:autoSpaceDE w:val="0"/>
              <w:autoSpaceDN w:val="0"/>
              <w:adjustRightInd w:val="0"/>
              <w:rPr>
                <w:sz w:val="20"/>
                <w:szCs w:val="20"/>
                <w:lang w:eastAsia="en-US"/>
              </w:rPr>
            </w:pPr>
            <w:r>
              <w:rPr>
                <w:sz w:val="20"/>
                <w:szCs w:val="20"/>
                <w:lang w:eastAsia="en-US"/>
              </w:rPr>
              <w:t>2. slit-like, proportionally very long and both ends acute</w:t>
            </w:r>
          </w:p>
          <w:p w14:paraId="7189D471" w14:textId="77777777" w:rsidR="00D67975" w:rsidRDefault="00D67975" w:rsidP="00D67975">
            <w:pPr>
              <w:autoSpaceDE w:val="0"/>
              <w:autoSpaceDN w:val="0"/>
              <w:adjustRightInd w:val="0"/>
              <w:rPr>
                <w:sz w:val="20"/>
                <w:szCs w:val="20"/>
                <w:lang w:eastAsia="en-US"/>
              </w:rPr>
            </w:pPr>
            <w:r>
              <w:rPr>
                <w:sz w:val="20"/>
                <w:szCs w:val="20"/>
                <w:lang w:eastAsia="en-US"/>
              </w:rPr>
              <w:t>3. broad teardrop-like</w:t>
            </w:r>
          </w:p>
          <w:p w14:paraId="4FA7EF35" w14:textId="77777777" w:rsidR="00D67975" w:rsidRDefault="00D67975" w:rsidP="00D67975">
            <w:pPr>
              <w:autoSpaceDE w:val="0"/>
              <w:autoSpaceDN w:val="0"/>
              <w:adjustRightInd w:val="0"/>
              <w:rPr>
                <w:sz w:val="20"/>
                <w:szCs w:val="20"/>
                <w:lang w:eastAsia="en-US"/>
              </w:rPr>
            </w:pPr>
            <w:r>
              <w:rPr>
                <w:sz w:val="20"/>
                <w:szCs w:val="20"/>
                <w:lang w:eastAsia="en-US"/>
              </w:rPr>
              <w:t>4. narrow teardrop-like</w:t>
            </w:r>
          </w:p>
          <w:p w14:paraId="78909D57" w14:textId="77777777" w:rsidR="00D67975" w:rsidRDefault="00D67975" w:rsidP="00D67975">
            <w:pPr>
              <w:autoSpaceDE w:val="0"/>
              <w:autoSpaceDN w:val="0"/>
              <w:adjustRightInd w:val="0"/>
              <w:rPr>
                <w:b/>
                <w:bCs/>
                <w:sz w:val="20"/>
                <w:szCs w:val="20"/>
                <w:lang w:eastAsia="en-US"/>
              </w:rPr>
            </w:pPr>
            <w:r>
              <w:rPr>
                <w:sz w:val="20"/>
                <w:szCs w:val="20"/>
                <w:lang w:eastAsia="en-US"/>
              </w:rPr>
              <w:t>5. triangle</w:t>
            </w:r>
          </w:p>
        </w:tc>
      </w:tr>
      <w:tr w:rsidR="00D67975" w14:paraId="5CA9B386" w14:textId="77777777" w:rsidTr="00D67975">
        <w:tc>
          <w:tcPr>
            <w:tcW w:w="516" w:type="dxa"/>
            <w:tcBorders>
              <w:top w:val="single" w:sz="4" w:space="0" w:color="auto"/>
              <w:left w:val="single" w:sz="4" w:space="0" w:color="auto"/>
              <w:bottom w:val="single" w:sz="4" w:space="0" w:color="auto"/>
              <w:right w:val="single" w:sz="4" w:space="0" w:color="auto"/>
            </w:tcBorders>
          </w:tcPr>
          <w:p w14:paraId="614042CF" w14:textId="239775B3" w:rsidR="00D67975" w:rsidRDefault="00D67975" w:rsidP="00D67975">
            <w:pPr>
              <w:rPr>
                <w:color w:val="000000"/>
                <w:sz w:val="20"/>
                <w:szCs w:val="20"/>
                <w:lang w:eastAsia="en-US"/>
              </w:rPr>
            </w:pPr>
            <w:r>
              <w:rPr>
                <w:sz w:val="20"/>
                <w:szCs w:val="20"/>
                <w:lang w:eastAsia="en-US"/>
              </w:rPr>
              <w:t>245</w:t>
            </w:r>
          </w:p>
        </w:tc>
        <w:tc>
          <w:tcPr>
            <w:tcW w:w="0" w:type="auto"/>
            <w:tcBorders>
              <w:top w:val="single" w:sz="4" w:space="0" w:color="auto"/>
              <w:left w:val="single" w:sz="4" w:space="0" w:color="auto"/>
              <w:bottom w:val="single" w:sz="4" w:space="0" w:color="auto"/>
              <w:right w:val="single" w:sz="4" w:space="0" w:color="auto"/>
            </w:tcBorders>
            <w:vAlign w:val="bottom"/>
            <w:hideMark/>
          </w:tcPr>
          <w:p w14:paraId="794FF00A" w14:textId="77777777" w:rsidR="00D67975" w:rsidRDefault="00D67975" w:rsidP="00D67975">
            <w:pPr>
              <w:autoSpaceDE w:val="0"/>
              <w:autoSpaceDN w:val="0"/>
              <w:adjustRightInd w:val="0"/>
              <w:rPr>
                <w:rFonts w:eastAsiaTheme="minorHAnsi"/>
                <w:b/>
                <w:bCs/>
                <w:sz w:val="20"/>
                <w:szCs w:val="20"/>
                <w:lang w:eastAsia="en-US"/>
              </w:rPr>
            </w:pPr>
            <w:r>
              <w:rPr>
                <w:b/>
                <w:bCs/>
                <w:sz w:val="20"/>
                <w:szCs w:val="20"/>
                <w:lang w:eastAsia="en-US"/>
              </w:rPr>
              <w:t>External mandibular fenestra, morphology of anterior margin: (*)</w:t>
            </w:r>
          </w:p>
          <w:p w14:paraId="0AB89E9B" w14:textId="6EE61AAB" w:rsidR="00D67975" w:rsidRDefault="00D67975" w:rsidP="00D67975">
            <w:pPr>
              <w:autoSpaceDE w:val="0"/>
              <w:autoSpaceDN w:val="0"/>
              <w:adjustRightInd w:val="0"/>
              <w:rPr>
                <w:i/>
                <w:iCs/>
                <w:sz w:val="20"/>
                <w:szCs w:val="20"/>
                <w:lang w:eastAsia="en-US"/>
              </w:rPr>
            </w:pPr>
            <w:r>
              <w:rPr>
                <w:bCs/>
                <w:i/>
                <w:sz w:val="20"/>
                <w:lang w:eastAsia="en-US"/>
              </w:rPr>
              <w:t>Andrade et al. (2011, ch. 316);</w:t>
            </w:r>
            <w:r>
              <w:rPr>
                <w:i/>
                <w:sz w:val="20"/>
                <w:szCs w:val="20"/>
                <w:lang w:eastAsia="en-US"/>
              </w:rPr>
              <w:t xml:space="preserve"> Ristevski et al. (2018, ds 1, ch. 316); Smith et al. (in review, ds 2, ch. 316); </w:t>
            </w:r>
            <w:r>
              <w:rPr>
                <w:i/>
                <w:sz w:val="20"/>
                <w:szCs w:val="20"/>
              </w:rPr>
              <w:t>Ősi et al. (in review, ds 1, ch. 244)</w:t>
            </w:r>
            <w:r>
              <w:rPr>
                <w:bCs/>
                <w:i/>
                <w:sz w:val="20"/>
                <w:lang w:eastAsia="en-US"/>
              </w:rPr>
              <w:t>.</w:t>
            </w:r>
          </w:p>
          <w:p w14:paraId="67A9543B"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(1) is present in peirosaurids, </w:t>
            </w:r>
            <w:r>
              <w:rPr>
                <w:sz w:val="20"/>
                <w:szCs w:val="20"/>
                <w:lang w:eastAsia="en-US"/>
              </w:rPr>
              <w:t xml:space="preserve">Araripesuchus </w:t>
            </w:r>
            <w:r>
              <w:rPr>
                <w:i/>
                <w:iCs/>
                <w:sz w:val="20"/>
                <w:szCs w:val="20"/>
                <w:lang w:eastAsia="en-US"/>
              </w:rPr>
              <w:t xml:space="preserve">and closely related taxa. </w:t>
            </w:r>
          </w:p>
          <w:p w14:paraId="661156EA"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Note that </w:t>
            </w:r>
            <w:r>
              <w:rPr>
                <w:sz w:val="20"/>
                <w:szCs w:val="20"/>
                <w:lang w:eastAsia="en-US"/>
              </w:rPr>
              <w:t xml:space="preserve">Baurusuchus </w:t>
            </w:r>
            <w:r>
              <w:rPr>
                <w:i/>
                <w:iCs/>
                <w:sz w:val="20"/>
                <w:szCs w:val="20"/>
                <w:lang w:eastAsia="en-US"/>
              </w:rPr>
              <w:t>was reconstructed as (1), but is actually (0).</w:t>
            </w:r>
          </w:p>
          <w:p w14:paraId="42403609" w14:textId="77777777" w:rsidR="00D67975" w:rsidRDefault="00D67975" w:rsidP="00D67975">
            <w:pPr>
              <w:autoSpaceDE w:val="0"/>
              <w:autoSpaceDN w:val="0"/>
              <w:adjustRightInd w:val="0"/>
              <w:rPr>
                <w:i/>
                <w:iCs/>
                <w:sz w:val="20"/>
                <w:szCs w:val="20"/>
                <w:lang w:eastAsia="en-US"/>
              </w:rPr>
            </w:pPr>
            <w:r>
              <w:rPr>
                <w:i/>
                <w:iCs/>
                <w:sz w:val="20"/>
                <w:szCs w:val="20"/>
                <w:lang w:eastAsia="en-US"/>
              </w:rPr>
              <w:t>This character is not applicable for taxa that lack external mandibular fenestrae.</w:t>
            </w:r>
          </w:p>
          <w:p w14:paraId="3465C7BE" w14:textId="77777777" w:rsidR="00D67975" w:rsidRDefault="00D67975" w:rsidP="00D67975">
            <w:pPr>
              <w:autoSpaceDE w:val="0"/>
              <w:autoSpaceDN w:val="0"/>
              <w:adjustRightInd w:val="0"/>
              <w:rPr>
                <w:sz w:val="20"/>
                <w:szCs w:val="20"/>
                <w:lang w:eastAsia="en-US"/>
              </w:rPr>
            </w:pPr>
            <w:r>
              <w:rPr>
                <w:sz w:val="20"/>
                <w:szCs w:val="20"/>
                <w:lang w:eastAsia="en-US"/>
              </w:rPr>
              <w:t>0. curved, with a broad arched margin anteriorly</w:t>
            </w:r>
          </w:p>
          <w:p w14:paraId="3FACA103" w14:textId="77777777" w:rsidR="00D67975" w:rsidRDefault="00D67975" w:rsidP="00D67975">
            <w:pPr>
              <w:autoSpaceDE w:val="0"/>
              <w:autoSpaceDN w:val="0"/>
              <w:adjustRightInd w:val="0"/>
              <w:rPr>
                <w:sz w:val="20"/>
                <w:szCs w:val="20"/>
                <w:lang w:eastAsia="en-US"/>
              </w:rPr>
            </w:pPr>
            <w:r>
              <w:rPr>
                <w:sz w:val="20"/>
                <w:szCs w:val="20"/>
                <w:lang w:eastAsia="en-US"/>
              </w:rPr>
              <w:t>1. anterodorsal and anteroventral margins poorly arched, meeting at an acute angle anteriorly, anterior end is wedge-like</w:t>
            </w:r>
          </w:p>
        </w:tc>
      </w:tr>
      <w:tr w:rsidR="00D67975" w14:paraId="377D2EF5" w14:textId="77777777" w:rsidTr="00D67975">
        <w:tc>
          <w:tcPr>
            <w:tcW w:w="516" w:type="dxa"/>
            <w:tcBorders>
              <w:top w:val="single" w:sz="4" w:space="0" w:color="auto"/>
              <w:left w:val="single" w:sz="4" w:space="0" w:color="auto"/>
              <w:bottom w:val="single" w:sz="4" w:space="0" w:color="auto"/>
              <w:right w:val="single" w:sz="4" w:space="0" w:color="auto"/>
            </w:tcBorders>
          </w:tcPr>
          <w:p w14:paraId="755907CC" w14:textId="048B2661" w:rsidR="00D67975" w:rsidRDefault="00D67975" w:rsidP="00D67975">
            <w:pPr>
              <w:rPr>
                <w:color w:val="000000"/>
                <w:sz w:val="20"/>
                <w:szCs w:val="20"/>
                <w:lang w:eastAsia="en-US"/>
              </w:rPr>
            </w:pPr>
            <w:r>
              <w:rPr>
                <w:color w:val="000000"/>
                <w:sz w:val="20"/>
                <w:szCs w:val="20"/>
                <w:lang w:eastAsia="en-US"/>
              </w:rPr>
              <w:t>246</w:t>
            </w:r>
          </w:p>
        </w:tc>
        <w:tc>
          <w:tcPr>
            <w:tcW w:w="0" w:type="auto"/>
            <w:tcBorders>
              <w:top w:val="single" w:sz="4" w:space="0" w:color="auto"/>
              <w:left w:val="single" w:sz="4" w:space="0" w:color="auto"/>
              <w:bottom w:val="single" w:sz="4" w:space="0" w:color="auto"/>
              <w:right w:val="single" w:sz="4" w:space="0" w:color="auto"/>
            </w:tcBorders>
            <w:vAlign w:val="bottom"/>
            <w:hideMark/>
          </w:tcPr>
          <w:p w14:paraId="738D216E" w14:textId="77777777" w:rsidR="00D67975" w:rsidRDefault="00D67975" w:rsidP="00D67975">
            <w:pPr>
              <w:autoSpaceDE w:val="0"/>
              <w:autoSpaceDN w:val="0"/>
              <w:adjustRightInd w:val="0"/>
              <w:rPr>
                <w:rFonts w:eastAsiaTheme="minorHAnsi"/>
                <w:b/>
                <w:sz w:val="20"/>
                <w:szCs w:val="22"/>
                <w:lang w:eastAsia="en-US"/>
              </w:rPr>
            </w:pPr>
            <w:r>
              <w:rPr>
                <w:b/>
                <w:sz w:val="20"/>
                <w:szCs w:val="22"/>
                <w:lang w:eastAsia="en-US"/>
              </w:rPr>
              <w:t>Surangular foramen, presence:</w:t>
            </w:r>
          </w:p>
          <w:p w14:paraId="084870C6" w14:textId="7C86726F" w:rsidR="00D67975" w:rsidRDefault="00D67975" w:rsidP="00D67975">
            <w:pPr>
              <w:autoSpaceDE w:val="0"/>
              <w:autoSpaceDN w:val="0"/>
              <w:adjustRightInd w:val="0"/>
              <w:rPr>
                <w:i/>
                <w:sz w:val="20"/>
                <w:szCs w:val="22"/>
                <w:lang w:eastAsia="en-US"/>
              </w:rPr>
            </w:pPr>
            <w:r>
              <w:rPr>
                <w:i/>
                <w:sz w:val="20"/>
                <w:szCs w:val="22"/>
                <w:lang w:eastAsia="en-US"/>
              </w:rPr>
              <w:t xml:space="preserve">Clark et al. (2004 modified); Nesbitt (2007 modified); Nesbitt (2011, ch. 163); </w:t>
            </w:r>
            <w:r>
              <w:rPr>
                <w:i/>
                <w:sz w:val="20"/>
                <w:szCs w:val="20"/>
              </w:rPr>
              <w:t>Ősi et al. (in review, ds 1, ch. 245)</w:t>
            </w:r>
            <w:r>
              <w:rPr>
                <w:i/>
                <w:sz w:val="20"/>
                <w:szCs w:val="22"/>
                <w:lang w:eastAsia="en-US"/>
              </w:rPr>
              <w:t>.</w:t>
            </w:r>
          </w:p>
          <w:p w14:paraId="5E1B207D" w14:textId="77777777" w:rsidR="00D67975" w:rsidRDefault="00D67975" w:rsidP="00D67975">
            <w:pPr>
              <w:autoSpaceDE w:val="0"/>
              <w:autoSpaceDN w:val="0"/>
              <w:adjustRightInd w:val="0"/>
              <w:rPr>
                <w:sz w:val="20"/>
                <w:szCs w:val="22"/>
                <w:lang w:eastAsia="en-US"/>
              </w:rPr>
            </w:pPr>
            <w:r>
              <w:rPr>
                <w:i/>
                <w:sz w:val="20"/>
                <w:szCs w:val="22"/>
                <w:lang w:eastAsia="en-US"/>
              </w:rPr>
              <w:t>State (1) is a putative apomorphy of</w:t>
            </w:r>
            <w:r>
              <w:rPr>
                <w:sz w:val="20"/>
                <w:szCs w:val="22"/>
                <w:lang w:eastAsia="en-US"/>
              </w:rPr>
              <w:t xml:space="preserve"> Junggarsuchus.</w:t>
            </w:r>
          </w:p>
          <w:p w14:paraId="51BA3CF7" w14:textId="77777777" w:rsidR="00D67975" w:rsidRDefault="00D67975" w:rsidP="00D67975">
            <w:pPr>
              <w:autoSpaceDE w:val="0"/>
              <w:autoSpaceDN w:val="0"/>
              <w:adjustRightInd w:val="0"/>
              <w:rPr>
                <w:i/>
                <w:sz w:val="20"/>
                <w:szCs w:val="22"/>
                <w:lang w:eastAsia="en-US"/>
              </w:rPr>
            </w:pPr>
            <w:r>
              <w:rPr>
                <w:i/>
                <w:sz w:val="20"/>
                <w:szCs w:val="22"/>
                <w:lang w:eastAsia="en-US"/>
              </w:rPr>
              <w:t>The foramen is located posterior to the external mandibular fenestra, and is surrounded by the surangular.</w:t>
            </w:r>
          </w:p>
          <w:p w14:paraId="70C1BC99" w14:textId="77777777" w:rsidR="00D67975" w:rsidRDefault="00D67975" w:rsidP="00D67975">
            <w:pPr>
              <w:autoSpaceDE w:val="0"/>
              <w:autoSpaceDN w:val="0"/>
              <w:adjustRightInd w:val="0"/>
              <w:rPr>
                <w:sz w:val="20"/>
                <w:szCs w:val="22"/>
                <w:lang w:eastAsia="en-US"/>
              </w:rPr>
            </w:pPr>
            <w:r>
              <w:rPr>
                <w:sz w:val="20"/>
                <w:szCs w:val="22"/>
                <w:lang w:eastAsia="en-US"/>
              </w:rPr>
              <w:t>0. present and small</w:t>
            </w:r>
          </w:p>
          <w:p w14:paraId="536D36DC" w14:textId="77777777" w:rsidR="00D67975" w:rsidRDefault="00D67975" w:rsidP="00D67975">
            <w:pPr>
              <w:autoSpaceDE w:val="0"/>
              <w:autoSpaceDN w:val="0"/>
              <w:adjustRightInd w:val="0"/>
              <w:rPr>
                <w:sz w:val="20"/>
                <w:szCs w:val="22"/>
                <w:lang w:eastAsia="en-US"/>
              </w:rPr>
            </w:pPr>
            <w:r>
              <w:rPr>
                <w:sz w:val="20"/>
                <w:szCs w:val="22"/>
                <w:lang w:eastAsia="en-US"/>
              </w:rPr>
              <w:t>1. present and large</w:t>
            </w:r>
          </w:p>
          <w:p w14:paraId="1FDE8ABD" w14:textId="77777777" w:rsidR="00D67975" w:rsidRDefault="00D67975" w:rsidP="00D67975">
            <w:pPr>
              <w:autoSpaceDE w:val="0"/>
              <w:autoSpaceDN w:val="0"/>
              <w:adjustRightInd w:val="0"/>
              <w:rPr>
                <w:b/>
                <w:bCs/>
                <w:sz w:val="20"/>
                <w:szCs w:val="20"/>
                <w:lang w:eastAsia="en-US"/>
              </w:rPr>
            </w:pPr>
            <w:r>
              <w:rPr>
                <w:sz w:val="20"/>
                <w:szCs w:val="22"/>
                <w:lang w:eastAsia="en-US"/>
              </w:rPr>
              <w:t>2. absent</w:t>
            </w:r>
          </w:p>
        </w:tc>
      </w:tr>
      <w:tr w:rsidR="00D67975" w14:paraId="24998047" w14:textId="77777777" w:rsidTr="00D67975">
        <w:tc>
          <w:tcPr>
            <w:tcW w:w="516" w:type="dxa"/>
            <w:tcBorders>
              <w:top w:val="single" w:sz="4" w:space="0" w:color="auto"/>
              <w:left w:val="single" w:sz="4" w:space="0" w:color="auto"/>
              <w:bottom w:val="single" w:sz="4" w:space="0" w:color="auto"/>
              <w:right w:val="single" w:sz="4" w:space="0" w:color="auto"/>
            </w:tcBorders>
          </w:tcPr>
          <w:p w14:paraId="587F2C9E" w14:textId="694BFC40" w:rsidR="00D67975" w:rsidRDefault="00D67975" w:rsidP="00D67975">
            <w:pPr>
              <w:rPr>
                <w:sz w:val="20"/>
                <w:szCs w:val="20"/>
                <w:lang w:eastAsia="en-US"/>
              </w:rPr>
            </w:pPr>
            <w:r>
              <w:rPr>
                <w:color w:val="000000"/>
                <w:sz w:val="20"/>
                <w:szCs w:val="20"/>
                <w:lang w:eastAsia="en-US"/>
              </w:rPr>
              <w:t>247</w:t>
            </w:r>
          </w:p>
        </w:tc>
        <w:tc>
          <w:tcPr>
            <w:tcW w:w="0" w:type="auto"/>
            <w:tcBorders>
              <w:top w:val="single" w:sz="4" w:space="0" w:color="auto"/>
              <w:left w:val="single" w:sz="4" w:space="0" w:color="auto"/>
              <w:bottom w:val="single" w:sz="4" w:space="0" w:color="auto"/>
              <w:right w:val="single" w:sz="4" w:space="0" w:color="auto"/>
            </w:tcBorders>
            <w:vAlign w:val="bottom"/>
            <w:hideMark/>
          </w:tcPr>
          <w:p w14:paraId="21DF8B68" w14:textId="77777777" w:rsidR="00D67975" w:rsidRDefault="00D67975" w:rsidP="00D67975">
            <w:pPr>
              <w:rPr>
                <w:b/>
                <w:color w:val="000000"/>
                <w:sz w:val="20"/>
                <w:szCs w:val="20"/>
                <w:lang w:eastAsia="en-US"/>
              </w:rPr>
            </w:pPr>
            <w:r>
              <w:rPr>
                <w:b/>
                <w:color w:val="000000"/>
                <w:sz w:val="20"/>
                <w:szCs w:val="20"/>
                <w:lang w:eastAsia="en-US"/>
              </w:rPr>
              <w:t xml:space="preserve">Dentary, </w:t>
            </w:r>
            <w:r>
              <w:rPr>
                <w:b/>
                <w:sz w:val="20"/>
                <w:szCs w:val="20"/>
                <w:lang w:eastAsia="en-US"/>
              </w:rPr>
              <w:t xml:space="preserve">ventral margin strongly curved: </w:t>
            </w:r>
          </w:p>
          <w:p w14:paraId="17F3DEBD" w14:textId="393C9A8E"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162 + 163); Ristevski et al. (2018, ds 2, ch. 217); Smith et al. (in review, ds 1, ch. 221); </w:t>
            </w:r>
            <w:r>
              <w:rPr>
                <w:i/>
                <w:sz w:val="20"/>
                <w:szCs w:val="20"/>
              </w:rPr>
              <w:t>Ősi et al. (in review, ds 1, ch. 246)</w:t>
            </w:r>
            <w:r>
              <w:rPr>
                <w:i/>
                <w:sz w:val="20"/>
                <w:szCs w:val="20"/>
                <w:lang w:eastAsia="en-US"/>
              </w:rPr>
              <w:t>.</w:t>
            </w:r>
          </w:p>
          <w:p w14:paraId="01B4B6DB" w14:textId="77777777" w:rsidR="00D67975" w:rsidRDefault="00D67975" w:rsidP="00D67975">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 xml:space="preserve">Junggarsuchus, Dakosaurus, Baurusuchus, </w:t>
            </w:r>
            <w:r>
              <w:rPr>
                <w:i/>
                <w:color w:val="000000"/>
                <w:sz w:val="20"/>
                <w:szCs w:val="20"/>
                <w:lang w:eastAsia="en-US"/>
              </w:rPr>
              <w:t>and in 'trematochampsids' and peirosaurids.</w:t>
            </w:r>
          </w:p>
          <w:p w14:paraId="0CD799E6" w14:textId="77777777" w:rsidR="00D67975" w:rsidRDefault="00D67975" w:rsidP="00D67975">
            <w:pPr>
              <w:rPr>
                <w:i/>
                <w:color w:val="000000"/>
                <w:sz w:val="20"/>
                <w:szCs w:val="20"/>
                <w:lang w:eastAsia="en-US"/>
              </w:rPr>
            </w:pPr>
            <w:r>
              <w:rPr>
                <w:i/>
                <w:color w:val="000000"/>
                <w:sz w:val="20"/>
                <w:szCs w:val="20"/>
                <w:lang w:eastAsia="en-US"/>
              </w:rPr>
              <w:t xml:space="preserve">State (2) occurs in </w:t>
            </w:r>
            <w:r>
              <w:rPr>
                <w:color w:val="000000"/>
                <w:sz w:val="20"/>
                <w:szCs w:val="20"/>
                <w:lang w:eastAsia="en-US"/>
              </w:rPr>
              <w:t>Pachycheilosuchus</w:t>
            </w:r>
            <w:r>
              <w:rPr>
                <w:i/>
                <w:color w:val="000000"/>
                <w:sz w:val="20"/>
                <w:szCs w:val="20"/>
                <w:lang w:eastAsia="en-US"/>
              </w:rPr>
              <w:t xml:space="preserve"> + </w:t>
            </w:r>
            <w:r>
              <w:rPr>
                <w:color w:val="000000"/>
                <w:sz w:val="20"/>
                <w:szCs w:val="20"/>
                <w:lang w:eastAsia="en-US"/>
              </w:rPr>
              <w:t>Pietraroiasuchus</w:t>
            </w:r>
            <w:r>
              <w:rPr>
                <w:i/>
                <w:color w:val="000000"/>
                <w:sz w:val="20"/>
                <w:szCs w:val="20"/>
                <w:lang w:eastAsia="en-US"/>
              </w:rPr>
              <w:t>.</w:t>
            </w:r>
          </w:p>
          <w:p w14:paraId="4637B1B9" w14:textId="77777777" w:rsidR="00D67975" w:rsidRDefault="00D67975" w:rsidP="00D67975">
            <w:pPr>
              <w:rPr>
                <w:color w:val="000000"/>
                <w:sz w:val="20"/>
                <w:szCs w:val="20"/>
                <w:lang w:eastAsia="en-US"/>
              </w:rPr>
            </w:pPr>
            <w:r>
              <w:rPr>
                <w:color w:val="000000"/>
                <w:sz w:val="20"/>
                <w:szCs w:val="20"/>
                <w:lang w:eastAsia="en-US"/>
              </w:rPr>
              <w:t xml:space="preserve">0. no </w:t>
            </w:r>
          </w:p>
          <w:p w14:paraId="61A9D445" w14:textId="77777777" w:rsidR="00D67975" w:rsidRDefault="00D67975" w:rsidP="00D67975">
            <w:pPr>
              <w:rPr>
                <w:color w:val="000000"/>
                <w:sz w:val="20"/>
                <w:szCs w:val="20"/>
                <w:lang w:eastAsia="en-US"/>
              </w:rPr>
            </w:pPr>
            <w:r>
              <w:rPr>
                <w:color w:val="000000"/>
                <w:sz w:val="20"/>
                <w:szCs w:val="20"/>
                <w:lang w:eastAsia="en-US"/>
              </w:rPr>
              <w:t xml:space="preserve">1. yes, </w:t>
            </w:r>
            <w:r>
              <w:rPr>
                <w:sz w:val="20"/>
                <w:szCs w:val="20"/>
                <w:lang w:eastAsia="en-US"/>
              </w:rPr>
              <w:t>ventral margin is distinctly curved (convex). It rises sharply dorsally towards the anterior tip (this curvature occurs along the anterior ventral margin of the dentary)</w:t>
            </w:r>
          </w:p>
          <w:p w14:paraId="4B415653" w14:textId="77777777" w:rsidR="00D67975" w:rsidRDefault="00D67975" w:rsidP="00D67975">
            <w:pPr>
              <w:rPr>
                <w:color w:val="000000"/>
                <w:sz w:val="20"/>
                <w:szCs w:val="20"/>
                <w:lang w:eastAsia="en-US"/>
              </w:rPr>
            </w:pPr>
            <w:r>
              <w:rPr>
                <w:color w:val="000000"/>
                <w:sz w:val="20"/>
                <w:szCs w:val="20"/>
                <w:lang w:eastAsia="en-US"/>
              </w:rPr>
              <w:t xml:space="preserve">2. yes, </w:t>
            </w:r>
            <w:r>
              <w:rPr>
                <w:sz w:val="20"/>
                <w:szCs w:val="20"/>
                <w:lang w:eastAsia="en-US"/>
              </w:rPr>
              <w:t>ventral margin is curved (concave). It rises dorsally towards the anterior tip (this curvature occurs along the anterior ventral margin of the dentary, from a dorsoventrally deepened region of the dentary, immediately anterior to the dentary-splenial suture)</w:t>
            </w:r>
          </w:p>
        </w:tc>
      </w:tr>
      <w:tr w:rsidR="00D67975" w14:paraId="387D745E" w14:textId="77777777" w:rsidTr="00D67975">
        <w:tc>
          <w:tcPr>
            <w:tcW w:w="516" w:type="dxa"/>
            <w:tcBorders>
              <w:top w:val="single" w:sz="4" w:space="0" w:color="auto"/>
              <w:left w:val="single" w:sz="4" w:space="0" w:color="auto"/>
              <w:bottom w:val="single" w:sz="4" w:space="0" w:color="auto"/>
              <w:right w:val="single" w:sz="4" w:space="0" w:color="auto"/>
            </w:tcBorders>
          </w:tcPr>
          <w:p w14:paraId="2FDADA44" w14:textId="2319191D" w:rsidR="00D67975" w:rsidRDefault="00D67975" w:rsidP="00D67975">
            <w:pPr>
              <w:rPr>
                <w:color w:val="000000"/>
                <w:sz w:val="20"/>
                <w:szCs w:val="20"/>
                <w:lang w:eastAsia="en-US"/>
              </w:rPr>
            </w:pPr>
            <w:r>
              <w:rPr>
                <w:color w:val="000000"/>
                <w:sz w:val="20"/>
                <w:szCs w:val="20"/>
                <w:lang w:eastAsia="en-US"/>
              </w:rPr>
              <w:t>248</w:t>
            </w:r>
          </w:p>
        </w:tc>
        <w:tc>
          <w:tcPr>
            <w:tcW w:w="0" w:type="auto"/>
            <w:tcBorders>
              <w:top w:val="single" w:sz="4" w:space="0" w:color="auto"/>
              <w:left w:val="single" w:sz="4" w:space="0" w:color="auto"/>
              <w:bottom w:val="single" w:sz="4" w:space="0" w:color="auto"/>
              <w:right w:val="single" w:sz="4" w:space="0" w:color="auto"/>
            </w:tcBorders>
            <w:vAlign w:val="bottom"/>
            <w:hideMark/>
          </w:tcPr>
          <w:p w14:paraId="79F43E90" w14:textId="77777777" w:rsidR="00D67975" w:rsidRDefault="00D67975" w:rsidP="00D67975">
            <w:pPr>
              <w:rPr>
                <w:b/>
                <w:color w:val="000000"/>
                <w:sz w:val="20"/>
                <w:szCs w:val="20"/>
                <w:lang w:eastAsia="en-US"/>
              </w:rPr>
            </w:pPr>
            <w:r>
              <w:rPr>
                <w:b/>
                <w:color w:val="000000"/>
                <w:sz w:val="20"/>
                <w:szCs w:val="20"/>
                <w:lang w:eastAsia="en-US"/>
              </w:rPr>
              <w:t xml:space="preserve">Dentary foramina, lateral and dorsal surface of the anterior (symphyseal) region of the dentary: </w:t>
            </w:r>
          </w:p>
          <w:p w14:paraId="2A110EAE" w14:textId="69223244"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164); Ristevski et al. (2018, ds 2, ch. 218); Smith et al. (in review, ds 1, ch. 222); </w:t>
            </w:r>
            <w:r>
              <w:rPr>
                <w:i/>
                <w:sz w:val="20"/>
                <w:szCs w:val="20"/>
              </w:rPr>
              <w:t>Ősi et al. (in review, ds 1, ch. 247)</w:t>
            </w:r>
            <w:r>
              <w:rPr>
                <w:i/>
                <w:sz w:val="20"/>
                <w:szCs w:val="20"/>
                <w:lang w:eastAsia="en-US"/>
              </w:rPr>
              <w:t>.</w:t>
            </w:r>
          </w:p>
          <w:p w14:paraId="6B6CE022" w14:textId="77777777" w:rsidR="00D67975" w:rsidRDefault="00D67975" w:rsidP="00D67975">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w:t>
            </w:r>
            <w:r>
              <w:rPr>
                <w:i/>
                <w:color w:val="000000"/>
                <w:sz w:val="20"/>
                <w:szCs w:val="20"/>
                <w:lang w:eastAsia="en-US"/>
              </w:rPr>
              <w:t>.</w:t>
            </w:r>
          </w:p>
          <w:p w14:paraId="4ADF57A9" w14:textId="77777777" w:rsidR="00D67975" w:rsidRDefault="00D67975" w:rsidP="00D67975">
            <w:pPr>
              <w:rPr>
                <w:color w:val="000000"/>
                <w:sz w:val="20"/>
                <w:szCs w:val="20"/>
                <w:lang w:eastAsia="en-US"/>
              </w:rPr>
            </w:pPr>
            <w:r>
              <w:rPr>
                <w:color w:val="000000"/>
                <w:sz w:val="20"/>
                <w:szCs w:val="20"/>
                <w:lang w:eastAsia="en-US"/>
              </w:rPr>
              <w:t xml:space="preserve">0. foramina either small or variable in size. Number is variable. </w:t>
            </w:r>
          </w:p>
          <w:p w14:paraId="7532CA07" w14:textId="77777777" w:rsidR="00D67975" w:rsidRDefault="00D67975" w:rsidP="00D67975">
            <w:pPr>
              <w:rPr>
                <w:b/>
                <w:color w:val="000000"/>
                <w:sz w:val="20"/>
                <w:szCs w:val="20"/>
                <w:lang w:eastAsia="en-US"/>
              </w:rPr>
            </w:pPr>
            <w:r>
              <w:rPr>
                <w:color w:val="000000"/>
                <w:sz w:val="20"/>
                <w:szCs w:val="20"/>
                <w:lang w:eastAsia="en-US"/>
              </w:rPr>
              <w:t>1. has numerous small to medium-sized foramina</w:t>
            </w:r>
          </w:p>
        </w:tc>
      </w:tr>
      <w:tr w:rsidR="00D67975" w14:paraId="16B99D78" w14:textId="77777777" w:rsidTr="00D67975">
        <w:tc>
          <w:tcPr>
            <w:tcW w:w="516" w:type="dxa"/>
            <w:tcBorders>
              <w:top w:val="single" w:sz="4" w:space="0" w:color="auto"/>
              <w:left w:val="single" w:sz="4" w:space="0" w:color="auto"/>
              <w:bottom w:val="single" w:sz="4" w:space="0" w:color="auto"/>
              <w:right w:val="single" w:sz="4" w:space="0" w:color="auto"/>
            </w:tcBorders>
          </w:tcPr>
          <w:p w14:paraId="3FE5FD82" w14:textId="14E53CAA" w:rsidR="00D67975" w:rsidRDefault="00D67975" w:rsidP="00D67975">
            <w:pPr>
              <w:rPr>
                <w:color w:val="000000"/>
                <w:sz w:val="20"/>
                <w:szCs w:val="20"/>
                <w:lang w:eastAsia="en-US"/>
              </w:rPr>
            </w:pPr>
            <w:r>
              <w:rPr>
                <w:color w:val="000000"/>
                <w:sz w:val="20"/>
                <w:szCs w:val="20"/>
                <w:lang w:eastAsia="en-US"/>
              </w:rPr>
              <w:t>249</w:t>
            </w:r>
          </w:p>
        </w:tc>
        <w:tc>
          <w:tcPr>
            <w:tcW w:w="0" w:type="auto"/>
            <w:tcBorders>
              <w:top w:val="single" w:sz="4" w:space="0" w:color="auto"/>
              <w:left w:val="single" w:sz="4" w:space="0" w:color="auto"/>
              <w:bottom w:val="single" w:sz="4" w:space="0" w:color="auto"/>
              <w:right w:val="single" w:sz="4" w:space="0" w:color="auto"/>
            </w:tcBorders>
            <w:vAlign w:val="bottom"/>
            <w:hideMark/>
          </w:tcPr>
          <w:p w14:paraId="753B4960" w14:textId="77777777" w:rsidR="00D67975" w:rsidRDefault="00D67975" w:rsidP="00D67975">
            <w:pPr>
              <w:rPr>
                <w:b/>
                <w:color w:val="000000"/>
                <w:sz w:val="20"/>
                <w:szCs w:val="20"/>
                <w:lang w:eastAsia="en-US"/>
              </w:rPr>
            </w:pPr>
            <w:r>
              <w:rPr>
                <w:b/>
                <w:color w:val="000000"/>
                <w:sz w:val="20"/>
                <w:szCs w:val="20"/>
                <w:lang w:eastAsia="en-US"/>
              </w:rPr>
              <w:t>Surangulodentary groove, morphology:</w:t>
            </w:r>
          </w:p>
          <w:p w14:paraId="7E7AF051" w14:textId="7F00C4DC" w:rsidR="00D67975" w:rsidRDefault="00D67975" w:rsidP="00D67975">
            <w:pPr>
              <w:autoSpaceDE w:val="0"/>
              <w:autoSpaceDN w:val="0"/>
              <w:adjustRightInd w:val="0"/>
              <w:rPr>
                <w:i/>
                <w:sz w:val="20"/>
                <w:szCs w:val="20"/>
                <w:lang w:eastAsia="en-US"/>
              </w:rPr>
            </w:pPr>
            <w:r>
              <w:rPr>
                <w:i/>
                <w:sz w:val="20"/>
                <w:szCs w:val="20"/>
                <w:lang w:eastAsia="en-US"/>
              </w:rPr>
              <w:t xml:space="preserve">Young (2006, ch. 23 modified); Wilkinson et al. (2008, ch. 46 part); Young &amp; Andrade (2009, ch. 46 part); </w:t>
            </w:r>
            <w:r>
              <w:rPr>
                <w:bCs/>
                <w:i/>
                <w:color w:val="000000"/>
                <w:sz w:val="20"/>
                <w:szCs w:val="20"/>
                <w:lang w:eastAsia="en-US"/>
              </w:rPr>
              <w:t xml:space="preserve">Young et al. (2011, ch. 46 part); Young et al. (2013a, ch. 115 part); </w:t>
            </w:r>
            <w:r>
              <w:rPr>
                <w:i/>
                <w:sz w:val="20"/>
                <w:szCs w:val="20"/>
                <w:lang w:eastAsia="en-US"/>
              </w:rPr>
              <w:t xml:space="preserve">Young et al. (2012, ch. 135); Young (2014, ch.139); Young et al. (2016, ds 2, ch. 166); Ristevski et al. (2018, ds 2, ch. 220); Smith et al. (in review, ds 1, ch. 224); </w:t>
            </w:r>
            <w:r>
              <w:rPr>
                <w:i/>
                <w:sz w:val="20"/>
                <w:szCs w:val="20"/>
              </w:rPr>
              <w:t>Ősi et al. (in review, ds 1, ch. 248)</w:t>
            </w:r>
            <w:r>
              <w:rPr>
                <w:i/>
                <w:sz w:val="20"/>
                <w:szCs w:val="20"/>
                <w:lang w:eastAsia="en-US"/>
              </w:rPr>
              <w:t>.</w:t>
            </w:r>
          </w:p>
          <w:p w14:paraId="4D624AC9" w14:textId="77777777" w:rsidR="00D67975" w:rsidRDefault="00D67975" w:rsidP="00D67975">
            <w:pPr>
              <w:rPr>
                <w:i/>
                <w:color w:val="000000"/>
                <w:sz w:val="20"/>
                <w:szCs w:val="20"/>
                <w:lang w:eastAsia="en-US"/>
              </w:rPr>
            </w:pPr>
            <w:r>
              <w:rPr>
                <w:i/>
                <w:color w:val="000000"/>
                <w:sz w:val="20"/>
                <w:szCs w:val="20"/>
                <w:lang w:eastAsia="en-US"/>
              </w:rPr>
              <w:t>Note taphonomic or preservational damage can obscure state (1).</w:t>
            </w:r>
          </w:p>
          <w:p w14:paraId="4EDBE87F" w14:textId="77777777" w:rsidR="00D67975" w:rsidRDefault="00D67975" w:rsidP="00D67975">
            <w:pPr>
              <w:rPr>
                <w:i/>
                <w:color w:val="000000"/>
                <w:sz w:val="20"/>
                <w:szCs w:val="20"/>
                <w:lang w:eastAsia="en-US"/>
              </w:rPr>
            </w:pPr>
            <w:r>
              <w:rPr>
                <w:i/>
                <w:color w:val="000000"/>
                <w:sz w:val="20"/>
                <w:szCs w:val="20"/>
                <w:lang w:eastAsia="en-US"/>
              </w:rPr>
              <w:t xml:space="preserve">State (2) is a putative apomorphy of the clade Geosaurini. Previously it was considered an apomorphy of </w:t>
            </w:r>
            <w:r>
              <w:rPr>
                <w:color w:val="000000"/>
                <w:sz w:val="20"/>
                <w:szCs w:val="20"/>
                <w:lang w:eastAsia="en-US"/>
              </w:rPr>
              <w:t>Dakosaurus</w:t>
            </w:r>
            <w:r>
              <w:rPr>
                <w:i/>
                <w:color w:val="000000"/>
                <w:sz w:val="20"/>
                <w:szCs w:val="20"/>
                <w:lang w:eastAsia="en-US"/>
              </w:rPr>
              <w:t xml:space="preserve">; however, the type specimens for the genera </w:t>
            </w:r>
            <w:r>
              <w:rPr>
                <w:color w:val="000000"/>
                <w:sz w:val="20"/>
                <w:szCs w:val="20"/>
                <w:lang w:eastAsia="en-US"/>
              </w:rPr>
              <w:t xml:space="preserve">Dakosaurus, Plesiosuchus </w:t>
            </w:r>
            <w:r>
              <w:rPr>
                <w:i/>
                <w:color w:val="000000"/>
                <w:sz w:val="20"/>
                <w:szCs w:val="20"/>
                <w:lang w:eastAsia="en-US"/>
              </w:rPr>
              <w:t xml:space="preserve">and </w:t>
            </w:r>
            <w:r>
              <w:rPr>
                <w:color w:val="000000"/>
                <w:sz w:val="20"/>
                <w:szCs w:val="20"/>
                <w:lang w:eastAsia="en-US"/>
              </w:rPr>
              <w:t>Geosaurus</w:t>
            </w:r>
            <w:r>
              <w:rPr>
                <w:i/>
                <w:color w:val="000000"/>
                <w:sz w:val="20"/>
                <w:szCs w:val="20"/>
                <w:lang w:eastAsia="en-US"/>
              </w:rPr>
              <w:t xml:space="preserve"> </w:t>
            </w:r>
            <w:r>
              <w:rPr>
                <w:i/>
                <w:color w:val="000000"/>
                <w:sz w:val="20"/>
                <w:szCs w:val="20"/>
                <w:lang w:eastAsia="en-US"/>
              </w:rPr>
              <w:lastRenderedPageBreak/>
              <w:t xml:space="preserve">share this morphology. The deep groove is also observed in the holotype of </w:t>
            </w:r>
            <w:r>
              <w:rPr>
                <w:color w:val="000000"/>
                <w:sz w:val="20"/>
                <w:szCs w:val="20"/>
                <w:lang w:eastAsia="en-US"/>
              </w:rPr>
              <w:t>Torvoneustes coryphaeus</w:t>
            </w:r>
            <w:r>
              <w:rPr>
                <w:i/>
                <w:color w:val="000000"/>
                <w:sz w:val="20"/>
                <w:szCs w:val="20"/>
                <w:lang w:eastAsia="en-US"/>
              </w:rPr>
              <w:t xml:space="preserve">, and large specimens of </w:t>
            </w:r>
            <w:r>
              <w:rPr>
                <w:color w:val="000000"/>
                <w:sz w:val="20"/>
                <w:szCs w:val="20"/>
                <w:lang w:eastAsia="en-US"/>
              </w:rPr>
              <w:t>Tyrannoneustes lythrodectikos</w:t>
            </w:r>
            <w:r>
              <w:rPr>
                <w:i/>
                <w:color w:val="000000"/>
                <w:sz w:val="20"/>
                <w:szCs w:val="20"/>
                <w:lang w:eastAsia="en-US"/>
              </w:rPr>
              <w:t>.</w:t>
            </w:r>
          </w:p>
          <w:p w14:paraId="6573240E" w14:textId="77777777" w:rsidR="00D67975" w:rsidRDefault="00D67975" w:rsidP="00D67975">
            <w:pPr>
              <w:rPr>
                <w:color w:val="000000"/>
                <w:sz w:val="20"/>
                <w:szCs w:val="20"/>
                <w:lang w:eastAsia="en-US"/>
              </w:rPr>
            </w:pPr>
            <w:r>
              <w:rPr>
                <w:color w:val="000000"/>
                <w:sz w:val="20"/>
                <w:szCs w:val="20"/>
                <w:lang w:eastAsia="en-US"/>
              </w:rPr>
              <w:t>0. absent</w:t>
            </w:r>
          </w:p>
          <w:p w14:paraId="0D3B17B6" w14:textId="77777777" w:rsidR="00D67975" w:rsidRDefault="00D67975" w:rsidP="00D67975">
            <w:pPr>
              <w:rPr>
                <w:color w:val="000000"/>
                <w:sz w:val="20"/>
                <w:szCs w:val="20"/>
                <w:lang w:eastAsia="en-US"/>
              </w:rPr>
            </w:pPr>
            <w:r>
              <w:rPr>
                <w:color w:val="000000"/>
                <w:sz w:val="20"/>
                <w:szCs w:val="20"/>
                <w:lang w:eastAsia="en-US"/>
              </w:rPr>
              <w:t xml:space="preserve">1. present as a subtle, shallow groove </w:t>
            </w:r>
          </w:p>
          <w:p w14:paraId="2F0966CD" w14:textId="77777777" w:rsidR="00D67975" w:rsidRDefault="00D67975" w:rsidP="00D67975">
            <w:pPr>
              <w:rPr>
                <w:color w:val="000000"/>
                <w:sz w:val="20"/>
                <w:szCs w:val="20"/>
                <w:lang w:eastAsia="en-US"/>
              </w:rPr>
            </w:pPr>
            <w:r>
              <w:rPr>
                <w:color w:val="000000"/>
                <w:sz w:val="20"/>
                <w:szCs w:val="20"/>
                <w:lang w:eastAsia="en-US"/>
              </w:rPr>
              <w:t>2. deeply excavated</w:t>
            </w:r>
          </w:p>
        </w:tc>
      </w:tr>
      <w:tr w:rsidR="00D67975" w14:paraId="534F58E4" w14:textId="77777777" w:rsidTr="00D67975">
        <w:tc>
          <w:tcPr>
            <w:tcW w:w="516" w:type="dxa"/>
            <w:tcBorders>
              <w:top w:val="single" w:sz="4" w:space="0" w:color="auto"/>
              <w:left w:val="single" w:sz="4" w:space="0" w:color="auto"/>
              <w:bottom w:val="single" w:sz="4" w:space="0" w:color="auto"/>
              <w:right w:val="single" w:sz="4" w:space="0" w:color="auto"/>
            </w:tcBorders>
          </w:tcPr>
          <w:p w14:paraId="69DAB3A6" w14:textId="3954F20B" w:rsidR="00D67975" w:rsidRDefault="00D67975" w:rsidP="00D67975">
            <w:pPr>
              <w:rPr>
                <w:color w:val="000000"/>
                <w:sz w:val="20"/>
                <w:szCs w:val="20"/>
                <w:lang w:eastAsia="en-US"/>
              </w:rPr>
            </w:pPr>
            <w:r>
              <w:rPr>
                <w:color w:val="000000"/>
                <w:sz w:val="20"/>
                <w:szCs w:val="20"/>
                <w:lang w:eastAsia="en-US"/>
              </w:rPr>
              <w:lastRenderedPageBreak/>
              <w:t>250</w:t>
            </w:r>
          </w:p>
        </w:tc>
        <w:tc>
          <w:tcPr>
            <w:tcW w:w="0" w:type="auto"/>
            <w:tcBorders>
              <w:top w:val="single" w:sz="4" w:space="0" w:color="auto"/>
              <w:left w:val="single" w:sz="4" w:space="0" w:color="auto"/>
              <w:bottom w:val="single" w:sz="4" w:space="0" w:color="auto"/>
              <w:right w:val="single" w:sz="4" w:space="0" w:color="auto"/>
            </w:tcBorders>
            <w:vAlign w:val="bottom"/>
            <w:hideMark/>
          </w:tcPr>
          <w:p w14:paraId="062AC3D8" w14:textId="77777777" w:rsidR="00D67975" w:rsidRDefault="00D67975" w:rsidP="00D67975">
            <w:pPr>
              <w:rPr>
                <w:b/>
                <w:color w:val="000000"/>
                <w:sz w:val="20"/>
                <w:szCs w:val="20"/>
                <w:lang w:eastAsia="en-US"/>
              </w:rPr>
            </w:pPr>
            <w:r>
              <w:rPr>
                <w:b/>
                <w:color w:val="000000"/>
                <w:sz w:val="20"/>
                <w:szCs w:val="20"/>
                <w:lang w:eastAsia="en-US"/>
              </w:rPr>
              <w:t>Surangulodentary groove, relative length on both elements: (*)</w:t>
            </w:r>
          </w:p>
          <w:p w14:paraId="31A7F575" w14:textId="259F26CC" w:rsidR="00D67975" w:rsidRDefault="00D67975" w:rsidP="00D67975">
            <w:pPr>
              <w:autoSpaceDE w:val="0"/>
              <w:autoSpaceDN w:val="0"/>
              <w:adjustRightInd w:val="0"/>
              <w:rPr>
                <w:i/>
                <w:sz w:val="20"/>
                <w:szCs w:val="20"/>
                <w:lang w:eastAsia="en-US"/>
              </w:rPr>
            </w:pPr>
            <w:r>
              <w:rPr>
                <w:i/>
                <w:sz w:val="20"/>
                <w:szCs w:val="20"/>
                <w:lang w:eastAsia="en-US"/>
              </w:rPr>
              <w:t xml:space="preserve">Young et al. (2013a, ch. 115 part); Young et al. (2012, ch. 136); Young (2014, ch. 140); Young et al. (2016, ds 2, ch. 167); Ristevski et al. (2018, ds 2, ch. 221); Smith et al. (in review, ds 1, ch. 225); </w:t>
            </w:r>
            <w:r>
              <w:rPr>
                <w:i/>
                <w:sz w:val="20"/>
                <w:szCs w:val="20"/>
              </w:rPr>
              <w:t>Ősi et al. (in review, ds 1, ch. 249)</w:t>
            </w:r>
            <w:r>
              <w:rPr>
                <w:i/>
                <w:sz w:val="20"/>
                <w:szCs w:val="20"/>
                <w:lang w:eastAsia="en-US"/>
              </w:rPr>
              <w:t>.</w:t>
            </w:r>
          </w:p>
          <w:p w14:paraId="138067FE" w14:textId="77777777" w:rsidR="00D67975" w:rsidRDefault="00D67975" w:rsidP="00D67975">
            <w:pPr>
              <w:autoSpaceDE w:val="0"/>
              <w:autoSpaceDN w:val="0"/>
              <w:adjustRightInd w:val="0"/>
              <w:rPr>
                <w:i/>
                <w:iCs/>
                <w:color w:val="000000"/>
                <w:sz w:val="20"/>
                <w:szCs w:val="20"/>
                <w:lang w:eastAsia="en-US"/>
              </w:rPr>
            </w:pPr>
            <w:r>
              <w:rPr>
                <w:bCs/>
                <w:i/>
                <w:color w:val="000000"/>
                <w:sz w:val="20"/>
                <w:lang w:eastAsia="en-US"/>
              </w:rPr>
              <w:t>This character is not applicable for taxa that lack the surangulodentary groove.</w:t>
            </w:r>
          </w:p>
          <w:p w14:paraId="4022309F" w14:textId="77777777" w:rsidR="00D67975" w:rsidRDefault="00D67975" w:rsidP="00D67975">
            <w:pPr>
              <w:rPr>
                <w:color w:val="000000"/>
                <w:sz w:val="20"/>
                <w:szCs w:val="20"/>
                <w:lang w:eastAsia="en-US"/>
              </w:rPr>
            </w:pPr>
            <w:r>
              <w:rPr>
                <w:color w:val="000000"/>
                <w:sz w:val="20"/>
                <w:szCs w:val="20"/>
                <w:lang w:eastAsia="en-US"/>
              </w:rPr>
              <w:t>0. groove is longer on the dentary than on the surangular</w:t>
            </w:r>
          </w:p>
          <w:p w14:paraId="7AB02A2F" w14:textId="77777777" w:rsidR="00D67975" w:rsidRDefault="00D67975" w:rsidP="00D67975">
            <w:pPr>
              <w:rPr>
                <w:color w:val="000000"/>
                <w:sz w:val="20"/>
                <w:szCs w:val="20"/>
                <w:lang w:eastAsia="en-US"/>
              </w:rPr>
            </w:pPr>
            <w:r>
              <w:rPr>
                <w:color w:val="000000"/>
                <w:sz w:val="20"/>
                <w:szCs w:val="20"/>
                <w:lang w:eastAsia="en-US"/>
              </w:rPr>
              <w:t>1. groove is as long on the dentary as on the surangular</w:t>
            </w:r>
          </w:p>
        </w:tc>
      </w:tr>
      <w:tr w:rsidR="00D67975" w14:paraId="092BC297" w14:textId="77777777" w:rsidTr="00D67975">
        <w:tc>
          <w:tcPr>
            <w:tcW w:w="516" w:type="dxa"/>
            <w:tcBorders>
              <w:top w:val="single" w:sz="4" w:space="0" w:color="auto"/>
              <w:left w:val="single" w:sz="4" w:space="0" w:color="auto"/>
              <w:bottom w:val="single" w:sz="4" w:space="0" w:color="auto"/>
              <w:right w:val="single" w:sz="4" w:space="0" w:color="auto"/>
            </w:tcBorders>
          </w:tcPr>
          <w:p w14:paraId="2611FA92" w14:textId="0AD650E3" w:rsidR="00D67975" w:rsidRDefault="00D67975" w:rsidP="00D67975">
            <w:pPr>
              <w:rPr>
                <w:color w:val="000000"/>
                <w:sz w:val="20"/>
                <w:szCs w:val="20"/>
                <w:lang w:eastAsia="en-US"/>
              </w:rPr>
            </w:pPr>
            <w:r>
              <w:rPr>
                <w:color w:val="000000"/>
                <w:sz w:val="20"/>
                <w:szCs w:val="20"/>
                <w:lang w:eastAsia="en-US"/>
              </w:rPr>
              <w:t>251</w:t>
            </w:r>
          </w:p>
        </w:tc>
        <w:tc>
          <w:tcPr>
            <w:tcW w:w="0" w:type="auto"/>
            <w:tcBorders>
              <w:top w:val="single" w:sz="4" w:space="0" w:color="auto"/>
              <w:left w:val="single" w:sz="4" w:space="0" w:color="auto"/>
              <w:bottom w:val="single" w:sz="4" w:space="0" w:color="auto"/>
              <w:right w:val="single" w:sz="4" w:space="0" w:color="auto"/>
            </w:tcBorders>
            <w:vAlign w:val="bottom"/>
            <w:hideMark/>
          </w:tcPr>
          <w:p w14:paraId="1AC6816B" w14:textId="77777777" w:rsidR="00D67975" w:rsidRDefault="00D67975" w:rsidP="00D67975">
            <w:pPr>
              <w:rPr>
                <w:b/>
                <w:color w:val="000000"/>
                <w:sz w:val="20"/>
                <w:szCs w:val="20"/>
                <w:lang w:eastAsia="en-US"/>
              </w:rPr>
            </w:pPr>
            <w:r>
              <w:rPr>
                <w:b/>
                <w:color w:val="000000"/>
                <w:sz w:val="20"/>
                <w:szCs w:val="20"/>
                <w:lang w:eastAsia="en-US"/>
              </w:rPr>
              <w:t>Surangulodentary groove, large foramen present at the dentary terminus: (*)</w:t>
            </w:r>
          </w:p>
          <w:p w14:paraId="4C5F9932" w14:textId="14225D2D" w:rsidR="00D67975" w:rsidRDefault="00D67975" w:rsidP="00D67975">
            <w:pPr>
              <w:autoSpaceDE w:val="0"/>
              <w:autoSpaceDN w:val="0"/>
              <w:adjustRightInd w:val="0"/>
              <w:rPr>
                <w:i/>
                <w:sz w:val="20"/>
                <w:szCs w:val="20"/>
                <w:lang w:eastAsia="en-US"/>
              </w:rPr>
            </w:pPr>
            <w:r>
              <w:rPr>
                <w:i/>
                <w:sz w:val="20"/>
                <w:szCs w:val="20"/>
                <w:lang w:eastAsia="en-US"/>
              </w:rPr>
              <w:t xml:space="preserve">Wilkinson et al. (2008, ch. 46 part); Young &amp; Andrade (2009, ch. 46 part); </w:t>
            </w:r>
            <w:r>
              <w:rPr>
                <w:bCs/>
                <w:i/>
                <w:color w:val="000000"/>
                <w:sz w:val="20"/>
                <w:szCs w:val="20"/>
                <w:lang w:eastAsia="en-US"/>
              </w:rPr>
              <w:t xml:space="preserve">Young et al. (2011, ch. 190); Young et al. (2013a, ch. 116); </w:t>
            </w:r>
            <w:r>
              <w:rPr>
                <w:i/>
                <w:sz w:val="20"/>
                <w:szCs w:val="20"/>
                <w:lang w:eastAsia="en-US"/>
              </w:rPr>
              <w:t xml:space="preserve">Young et al. (2012, ch. 137); Young (2014, ch. 141); Young et al. (2016, ds 2, ch. 168); Ristevski et al. (2018, ds 2, ch. 222); Smith et al. (in review, ds 1, ch. 226); </w:t>
            </w:r>
            <w:r>
              <w:rPr>
                <w:i/>
                <w:sz w:val="20"/>
                <w:szCs w:val="20"/>
              </w:rPr>
              <w:t>Ősi et al. (in review, ds 1, ch. 250)</w:t>
            </w:r>
            <w:r>
              <w:rPr>
                <w:i/>
                <w:sz w:val="20"/>
                <w:szCs w:val="20"/>
                <w:lang w:eastAsia="en-US"/>
              </w:rPr>
              <w:t>.</w:t>
            </w:r>
          </w:p>
          <w:p w14:paraId="0A84FD44" w14:textId="77777777" w:rsidR="00D67975" w:rsidRDefault="00D67975" w:rsidP="00D67975">
            <w:pPr>
              <w:autoSpaceDE w:val="0"/>
              <w:autoSpaceDN w:val="0"/>
              <w:adjustRightInd w:val="0"/>
              <w:rPr>
                <w:i/>
                <w:iCs/>
                <w:color w:val="000000"/>
                <w:sz w:val="20"/>
                <w:szCs w:val="20"/>
                <w:lang w:eastAsia="en-US"/>
              </w:rPr>
            </w:pPr>
            <w:bookmarkStart w:id="60" w:name="_Hlk479235399"/>
            <w:r>
              <w:rPr>
                <w:bCs/>
                <w:i/>
                <w:color w:val="000000"/>
                <w:sz w:val="20"/>
                <w:lang w:eastAsia="en-US"/>
              </w:rPr>
              <w:t>This character is not applicable for taxa that lack the surangulodentary groove.</w:t>
            </w:r>
            <w:bookmarkEnd w:id="60"/>
          </w:p>
          <w:p w14:paraId="2AF4D4F9" w14:textId="77777777" w:rsidR="00D67975" w:rsidRDefault="00D67975" w:rsidP="00D67975">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w:t>
            </w:r>
          </w:p>
          <w:p w14:paraId="0D9B21F0" w14:textId="77777777" w:rsidR="00D67975" w:rsidRDefault="00D67975" w:rsidP="00D67975">
            <w:pPr>
              <w:rPr>
                <w:color w:val="000000"/>
                <w:sz w:val="20"/>
                <w:szCs w:val="20"/>
                <w:lang w:eastAsia="en-US"/>
              </w:rPr>
            </w:pPr>
            <w:r>
              <w:rPr>
                <w:color w:val="000000"/>
                <w:sz w:val="20"/>
                <w:szCs w:val="20"/>
                <w:lang w:eastAsia="en-US"/>
              </w:rPr>
              <w:t>0. absent</w:t>
            </w:r>
          </w:p>
          <w:p w14:paraId="1371A09F"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62B06B2D" w14:textId="77777777" w:rsidTr="00D67975">
        <w:tc>
          <w:tcPr>
            <w:tcW w:w="516" w:type="dxa"/>
            <w:tcBorders>
              <w:top w:val="single" w:sz="4" w:space="0" w:color="auto"/>
              <w:left w:val="single" w:sz="4" w:space="0" w:color="auto"/>
              <w:bottom w:val="single" w:sz="4" w:space="0" w:color="auto"/>
              <w:right w:val="single" w:sz="4" w:space="0" w:color="auto"/>
            </w:tcBorders>
          </w:tcPr>
          <w:p w14:paraId="6ED4D1A0" w14:textId="5AE9D37A" w:rsidR="00D67975" w:rsidRDefault="00D67975" w:rsidP="00D67975">
            <w:pPr>
              <w:rPr>
                <w:color w:val="000000"/>
                <w:sz w:val="20"/>
                <w:szCs w:val="20"/>
                <w:lang w:eastAsia="en-US"/>
              </w:rPr>
            </w:pPr>
            <w:r>
              <w:rPr>
                <w:color w:val="000000"/>
                <w:sz w:val="20"/>
                <w:szCs w:val="20"/>
                <w:lang w:eastAsia="en-US"/>
              </w:rPr>
              <w:t>252</w:t>
            </w:r>
          </w:p>
        </w:tc>
        <w:tc>
          <w:tcPr>
            <w:tcW w:w="0" w:type="auto"/>
            <w:tcBorders>
              <w:top w:val="single" w:sz="4" w:space="0" w:color="auto"/>
              <w:left w:val="single" w:sz="4" w:space="0" w:color="auto"/>
              <w:bottom w:val="single" w:sz="4" w:space="0" w:color="auto"/>
              <w:right w:val="single" w:sz="4" w:space="0" w:color="auto"/>
            </w:tcBorders>
            <w:vAlign w:val="bottom"/>
            <w:hideMark/>
          </w:tcPr>
          <w:p w14:paraId="757ADEDC" w14:textId="77777777" w:rsidR="00D67975" w:rsidRDefault="00D67975" w:rsidP="00D67975">
            <w:pPr>
              <w:rPr>
                <w:b/>
                <w:color w:val="000000"/>
                <w:sz w:val="20"/>
                <w:szCs w:val="20"/>
                <w:lang w:eastAsia="en-US"/>
              </w:rPr>
            </w:pPr>
            <w:r>
              <w:rPr>
                <w:b/>
                <w:color w:val="000000"/>
                <w:sz w:val="20"/>
                <w:szCs w:val="20"/>
                <w:lang w:eastAsia="en-US"/>
              </w:rPr>
              <w:t>Mandibular grooves, morphology along the dentary in lateral view: (*)</w:t>
            </w:r>
          </w:p>
          <w:p w14:paraId="05C481F4" w14:textId="6FA0A82D" w:rsidR="00D67975" w:rsidRDefault="00D67975" w:rsidP="00D67975">
            <w:pPr>
              <w:autoSpaceDE w:val="0"/>
              <w:autoSpaceDN w:val="0"/>
              <w:adjustRightInd w:val="0"/>
              <w:rPr>
                <w:bCs/>
                <w:i/>
                <w:color w:val="000000"/>
                <w:sz w:val="20"/>
                <w:lang w:eastAsia="en-US"/>
              </w:rPr>
            </w:pPr>
            <w:r>
              <w:rPr>
                <w:i/>
                <w:sz w:val="20"/>
                <w:szCs w:val="20"/>
                <w:lang w:eastAsia="en-US"/>
              </w:rPr>
              <w:t xml:space="preserve">Smith et al. (in review, ds 1, ch. 227); </w:t>
            </w:r>
            <w:r>
              <w:rPr>
                <w:i/>
                <w:sz w:val="20"/>
                <w:szCs w:val="20"/>
              </w:rPr>
              <w:t>Ősi et al. (in review, ds 1, ch. 251)</w:t>
            </w:r>
            <w:r>
              <w:rPr>
                <w:i/>
                <w:sz w:val="20"/>
                <w:szCs w:val="20"/>
                <w:lang w:eastAsia="en-US"/>
              </w:rPr>
              <w:t>.</w:t>
            </w:r>
          </w:p>
          <w:p w14:paraId="5EBA33FF" w14:textId="77777777" w:rsidR="00D67975" w:rsidRDefault="00D67975" w:rsidP="00D67975">
            <w:pPr>
              <w:autoSpaceDE w:val="0"/>
              <w:autoSpaceDN w:val="0"/>
              <w:adjustRightInd w:val="0"/>
              <w:rPr>
                <w:bCs/>
                <w:i/>
                <w:color w:val="000000"/>
                <w:sz w:val="20"/>
                <w:lang w:eastAsia="en-US"/>
              </w:rPr>
            </w:pPr>
            <w:r>
              <w:rPr>
                <w:bCs/>
                <w:i/>
                <w:color w:val="000000"/>
                <w:sz w:val="20"/>
                <w:lang w:eastAsia="en-US"/>
              </w:rPr>
              <w:t>This character is not applicable for taxa that lack the surangulodentary groove.</w:t>
            </w:r>
          </w:p>
          <w:p w14:paraId="2869ACFB" w14:textId="77777777" w:rsidR="00D67975" w:rsidRDefault="00D67975" w:rsidP="00D67975">
            <w:pPr>
              <w:autoSpaceDE w:val="0"/>
              <w:autoSpaceDN w:val="0"/>
              <w:adjustRightInd w:val="0"/>
              <w:rPr>
                <w:i/>
                <w:iCs/>
                <w:color w:val="000000"/>
                <w:sz w:val="20"/>
                <w:szCs w:val="20"/>
                <w:lang w:eastAsia="en-US"/>
              </w:rPr>
            </w:pPr>
            <w:r>
              <w:rPr>
                <w:bCs/>
                <w:i/>
                <w:color w:val="000000"/>
                <w:sz w:val="20"/>
                <w:lang w:eastAsia="en-US"/>
              </w:rPr>
              <w:t>State (1) occurs in basal metriorhynchoids.</w:t>
            </w:r>
          </w:p>
          <w:p w14:paraId="791DEFDF" w14:textId="77777777" w:rsidR="00D67975" w:rsidRDefault="00D67975" w:rsidP="00D67975">
            <w:pPr>
              <w:rPr>
                <w:color w:val="000000"/>
                <w:sz w:val="20"/>
                <w:szCs w:val="20"/>
                <w:lang w:eastAsia="en-US"/>
              </w:rPr>
            </w:pPr>
            <w:r>
              <w:rPr>
                <w:color w:val="000000"/>
                <w:sz w:val="20"/>
                <w:szCs w:val="20"/>
                <w:lang w:eastAsia="en-US"/>
              </w:rPr>
              <w:t>0. the surangulodentary and angulodentary grooves are either poorly developed, not elongate, converge towards one another (i.e. they are not parallel, and close to one another ventral to the dentary rami tooth row</w:t>
            </w:r>
          </w:p>
          <w:p w14:paraId="0C884449" w14:textId="77777777" w:rsidR="00D67975" w:rsidRDefault="00D67975" w:rsidP="00D67975">
            <w:pPr>
              <w:rPr>
                <w:color w:val="000000"/>
                <w:sz w:val="20"/>
                <w:szCs w:val="20"/>
                <w:lang w:eastAsia="en-US"/>
              </w:rPr>
            </w:pPr>
            <w:r>
              <w:rPr>
                <w:color w:val="000000"/>
                <w:sz w:val="20"/>
                <w:szCs w:val="20"/>
                <w:lang w:eastAsia="en-US"/>
              </w:rPr>
              <w:t>1. the surangulodentary and angulodentary grooves are parallel and positioned close to one another ventral to the dentary rami tooth row</w:t>
            </w:r>
          </w:p>
        </w:tc>
      </w:tr>
      <w:tr w:rsidR="00D67975" w14:paraId="43BC02A3" w14:textId="77777777" w:rsidTr="00D67975">
        <w:tc>
          <w:tcPr>
            <w:tcW w:w="516" w:type="dxa"/>
            <w:tcBorders>
              <w:top w:val="single" w:sz="4" w:space="0" w:color="auto"/>
              <w:left w:val="single" w:sz="4" w:space="0" w:color="auto"/>
              <w:bottom w:val="single" w:sz="4" w:space="0" w:color="auto"/>
              <w:right w:val="single" w:sz="4" w:space="0" w:color="auto"/>
            </w:tcBorders>
          </w:tcPr>
          <w:p w14:paraId="250C8234" w14:textId="5762E64E" w:rsidR="00D67975" w:rsidRDefault="00D67975" w:rsidP="00D67975">
            <w:pPr>
              <w:rPr>
                <w:color w:val="000000"/>
                <w:sz w:val="20"/>
                <w:szCs w:val="20"/>
                <w:lang w:eastAsia="en-US"/>
              </w:rPr>
            </w:pPr>
            <w:r>
              <w:rPr>
                <w:color w:val="000000"/>
                <w:sz w:val="20"/>
                <w:szCs w:val="20"/>
                <w:lang w:eastAsia="en-US"/>
              </w:rPr>
              <w:t>253</w:t>
            </w:r>
          </w:p>
        </w:tc>
        <w:tc>
          <w:tcPr>
            <w:tcW w:w="0" w:type="auto"/>
            <w:tcBorders>
              <w:top w:val="single" w:sz="4" w:space="0" w:color="auto"/>
              <w:left w:val="single" w:sz="4" w:space="0" w:color="auto"/>
              <w:bottom w:val="single" w:sz="4" w:space="0" w:color="auto"/>
              <w:right w:val="single" w:sz="4" w:space="0" w:color="auto"/>
            </w:tcBorders>
            <w:vAlign w:val="bottom"/>
            <w:hideMark/>
          </w:tcPr>
          <w:p w14:paraId="6BEBCB19" w14:textId="77777777" w:rsidR="00D67975" w:rsidRDefault="00D67975" w:rsidP="00D67975">
            <w:pPr>
              <w:rPr>
                <w:b/>
                <w:color w:val="000000"/>
                <w:sz w:val="20"/>
                <w:szCs w:val="20"/>
                <w:lang w:eastAsia="en-US"/>
              </w:rPr>
            </w:pPr>
            <w:r>
              <w:rPr>
                <w:b/>
                <w:color w:val="000000"/>
                <w:sz w:val="20"/>
                <w:szCs w:val="20"/>
                <w:lang w:eastAsia="en-US"/>
              </w:rPr>
              <w:t>Splenial, involvement in mandibular symphysis:</w:t>
            </w:r>
          </w:p>
          <w:p w14:paraId="4FDB5F7D" w14:textId="467C66F3" w:rsidR="00D67975" w:rsidRDefault="00D67975" w:rsidP="00D67975">
            <w:pPr>
              <w:autoSpaceDE w:val="0"/>
              <w:autoSpaceDN w:val="0"/>
              <w:adjustRightInd w:val="0"/>
              <w:rPr>
                <w:i/>
                <w:sz w:val="20"/>
                <w:szCs w:val="20"/>
                <w:lang w:eastAsia="en-US"/>
              </w:rPr>
            </w:pPr>
            <w:r>
              <w:rPr>
                <w:i/>
                <w:sz w:val="20"/>
                <w:szCs w:val="20"/>
                <w:lang w:eastAsia="en-US"/>
              </w:rPr>
              <w:t xml:space="preserve">Young (2006, ch. 25 modified); Wilkinson et al. (2008, ch. 49 modified); Young &amp; Andrade (2009, ch. 49 modified); </w:t>
            </w:r>
            <w:r>
              <w:rPr>
                <w:bCs/>
                <w:i/>
                <w:color w:val="000000"/>
                <w:sz w:val="20"/>
                <w:szCs w:val="20"/>
                <w:lang w:eastAsia="en-US"/>
              </w:rPr>
              <w:t xml:space="preserve">Young et al. (2011, ch. 49 modified); Young et al. (2013a, ch. 117 modified); </w:t>
            </w:r>
            <w:r>
              <w:rPr>
                <w:i/>
                <w:sz w:val="20"/>
                <w:szCs w:val="20"/>
                <w:lang w:eastAsia="en-US"/>
              </w:rPr>
              <w:t xml:space="preserve">Young et al. (2012, ch. 138 modified); Young (2014, ch. 142); Young et al. (2016, ds 2, ch. 169 modified); Ristevski et al. (2018, ds 2, ch. 223); Smith et al. (in review, ds 1, ch. 228); </w:t>
            </w:r>
            <w:r>
              <w:rPr>
                <w:i/>
                <w:sz w:val="20"/>
                <w:szCs w:val="20"/>
              </w:rPr>
              <w:t>Ősi et al. (in review, ds 1, ch. 252)</w:t>
            </w:r>
            <w:r>
              <w:rPr>
                <w:i/>
                <w:sz w:val="20"/>
                <w:szCs w:val="20"/>
                <w:lang w:eastAsia="en-US"/>
              </w:rPr>
              <w:t>.</w:t>
            </w:r>
          </w:p>
          <w:p w14:paraId="2DEB1D59" w14:textId="77777777" w:rsidR="00D67975" w:rsidRDefault="00D67975" w:rsidP="00D67975">
            <w:pPr>
              <w:rPr>
                <w:color w:val="000000"/>
                <w:sz w:val="20"/>
                <w:szCs w:val="20"/>
                <w:lang w:eastAsia="en-US"/>
              </w:rPr>
            </w:pPr>
            <w:r>
              <w:rPr>
                <w:color w:val="000000"/>
                <w:sz w:val="20"/>
                <w:szCs w:val="20"/>
                <w:lang w:eastAsia="en-US"/>
              </w:rPr>
              <w:t>0. slight (less than 10% of symphysis length)</w:t>
            </w:r>
          </w:p>
          <w:p w14:paraId="2FD19821" w14:textId="77777777" w:rsidR="00D67975" w:rsidRDefault="00D67975" w:rsidP="00D67975">
            <w:pPr>
              <w:rPr>
                <w:color w:val="000000"/>
                <w:sz w:val="20"/>
                <w:szCs w:val="20"/>
                <w:lang w:eastAsia="en-US"/>
              </w:rPr>
            </w:pPr>
            <w:r>
              <w:rPr>
                <w:color w:val="000000"/>
                <w:sz w:val="20"/>
                <w:szCs w:val="20"/>
                <w:lang w:eastAsia="en-US"/>
              </w:rPr>
              <w:t>1. extensive (greater than, or equal to, 15% of symphysis length)</w:t>
            </w:r>
          </w:p>
          <w:p w14:paraId="16C5F7B1" w14:textId="77777777" w:rsidR="00D67975" w:rsidRDefault="00D67975" w:rsidP="00D67975">
            <w:pPr>
              <w:rPr>
                <w:color w:val="000000"/>
                <w:sz w:val="20"/>
                <w:szCs w:val="20"/>
                <w:lang w:eastAsia="en-US"/>
              </w:rPr>
            </w:pPr>
            <w:r>
              <w:rPr>
                <w:color w:val="000000"/>
                <w:sz w:val="20"/>
                <w:szCs w:val="20"/>
                <w:lang w:eastAsia="en-US"/>
              </w:rPr>
              <w:t>2. not involved</w:t>
            </w:r>
          </w:p>
        </w:tc>
      </w:tr>
      <w:tr w:rsidR="00D67975" w14:paraId="1FBAC618" w14:textId="77777777" w:rsidTr="00D67975">
        <w:tc>
          <w:tcPr>
            <w:tcW w:w="516" w:type="dxa"/>
            <w:tcBorders>
              <w:top w:val="single" w:sz="4" w:space="0" w:color="auto"/>
              <w:left w:val="single" w:sz="4" w:space="0" w:color="auto"/>
              <w:bottom w:val="single" w:sz="4" w:space="0" w:color="auto"/>
              <w:right w:val="single" w:sz="4" w:space="0" w:color="auto"/>
            </w:tcBorders>
          </w:tcPr>
          <w:p w14:paraId="1EBE100B" w14:textId="082A2943" w:rsidR="00D67975" w:rsidRDefault="00D67975" w:rsidP="00D67975">
            <w:pPr>
              <w:rPr>
                <w:color w:val="000000"/>
                <w:sz w:val="20"/>
                <w:szCs w:val="20"/>
                <w:lang w:eastAsia="en-US"/>
              </w:rPr>
            </w:pPr>
            <w:r>
              <w:rPr>
                <w:color w:val="000000"/>
                <w:sz w:val="20"/>
                <w:szCs w:val="20"/>
                <w:lang w:eastAsia="en-US"/>
              </w:rPr>
              <w:t>254</w:t>
            </w:r>
          </w:p>
        </w:tc>
        <w:tc>
          <w:tcPr>
            <w:tcW w:w="0" w:type="auto"/>
            <w:tcBorders>
              <w:top w:val="single" w:sz="4" w:space="0" w:color="auto"/>
              <w:left w:val="single" w:sz="4" w:space="0" w:color="auto"/>
              <w:bottom w:val="single" w:sz="4" w:space="0" w:color="auto"/>
              <w:right w:val="single" w:sz="4" w:space="0" w:color="auto"/>
            </w:tcBorders>
            <w:vAlign w:val="bottom"/>
            <w:hideMark/>
          </w:tcPr>
          <w:p w14:paraId="7C7A2DE4" w14:textId="77777777" w:rsidR="00D67975" w:rsidRDefault="00D67975" w:rsidP="00D67975">
            <w:pPr>
              <w:rPr>
                <w:b/>
                <w:color w:val="000000"/>
                <w:sz w:val="20"/>
                <w:szCs w:val="20"/>
                <w:lang w:eastAsia="en-US"/>
              </w:rPr>
            </w:pPr>
            <w:r>
              <w:rPr>
                <w:b/>
                <w:color w:val="000000"/>
                <w:sz w:val="20"/>
                <w:szCs w:val="20"/>
                <w:lang w:eastAsia="en-US"/>
              </w:rPr>
              <w:t>Angular, in lateral view, extension of the anterior lateral ramus:</w:t>
            </w:r>
          </w:p>
          <w:p w14:paraId="763F70FF" w14:textId="4DAFE8CC" w:rsidR="00D67975" w:rsidRDefault="00D67975" w:rsidP="00D67975">
            <w:pPr>
              <w:autoSpaceDE w:val="0"/>
              <w:autoSpaceDN w:val="0"/>
              <w:adjustRightInd w:val="0"/>
              <w:rPr>
                <w:i/>
                <w:sz w:val="20"/>
                <w:szCs w:val="20"/>
                <w:lang w:eastAsia="en-US"/>
              </w:rPr>
            </w:pPr>
            <w:r>
              <w:rPr>
                <w:i/>
                <w:sz w:val="20"/>
                <w:szCs w:val="20"/>
                <w:lang w:eastAsia="en-US"/>
              </w:rPr>
              <w:t xml:space="preserve">Young (2006, ch. 24 part); Wilkinson et al. (2008, ch. 47 part); Young &amp; Andrade (2009, ch. 47 part); </w:t>
            </w:r>
            <w:r>
              <w:rPr>
                <w:bCs/>
                <w:i/>
                <w:color w:val="000000"/>
                <w:sz w:val="20"/>
                <w:szCs w:val="20"/>
                <w:lang w:eastAsia="en-US"/>
              </w:rPr>
              <w:t xml:space="preserve">Young et al. (2011, ch. 47 part); Young et al. (2013a, ch. 118 part); </w:t>
            </w:r>
            <w:r>
              <w:rPr>
                <w:i/>
                <w:sz w:val="20"/>
                <w:szCs w:val="20"/>
                <w:lang w:eastAsia="en-US"/>
              </w:rPr>
              <w:t xml:space="preserve">Young et al. (2012, ch. 139); Young (2014, ch. 143); Young et al. (2016, ds 2, ch. 170); Ristevski et al. (2018, ds 2, ch. 224); Smith et al. (in review, ds 1, ch. 229); </w:t>
            </w:r>
            <w:r>
              <w:rPr>
                <w:i/>
                <w:sz w:val="20"/>
                <w:szCs w:val="20"/>
              </w:rPr>
              <w:t>Ősi et al. (in review, ds 1, ch. 253)</w:t>
            </w:r>
            <w:r>
              <w:rPr>
                <w:i/>
                <w:sz w:val="20"/>
                <w:szCs w:val="20"/>
                <w:lang w:eastAsia="en-US"/>
              </w:rPr>
              <w:t>.</w:t>
            </w:r>
          </w:p>
          <w:p w14:paraId="7ADED980" w14:textId="77777777" w:rsidR="00D67975" w:rsidRDefault="00D67975" w:rsidP="00D67975">
            <w:pPr>
              <w:rPr>
                <w:color w:val="000000"/>
                <w:sz w:val="20"/>
                <w:szCs w:val="20"/>
                <w:lang w:eastAsia="en-US"/>
              </w:rPr>
            </w:pPr>
            <w:r>
              <w:rPr>
                <w:color w:val="000000"/>
                <w:sz w:val="20"/>
                <w:szCs w:val="20"/>
                <w:lang w:eastAsia="en-US"/>
              </w:rPr>
              <w:t>0. short, does not extend beyond the orbits</w:t>
            </w:r>
          </w:p>
          <w:p w14:paraId="524AEEDF" w14:textId="77777777" w:rsidR="00D67975" w:rsidRDefault="00D67975" w:rsidP="00D67975">
            <w:pPr>
              <w:rPr>
                <w:color w:val="000000"/>
                <w:sz w:val="20"/>
                <w:szCs w:val="20"/>
                <w:lang w:eastAsia="en-US"/>
              </w:rPr>
            </w:pPr>
            <w:r>
              <w:rPr>
                <w:color w:val="000000"/>
                <w:sz w:val="20"/>
                <w:szCs w:val="20"/>
                <w:lang w:eastAsia="en-US"/>
              </w:rPr>
              <w:t>1. long, does extend anteriorly beyond the orbits</w:t>
            </w:r>
          </w:p>
        </w:tc>
      </w:tr>
      <w:tr w:rsidR="00D67975" w14:paraId="664DDE92" w14:textId="77777777" w:rsidTr="00D67975">
        <w:tc>
          <w:tcPr>
            <w:tcW w:w="516" w:type="dxa"/>
            <w:tcBorders>
              <w:top w:val="single" w:sz="4" w:space="0" w:color="auto"/>
              <w:left w:val="single" w:sz="4" w:space="0" w:color="auto"/>
              <w:bottom w:val="single" w:sz="4" w:space="0" w:color="auto"/>
              <w:right w:val="single" w:sz="4" w:space="0" w:color="auto"/>
            </w:tcBorders>
          </w:tcPr>
          <w:p w14:paraId="5B4E3B78" w14:textId="547DAA88" w:rsidR="00D67975" w:rsidRDefault="00D67975" w:rsidP="00D67975">
            <w:pPr>
              <w:rPr>
                <w:color w:val="000000"/>
                <w:sz w:val="20"/>
                <w:szCs w:val="20"/>
                <w:lang w:eastAsia="en-US"/>
              </w:rPr>
            </w:pPr>
            <w:r>
              <w:rPr>
                <w:color w:val="000000"/>
                <w:sz w:val="20"/>
                <w:szCs w:val="20"/>
                <w:lang w:eastAsia="en-US"/>
              </w:rPr>
              <w:t>255</w:t>
            </w:r>
          </w:p>
        </w:tc>
        <w:tc>
          <w:tcPr>
            <w:tcW w:w="0" w:type="auto"/>
            <w:tcBorders>
              <w:top w:val="single" w:sz="4" w:space="0" w:color="auto"/>
              <w:left w:val="single" w:sz="4" w:space="0" w:color="auto"/>
              <w:bottom w:val="single" w:sz="4" w:space="0" w:color="auto"/>
              <w:right w:val="single" w:sz="4" w:space="0" w:color="auto"/>
            </w:tcBorders>
            <w:vAlign w:val="bottom"/>
            <w:hideMark/>
          </w:tcPr>
          <w:p w14:paraId="634C3FA3" w14:textId="77777777" w:rsidR="00D67975" w:rsidRDefault="00D67975" w:rsidP="00D67975">
            <w:pPr>
              <w:rPr>
                <w:b/>
                <w:sz w:val="20"/>
                <w:szCs w:val="20"/>
                <w:lang w:eastAsia="en-US"/>
              </w:rPr>
            </w:pPr>
            <w:r>
              <w:rPr>
                <w:b/>
                <w:sz w:val="20"/>
                <w:szCs w:val="20"/>
                <w:lang w:eastAsia="en-US"/>
              </w:rPr>
              <w:t>Angular, in lateral view, posterodorsal extension:</w:t>
            </w:r>
          </w:p>
          <w:p w14:paraId="7F323045" w14:textId="0FB3D964" w:rsidR="00D67975" w:rsidRDefault="00D67975" w:rsidP="00D67975">
            <w:pPr>
              <w:rPr>
                <w:i/>
                <w:sz w:val="20"/>
                <w:szCs w:val="20"/>
                <w:lang w:eastAsia="en-US"/>
              </w:rPr>
            </w:pPr>
            <w:r>
              <w:rPr>
                <w:i/>
                <w:sz w:val="20"/>
                <w:szCs w:val="20"/>
                <w:lang w:eastAsia="en-US"/>
              </w:rPr>
              <w:t xml:space="preserve">Jouve et al. (2008, ch. </w:t>
            </w:r>
            <w:r>
              <w:rPr>
                <w:bCs/>
                <w:i/>
                <w:sz w:val="20"/>
                <w:szCs w:val="20"/>
                <w:lang w:eastAsia="en-US"/>
              </w:rPr>
              <w:t xml:space="preserve">39 modified); Hastings et al. (2010, ch. 79 modified); </w:t>
            </w:r>
            <w:r>
              <w:rPr>
                <w:i/>
                <w:sz w:val="20"/>
                <w:szCs w:val="20"/>
                <w:lang w:eastAsia="en-US"/>
              </w:rPr>
              <w:t xml:space="preserve">Ristevski et al. (2018, ds 2, ch. 225); Smith et al. (in review, ds 1, ch. 230); </w:t>
            </w:r>
            <w:r>
              <w:rPr>
                <w:i/>
                <w:sz w:val="20"/>
                <w:szCs w:val="20"/>
              </w:rPr>
              <w:t>Ősi et al. (in review, ds 1, ch. 254)</w:t>
            </w:r>
            <w:r>
              <w:rPr>
                <w:i/>
                <w:sz w:val="20"/>
                <w:szCs w:val="20"/>
                <w:lang w:eastAsia="en-US"/>
              </w:rPr>
              <w:t>.</w:t>
            </w:r>
          </w:p>
          <w:p w14:paraId="4372C206" w14:textId="77777777" w:rsidR="00D67975" w:rsidRDefault="00D67975" w:rsidP="00D67975">
            <w:pPr>
              <w:rPr>
                <w:sz w:val="20"/>
                <w:szCs w:val="20"/>
                <w:lang w:eastAsia="en-US"/>
              </w:rPr>
            </w:pPr>
            <w:r>
              <w:rPr>
                <w:sz w:val="20"/>
                <w:szCs w:val="20"/>
                <w:lang w:eastAsia="en-US"/>
              </w:rPr>
              <w:t xml:space="preserve">0. reaches the retroarticular process </w:t>
            </w:r>
          </w:p>
          <w:p w14:paraId="248A3CDE" w14:textId="77777777" w:rsidR="00D67975" w:rsidRDefault="00D67975" w:rsidP="00D67975">
            <w:pPr>
              <w:rPr>
                <w:b/>
                <w:color w:val="000000"/>
                <w:sz w:val="20"/>
                <w:szCs w:val="20"/>
                <w:lang w:eastAsia="en-US"/>
              </w:rPr>
            </w:pPr>
            <w:r>
              <w:rPr>
                <w:sz w:val="20"/>
                <w:szCs w:val="20"/>
                <w:lang w:eastAsia="en-US"/>
              </w:rPr>
              <w:t>1. does not reach the retroarticular process</w:t>
            </w:r>
          </w:p>
        </w:tc>
      </w:tr>
      <w:tr w:rsidR="00D67975" w14:paraId="750225E4" w14:textId="77777777" w:rsidTr="00D67975">
        <w:tc>
          <w:tcPr>
            <w:tcW w:w="516" w:type="dxa"/>
            <w:tcBorders>
              <w:top w:val="single" w:sz="4" w:space="0" w:color="auto"/>
              <w:left w:val="single" w:sz="4" w:space="0" w:color="auto"/>
              <w:bottom w:val="single" w:sz="4" w:space="0" w:color="auto"/>
              <w:right w:val="single" w:sz="4" w:space="0" w:color="auto"/>
            </w:tcBorders>
          </w:tcPr>
          <w:p w14:paraId="546083A5" w14:textId="74041046" w:rsidR="00D67975" w:rsidRDefault="00D67975" w:rsidP="00D67975">
            <w:pPr>
              <w:rPr>
                <w:color w:val="000000"/>
                <w:sz w:val="20"/>
                <w:szCs w:val="20"/>
                <w:lang w:eastAsia="en-US"/>
              </w:rPr>
            </w:pPr>
            <w:r>
              <w:rPr>
                <w:color w:val="000000"/>
                <w:sz w:val="20"/>
                <w:szCs w:val="20"/>
                <w:lang w:eastAsia="en-US"/>
              </w:rPr>
              <w:t>256</w:t>
            </w:r>
          </w:p>
        </w:tc>
        <w:tc>
          <w:tcPr>
            <w:tcW w:w="0" w:type="auto"/>
            <w:tcBorders>
              <w:top w:val="single" w:sz="4" w:space="0" w:color="auto"/>
              <w:left w:val="single" w:sz="4" w:space="0" w:color="auto"/>
              <w:bottom w:val="single" w:sz="4" w:space="0" w:color="auto"/>
              <w:right w:val="single" w:sz="4" w:space="0" w:color="auto"/>
            </w:tcBorders>
            <w:vAlign w:val="bottom"/>
            <w:hideMark/>
          </w:tcPr>
          <w:p w14:paraId="15A72D68" w14:textId="77777777" w:rsidR="00D67975" w:rsidRDefault="00D67975" w:rsidP="00D67975">
            <w:pPr>
              <w:rPr>
                <w:b/>
                <w:color w:val="000000"/>
                <w:sz w:val="20"/>
                <w:szCs w:val="20"/>
                <w:lang w:eastAsia="en-US"/>
              </w:rPr>
            </w:pPr>
            <w:r>
              <w:rPr>
                <w:b/>
                <w:color w:val="000000"/>
                <w:sz w:val="20"/>
                <w:szCs w:val="20"/>
                <w:lang w:eastAsia="en-US"/>
              </w:rPr>
              <w:t>Surangular, in lateral view, extension of the anterior lateral ramus:</w:t>
            </w:r>
          </w:p>
          <w:p w14:paraId="4985A7CD" w14:textId="5336830B" w:rsidR="00D67975" w:rsidRDefault="00D67975" w:rsidP="00D67975">
            <w:pPr>
              <w:autoSpaceDE w:val="0"/>
              <w:autoSpaceDN w:val="0"/>
              <w:adjustRightInd w:val="0"/>
              <w:rPr>
                <w:i/>
                <w:sz w:val="20"/>
                <w:szCs w:val="20"/>
                <w:lang w:eastAsia="en-US"/>
              </w:rPr>
            </w:pPr>
            <w:r>
              <w:rPr>
                <w:i/>
                <w:sz w:val="20"/>
                <w:szCs w:val="20"/>
                <w:lang w:eastAsia="en-US"/>
              </w:rPr>
              <w:t xml:space="preserve">Young (2006, ch. 24 part); Wilkinson et al. (2008, ch. 47 part); Young &amp; Andrade (2009, ch. 47 part); Andrade et al. (2011, ch. 346 modified); </w:t>
            </w:r>
            <w:r>
              <w:rPr>
                <w:bCs/>
                <w:i/>
                <w:color w:val="000000"/>
                <w:sz w:val="20"/>
                <w:szCs w:val="20"/>
                <w:lang w:eastAsia="en-US"/>
              </w:rPr>
              <w:t>Young et al. (2011, ch. 47 part); Young et al. (2013a, ch. 118 part);</w:t>
            </w:r>
            <w:r>
              <w:rPr>
                <w:i/>
                <w:sz w:val="20"/>
                <w:szCs w:val="20"/>
                <w:lang w:eastAsia="en-US"/>
              </w:rPr>
              <w:t xml:space="preserve"> Young et al. (2012, ch. 140); Young (2014, ch. 144); Young et al. (2016, ds 2, ch. 171); Ristevski et al. (2018, ds 2, ch. 226); Smith et al. (in review, ds 1, ch. 231); </w:t>
            </w:r>
            <w:r>
              <w:rPr>
                <w:i/>
                <w:sz w:val="20"/>
                <w:szCs w:val="20"/>
              </w:rPr>
              <w:t>Ősi et al. (in review, ds 1, ch. 255)</w:t>
            </w:r>
            <w:r>
              <w:rPr>
                <w:i/>
                <w:sz w:val="20"/>
                <w:szCs w:val="20"/>
                <w:lang w:eastAsia="en-US"/>
              </w:rPr>
              <w:t>.</w:t>
            </w:r>
          </w:p>
          <w:p w14:paraId="27834615" w14:textId="77777777" w:rsidR="00D67975" w:rsidRDefault="00D67975" w:rsidP="00D67975">
            <w:pPr>
              <w:rPr>
                <w:color w:val="000000"/>
                <w:sz w:val="20"/>
                <w:szCs w:val="20"/>
                <w:lang w:eastAsia="en-US"/>
              </w:rPr>
            </w:pPr>
            <w:r>
              <w:rPr>
                <w:color w:val="000000"/>
                <w:sz w:val="20"/>
                <w:szCs w:val="20"/>
                <w:lang w:eastAsia="en-US"/>
              </w:rPr>
              <w:t>0. short, does not extend anteriorly beyond the orbit</w:t>
            </w:r>
          </w:p>
          <w:p w14:paraId="7224489A" w14:textId="77777777" w:rsidR="00D67975" w:rsidRDefault="00D67975" w:rsidP="00D67975">
            <w:pPr>
              <w:rPr>
                <w:color w:val="000000"/>
                <w:sz w:val="20"/>
                <w:szCs w:val="20"/>
                <w:lang w:eastAsia="en-US"/>
              </w:rPr>
            </w:pPr>
            <w:r>
              <w:rPr>
                <w:color w:val="000000"/>
                <w:sz w:val="20"/>
                <w:szCs w:val="20"/>
                <w:lang w:eastAsia="en-US"/>
              </w:rPr>
              <w:t>1. long, extends anteriorly beyond the orbit</w:t>
            </w:r>
          </w:p>
        </w:tc>
      </w:tr>
      <w:tr w:rsidR="00D67975" w14:paraId="7CB2B2D0" w14:textId="77777777" w:rsidTr="00D67975">
        <w:tc>
          <w:tcPr>
            <w:tcW w:w="516" w:type="dxa"/>
            <w:tcBorders>
              <w:top w:val="single" w:sz="4" w:space="0" w:color="auto"/>
              <w:left w:val="single" w:sz="4" w:space="0" w:color="auto"/>
              <w:bottom w:val="single" w:sz="4" w:space="0" w:color="auto"/>
              <w:right w:val="single" w:sz="4" w:space="0" w:color="auto"/>
            </w:tcBorders>
          </w:tcPr>
          <w:p w14:paraId="6E749609" w14:textId="5AF14AB5" w:rsidR="00D67975" w:rsidRDefault="00D67975" w:rsidP="00D67975">
            <w:pPr>
              <w:rPr>
                <w:color w:val="000000"/>
                <w:sz w:val="20"/>
                <w:szCs w:val="20"/>
                <w:lang w:eastAsia="en-US"/>
              </w:rPr>
            </w:pPr>
            <w:r>
              <w:rPr>
                <w:color w:val="000000"/>
                <w:sz w:val="20"/>
                <w:szCs w:val="20"/>
                <w:lang w:eastAsia="en-US"/>
              </w:rPr>
              <w:t>257</w:t>
            </w:r>
          </w:p>
        </w:tc>
        <w:tc>
          <w:tcPr>
            <w:tcW w:w="0" w:type="auto"/>
            <w:tcBorders>
              <w:top w:val="single" w:sz="4" w:space="0" w:color="auto"/>
              <w:left w:val="single" w:sz="4" w:space="0" w:color="auto"/>
              <w:bottom w:val="single" w:sz="4" w:space="0" w:color="auto"/>
              <w:right w:val="single" w:sz="4" w:space="0" w:color="auto"/>
            </w:tcBorders>
            <w:vAlign w:val="bottom"/>
            <w:hideMark/>
          </w:tcPr>
          <w:p w14:paraId="09ACBB01" w14:textId="77777777" w:rsidR="00D67975" w:rsidRDefault="00D67975" w:rsidP="00D67975">
            <w:pPr>
              <w:rPr>
                <w:b/>
                <w:color w:val="000000"/>
                <w:sz w:val="20"/>
                <w:szCs w:val="20"/>
                <w:lang w:eastAsia="en-US"/>
              </w:rPr>
            </w:pPr>
            <w:r>
              <w:rPr>
                <w:b/>
                <w:color w:val="000000"/>
                <w:sz w:val="20"/>
                <w:szCs w:val="20"/>
                <w:lang w:eastAsia="en-US"/>
              </w:rPr>
              <w:t>Surangular, along the dorsal margin of the mandible:</w:t>
            </w:r>
          </w:p>
          <w:p w14:paraId="428EBFD9" w14:textId="287C2BB8" w:rsidR="00D67975" w:rsidRDefault="00D67975" w:rsidP="00D67975">
            <w:pPr>
              <w:autoSpaceDE w:val="0"/>
              <w:autoSpaceDN w:val="0"/>
              <w:adjustRightInd w:val="0"/>
              <w:rPr>
                <w:i/>
                <w:sz w:val="20"/>
                <w:szCs w:val="20"/>
                <w:lang w:eastAsia="en-US"/>
              </w:rPr>
            </w:pPr>
            <w:r>
              <w:rPr>
                <w:i/>
                <w:sz w:val="20"/>
                <w:szCs w:val="20"/>
                <w:lang w:eastAsia="en-US"/>
              </w:rPr>
              <w:lastRenderedPageBreak/>
              <w:t xml:space="preserve">Wilkinson et al. (2008, ch. 48); Young &amp; Andrade (2009, ch. 48); </w:t>
            </w:r>
            <w:r>
              <w:rPr>
                <w:bCs/>
                <w:i/>
                <w:color w:val="000000"/>
                <w:sz w:val="20"/>
                <w:szCs w:val="20"/>
                <w:lang w:eastAsia="en-US"/>
              </w:rPr>
              <w:t xml:space="preserve">Young et al. (2011, ch. 48); Young et al. (2013a, ch. 119); </w:t>
            </w:r>
            <w:r>
              <w:rPr>
                <w:i/>
                <w:sz w:val="20"/>
                <w:szCs w:val="20"/>
                <w:lang w:eastAsia="en-US"/>
              </w:rPr>
              <w:t xml:space="preserve">Young et al. (2012, ch. 141); Young (2014, ch. 145); Young et al. (2016, ds 2, ch. 172); Ristevski et al. (2018, ds 2, ch. 227); Smith et al. (in review, ds 1, ch. 232); </w:t>
            </w:r>
            <w:r>
              <w:rPr>
                <w:i/>
                <w:sz w:val="20"/>
                <w:szCs w:val="20"/>
              </w:rPr>
              <w:t>Ősi et al. (in review, ds 1, ch. 256)</w:t>
            </w:r>
            <w:r>
              <w:rPr>
                <w:i/>
                <w:sz w:val="20"/>
                <w:szCs w:val="20"/>
                <w:lang w:eastAsia="en-US"/>
              </w:rPr>
              <w:t>.</w:t>
            </w:r>
          </w:p>
          <w:p w14:paraId="7962C14B" w14:textId="77777777" w:rsidR="00D67975" w:rsidRDefault="00D67975" w:rsidP="00D67975">
            <w:pPr>
              <w:rPr>
                <w:i/>
                <w:color w:val="000000"/>
                <w:sz w:val="20"/>
                <w:szCs w:val="20"/>
                <w:lang w:eastAsia="en-US"/>
              </w:rPr>
            </w:pPr>
            <w:r>
              <w:rPr>
                <w:i/>
                <w:color w:val="000000"/>
                <w:sz w:val="20"/>
                <w:szCs w:val="20"/>
                <w:lang w:eastAsia="en-US"/>
              </w:rPr>
              <w:t xml:space="preserve">This character does not always covary with the previous character, as in non-Rhacheosaurini metriorhynchines the dentary extensively overlaps the surangular (particularly in lateral view), obscuring its anterior development. The full extent of the surangular anterior development can only be determined by examining the dorsal margin in those taxa (e.g., </w:t>
            </w:r>
            <w:r>
              <w:rPr>
                <w:color w:val="000000"/>
                <w:sz w:val="20"/>
                <w:szCs w:val="20"/>
                <w:lang w:eastAsia="en-US"/>
              </w:rPr>
              <w:t>Metriorhynchus superciliosus</w:t>
            </w:r>
            <w:r>
              <w:rPr>
                <w:i/>
                <w:color w:val="000000"/>
                <w:sz w:val="20"/>
                <w:szCs w:val="20"/>
                <w:lang w:eastAsia="en-US"/>
              </w:rPr>
              <w:t>).</w:t>
            </w:r>
          </w:p>
          <w:p w14:paraId="5C9E55CD" w14:textId="77777777" w:rsidR="00D67975" w:rsidRDefault="00D67975" w:rsidP="00D67975">
            <w:pPr>
              <w:rPr>
                <w:color w:val="000000"/>
                <w:sz w:val="20"/>
                <w:szCs w:val="20"/>
                <w:lang w:eastAsia="en-US"/>
              </w:rPr>
            </w:pPr>
            <w:r>
              <w:rPr>
                <w:color w:val="000000"/>
                <w:sz w:val="20"/>
                <w:szCs w:val="20"/>
                <w:lang w:eastAsia="en-US"/>
              </w:rPr>
              <w:t>0. does not extend anteriorly beyond the orbit</w:t>
            </w:r>
          </w:p>
          <w:p w14:paraId="414E878B" w14:textId="77777777" w:rsidR="00D67975" w:rsidRDefault="00D67975" w:rsidP="00D67975">
            <w:pPr>
              <w:rPr>
                <w:color w:val="000000"/>
                <w:sz w:val="20"/>
                <w:szCs w:val="20"/>
                <w:lang w:eastAsia="en-US"/>
              </w:rPr>
            </w:pPr>
            <w:r>
              <w:rPr>
                <w:color w:val="000000"/>
                <w:sz w:val="20"/>
                <w:szCs w:val="20"/>
                <w:lang w:eastAsia="en-US"/>
              </w:rPr>
              <w:t>1. does extend anteriorly beyond the orbit</w:t>
            </w:r>
          </w:p>
        </w:tc>
      </w:tr>
      <w:tr w:rsidR="00D67975" w14:paraId="7BA0CE28" w14:textId="77777777" w:rsidTr="00D67975">
        <w:tc>
          <w:tcPr>
            <w:tcW w:w="516" w:type="dxa"/>
            <w:tcBorders>
              <w:top w:val="single" w:sz="4" w:space="0" w:color="auto"/>
              <w:left w:val="single" w:sz="4" w:space="0" w:color="auto"/>
              <w:bottom w:val="single" w:sz="4" w:space="0" w:color="auto"/>
              <w:right w:val="single" w:sz="4" w:space="0" w:color="auto"/>
            </w:tcBorders>
          </w:tcPr>
          <w:p w14:paraId="6E82D52A" w14:textId="75CBF690" w:rsidR="00D67975" w:rsidRDefault="00D67975" w:rsidP="00D67975">
            <w:pPr>
              <w:rPr>
                <w:color w:val="000000"/>
                <w:sz w:val="20"/>
                <w:szCs w:val="20"/>
                <w:lang w:eastAsia="en-US"/>
              </w:rPr>
            </w:pPr>
            <w:r>
              <w:rPr>
                <w:sz w:val="20"/>
                <w:szCs w:val="20"/>
                <w:lang w:eastAsia="en-US"/>
              </w:rPr>
              <w:lastRenderedPageBreak/>
              <w:t>258</w:t>
            </w:r>
          </w:p>
        </w:tc>
        <w:tc>
          <w:tcPr>
            <w:tcW w:w="0" w:type="auto"/>
            <w:tcBorders>
              <w:top w:val="single" w:sz="4" w:space="0" w:color="auto"/>
              <w:left w:val="single" w:sz="4" w:space="0" w:color="auto"/>
              <w:bottom w:val="single" w:sz="4" w:space="0" w:color="auto"/>
              <w:right w:val="single" w:sz="4" w:space="0" w:color="auto"/>
            </w:tcBorders>
            <w:vAlign w:val="bottom"/>
            <w:hideMark/>
          </w:tcPr>
          <w:p w14:paraId="2C3892FC" w14:textId="77777777" w:rsidR="00D67975" w:rsidRDefault="00D67975" w:rsidP="00D67975">
            <w:pPr>
              <w:rPr>
                <w:b/>
                <w:color w:val="000000"/>
                <w:sz w:val="20"/>
                <w:szCs w:val="20"/>
                <w:lang w:eastAsia="en-US"/>
              </w:rPr>
            </w:pPr>
            <w:r>
              <w:rPr>
                <w:b/>
                <w:color w:val="000000"/>
                <w:sz w:val="20"/>
                <w:szCs w:val="20"/>
                <w:lang w:eastAsia="en-US"/>
              </w:rPr>
              <w:t>Surangular, presence of a distinct coronoid process:</w:t>
            </w:r>
          </w:p>
          <w:p w14:paraId="116BA897" w14:textId="26D1FB45"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155); </w:t>
            </w:r>
            <w:r>
              <w:rPr>
                <w:bCs/>
                <w:i/>
                <w:color w:val="000000"/>
                <w:sz w:val="20"/>
                <w:szCs w:val="20"/>
                <w:lang w:eastAsia="en-US"/>
              </w:rPr>
              <w:t xml:space="preserve">Young et al. (2011, ch. 155); Young et al. (2013a, ch. 120); </w:t>
            </w:r>
            <w:r>
              <w:rPr>
                <w:i/>
                <w:sz w:val="20"/>
                <w:szCs w:val="20"/>
                <w:lang w:eastAsia="en-US"/>
              </w:rPr>
              <w:t xml:space="preserve">Young et al. (2012, ch. 142); Young (2014, ch. 146); Young et al. (2016, ds 2, ch. 173); Ristevski et al. (2018, ds 2, ch. 228); Smith et al. (in review, ds 1, ch. 233); </w:t>
            </w:r>
            <w:r>
              <w:rPr>
                <w:i/>
                <w:sz w:val="20"/>
                <w:szCs w:val="20"/>
              </w:rPr>
              <w:t>Ősi et al. (in review, ds 1, ch. 257)</w:t>
            </w:r>
            <w:r>
              <w:rPr>
                <w:i/>
                <w:sz w:val="20"/>
                <w:szCs w:val="20"/>
                <w:lang w:eastAsia="en-US"/>
              </w:rPr>
              <w:t>.</w:t>
            </w:r>
          </w:p>
          <w:p w14:paraId="6A2F5091" w14:textId="77777777" w:rsidR="00D67975" w:rsidRDefault="00D67975" w:rsidP="00D67975">
            <w:pPr>
              <w:autoSpaceDE w:val="0"/>
              <w:autoSpaceDN w:val="0"/>
              <w:adjustRightInd w:val="0"/>
              <w:rPr>
                <w:i/>
                <w:sz w:val="20"/>
                <w:szCs w:val="20"/>
                <w:lang w:eastAsia="en-US"/>
              </w:rPr>
            </w:pPr>
            <w:r>
              <w:rPr>
                <w:i/>
                <w:sz w:val="20"/>
                <w:szCs w:val="20"/>
                <w:lang w:eastAsia="en-US"/>
              </w:rPr>
              <w:t xml:space="preserve">In Crocodyliformes, state (1) occurs in Thalattosuchia and </w:t>
            </w:r>
            <w:r>
              <w:rPr>
                <w:sz w:val="20"/>
                <w:szCs w:val="20"/>
                <w:lang w:eastAsia="en-US"/>
              </w:rPr>
              <w:t>Iharkutosuchus</w:t>
            </w:r>
            <w:r>
              <w:rPr>
                <w:i/>
                <w:sz w:val="20"/>
                <w:szCs w:val="20"/>
                <w:lang w:eastAsia="en-US"/>
              </w:rPr>
              <w:t>.</w:t>
            </w:r>
          </w:p>
          <w:p w14:paraId="3432AEDB" w14:textId="60A15C3B" w:rsidR="00D67975" w:rsidRDefault="00D67975" w:rsidP="00D67975">
            <w:pPr>
              <w:rPr>
                <w:color w:val="000000"/>
                <w:sz w:val="20"/>
                <w:szCs w:val="20"/>
                <w:lang w:eastAsia="en-US"/>
              </w:rPr>
            </w:pPr>
            <w:r>
              <w:rPr>
                <w:i/>
                <w:color w:val="000000"/>
                <w:sz w:val="20"/>
                <w:szCs w:val="20"/>
                <w:lang w:eastAsia="en-US"/>
              </w:rPr>
              <w:t>In Thalattosuchia it appears as though all taxa have a coronoid process. In teleosauroids the coronoid process is medially orientated and is not visible in lateral view, unlike in</w:t>
            </w:r>
            <w:r>
              <w:rPr>
                <w:color w:val="000000"/>
                <w:sz w:val="20"/>
                <w:szCs w:val="20"/>
                <w:lang w:eastAsia="en-US"/>
              </w:rPr>
              <w:t xml:space="preserve"> Pelagosaurus + </w:t>
            </w:r>
            <w:r>
              <w:rPr>
                <w:i/>
                <w:color w:val="000000"/>
                <w:sz w:val="20"/>
                <w:szCs w:val="20"/>
                <w:lang w:eastAsia="en-US"/>
              </w:rPr>
              <w:t>Metriorhynchidae.</w:t>
            </w:r>
          </w:p>
          <w:p w14:paraId="176ADBC8" w14:textId="77777777" w:rsidR="00D67975" w:rsidRDefault="00D67975" w:rsidP="00D67975">
            <w:pPr>
              <w:rPr>
                <w:color w:val="000000"/>
                <w:sz w:val="20"/>
                <w:szCs w:val="20"/>
                <w:lang w:eastAsia="en-US"/>
              </w:rPr>
            </w:pPr>
            <w:r>
              <w:rPr>
                <w:color w:val="000000"/>
                <w:sz w:val="20"/>
                <w:szCs w:val="20"/>
                <w:lang w:eastAsia="en-US"/>
              </w:rPr>
              <w:t>0. absent</w:t>
            </w:r>
          </w:p>
          <w:p w14:paraId="797E416C"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011C9FEC" w14:textId="77777777" w:rsidTr="00D67975">
        <w:tc>
          <w:tcPr>
            <w:tcW w:w="516" w:type="dxa"/>
            <w:tcBorders>
              <w:top w:val="single" w:sz="4" w:space="0" w:color="auto"/>
              <w:left w:val="single" w:sz="4" w:space="0" w:color="auto"/>
              <w:bottom w:val="single" w:sz="4" w:space="0" w:color="auto"/>
              <w:right w:val="single" w:sz="4" w:space="0" w:color="auto"/>
            </w:tcBorders>
          </w:tcPr>
          <w:p w14:paraId="6311D388" w14:textId="2CBEF956" w:rsidR="00D67975" w:rsidRDefault="00D67975" w:rsidP="00D67975">
            <w:pPr>
              <w:rPr>
                <w:sz w:val="20"/>
                <w:szCs w:val="20"/>
                <w:lang w:eastAsia="en-US"/>
              </w:rPr>
            </w:pPr>
            <w:r>
              <w:rPr>
                <w:color w:val="000000"/>
                <w:sz w:val="20"/>
                <w:szCs w:val="20"/>
                <w:lang w:eastAsia="en-US"/>
              </w:rPr>
              <w:t>259</w:t>
            </w:r>
          </w:p>
        </w:tc>
        <w:tc>
          <w:tcPr>
            <w:tcW w:w="0" w:type="auto"/>
            <w:tcBorders>
              <w:top w:val="single" w:sz="4" w:space="0" w:color="auto"/>
              <w:left w:val="single" w:sz="4" w:space="0" w:color="auto"/>
              <w:bottom w:val="single" w:sz="4" w:space="0" w:color="auto"/>
              <w:right w:val="single" w:sz="4" w:space="0" w:color="auto"/>
            </w:tcBorders>
            <w:vAlign w:val="bottom"/>
            <w:hideMark/>
          </w:tcPr>
          <w:p w14:paraId="3DED041D" w14:textId="77777777" w:rsidR="00D67975" w:rsidRDefault="00D67975" w:rsidP="00D67975">
            <w:pPr>
              <w:autoSpaceDE w:val="0"/>
              <w:autoSpaceDN w:val="0"/>
              <w:adjustRightInd w:val="0"/>
              <w:rPr>
                <w:b/>
                <w:bCs/>
                <w:color w:val="000000"/>
                <w:sz w:val="20"/>
                <w:szCs w:val="20"/>
                <w:lang w:eastAsia="en-US"/>
              </w:rPr>
            </w:pPr>
            <w:r>
              <w:rPr>
                <w:b/>
                <w:bCs/>
                <w:color w:val="000000"/>
                <w:sz w:val="20"/>
                <w:szCs w:val="20"/>
                <w:lang w:eastAsia="en-US"/>
              </w:rPr>
              <w:t>Surangular, presence of extension to the retroarticular process:</w:t>
            </w:r>
          </w:p>
          <w:p w14:paraId="48C3A21A" w14:textId="7860F533" w:rsidR="00D67975" w:rsidRDefault="00D67975" w:rsidP="00D67975">
            <w:pPr>
              <w:autoSpaceDE w:val="0"/>
              <w:autoSpaceDN w:val="0"/>
              <w:adjustRightInd w:val="0"/>
              <w:rPr>
                <w:b/>
                <w:bCs/>
                <w:color w:val="000000"/>
                <w:sz w:val="20"/>
                <w:szCs w:val="20"/>
                <w:lang w:eastAsia="en-US"/>
              </w:rPr>
            </w:pPr>
            <w:r>
              <w:rPr>
                <w:bCs/>
                <w:i/>
                <w:color w:val="000000"/>
                <w:sz w:val="20"/>
                <w:szCs w:val="20"/>
                <w:lang w:eastAsia="en-US"/>
              </w:rPr>
              <w:t xml:space="preserve">Norell (1988, ch. 42 modified); Brochu (1999, ch. 51 revised); </w:t>
            </w:r>
            <w:r>
              <w:rPr>
                <w:i/>
                <w:sz w:val="20"/>
                <w:szCs w:val="20"/>
                <w:lang w:eastAsia="en-US"/>
              </w:rPr>
              <w:t xml:space="preserve">Young &amp; Andrade (2009, ch. 103); </w:t>
            </w:r>
            <w:r>
              <w:rPr>
                <w:bCs/>
                <w:i/>
                <w:color w:val="000000"/>
                <w:sz w:val="20"/>
                <w:lang w:eastAsia="en-US"/>
              </w:rPr>
              <w:t xml:space="preserve">Andrade et al. (2011, ch. 350); </w:t>
            </w:r>
            <w:r>
              <w:rPr>
                <w:bCs/>
                <w:i/>
                <w:color w:val="000000"/>
                <w:sz w:val="20"/>
                <w:szCs w:val="20"/>
                <w:lang w:eastAsia="en-US"/>
              </w:rPr>
              <w:t xml:space="preserve">Young et al. (2011, ch. 103); Young et al. (2013a, ch. 121); </w:t>
            </w:r>
            <w:r>
              <w:rPr>
                <w:bCs/>
                <w:i/>
                <w:color w:val="000000"/>
                <w:sz w:val="20"/>
                <w:lang w:eastAsia="en-US"/>
              </w:rPr>
              <w:t xml:space="preserve">Young et al. (2012, ch. 143 modified); Young (2014, ch. 147); Young et al. (2016, ds 2, ch. 174 modified); </w:t>
            </w:r>
            <w:r>
              <w:rPr>
                <w:i/>
                <w:sz w:val="20"/>
                <w:szCs w:val="20"/>
                <w:lang w:eastAsia="en-US"/>
              </w:rPr>
              <w:t xml:space="preserve">Ristevski et al. (2018, ds 2, ch. 229); Smith et al. (in review, ds 1, ch. 234); </w:t>
            </w:r>
            <w:r>
              <w:rPr>
                <w:i/>
                <w:sz w:val="20"/>
                <w:szCs w:val="20"/>
              </w:rPr>
              <w:t>Ősi et al. (in review, ds 1, ch. 258)</w:t>
            </w:r>
            <w:r>
              <w:rPr>
                <w:bCs/>
                <w:i/>
                <w:color w:val="000000"/>
                <w:sz w:val="20"/>
                <w:lang w:eastAsia="en-US"/>
              </w:rPr>
              <w:t>.</w:t>
            </w:r>
          </w:p>
          <w:p w14:paraId="142EA9EC"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0. absent, pinched off anterior to tip of retroarticular process, or surangular excluded from process</w:t>
            </w:r>
          </w:p>
          <w:p w14:paraId="5D397A7B" w14:textId="77777777" w:rsidR="00D67975" w:rsidRDefault="00D67975" w:rsidP="00D67975">
            <w:pPr>
              <w:rPr>
                <w:color w:val="000000"/>
                <w:sz w:val="20"/>
                <w:szCs w:val="20"/>
                <w:lang w:eastAsia="en-US"/>
              </w:rPr>
            </w:pPr>
            <w:r>
              <w:rPr>
                <w:color w:val="000000"/>
                <w:sz w:val="20"/>
                <w:szCs w:val="20"/>
                <w:lang w:eastAsia="en-US"/>
              </w:rPr>
              <w:t>1. present, extends to posterior end of retroarticular process</w:t>
            </w:r>
          </w:p>
        </w:tc>
      </w:tr>
      <w:tr w:rsidR="00D67975" w14:paraId="384FB1F8" w14:textId="77777777" w:rsidTr="00D67975">
        <w:tc>
          <w:tcPr>
            <w:tcW w:w="516" w:type="dxa"/>
            <w:tcBorders>
              <w:top w:val="single" w:sz="4" w:space="0" w:color="auto"/>
              <w:left w:val="single" w:sz="4" w:space="0" w:color="auto"/>
              <w:bottom w:val="single" w:sz="4" w:space="0" w:color="auto"/>
              <w:right w:val="single" w:sz="4" w:space="0" w:color="auto"/>
            </w:tcBorders>
          </w:tcPr>
          <w:p w14:paraId="422FCF0A" w14:textId="35701802" w:rsidR="00D67975" w:rsidRDefault="00D67975" w:rsidP="00D67975">
            <w:pPr>
              <w:rPr>
                <w:color w:val="000000"/>
                <w:sz w:val="20"/>
                <w:szCs w:val="20"/>
                <w:lang w:eastAsia="en-US"/>
              </w:rPr>
            </w:pPr>
            <w:r>
              <w:rPr>
                <w:color w:val="000000"/>
                <w:sz w:val="20"/>
                <w:szCs w:val="20"/>
                <w:lang w:eastAsia="en-US"/>
              </w:rPr>
              <w:t>260</w:t>
            </w:r>
          </w:p>
        </w:tc>
        <w:tc>
          <w:tcPr>
            <w:tcW w:w="0" w:type="auto"/>
            <w:tcBorders>
              <w:top w:val="single" w:sz="4" w:space="0" w:color="auto"/>
              <w:left w:val="single" w:sz="4" w:space="0" w:color="auto"/>
              <w:bottom w:val="single" w:sz="4" w:space="0" w:color="auto"/>
              <w:right w:val="single" w:sz="4" w:space="0" w:color="auto"/>
            </w:tcBorders>
            <w:vAlign w:val="bottom"/>
            <w:hideMark/>
          </w:tcPr>
          <w:p w14:paraId="3F269637" w14:textId="77777777" w:rsidR="00D67975" w:rsidRDefault="00D67975" w:rsidP="00D67975">
            <w:pPr>
              <w:rPr>
                <w:b/>
                <w:color w:val="000000"/>
                <w:sz w:val="20"/>
                <w:szCs w:val="20"/>
                <w:lang w:eastAsia="en-US"/>
              </w:rPr>
            </w:pPr>
            <w:r>
              <w:rPr>
                <w:b/>
                <w:color w:val="000000"/>
                <w:sz w:val="20"/>
                <w:szCs w:val="20"/>
                <w:lang w:eastAsia="en-US"/>
              </w:rPr>
              <w:t>Prearticulars, presence:</w:t>
            </w:r>
          </w:p>
          <w:p w14:paraId="465D8A48" w14:textId="553AEB3E"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Clark (1994, ch. 72 revised); Sereno </w:t>
            </w:r>
            <w:r>
              <w:rPr>
                <w:bCs/>
                <w:i/>
                <w:iCs/>
                <w:color w:val="000000"/>
                <w:sz w:val="20"/>
                <w:szCs w:val="20"/>
                <w:lang w:eastAsia="en-US"/>
              </w:rPr>
              <w:t>et al. (</w:t>
            </w:r>
            <w:r>
              <w:rPr>
                <w:bCs/>
                <w:i/>
                <w:color w:val="000000"/>
                <w:sz w:val="20"/>
                <w:szCs w:val="20"/>
                <w:lang w:eastAsia="en-US"/>
              </w:rPr>
              <w:t>2003, ch. 39);</w:t>
            </w:r>
            <w:r>
              <w:rPr>
                <w:b/>
                <w:bCs/>
                <w:color w:val="000000"/>
                <w:sz w:val="20"/>
                <w:szCs w:val="20"/>
                <w:lang w:eastAsia="en-US"/>
              </w:rPr>
              <w:t xml:space="preserve"> </w:t>
            </w:r>
            <w:r>
              <w:rPr>
                <w:i/>
                <w:sz w:val="20"/>
                <w:szCs w:val="20"/>
                <w:lang w:eastAsia="en-US"/>
              </w:rPr>
              <w:t xml:space="preserve">Young &amp; Andrade (2009, ch. 89); </w:t>
            </w:r>
            <w:r>
              <w:rPr>
                <w:bCs/>
                <w:i/>
                <w:color w:val="000000"/>
                <w:sz w:val="20"/>
                <w:lang w:eastAsia="en-US"/>
              </w:rPr>
              <w:t xml:space="preserve">Andrade et al. (2011, ch. 354); </w:t>
            </w:r>
            <w:r>
              <w:rPr>
                <w:bCs/>
                <w:i/>
                <w:color w:val="000000"/>
                <w:sz w:val="20"/>
                <w:szCs w:val="20"/>
                <w:lang w:eastAsia="en-US"/>
              </w:rPr>
              <w:t xml:space="preserve">Young et al. (2011, ch. 89); Young et al. (2013a, ch. 122); </w:t>
            </w:r>
            <w:r>
              <w:rPr>
                <w:bCs/>
                <w:i/>
                <w:color w:val="000000"/>
                <w:sz w:val="20"/>
                <w:lang w:eastAsia="en-US"/>
              </w:rPr>
              <w:t xml:space="preserve">Young et al. (2012, ch. 144); Young (2014, ch. 148); </w:t>
            </w:r>
            <w:r>
              <w:rPr>
                <w:i/>
                <w:sz w:val="20"/>
                <w:szCs w:val="20"/>
                <w:lang w:eastAsia="en-US"/>
              </w:rPr>
              <w:t xml:space="preserve">Young et al. (2016, ds 2, ch. 175); Ristevski et al. (2018, ds 2, ch. 230); Smith et al. (in review, ds 1, ch. 235); </w:t>
            </w:r>
            <w:r>
              <w:rPr>
                <w:i/>
                <w:sz w:val="20"/>
                <w:szCs w:val="20"/>
              </w:rPr>
              <w:t>Ősi et al. (in review, ds 1, ch. 259)</w:t>
            </w:r>
            <w:r>
              <w:rPr>
                <w:i/>
                <w:sz w:val="20"/>
                <w:szCs w:val="20"/>
                <w:lang w:eastAsia="en-US"/>
              </w:rPr>
              <w:t>.</w:t>
            </w:r>
          </w:p>
          <w:p w14:paraId="0D8EBEE1" w14:textId="77777777" w:rsidR="00D67975" w:rsidRDefault="00D67975" w:rsidP="00D67975">
            <w:pPr>
              <w:autoSpaceDE w:val="0"/>
              <w:autoSpaceDN w:val="0"/>
              <w:adjustRightInd w:val="0"/>
              <w:rPr>
                <w:i/>
                <w:sz w:val="20"/>
                <w:szCs w:val="20"/>
                <w:lang w:eastAsia="en-US"/>
              </w:rPr>
            </w:pPr>
            <w:r>
              <w:rPr>
                <w:i/>
                <w:sz w:val="20"/>
                <w:szCs w:val="20"/>
                <w:lang w:eastAsia="en-US"/>
              </w:rPr>
              <w:t xml:space="preserve">Note, here we follow Andrade et al. (2011) in scoring </w:t>
            </w:r>
            <w:r>
              <w:rPr>
                <w:sz w:val="20"/>
                <w:szCs w:val="20"/>
                <w:lang w:eastAsia="en-US"/>
              </w:rPr>
              <w:t xml:space="preserve">Pholidosaurus schaumburgensis </w:t>
            </w:r>
            <w:r>
              <w:rPr>
                <w:i/>
                <w:sz w:val="20"/>
                <w:szCs w:val="20"/>
                <w:lang w:eastAsia="en-US"/>
              </w:rPr>
              <w:t xml:space="preserve">and </w:t>
            </w:r>
            <w:r>
              <w:rPr>
                <w:sz w:val="20"/>
                <w:szCs w:val="20"/>
                <w:lang w:eastAsia="en-US"/>
              </w:rPr>
              <w:t xml:space="preserve">Sarcosuchus imperator </w:t>
            </w:r>
            <w:r>
              <w:rPr>
                <w:i/>
                <w:sz w:val="20"/>
                <w:szCs w:val="20"/>
                <w:lang w:eastAsia="en-US"/>
              </w:rPr>
              <w:t>as lacking prearticulars (as MTY also could not find these elements in first-hand observations). As such they are scored as (?).</w:t>
            </w:r>
          </w:p>
          <w:p w14:paraId="383D8598" w14:textId="77777777" w:rsidR="00D67975" w:rsidRDefault="00D67975" w:rsidP="00D67975">
            <w:pPr>
              <w:autoSpaceDE w:val="0"/>
              <w:autoSpaceDN w:val="0"/>
              <w:adjustRightInd w:val="0"/>
              <w:rPr>
                <w:i/>
                <w:sz w:val="20"/>
                <w:szCs w:val="20"/>
                <w:lang w:eastAsia="en-US"/>
              </w:rPr>
            </w:pPr>
            <w:r>
              <w:rPr>
                <w:i/>
                <w:sz w:val="20"/>
                <w:szCs w:val="20"/>
                <w:lang w:eastAsia="en-US"/>
              </w:rPr>
              <w:t xml:space="preserve">It is not possible to verify the potential prearticular in </w:t>
            </w:r>
            <w:r>
              <w:rPr>
                <w:sz w:val="20"/>
                <w:szCs w:val="20"/>
                <w:lang w:eastAsia="en-US"/>
              </w:rPr>
              <w:t xml:space="preserve">Oceanosuchus </w:t>
            </w:r>
            <w:r>
              <w:rPr>
                <w:i/>
                <w:sz w:val="20"/>
                <w:szCs w:val="20"/>
                <w:lang w:eastAsia="en-US"/>
              </w:rPr>
              <w:t>(Hua et al., 2007, Fig. 4U) as too much of the angular is not preserved. Thus, this OTU is scored as (?).</w:t>
            </w:r>
          </w:p>
          <w:p w14:paraId="2B3AF97A" w14:textId="77777777" w:rsidR="00D67975" w:rsidRDefault="00D67975" w:rsidP="00D67975">
            <w:pPr>
              <w:autoSpaceDE w:val="0"/>
              <w:autoSpaceDN w:val="0"/>
              <w:adjustRightInd w:val="0"/>
              <w:rPr>
                <w:i/>
                <w:sz w:val="20"/>
                <w:szCs w:val="20"/>
                <w:lang w:eastAsia="en-US"/>
              </w:rPr>
            </w:pPr>
            <w:r>
              <w:rPr>
                <w:i/>
                <w:sz w:val="20"/>
                <w:szCs w:val="20"/>
                <w:lang w:eastAsia="en-US"/>
              </w:rPr>
              <w:t>State (1) occurs in Metasuchia.</w:t>
            </w:r>
          </w:p>
          <w:p w14:paraId="10818E52" w14:textId="77777777" w:rsidR="00D67975" w:rsidRDefault="00D67975" w:rsidP="00D67975">
            <w:pPr>
              <w:rPr>
                <w:color w:val="000000"/>
                <w:sz w:val="20"/>
                <w:szCs w:val="20"/>
                <w:lang w:eastAsia="en-US"/>
              </w:rPr>
            </w:pPr>
            <w:r>
              <w:rPr>
                <w:color w:val="000000"/>
                <w:sz w:val="20"/>
                <w:szCs w:val="20"/>
                <w:lang w:eastAsia="en-US"/>
              </w:rPr>
              <w:t>0. present</w:t>
            </w:r>
          </w:p>
          <w:p w14:paraId="553DA0D3" w14:textId="77777777" w:rsidR="00D67975" w:rsidRDefault="00D67975" w:rsidP="00D67975">
            <w:pPr>
              <w:rPr>
                <w:color w:val="000000"/>
                <w:sz w:val="20"/>
                <w:szCs w:val="20"/>
                <w:lang w:eastAsia="en-US"/>
              </w:rPr>
            </w:pPr>
            <w:r>
              <w:rPr>
                <w:color w:val="000000"/>
                <w:sz w:val="20"/>
                <w:szCs w:val="20"/>
                <w:lang w:eastAsia="en-US"/>
              </w:rPr>
              <w:t>1. absent</w:t>
            </w:r>
          </w:p>
        </w:tc>
      </w:tr>
      <w:tr w:rsidR="00D67975" w14:paraId="378EC0A0" w14:textId="77777777" w:rsidTr="00D67975">
        <w:tc>
          <w:tcPr>
            <w:tcW w:w="516" w:type="dxa"/>
            <w:tcBorders>
              <w:top w:val="single" w:sz="4" w:space="0" w:color="auto"/>
              <w:left w:val="single" w:sz="4" w:space="0" w:color="auto"/>
              <w:bottom w:val="single" w:sz="4" w:space="0" w:color="auto"/>
              <w:right w:val="single" w:sz="4" w:space="0" w:color="auto"/>
            </w:tcBorders>
          </w:tcPr>
          <w:p w14:paraId="646B3F79" w14:textId="2855CE4F" w:rsidR="00D67975" w:rsidRDefault="00D67975" w:rsidP="00D67975">
            <w:pPr>
              <w:rPr>
                <w:color w:val="000000"/>
                <w:sz w:val="20"/>
                <w:szCs w:val="20"/>
                <w:lang w:eastAsia="en-US"/>
              </w:rPr>
            </w:pPr>
            <w:r>
              <w:rPr>
                <w:color w:val="000000"/>
                <w:sz w:val="20"/>
                <w:szCs w:val="20"/>
                <w:lang w:eastAsia="en-US"/>
              </w:rPr>
              <w:t>261</w:t>
            </w:r>
          </w:p>
        </w:tc>
        <w:tc>
          <w:tcPr>
            <w:tcW w:w="0" w:type="auto"/>
            <w:tcBorders>
              <w:top w:val="single" w:sz="4" w:space="0" w:color="auto"/>
              <w:left w:val="single" w:sz="4" w:space="0" w:color="auto"/>
              <w:bottom w:val="single" w:sz="4" w:space="0" w:color="auto"/>
              <w:right w:val="single" w:sz="4" w:space="0" w:color="auto"/>
            </w:tcBorders>
            <w:hideMark/>
          </w:tcPr>
          <w:p w14:paraId="016EF0A2" w14:textId="77777777" w:rsidR="00D67975" w:rsidRDefault="00D67975" w:rsidP="00D67975">
            <w:pPr>
              <w:rPr>
                <w:b/>
                <w:sz w:val="20"/>
                <w:szCs w:val="20"/>
                <w:lang w:eastAsia="en-US"/>
              </w:rPr>
            </w:pPr>
            <w:r>
              <w:rPr>
                <w:b/>
                <w:sz w:val="20"/>
                <w:szCs w:val="20"/>
                <w:lang w:eastAsia="en-US"/>
              </w:rPr>
              <w:t>Coronoids:</w:t>
            </w:r>
          </w:p>
          <w:p w14:paraId="18122B01" w14:textId="77777777" w:rsidR="00D67975" w:rsidRDefault="00D67975" w:rsidP="00D67975">
            <w:pPr>
              <w:rPr>
                <w:i/>
                <w:sz w:val="20"/>
                <w:szCs w:val="20"/>
                <w:lang w:eastAsia="en-US"/>
              </w:rPr>
            </w:pPr>
            <w:r>
              <w:rPr>
                <w:i/>
                <w:sz w:val="20"/>
                <w:szCs w:val="20"/>
                <w:lang w:eastAsia="en-US"/>
              </w:rPr>
              <w:t xml:space="preserve">Jouve et al. (2005b, ch. </w:t>
            </w:r>
            <w:r>
              <w:rPr>
                <w:bCs/>
                <w:i/>
                <w:sz w:val="20"/>
                <w:szCs w:val="20"/>
                <w:lang w:eastAsia="en-US"/>
              </w:rPr>
              <w:t>6 modified);</w:t>
            </w:r>
            <w:r>
              <w:rPr>
                <w:i/>
                <w:sz w:val="20"/>
                <w:szCs w:val="20"/>
                <w:lang w:eastAsia="en-US"/>
              </w:rPr>
              <w:t xml:space="preserve"> Jouve et al. (2008, ch. </w:t>
            </w:r>
            <w:r>
              <w:rPr>
                <w:bCs/>
                <w:i/>
                <w:sz w:val="20"/>
                <w:szCs w:val="20"/>
                <w:lang w:eastAsia="en-US"/>
              </w:rPr>
              <w:t xml:space="preserve">6 modified); </w:t>
            </w:r>
            <w:r>
              <w:rPr>
                <w:i/>
                <w:sz w:val="20"/>
                <w:szCs w:val="20"/>
                <w:lang w:eastAsia="en-US"/>
              </w:rPr>
              <w:t xml:space="preserve">Young &amp; Andrade (2009, ch. 157 part); </w:t>
            </w:r>
            <w:r>
              <w:rPr>
                <w:bCs/>
                <w:i/>
                <w:sz w:val="20"/>
                <w:szCs w:val="20"/>
                <w:lang w:eastAsia="en-US"/>
              </w:rPr>
              <w:t xml:space="preserve">Hastings et al. (2010, ch. 77 modified); </w:t>
            </w:r>
            <w:r>
              <w:rPr>
                <w:bCs/>
                <w:i/>
                <w:color w:val="000000"/>
                <w:sz w:val="20"/>
                <w:szCs w:val="20"/>
                <w:lang w:eastAsia="en-US"/>
              </w:rPr>
              <w:t xml:space="preserve">Young et al. (2011, ch. 157 part); Young et al. (2013a, ch. 124 part); </w:t>
            </w:r>
            <w:r>
              <w:rPr>
                <w:bCs/>
                <w:i/>
                <w:sz w:val="20"/>
                <w:szCs w:val="20"/>
                <w:lang w:eastAsia="en-US"/>
              </w:rPr>
              <w:t xml:space="preserve">Young et al. (2012, ch. 146 part); Young (2014, ch. 150 part); Young et al. (2016, ds 2, ch. 177 part); </w:t>
            </w:r>
            <w:r>
              <w:rPr>
                <w:i/>
                <w:sz w:val="20"/>
                <w:szCs w:val="20"/>
                <w:lang w:eastAsia="en-US"/>
              </w:rPr>
              <w:t>Ristevski et al. (2018, ds 2, ch. 231); Smith et al. (in review, ds 1, ch. 236).</w:t>
            </w:r>
          </w:p>
          <w:p w14:paraId="0C088907" w14:textId="279ECF03" w:rsidR="00D67975" w:rsidRDefault="00D67975" w:rsidP="00D67975">
            <w:pPr>
              <w:rPr>
                <w:i/>
                <w:sz w:val="20"/>
                <w:szCs w:val="20"/>
                <w:lang w:eastAsia="en-US"/>
              </w:rPr>
            </w:pPr>
            <w:r>
              <w:rPr>
                <w:i/>
                <w:sz w:val="20"/>
                <w:szCs w:val="20"/>
                <w:lang w:eastAsia="en-US"/>
              </w:rPr>
              <w:t xml:space="preserve">This character is an amalgam of those in </w:t>
            </w:r>
            <w:r>
              <w:rPr>
                <w:bCs/>
                <w:i/>
                <w:sz w:val="20"/>
                <w:szCs w:val="20"/>
                <w:lang w:eastAsia="en-US"/>
              </w:rPr>
              <w:t xml:space="preserve">Hastings et al. (2010, ch. 77) and Young et al. (2016, ch. 177); </w:t>
            </w:r>
            <w:r>
              <w:rPr>
                <w:i/>
                <w:sz w:val="20"/>
                <w:szCs w:val="20"/>
              </w:rPr>
              <w:t>Ősi et al. (in review, ds 1, ch. 260)</w:t>
            </w:r>
            <w:r>
              <w:rPr>
                <w:i/>
                <w:sz w:val="20"/>
                <w:szCs w:val="20"/>
                <w:lang w:eastAsia="en-US"/>
              </w:rPr>
              <w:t>.</w:t>
            </w:r>
          </w:p>
          <w:p w14:paraId="3E7D9158" w14:textId="77777777" w:rsidR="00D67975" w:rsidRDefault="00D67975" w:rsidP="00D67975">
            <w:pPr>
              <w:rPr>
                <w:i/>
                <w:sz w:val="20"/>
                <w:szCs w:val="20"/>
                <w:lang w:eastAsia="en-US"/>
              </w:rPr>
            </w:pPr>
            <w:r>
              <w:rPr>
                <w:i/>
                <w:sz w:val="20"/>
                <w:szCs w:val="20"/>
                <w:lang w:eastAsia="en-US"/>
              </w:rPr>
              <w:t xml:space="preserve">State (1) occurs in derived Rhacheosaurini metriorhynchids. </w:t>
            </w:r>
          </w:p>
          <w:p w14:paraId="723DBD36" w14:textId="77777777" w:rsidR="00D67975" w:rsidRDefault="00D67975" w:rsidP="00D67975">
            <w:pPr>
              <w:rPr>
                <w:i/>
                <w:sz w:val="20"/>
                <w:szCs w:val="20"/>
                <w:lang w:eastAsia="en-US"/>
              </w:rPr>
            </w:pPr>
            <w:r>
              <w:rPr>
                <w:i/>
                <w:sz w:val="20"/>
                <w:szCs w:val="20"/>
                <w:lang w:eastAsia="en-US"/>
              </w:rPr>
              <w:t>Dyrosaurids have state (2). However, to evaluate the presence of the coronoids requires well preserved specimens.</w:t>
            </w:r>
          </w:p>
          <w:p w14:paraId="4590B9DA" w14:textId="12786449" w:rsidR="00D67975" w:rsidRDefault="00D67975" w:rsidP="00D67975">
            <w:pPr>
              <w:rPr>
                <w:sz w:val="20"/>
                <w:szCs w:val="20"/>
                <w:lang w:eastAsia="en-US"/>
              </w:rPr>
            </w:pPr>
            <w:r>
              <w:rPr>
                <w:sz w:val="20"/>
                <w:szCs w:val="20"/>
                <w:lang w:eastAsia="en-US"/>
              </w:rPr>
              <w:t>0. present, but not exposed on the external (= lateral) surface of the mandible</w:t>
            </w:r>
          </w:p>
          <w:p w14:paraId="5C36B623" w14:textId="77777777" w:rsidR="00D67975" w:rsidRDefault="00D67975" w:rsidP="00D67975">
            <w:pPr>
              <w:rPr>
                <w:sz w:val="20"/>
                <w:szCs w:val="20"/>
                <w:lang w:eastAsia="en-US"/>
              </w:rPr>
            </w:pPr>
            <w:r>
              <w:rPr>
                <w:sz w:val="20"/>
                <w:szCs w:val="20"/>
                <w:lang w:eastAsia="en-US"/>
              </w:rPr>
              <w:t>1. present, and exposed on the external surface of the mandible</w:t>
            </w:r>
          </w:p>
          <w:p w14:paraId="39F643AB" w14:textId="77777777" w:rsidR="00D67975" w:rsidRDefault="00D67975" w:rsidP="00D67975">
            <w:pPr>
              <w:rPr>
                <w:sz w:val="20"/>
                <w:szCs w:val="20"/>
                <w:lang w:eastAsia="en-US"/>
              </w:rPr>
            </w:pPr>
            <w:r>
              <w:rPr>
                <w:sz w:val="20"/>
                <w:szCs w:val="20"/>
                <w:lang w:eastAsia="en-US"/>
              </w:rPr>
              <w:t xml:space="preserve">2. absent </w:t>
            </w:r>
          </w:p>
        </w:tc>
      </w:tr>
      <w:tr w:rsidR="00D67975" w14:paraId="6E01BE9D" w14:textId="77777777" w:rsidTr="00D67975">
        <w:tc>
          <w:tcPr>
            <w:tcW w:w="516" w:type="dxa"/>
            <w:tcBorders>
              <w:top w:val="single" w:sz="4" w:space="0" w:color="auto"/>
              <w:left w:val="single" w:sz="4" w:space="0" w:color="auto"/>
              <w:bottom w:val="single" w:sz="4" w:space="0" w:color="auto"/>
              <w:right w:val="single" w:sz="4" w:space="0" w:color="auto"/>
            </w:tcBorders>
          </w:tcPr>
          <w:p w14:paraId="7A809B3B" w14:textId="7ED86E68" w:rsidR="00D67975" w:rsidRDefault="00D67975" w:rsidP="00D67975">
            <w:pPr>
              <w:rPr>
                <w:color w:val="000000"/>
                <w:sz w:val="20"/>
                <w:szCs w:val="20"/>
                <w:lang w:eastAsia="en-US"/>
              </w:rPr>
            </w:pPr>
            <w:r>
              <w:rPr>
                <w:color w:val="000000"/>
                <w:sz w:val="20"/>
                <w:szCs w:val="20"/>
                <w:lang w:eastAsia="en-US"/>
              </w:rPr>
              <w:t>262</w:t>
            </w:r>
          </w:p>
        </w:tc>
        <w:tc>
          <w:tcPr>
            <w:tcW w:w="0" w:type="auto"/>
            <w:tcBorders>
              <w:top w:val="single" w:sz="4" w:space="0" w:color="auto"/>
              <w:left w:val="single" w:sz="4" w:space="0" w:color="auto"/>
              <w:bottom w:val="single" w:sz="4" w:space="0" w:color="auto"/>
              <w:right w:val="single" w:sz="4" w:space="0" w:color="auto"/>
            </w:tcBorders>
            <w:vAlign w:val="bottom"/>
            <w:hideMark/>
          </w:tcPr>
          <w:p w14:paraId="32D00FDC" w14:textId="77777777" w:rsidR="00D67975" w:rsidRDefault="00D67975" w:rsidP="00D67975">
            <w:pPr>
              <w:rPr>
                <w:b/>
                <w:color w:val="000000"/>
                <w:sz w:val="20"/>
                <w:szCs w:val="20"/>
                <w:lang w:eastAsia="en-US"/>
              </w:rPr>
            </w:pPr>
            <w:r>
              <w:rPr>
                <w:b/>
                <w:color w:val="000000"/>
                <w:sz w:val="20"/>
                <w:szCs w:val="20"/>
                <w:lang w:eastAsia="en-US"/>
              </w:rPr>
              <w:t>Coronoid, anterior development along the dorsal margin:</w:t>
            </w:r>
          </w:p>
          <w:p w14:paraId="72FD3446" w14:textId="6C3E84F1" w:rsidR="00D67975" w:rsidRDefault="00D67975" w:rsidP="00D67975">
            <w:pPr>
              <w:autoSpaceDE w:val="0"/>
              <w:autoSpaceDN w:val="0"/>
              <w:adjustRightInd w:val="0"/>
              <w:rPr>
                <w:i/>
                <w:sz w:val="20"/>
                <w:szCs w:val="20"/>
                <w:lang w:eastAsia="en-US"/>
              </w:rPr>
            </w:pPr>
            <w:r>
              <w:rPr>
                <w:i/>
                <w:sz w:val="20"/>
                <w:szCs w:val="20"/>
                <w:lang w:eastAsia="en-US"/>
              </w:rPr>
              <w:t xml:space="preserve">Wilkinson et al. (2008, ch. 51 modified); Young &amp; Andrade (2009, ch. 51 modified); </w:t>
            </w:r>
            <w:r>
              <w:rPr>
                <w:bCs/>
                <w:i/>
                <w:color w:val="000000"/>
                <w:sz w:val="20"/>
                <w:szCs w:val="20"/>
                <w:lang w:eastAsia="en-US"/>
              </w:rPr>
              <w:t xml:space="preserve">Young et al. (2011, ch. 51 modified); Young et al. (2013a, ch. 123 modified); </w:t>
            </w:r>
            <w:r>
              <w:rPr>
                <w:i/>
                <w:sz w:val="20"/>
                <w:szCs w:val="20"/>
                <w:lang w:eastAsia="en-US"/>
              </w:rPr>
              <w:t xml:space="preserve">Young et al. (2012, ch. 145 modified); Young (2014, ch. 149); Young et al. (2016, ds 2, ch. 176 modified); Ristevski et al. (2018, ds 2, ch. 232); Smith et al. (in review, ds 1, ch. 237); </w:t>
            </w:r>
            <w:r>
              <w:rPr>
                <w:i/>
                <w:sz w:val="20"/>
                <w:szCs w:val="20"/>
              </w:rPr>
              <w:t>Ősi et al. (in review, ds 1, ch. 261)</w:t>
            </w:r>
            <w:r>
              <w:rPr>
                <w:i/>
                <w:sz w:val="20"/>
                <w:szCs w:val="20"/>
                <w:lang w:eastAsia="en-US"/>
              </w:rPr>
              <w:t>.</w:t>
            </w:r>
          </w:p>
          <w:p w14:paraId="76CB5AF6" w14:textId="77777777" w:rsidR="00D67975" w:rsidRDefault="00D67975" w:rsidP="00D67975">
            <w:pPr>
              <w:rPr>
                <w:color w:val="000000"/>
                <w:sz w:val="20"/>
                <w:szCs w:val="20"/>
                <w:lang w:eastAsia="en-US"/>
              </w:rPr>
            </w:pPr>
            <w:r>
              <w:rPr>
                <w:color w:val="000000"/>
                <w:sz w:val="20"/>
                <w:szCs w:val="20"/>
                <w:lang w:eastAsia="en-US"/>
              </w:rPr>
              <w:t>0. does not project as far as the dentary tooth row, or coronoid absent</w:t>
            </w:r>
          </w:p>
          <w:p w14:paraId="726D812E" w14:textId="77777777" w:rsidR="00D67975" w:rsidRDefault="00D67975" w:rsidP="00D67975">
            <w:pPr>
              <w:rPr>
                <w:color w:val="000000"/>
                <w:sz w:val="20"/>
                <w:szCs w:val="20"/>
                <w:lang w:eastAsia="en-US"/>
              </w:rPr>
            </w:pPr>
            <w:r>
              <w:rPr>
                <w:color w:val="000000"/>
                <w:sz w:val="20"/>
                <w:szCs w:val="20"/>
                <w:lang w:eastAsia="en-US"/>
              </w:rPr>
              <w:lastRenderedPageBreak/>
              <w:t>1. projects further anteriorly than the posterior-most alveoli</w:t>
            </w:r>
          </w:p>
        </w:tc>
      </w:tr>
      <w:tr w:rsidR="00D67975" w14:paraId="35952B94" w14:textId="77777777" w:rsidTr="00D67975">
        <w:tc>
          <w:tcPr>
            <w:tcW w:w="516" w:type="dxa"/>
            <w:tcBorders>
              <w:top w:val="single" w:sz="4" w:space="0" w:color="auto"/>
              <w:left w:val="single" w:sz="4" w:space="0" w:color="auto"/>
              <w:bottom w:val="single" w:sz="4" w:space="0" w:color="auto"/>
              <w:right w:val="single" w:sz="4" w:space="0" w:color="auto"/>
            </w:tcBorders>
          </w:tcPr>
          <w:p w14:paraId="53FA8572" w14:textId="50109772" w:rsidR="00D67975" w:rsidRDefault="00D67975" w:rsidP="00D67975">
            <w:pPr>
              <w:rPr>
                <w:color w:val="000000"/>
                <w:sz w:val="20"/>
                <w:szCs w:val="20"/>
                <w:lang w:eastAsia="en-US"/>
              </w:rPr>
            </w:pPr>
            <w:r>
              <w:rPr>
                <w:color w:val="000000"/>
                <w:sz w:val="20"/>
                <w:szCs w:val="20"/>
                <w:lang w:eastAsia="en-US"/>
              </w:rPr>
              <w:lastRenderedPageBreak/>
              <w:t>263</w:t>
            </w:r>
          </w:p>
        </w:tc>
        <w:tc>
          <w:tcPr>
            <w:tcW w:w="0" w:type="auto"/>
            <w:tcBorders>
              <w:top w:val="single" w:sz="4" w:space="0" w:color="auto"/>
              <w:left w:val="single" w:sz="4" w:space="0" w:color="auto"/>
              <w:bottom w:val="single" w:sz="4" w:space="0" w:color="auto"/>
              <w:right w:val="single" w:sz="4" w:space="0" w:color="auto"/>
            </w:tcBorders>
            <w:vAlign w:val="bottom"/>
            <w:hideMark/>
          </w:tcPr>
          <w:p w14:paraId="4CDE3C5B" w14:textId="77777777" w:rsidR="00D67975" w:rsidRDefault="00D67975" w:rsidP="00D67975">
            <w:pPr>
              <w:rPr>
                <w:b/>
                <w:color w:val="000000"/>
                <w:sz w:val="20"/>
                <w:szCs w:val="20"/>
                <w:lang w:eastAsia="en-US"/>
              </w:rPr>
            </w:pPr>
            <w:r>
              <w:rPr>
                <w:b/>
                <w:color w:val="000000"/>
                <w:sz w:val="20"/>
                <w:szCs w:val="20"/>
                <w:lang w:eastAsia="en-US"/>
              </w:rPr>
              <w:t>Articular, glenoid fossa orientation:</w:t>
            </w:r>
          </w:p>
          <w:p w14:paraId="04BE5604" w14:textId="20BF6A02"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154); </w:t>
            </w:r>
            <w:r>
              <w:rPr>
                <w:bCs/>
                <w:i/>
                <w:color w:val="000000"/>
                <w:sz w:val="20"/>
                <w:szCs w:val="20"/>
                <w:lang w:eastAsia="en-US"/>
              </w:rPr>
              <w:t xml:space="preserve">Young et al. (2011, ch. 154); Young et al. (2013a, ch. 125); </w:t>
            </w:r>
            <w:r>
              <w:rPr>
                <w:i/>
                <w:sz w:val="20"/>
                <w:szCs w:val="20"/>
                <w:lang w:eastAsia="en-US"/>
              </w:rPr>
              <w:t xml:space="preserve">Young et al. (2012, ch. 147); Young (2014, ch. 151); Young et al. (2016, ds 2, ch. 178); Ristevski et al. (2018, ds 2, ch. 233); Smith et al. (in review, ds 1, ch. 238); </w:t>
            </w:r>
            <w:r>
              <w:rPr>
                <w:i/>
                <w:sz w:val="20"/>
                <w:szCs w:val="20"/>
              </w:rPr>
              <w:t>Ősi et al. (in review, ds 1, ch. 262)</w:t>
            </w:r>
            <w:r>
              <w:rPr>
                <w:i/>
                <w:sz w:val="20"/>
                <w:szCs w:val="20"/>
                <w:lang w:eastAsia="en-US"/>
              </w:rPr>
              <w:t>.</w:t>
            </w:r>
          </w:p>
          <w:p w14:paraId="14F67A99" w14:textId="77777777" w:rsidR="00D67975" w:rsidRDefault="00D67975" w:rsidP="00D67975">
            <w:pPr>
              <w:rPr>
                <w:color w:val="000000"/>
                <w:sz w:val="20"/>
                <w:szCs w:val="20"/>
                <w:lang w:eastAsia="en-US"/>
              </w:rPr>
            </w:pPr>
            <w:r>
              <w:rPr>
                <w:color w:val="000000"/>
                <w:sz w:val="20"/>
                <w:szCs w:val="20"/>
                <w:lang w:eastAsia="en-US"/>
              </w:rPr>
              <w:t>0. anterodorsally</w:t>
            </w:r>
          </w:p>
          <w:p w14:paraId="4EC9FA53" w14:textId="77777777" w:rsidR="00D67975" w:rsidRDefault="00D67975" w:rsidP="00D67975">
            <w:pPr>
              <w:rPr>
                <w:color w:val="000000"/>
                <w:sz w:val="20"/>
                <w:szCs w:val="20"/>
                <w:lang w:eastAsia="en-US"/>
              </w:rPr>
            </w:pPr>
            <w:r>
              <w:rPr>
                <w:color w:val="000000"/>
                <w:sz w:val="20"/>
                <w:szCs w:val="20"/>
                <w:lang w:eastAsia="en-US"/>
              </w:rPr>
              <w:t>1. dorsally</w:t>
            </w:r>
          </w:p>
        </w:tc>
      </w:tr>
      <w:tr w:rsidR="00D67975" w14:paraId="3938651E" w14:textId="77777777" w:rsidTr="00D67975">
        <w:tc>
          <w:tcPr>
            <w:tcW w:w="516" w:type="dxa"/>
            <w:tcBorders>
              <w:top w:val="single" w:sz="4" w:space="0" w:color="auto"/>
              <w:left w:val="single" w:sz="4" w:space="0" w:color="auto"/>
              <w:bottom w:val="single" w:sz="4" w:space="0" w:color="auto"/>
              <w:right w:val="single" w:sz="4" w:space="0" w:color="auto"/>
            </w:tcBorders>
          </w:tcPr>
          <w:p w14:paraId="36B5960C" w14:textId="278EE06F" w:rsidR="00D67975" w:rsidRDefault="00D67975" w:rsidP="00D67975">
            <w:pPr>
              <w:rPr>
                <w:color w:val="000000"/>
                <w:sz w:val="20"/>
                <w:szCs w:val="20"/>
                <w:lang w:eastAsia="en-US"/>
              </w:rPr>
            </w:pPr>
            <w:r>
              <w:rPr>
                <w:color w:val="000000"/>
                <w:sz w:val="20"/>
                <w:szCs w:val="20"/>
                <w:lang w:eastAsia="en-US"/>
              </w:rPr>
              <w:t>264</w:t>
            </w:r>
          </w:p>
        </w:tc>
        <w:tc>
          <w:tcPr>
            <w:tcW w:w="0" w:type="auto"/>
            <w:tcBorders>
              <w:top w:val="single" w:sz="4" w:space="0" w:color="auto"/>
              <w:left w:val="single" w:sz="4" w:space="0" w:color="auto"/>
              <w:bottom w:val="single" w:sz="4" w:space="0" w:color="auto"/>
              <w:right w:val="single" w:sz="4" w:space="0" w:color="auto"/>
            </w:tcBorders>
            <w:vAlign w:val="bottom"/>
            <w:hideMark/>
          </w:tcPr>
          <w:p w14:paraId="6F4A168F" w14:textId="77777777" w:rsidR="00D67975" w:rsidRDefault="00D67975" w:rsidP="00D67975">
            <w:pPr>
              <w:autoSpaceDE w:val="0"/>
              <w:autoSpaceDN w:val="0"/>
              <w:adjustRightInd w:val="0"/>
              <w:rPr>
                <w:b/>
                <w:bCs/>
                <w:color w:val="000000"/>
                <w:sz w:val="20"/>
                <w:szCs w:val="20"/>
                <w:lang w:eastAsia="en-US"/>
              </w:rPr>
            </w:pPr>
            <w:r>
              <w:rPr>
                <w:b/>
                <w:bCs/>
                <w:color w:val="000000"/>
                <w:sz w:val="20"/>
                <w:szCs w:val="20"/>
                <w:lang w:eastAsia="en-US"/>
              </w:rPr>
              <w:t>Retroarticular process, development:</w:t>
            </w:r>
          </w:p>
          <w:p w14:paraId="085061BD" w14:textId="0B8A7884" w:rsidR="00D67975" w:rsidRDefault="00D67975" w:rsidP="00D67975">
            <w:pPr>
              <w:autoSpaceDE w:val="0"/>
              <w:autoSpaceDN w:val="0"/>
              <w:adjustRightInd w:val="0"/>
              <w:rPr>
                <w:b/>
                <w:bCs/>
                <w:color w:val="000000"/>
                <w:sz w:val="20"/>
                <w:szCs w:val="20"/>
                <w:lang w:eastAsia="en-US"/>
              </w:rPr>
            </w:pPr>
            <w:r>
              <w:rPr>
                <w:bCs/>
                <w:i/>
                <w:color w:val="000000"/>
                <w:sz w:val="20"/>
                <w:szCs w:val="20"/>
                <w:lang w:eastAsia="en-US"/>
              </w:rPr>
              <w:t>Clark (1994, ch. 71 part);</w:t>
            </w:r>
            <w:r>
              <w:rPr>
                <w:b/>
                <w:bCs/>
                <w:color w:val="000000"/>
                <w:sz w:val="20"/>
                <w:szCs w:val="20"/>
                <w:lang w:eastAsia="en-US"/>
              </w:rPr>
              <w:t xml:space="preserve"> </w:t>
            </w:r>
            <w:r>
              <w:rPr>
                <w:bCs/>
                <w:i/>
                <w:color w:val="000000"/>
                <w:sz w:val="20"/>
                <w:lang w:eastAsia="en-US"/>
              </w:rPr>
              <w:t xml:space="preserve">Andrade et al. (2011, ch. 358); </w:t>
            </w:r>
            <w:r>
              <w:rPr>
                <w:i/>
                <w:sz w:val="20"/>
                <w:szCs w:val="20"/>
                <w:lang w:eastAsia="en-US"/>
              </w:rPr>
              <w:t xml:space="preserve">Ristevski et al. (2018, ds 2, ch. 234); Smith et al. (in review, ds 1, ch. 239); </w:t>
            </w:r>
            <w:r>
              <w:rPr>
                <w:i/>
                <w:sz w:val="20"/>
                <w:szCs w:val="20"/>
              </w:rPr>
              <w:t>Ősi et al. (in review, ds 1, ch. 263)</w:t>
            </w:r>
            <w:r>
              <w:rPr>
                <w:bCs/>
                <w:i/>
                <w:color w:val="000000"/>
                <w:sz w:val="20"/>
                <w:lang w:eastAsia="en-US"/>
              </w:rPr>
              <w:t>.</w:t>
            </w:r>
          </w:p>
          <w:p w14:paraId="0EC257D2" w14:textId="77777777" w:rsidR="00D67975" w:rsidRDefault="00D67975" w:rsidP="00D67975">
            <w:pPr>
              <w:autoSpaceDE w:val="0"/>
              <w:autoSpaceDN w:val="0"/>
              <w:adjustRightInd w:val="0"/>
              <w:rPr>
                <w:i/>
                <w:iCs/>
                <w:color w:val="000000"/>
                <w:sz w:val="20"/>
                <w:szCs w:val="20"/>
                <w:lang w:eastAsia="en-US"/>
              </w:rPr>
            </w:pPr>
            <w:r>
              <w:rPr>
                <w:i/>
                <w:iCs/>
                <w:color w:val="000000"/>
                <w:sz w:val="20"/>
                <w:szCs w:val="20"/>
                <w:lang w:eastAsia="en-US"/>
              </w:rPr>
              <w:t>For practical purposes, a retroarticular process is here considered as (1) when its orientation can be established.</w:t>
            </w:r>
          </w:p>
          <w:p w14:paraId="50AFC3B1" w14:textId="77777777" w:rsidR="00D67975" w:rsidRDefault="00D67975" w:rsidP="00D67975">
            <w:pPr>
              <w:autoSpaceDE w:val="0"/>
              <w:autoSpaceDN w:val="0"/>
              <w:adjustRightInd w:val="0"/>
              <w:rPr>
                <w:i/>
                <w:iCs/>
                <w:color w:val="000000"/>
                <w:sz w:val="20"/>
                <w:szCs w:val="20"/>
                <w:lang w:eastAsia="en-US"/>
              </w:rPr>
            </w:pPr>
            <w:r>
              <w:rPr>
                <w:i/>
                <w:iCs/>
                <w:color w:val="000000"/>
                <w:sz w:val="20"/>
                <w:szCs w:val="20"/>
                <w:lang w:eastAsia="en-US"/>
              </w:rPr>
              <w:t>State (1) occurs in Mesoeucrocodylia.</w:t>
            </w:r>
          </w:p>
          <w:p w14:paraId="01F3442E"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0. absent or poorly developed</w:t>
            </w:r>
          </w:p>
          <w:p w14:paraId="6C8B5B3F" w14:textId="77777777" w:rsidR="00D67975" w:rsidRDefault="00D67975" w:rsidP="00D67975">
            <w:pPr>
              <w:rPr>
                <w:b/>
                <w:color w:val="000000"/>
                <w:sz w:val="20"/>
                <w:szCs w:val="20"/>
                <w:lang w:eastAsia="en-US"/>
              </w:rPr>
            </w:pPr>
            <w:r>
              <w:rPr>
                <w:color w:val="000000"/>
                <w:sz w:val="20"/>
                <w:szCs w:val="20"/>
                <w:lang w:eastAsia="en-US"/>
              </w:rPr>
              <w:t>1. present and evidently projecting posterior to glenoid fossa</w:t>
            </w:r>
          </w:p>
        </w:tc>
      </w:tr>
      <w:tr w:rsidR="00D67975" w14:paraId="0BFC9E38" w14:textId="77777777" w:rsidTr="00D67975">
        <w:tc>
          <w:tcPr>
            <w:tcW w:w="516" w:type="dxa"/>
            <w:tcBorders>
              <w:top w:val="single" w:sz="4" w:space="0" w:color="auto"/>
              <w:left w:val="single" w:sz="4" w:space="0" w:color="auto"/>
              <w:bottom w:val="single" w:sz="4" w:space="0" w:color="auto"/>
              <w:right w:val="single" w:sz="4" w:space="0" w:color="auto"/>
            </w:tcBorders>
          </w:tcPr>
          <w:p w14:paraId="438C0996" w14:textId="2F44CB02" w:rsidR="00D67975" w:rsidRDefault="00D67975" w:rsidP="00D67975">
            <w:pPr>
              <w:rPr>
                <w:color w:val="000000"/>
                <w:sz w:val="20"/>
                <w:szCs w:val="20"/>
                <w:lang w:eastAsia="en-US"/>
              </w:rPr>
            </w:pPr>
            <w:r>
              <w:rPr>
                <w:color w:val="000000"/>
                <w:sz w:val="20"/>
                <w:szCs w:val="20"/>
                <w:lang w:eastAsia="en-US"/>
              </w:rPr>
              <w:t>265</w:t>
            </w:r>
          </w:p>
        </w:tc>
        <w:tc>
          <w:tcPr>
            <w:tcW w:w="0" w:type="auto"/>
            <w:tcBorders>
              <w:top w:val="single" w:sz="4" w:space="0" w:color="auto"/>
              <w:left w:val="single" w:sz="4" w:space="0" w:color="auto"/>
              <w:bottom w:val="single" w:sz="4" w:space="0" w:color="auto"/>
              <w:right w:val="single" w:sz="4" w:space="0" w:color="auto"/>
            </w:tcBorders>
            <w:vAlign w:val="bottom"/>
            <w:hideMark/>
          </w:tcPr>
          <w:p w14:paraId="6E58A997" w14:textId="2A9A4209" w:rsidR="00D67975" w:rsidRDefault="00D67975" w:rsidP="00D67975">
            <w:pPr>
              <w:autoSpaceDE w:val="0"/>
              <w:autoSpaceDN w:val="0"/>
              <w:adjustRightInd w:val="0"/>
              <w:rPr>
                <w:b/>
                <w:bCs/>
                <w:color w:val="000000"/>
                <w:sz w:val="20"/>
                <w:szCs w:val="20"/>
                <w:lang w:eastAsia="en-US"/>
              </w:rPr>
            </w:pPr>
            <w:r>
              <w:rPr>
                <w:b/>
                <w:bCs/>
                <w:color w:val="000000"/>
                <w:sz w:val="20"/>
                <w:szCs w:val="20"/>
                <w:lang w:eastAsia="en-US"/>
              </w:rPr>
              <w:t>Retroarticular process, length of the attachment surface for the adductor muscles relative to its width: (*) (ORDERED)</w:t>
            </w:r>
          </w:p>
          <w:p w14:paraId="5A6EE77C" w14:textId="3479EED2"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Jouve </w:t>
            </w:r>
            <w:r>
              <w:rPr>
                <w:bCs/>
                <w:i/>
                <w:iCs/>
                <w:color w:val="000000"/>
                <w:sz w:val="20"/>
                <w:szCs w:val="20"/>
                <w:lang w:eastAsia="en-US"/>
              </w:rPr>
              <w:t>et al. (</w:t>
            </w:r>
            <w:r>
              <w:rPr>
                <w:bCs/>
                <w:i/>
                <w:color w:val="000000"/>
                <w:sz w:val="20"/>
                <w:szCs w:val="20"/>
                <w:lang w:eastAsia="en-US"/>
              </w:rPr>
              <w:t>2005, ch. 1 modified);</w:t>
            </w:r>
            <w:r>
              <w:rPr>
                <w:b/>
                <w:bCs/>
                <w:color w:val="000000"/>
                <w:sz w:val="20"/>
                <w:szCs w:val="20"/>
                <w:lang w:eastAsia="en-US"/>
              </w:rPr>
              <w:t xml:space="preserve"> </w:t>
            </w:r>
            <w:r>
              <w:rPr>
                <w:i/>
                <w:sz w:val="20"/>
                <w:szCs w:val="20"/>
                <w:lang w:eastAsia="en-US"/>
              </w:rPr>
              <w:t xml:space="preserve">Jouve et al. (2008, ch. </w:t>
            </w:r>
            <w:r>
              <w:rPr>
                <w:bCs/>
                <w:i/>
                <w:sz w:val="20"/>
                <w:szCs w:val="20"/>
                <w:lang w:eastAsia="en-US"/>
              </w:rPr>
              <w:t>1 modified),</w:t>
            </w:r>
            <w:r>
              <w:rPr>
                <w:bCs/>
                <w:i/>
                <w:color w:val="000000"/>
                <w:sz w:val="20"/>
                <w:lang w:eastAsia="en-US"/>
              </w:rPr>
              <w:t xml:space="preserve"> Andrade et al. (2011, ch. 359); </w:t>
            </w:r>
            <w:r>
              <w:rPr>
                <w:bCs/>
                <w:i/>
                <w:sz w:val="20"/>
                <w:szCs w:val="20"/>
                <w:lang w:eastAsia="en-US"/>
              </w:rPr>
              <w:t xml:space="preserve">Hastings et al. (2010, ch. 75 modified); </w:t>
            </w:r>
            <w:r>
              <w:rPr>
                <w:i/>
                <w:sz w:val="20"/>
                <w:szCs w:val="20"/>
                <w:lang w:eastAsia="en-US"/>
              </w:rPr>
              <w:t xml:space="preserve">Ristevski et al. (2018, ds 2, ch. 235); Smith et al. (in review, ds 1, ch. 240); </w:t>
            </w:r>
            <w:r>
              <w:rPr>
                <w:i/>
                <w:sz w:val="20"/>
                <w:szCs w:val="20"/>
              </w:rPr>
              <w:t>Ősi et al. (in review, ds 1, ch. 264)</w:t>
            </w:r>
            <w:r>
              <w:rPr>
                <w:i/>
                <w:sz w:val="20"/>
                <w:szCs w:val="20"/>
                <w:lang w:eastAsia="en-US"/>
              </w:rPr>
              <w:t>.</w:t>
            </w:r>
          </w:p>
          <w:p w14:paraId="6BB373F5" w14:textId="77777777" w:rsidR="00D67975" w:rsidRDefault="00D67975" w:rsidP="00D67975">
            <w:pPr>
              <w:autoSpaceDE w:val="0"/>
              <w:autoSpaceDN w:val="0"/>
              <w:adjustRightInd w:val="0"/>
              <w:rPr>
                <w:bCs/>
                <w:i/>
                <w:color w:val="000000"/>
                <w:sz w:val="20"/>
                <w:lang w:eastAsia="en-US"/>
              </w:rPr>
            </w:pPr>
            <w:r>
              <w:rPr>
                <w:bCs/>
                <w:i/>
                <w:color w:val="000000"/>
                <w:sz w:val="20"/>
                <w:lang w:eastAsia="en-US"/>
              </w:rPr>
              <w:t>State (2) is a putative apomorphy of Dyrosauridae. Note, that in dyrosaurids the retroarticular processes also have a strong posterodorsal curvature.</w:t>
            </w:r>
          </w:p>
          <w:p w14:paraId="6A808D41" w14:textId="77777777" w:rsidR="00D67975" w:rsidRDefault="00D67975" w:rsidP="00D67975">
            <w:pPr>
              <w:rPr>
                <w:i/>
                <w:sz w:val="20"/>
                <w:szCs w:val="20"/>
                <w:lang w:eastAsia="en-US"/>
              </w:rPr>
            </w:pPr>
            <w:r>
              <w:rPr>
                <w:i/>
                <w:sz w:val="20"/>
                <w:szCs w:val="20"/>
                <w:lang w:eastAsia="en-US"/>
              </w:rPr>
              <w:t>This character is not applicable for taxa that lack retroarticular processes.</w:t>
            </w:r>
          </w:p>
          <w:p w14:paraId="5E747E21"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0. short, subequal</w:t>
            </w:r>
          </w:p>
          <w:p w14:paraId="3617A935"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1. moderately elongated, evidently longer than wide</w:t>
            </w:r>
          </w:p>
          <w:p w14:paraId="44C31B56" w14:textId="77777777" w:rsidR="00D67975" w:rsidRDefault="00D67975" w:rsidP="00D67975">
            <w:pPr>
              <w:autoSpaceDE w:val="0"/>
              <w:autoSpaceDN w:val="0"/>
              <w:adjustRightInd w:val="0"/>
              <w:rPr>
                <w:b/>
                <w:bCs/>
                <w:color w:val="000000"/>
                <w:sz w:val="20"/>
                <w:szCs w:val="20"/>
                <w:lang w:eastAsia="en-US"/>
              </w:rPr>
            </w:pPr>
            <w:r>
              <w:rPr>
                <w:color w:val="000000"/>
                <w:sz w:val="20"/>
                <w:szCs w:val="20"/>
                <w:lang w:eastAsia="en-US"/>
              </w:rPr>
              <w:t>2. extremely elongate, more than twice its width</w:t>
            </w:r>
          </w:p>
        </w:tc>
      </w:tr>
      <w:tr w:rsidR="00D67975" w14:paraId="046148AC" w14:textId="77777777" w:rsidTr="00D67975">
        <w:tc>
          <w:tcPr>
            <w:tcW w:w="516" w:type="dxa"/>
            <w:tcBorders>
              <w:top w:val="single" w:sz="4" w:space="0" w:color="auto"/>
              <w:left w:val="single" w:sz="4" w:space="0" w:color="auto"/>
              <w:bottom w:val="single" w:sz="4" w:space="0" w:color="auto"/>
              <w:right w:val="single" w:sz="4" w:space="0" w:color="auto"/>
            </w:tcBorders>
          </w:tcPr>
          <w:p w14:paraId="754E7400" w14:textId="7D2CC68B" w:rsidR="00D67975" w:rsidRDefault="00D67975" w:rsidP="00D67975">
            <w:pPr>
              <w:rPr>
                <w:color w:val="000000"/>
                <w:sz w:val="20"/>
                <w:szCs w:val="20"/>
                <w:lang w:eastAsia="en-US"/>
              </w:rPr>
            </w:pPr>
            <w:r>
              <w:rPr>
                <w:color w:val="000000"/>
                <w:sz w:val="20"/>
                <w:szCs w:val="20"/>
                <w:lang w:eastAsia="en-US"/>
              </w:rPr>
              <w:t>266</w:t>
            </w:r>
          </w:p>
        </w:tc>
        <w:tc>
          <w:tcPr>
            <w:tcW w:w="0" w:type="auto"/>
            <w:tcBorders>
              <w:top w:val="single" w:sz="4" w:space="0" w:color="auto"/>
              <w:left w:val="single" w:sz="4" w:space="0" w:color="auto"/>
              <w:bottom w:val="single" w:sz="4" w:space="0" w:color="auto"/>
              <w:right w:val="single" w:sz="4" w:space="0" w:color="auto"/>
            </w:tcBorders>
            <w:vAlign w:val="bottom"/>
            <w:hideMark/>
          </w:tcPr>
          <w:p w14:paraId="5DC523E7" w14:textId="77777777" w:rsidR="00D67975" w:rsidRDefault="00D67975" w:rsidP="00D67975">
            <w:pPr>
              <w:autoSpaceDE w:val="0"/>
              <w:autoSpaceDN w:val="0"/>
              <w:adjustRightInd w:val="0"/>
              <w:rPr>
                <w:b/>
                <w:bCs/>
                <w:color w:val="000000"/>
                <w:sz w:val="20"/>
                <w:szCs w:val="20"/>
                <w:lang w:eastAsia="en-US"/>
              </w:rPr>
            </w:pPr>
            <w:r>
              <w:rPr>
                <w:b/>
                <w:bCs/>
                <w:color w:val="000000"/>
                <w:sz w:val="20"/>
                <w:szCs w:val="20"/>
                <w:lang w:eastAsia="en-US"/>
              </w:rPr>
              <w:t>Retroarticular process, morphology of the surface for the attachment of adductor muscles: (*)</w:t>
            </w:r>
          </w:p>
          <w:p w14:paraId="6EFF3127" w14:textId="62A5A65B" w:rsidR="00D67975" w:rsidRDefault="00D67975" w:rsidP="00D67975">
            <w:pPr>
              <w:autoSpaceDE w:val="0"/>
              <w:autoSpaceDN w:val="0"/>
              <w:adjustRightInd w:val="0"/>
              <w:rPr>
                <w:color w:val="000000"/>
                <w:sz w:val="20"/>
                <w:szCs w:val="20"/>
                <w:lang w:eastAsia="en-US"/>
              </w:rPr>
            </w:pPr>
            <w:r>
              <w:rPr>
                <w:bCs/>
                <w:i/>
                <w:color w:val="000000"/>
                <w:sz w:val="20"/>
                <w:lang w:eastAsia="en-US"/>
              </w:rPr>
              <w:t xml:space="preserve">Wilkinson et al. (2008, ch. 50 modified); </w:t>
            </w:r>
            <w:r>
              <w:rPr>
                <w:i/>
                <w:sz w:val="20"/>
                <w:szCs w:val="20"/>
                <w:lang w:eastAsia="en-US"/>
              </w:rPr>
              <w:t xml:space="preserve">Young &amp; Andrade (2009, ch. 50 modified); </w:t>
            </w:r>
            <w:r>
              <w:rPr>
                <w:bCs/>
                <w:i/>
                <w:color w:val="000000"/>
                <w:sz w:val="20"/>
                <w:lang w:eastAsia="en-US"/>
              </w:rPr>
              <w:t xml:space="preserve">Andrade et al. (2011, ch. 363); </w:t>
            </w:r>
            <w:r>
              <w:rPr>
                <w:bCs/>
                <w:i/>
                <w:color w:val="000000"/>
                <w:sz w:val="20"/>
                <w:szCs w:val="20"/>
                <w:lang w:eastAsia="en-US"/>
              </w:rPr>
              <w:t xml:space="preserve">Young et al. (2011, ch. 50 modified); Young et al. (2013a, ch. 126 modified); </w:t>
            </w:r>
            <w:r>
              <w:rPr>
                <w:bCs/>
                <w:i/>
                <w:color w:val="000000"/>
                <w:sz w:val="20"/>
                <w:lang w:eastAsia="en-US"/>
              </w:rPr>
              <w:t xml:space="preserve">Young et al. (2012, ch. 148 modified); Young (2014, ch. 152 modified); Young et al. (2016, ds 2, ch. 179 modified); </w:t>
            </w:r>
            <w:r>
              <w:rPr>
                <w:i/>
                <w:sz w:val="20"/>
                <w:szCs w:val="20"/>
                <w:lang w:eastAsia="en-US"/>
              </w:rPr>
              <w:t xml:space="preserve">Ristevski et al. (2018, ds 2, ch. 236); Smith et al. (in review, ds 1, ch. 241); </w:t>
            </w:r>
            <w:r>
              <w:rPr>
                <w:i/>
                <w:sz w:val="20"/>
                <w:szCs w:val="20"/>
              </w:rPr>
              <w:t>Ősi et al. (in review, ds 1, ch. 265)</w:t>
            </w:r>
            <w:r>
              <w:rPr>
                <w:bCs/>
                <w:i/>
                <w:color w:val="000000"/>
                <w:sz w:val="20"/>
                <w:lang w:eastAsia="en-US"/>
              </w:rPr>
              <w:t>.</w:t>
            </w:r>
          </w:p>
          <w:p w14:paraId="43CEAAF0" w14:textId="77777777" w:rsidR="00D67975" w:rsidRDefault="00D67975" w:rsidP="00D67975">
            <w:pPr>
              <w:rPr>
                <w:i/>
                <w:sz w:val="20"/>
                <w:szCs w:val="20"/>
                <w:lang w:eastAsia="en-US"/>
              </w:rPr>
            </w:pPr>
            <w:r>
              <w:rPr>
                <w:i/>
                <w:sz w:val="20"/>
                <w:szCs w:val="20"/>
                <w:lang w:eastAsia="en-US"/>
              </w:rPr>
              <w:t>This character is not applicable for taxa that lack retroarticular processes.</w:t>
            </w:r>
          </w:p>
          <w:p w14:paraId="4F0D9602"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0. trianglular</w:t>
            </w:r>
          </w:p>
          <w:p w14:paraId="5740B9D8"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1. ellipsoid, rectangular or spoon-shaped</w:t>
            </w:r>
          </w:p>
          <w:p w14:paraId="69267B9E" w14:textId="77777777" w:rsidR="00D67975" w:rsidRDefault="00D67975" w:rsidP="00D67975">
            <w:pPr>
              <w:rPr>
                <w:color w:val="000000"/>
                <w:sz w:val="20"/>
                <w:szCs w:val="20"/>
                <w:lang w:eastAsia="en-US"/>
              </w:rPr>
            </w:pPr>
            <w:r>
              <w:rPr>
                <w:color w:val="000000"/>
                <w:sz w:val="20"/>
                <w:szCs w:val="20"/>
                <w:lang w:eastAsia="en-US"/>
              </w:rPr>
              <w:t>2. shovel-shaped (or paddle-shaped)</w:t>
            </w:r>
          </w:p>
        </w:tc>
      </w:tr>
      <w:tr w:rsidR="00D67975" w14:paraId="3A369E7E" w14:textId="77777777" w:rsidTr="00D67975">
        <w:tc>
          <w:tcPr>
            <w:tcW w:w="516" w:type="dxa"/>
            <w:tcBorders>
              <w:top w:val="single" w:sz="4" w:space="0" w:color="auto"/>
              <w:left w:val="single" w:sz="4" w:space="0" w:color="auto"/>
              <w:bottom w:val="single" w:sz="4" w:space="0" w:color="auto"/>
              <w:right w:val="single" w:sz="4" w:space="0" w:color="auto"/>
            </w:tcBorders>
          </w:tcPr>
          <w:p w14:paraId="232DB405" w14:textId="39C9B2E4" w:rsidR="00D67975" w:rsidRDefault="00D67975" w:rsidP="00D67975">
            <w:pPr>
              <w:rPr>
                <w:color w:val="000000"/>
                <w:sz w:val="20"/>
                <w:szCs w:val="20"/>
                <w:lang w:eastAsia="en-US"/>
              </w:rPr>
            </w:pPr>
            <w:r>
              <w:rPr>
                <w:color w:val="000000"/>
                <w:sz w:val="20"/>
                <w:szCs w:val="20"/>
                <w:lang w:eastAsia="en-US"/>
              </w:rPr>
              <w:t>267</w:t>
            </w:r>
          </w:p>
        </w:tc>
        <w:tc>
          <w:tcPr>
            <w:tcW w:w="0" w:type="auto"/>
            <w:tcBorders>
              <w:top w:val="single" w:sz="4" w:space="0" w:color="auto"/>
              <w:left w:val="single" w:sz="4" w:space="0" w:color="auto"/>
              <w:bottom w:val="single" w:sz="4" w:space="0" w:color="auto"/>
              <w:right w:val="single" w:sz="4" w:space="0" w:color="auto"/>
            </w:tcBorders>
            <w:vAlign w:val="bottom"/>
            <w:hideMark/>
          </w:tcPr>
          <w:p w14:paraId="2B5FECE0" w14:textId="77777777" w:rsidR="00D67975" w:rsidRDefault="00D67975" w:rsidP="00D67975">
            <w:pPr>
              <w:rPr>
                <w:b/>
                <w:color w:val="000000"/>
                <w:sz w:val="20"/>
                <w:szCs w:val="20"/>
                <w:lang w:eastAsia="en-US"/>
              </w:rPr>
            </w:pPr>
            <w:r>
              <w:rPr>
                <w:b/>
                <w:color w:val="000000"/>
                <w:sz w:val="20"/>
                <w:szCs w:val="20"/>
                <w:lang w:eastAsia="en-US"/>
              </w:rPr>
              <w:t>Retroarticular process, width: (*)</w:t>
            </w:r>
          </w:p>
          <w:p w14:paraId="1A0F04AD" w14:textId="441722D2"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152); </w:t>
            </w:r>
            <w:r>
              <w:rPr>
                <w:bCs/>
                <w:i/>
                <w:color w:val="000000"/>
                <w:sz w:val="20"/>
                <w:szCs w:val="20"/>
                <w:lang w:eastAsia="en-US"/>
              </w:rPr>
              <w:t xml:space="preserve">Young et al. (2011, ch. 152); Young et al. (2013a, ch. 127); </w:t>
            </w:r>
            <w:r>
              <w:rPr>
                <w:i/>
                <w:sz w:val="20"/>
                <w:szCs w:val="20"/>
                <w:lang w:eastAsia="en-US"/>
              </w:rPr>
              <w:t xml:space="preserve">Young et al. (2012, ch. 149); Young (2014, ch. 153); Young et al. (2016, ds 2, ch. 180); Ristevski et al. (2018, ds 2, ch. 237); Smith et al. (in review, ds 1, ch. 242); </w:t>
            </w:r>
            <w:r>
              <w:rPr>
                <w:i/>
                <w:sz w:val="20"/>
                <w:szCs w:val="20"/>
              </w:rPr>
              <w:t>Ősi et al. (in review, ds 1, ch. 266)</w:t>
            </w:r>
            <w:r>
              <w:rPr>
                <w:i/>
                <w:sz w:val="20"/>
                <w:szCs w:val="20"/>
                <w:lang w:eastAsia="en-US"/>
              </w:rPr>
              <w:t>.</w:t>
            </w:r>
          </w:p>
          <w:p w14:paraId="4D331645" w14:textId="77777777" w:rsidR="00D67975" w:rsidRDefault="00D67975" w:rsidP="00D67975">
            <w:pPr>
              <w:rPr>
                <w:i/>
                <w:sz w:val="20"/>
                <w:szCs w:val="20"/>
                <w:lang w:eastAsia="en-US"/>
              </w:rPr>
            </w:pPr>
            <w:r>
              <w:rPr>
                <w:i/>
                <w:sz w:val="20"/>
                <w:szCs w:val="20"/>
                <w:lang w:eastAsia="en-US"/>
              </w:rPr>
              <w:t>This character is not applicable for taxa that lack retroarticular processes.</w:t>
            </w:r>
          </w:p>
          <w:p w14:paraId="3BEA4276" w14:textId="77777777" w:rsidR="00D67975" w:rsidRDefault="00D67975" w:rsidP="00D67975">
            <w:pPr>
              <w:rPr>
                <w:color w:val="000000"/>
                <w:sz w:val="20"/>
                <w:szCs w:val="20"/>
                <w:lang w:eastAsia="en-US"/>
              </w:rPr>
            </w:pPr>
            <w:r>
              <w:rPr>
                <w:color w:val="000000"/>
                <w:sz w:val="20"/>
                <w:szCs w:val="20"/>
                <w:lang w:eastAsia="en-US"/>
              </w:rPr>
              <w:t>0. narrower than the glenoid fossa</w:t>
            </w:r>
          </w:p>
          <w:p w14:paraId="25048A33" w14:textId="77777777" w:rsidR="00D67975" w:rsidRDefault="00D67975" w:rsidP="00D67975">
            <w:pPr>
              <w:rPr>
                <w:color w:val="000000"/>
                <w:sz w:val="20"/>
                <w:szCs w:val="20"/>
                <w:lang w:eastAsia="en-US"/>
              </w:rPr>
            </w:pPr>
            <w:r>
              <w:rPr>
                <w:color w:val="000000"/>
                <w:sz w:val="20"/>
                <w:szCs w:val="20"/>
                <w:lang w:eastAsia="en-US"/>
              </w:rPr>
              <w:t>1. wider than the glenoid fossa (projecting medially past the glenoid fossa)</w:t>
            </w:r>
          </w:p>
        </w:tc>
      </w:tr>
      <w:tr w:rsidR="00D67975" w14:paraId="6460740A" w14:textId="77777777" w:rsidTr="00D67975">
        <w:tc>
          <w:tcPr>
            <w:tcW w:w="516" w:type="dxa"/>
            <w:tcBorders>
              <w:top w:val="single" w:sz="4" w:space="0" w:color="auto"/>
              <w:left w:val="single" w:sz="4" w:space="0" w:color="auto"/>
              <w:bottom w:val="single" w:sz="4" w:space="0" w:color="auto"/>
              <w:right w:val="single" w:sz="4" w:space="0" w:color="auto"/>
            </w:tcBorders>
          </w:tcPr>
          <w:p w14:paraId="5C6B2B0D" w14:textId="09E099FE" w:rsidR="00D67975" w:rsidRDefault="00D67975" w:rsidP="00D67975">
            <w:pPr>
              <w:rPr>
                <w:color w:val="000000"/>
                <w:sz w:val="20"/>
                <w:szCs w:val="20"/>
                <w:lang w:eastAsia="en-US"/>
              </w:rPr>
            </w:pPr>
            <w:r>
              <w:rPr>
                <w:color w:val="000000"/>
                <w:sz w:val="20"/>
                <w:szCs w:val="20"/>
                <w:lang w:eastAsia="en-US"/>
              </w:rPr>
              <w:t>268</w:t>
            </w:r>
          </w:p>
        </w:tc>
        <w:tc>
          <w:tcPr>
            <w:tcW w:w="0" w:type="auto"/>
            <w:tcBorders>
              <w:top w:val="single" w:sz="4" w:space="0" w:color="auto"/>
              <w:left w:val="single" w:sz="4" w:space="0" w:color="auto"/>
              <w:bottom w:val="single" w:sz="4" w:space="0" w:color="auto"/>
              <w:right w:val="single" w:sz="4" w:space="0" w:color="auto"/>
            </w:tcBorders>
            <w:vAlign w:val="bottom"/>
            <w:hideMark/>
          </w:tcPr>
          <w:p w14:paraId="165F856A" w14:textId="77777777" w:rsidR="00D67975" w:rsidRDefault="00D67975" w:rsidP="00D67975">
            <w:pPr>
              <w:rPr>
                <w:b/>
                <w:color w:val="000000"/>
                <w:sz w:val="20"/>
                <w:szCs w:val="20"/>
                <w:lang w:eastAsia="en-US"/>
              </w:rPr>
            </w:pPr>
            <w:r>
              <w:rPr>
                <w:b/>
                <w:color w:val="000000"/>
                <w:sz w:val="20"/>
                <w:szCs w:val="20"/>
                <w:lang w:eastAsia="en-US"/>
              </w:rPr>
              <w:t>Retroarticular process, length: (*)</w:t>
            </w:r>
          </w:p>
          <w:p w14:paraId="698DF85D" w14:textId="09138A87"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153); </w:t>
            </w:r>
            <w:r>
              <w:rPr>
                <w:bCs/>
                <w:i/>
                <w:color w:val="000000"/>
                <w:sz w:val="20"/>
                <w:szCs w:val="20"/>
                <w:lang w:eastAsia="en-US"/>
              </w:rPr>
              <w:t xml:space="preserve">Young et al. (2011, ch. 153); Young et al. (2013a, ch. 128); </w:t>
            </w:r>
            <w:r>
              <w:rPr>
                <w:i/>
                <w:sz w:val="20"/>
                <w:szCs w:val="20"/>
                <w:lang w:eastAsia="en-US"/>
              </w:rPr>
              <w:t xml:space="preserve">Young et al. (2012, ch. 150); Young (2014, ch. 154); Young et al. (2016, ds 2, ch. 181); Ristevski et al. (2018, ds 2, ch. 238); Smith et al. (in review, ds 1, ch. 243); </w:t>
            </w:r>
            <w:r>
              <w:rPr>
                <w:i/>
                <w:sz w:val="20"/>
                <w:szCs w:val="20"/>
              </w:rPr>
              <w:t>Ősi et al. (in review, ds 1, ch. 267)</w:t>
            </w:r>
            <w:r>
              <w:rPr>
                <w:i/>
                <w:sz w:val="20"/>
                <w:szCs w:val="20"/>
                <w:lang w:eastAsia="en-US"/>
              </w:rPr>
              <w:t>.</w:t>
            </w:r>
          </w:p>
          <w:p w14:paraId="067E0538" w14:textId="77777777" w:rsidR="00D67975" w:rsidRDefault="00D67975" w:rsidP="00D67975">
            <w:pPr>
              <w:rPr>
                <w:i/>
                <w:sz w:val="20"/>
                <w:szCs w:val="20"/>
                <w:lang w:eastAsia="en-US"/>
              </w:rPr>
            </w:pPr>
            <w:r>
              <w:rPr>
                <w:i/>
                <w:sz w:val="20"/>
                <w:szCs w:val="20"/>
                <w:lang w:eastAsia="en-US"/>
              </w:rPr>
              <w:t>This character is not applicable for taxa that lack retroarticular processes.</w:t>
            </w:r>
          </w:p>
          <w:p w14:paraId="2B9AEB5E" w14:textId="77777777" w:rsidR="00D67975" w:rsidRDefault="00D67975" w:rsidP="00D67975">
            <w:pPr>
              <w:rPr>
                <w:color w:val="000000"/>
                <w:sz w:val="20"/>
                <w:szCs w:val="20"/>
                <w:lang w:eastAsia="en-US"/>
              </w:rPr>
            </w:pPr>
            <w:r>
              <w:rPr>
                <w:color w:val="000000"/>
                <w:sz w:val="20"/>
                <w:szCs w:val="20"/>
                <w:lang w:eastAsia="en-US"/>
              </w:rPr>
              <w:t xml:space="preserve">0. long (longer than wide, and longer than the glenoid fossa width) </w:t>
            </w:r>
          </w:p>
          <w:p w14:paraId="71444D90" w14:textId="77777777" w:rsidR="00D67975" w:rsidRDefault="00D67975" w:rsidP="00D67975">
            <w:pPr>
              <w:rPr>
                <w:color w:val="000000"/>
                <w:sz w:val="20"/>
                <w:szCs w:val="20"/>
                <w:lang w:eastAsia="en-US"/>
              </w:rPr>
            </w:pPr>
            <w:r>
              <w:rPr>
                <w:color w:val="000000"/>
                <w:sz w:val="20"/>
                <w:szCs w:val="20"/>
                <w:lang w:eastAsia="en-US"/>
              </w:rPr>
              <w:t>1. short (wider than long, and shorter than the glenoid fossa width)</w:t>
            </w:r>
          </w:p>
        </w:tc>
      </w:tr>
      <w:tr w:rsidR="00D67975" w14:paraId="13040825" w14:textId="77777777" w:rsidTr="00D67975">
        <w:tc>
          <w:tcPr>
            <w:tcW w:w="516" w:type="dxa"/>
            <w:tcBorders>
              <w:top w:val="single" w:sz="4" w:space="0" w:color="auto"/>
              <w:left w:val="single" w:sz="4" w:space="0" w:color="auto"/>
              <w:bottom w:val="single" w:sz="4" w:space="0" w:color="auto"/>
              <w:right w:val="single" w:sz="4" w:space="0" w:color="auto"/>
            </w:tcBorders>
          </w:tcPr>
          <w:p w14:paraId="63507EAB" w14:textId="7F0C09E3" w:rsidR="00D67975" w:rsidRDefault="00D67975" w:rsidP="00D67975">
            <w:pPr>
              <w:rPr>
                <w:color w:val="000000"/>
                <w:sz w:val="20"/>
                <w:szCs w:val="20"/>
                <w:lang w:eastAsia="en-US"/>
              </w:rPr>
            </w:pPr>
            <w:r>
              <w:rPr>
                <w:color w:val="000000"/>
                <w:sz w:val="20"/>
                <w:szCs w:val="20"/>
                <w:lang w:eastAsia="en-US"/>
              </w:rPr>
              <w:t>269</w:t>
            </w:r>
          </w:p>
        </w:tc>
        <w:tc>
          <w:tcPr>
            <w:tcW w:w="0" w:type="auto"/>
            <w:tcBorders>
              <w:top w:val="single" w:sz="4" w:space="0" w:color="auto"/>
              <w:left w:val="single" w:sz="4" w:space="0" w:color="auto"/>
              <w:bottom w:val="single" w:sz="4" w:space="0" w:color="auto"/>
              <w:right w:val="single" w:sz="4" w:space="0" w:color="auto"/>
            </w:tcBorders>
            <w:vAlign w:val="bottom"/>
            <w:hideMark/>
          </w:tcPr>
          <w:p w14:paraId="22185A90" w14:textId="77777777" w:rsidR="00D67975" w:rsidRDefault="00D67975" w:rsidP="00D67975">
            <w:pPr>
              <w:rPr>
                <w:b/>
                <w:sz w:val="20"/>
                <w:szCs w:val="20"/>
                <w:lang w:eastAsia="en-US"/>
              </w:rPr>
            </w:pPr>
            <w:r>
              <w:rPr>
                <w:b/>
                <w:sz w:val="20"/>
                <w:szCs w:val="20"/>
                <w:lang w:eastAsia="en-US"/>
              </w:rPr>
              <w:t>Retroarticular process, position of the posteromedial wing: (*)</w:t>
            </w:r>
          </w:p>
          <w:p w14:paraId="1B570422" w14:textId="6783D155" w:rsidR="00D67975" w:rsidRDefault="00D67975" w:rsidP="00D67975">
            <w:pPr>
              <w:rPr>
                <w:i/>
                <w:sz w:val="20"/>
                <w:szCs w:val="20"/>
                <w:lang w:eastAsia="en-US"/>
              </w:rPr>
            </w:pPr>
            <w:r>
              <w:rPr>
                <w:i/>
                <w:sz w:val="20"/>
                <w:szCs w:val="20"/>
                <w:lang w:eastAsia="en-US"/>
              </w:rPr>
              <w:t xml:space="preserve">Jouve et al. (2005b, ch. </w:t>
            </w:r>
            <w:r>
              <w:rPr>
                <w:bCs/>
                <w:i/>
                <w:sz w:val="20"/>
                <w:szCs w:val="20"/>
                <w:lang w:eastAsia="en-US"/>
              </w:rPr>
              <w:t>2);</w:t>
            </w:r>
            <w:r>
              <w:rPr>
                <w:i/>
                <w:sz w:val="20"/>
                <w:szCs w:val="20"/>
                <w:lang w:eastAsia="en-US"/>
              </w:rPr>
              <w:t xml:space="preserve"> Jouve et al. (2008, ch. </w:t>
            </w:r>
            <w:r>
              <w:rPr>
                <w:bCs/>
                <w:i/>
                <w:sz w:val="20"/>
                <w:szCs w:val="20"/>
                <w:lang w:eastAsia="en-US"/>
              </w:rPr>
              <w:t xml:space="preserve">2); Hastings et al. (2010, ch. 76); Andrade et al. (2011, ch. 365); </w:t>
            </w:r>
            <w:r>
              <w:rPr>
                <w:i/>
                <w:sz w:val="20"/>
                <w:szCs w:val="20"/>
                <w:lang w:eastAsia="en-US"/>
              </w:rPr>
              <w:t xml:space="preserve">Ristevski et al. (2018, ds 2, ch. 239); Smith et al. (in review, ds 1, ch. 244); </w:t>
            </w:r>
            <w:r>
              <w:rPr>
                <w:i/>
                <w:sz w:val="20"/>
                <w:szCs w:val="20"/>
              </w:rPr>
              <w:t>Ősi et al. (in review, ds 1, ch. 268)</w:t>
            </w:r>
            <w:r>
              <w:rPr>
                <w:i/>
                <w:sz w:val="20"/>
                <w:szCs w:val="20"/>
                <w:lang w:eastAsia="en-US"/>
              </w:rPr>
              <w:t>.</w:t>
            </w:r>
          </w:p>
          <w:p w14:paraId="74463A34" w14:textId="77777777" w:rsidR="00D67975" w:rsidRDefault="00D67975" w:rsidP="00D67975">
            <w:pPr>
              <w:rPr>
                <w:i/>
                <w:sz w:val="20"/>
                <w:szCs w:val="20"/>
                <w:lang w:eastAsia="en-US"/>
              </w:rPr>
            </w:pPr>
            <w:r>
              <w:rPr>
                <w:i/>
                <w:sz w:val="20"/>
                <w:szCs w:val="20"/>
                <w:lang w:eastAsia="en-US"/>
              </w:rPr>
              <w:t>State (1) is a putative apomorphy of Dyrosauridae.</w:t>
            </w:r>
          </w:p>
          <w:p w14:paraId="4533E363" w14:textId="77777777" w:rsidR="00D67975" w:rsidRDefault="00D67975" w:rsidP="00D67975">
            <w:pPr>
              <w:rPr>
                <w:i/>
                <w:sz w:val="20"/>
                <w:szCs w:val="20"/>
                <w:lang w:eastAsia="en-US"/>
              </w:rPr>
            </w:pPr>
            <w:r>
              <w:rPr>
                <w:i/>
                <w:sz w:val="20"/>
                <w:szCs w:val="20"/>
                <w:lang w:eastAsia="en-US"/>
              </w:rPr>
              <w:t>This character is not applicable for taxa that lack retroarticular processes.</w:t>
            </w:r>
          </w:p>
          <w:p w14:paraId="72A72899" w14:textId="77777777" w:rsidR="00D67975" w:rsidRDefault="00D67975" w:rsidP="00D67975">
            <w:pPr>
              <w:autoSpaceDE w:val="0"/>
              <w:autoSpaceDN w:val="0"/>
              <w:adjustRightInd w:val="0"/>
              <w:rPr>
                <w:color w:val="000000"/>
                <w:sz w:val="20"/>
                <w:szCs w:val="20"/>
                <w:lang w:eastAsia="en-US"/>
              </w:rPr>
            </w:pPr>
            <w:r>
              <w:rPr>
                <w:color w:val="000000"/>
                <w:sz w:val="20"/>
                <w:szCs w:val="20"/>
                <w:lang w:eastAsia="en-US"/>
              </w:rPr>
              <w:t>0. posteromedial wing dorsally situated, or at mid height on the retroarticular process</w:t>
            </w:r>
          </w:p>
          <w:p w14:paraId="11CD7B68" w14:textId="77777777" w:rsidR="00D67975" w:rsidRDefault="00D67975" w:rsidP="00D67975">
            <w:pPr>
              <w:rPr>
                <w:sz w:val="20"/>
                <w:szCs w:val="20"/>
                <w:lang w:eastAsia="en-US"/>
              </w:rPr>
            </w:pPr>
            <w:r>
              <w:rPr>
                <w:color w:val="000000"/>
                <w:sz w:val="20"/>
                <w:szCs w:val="20"/>
                <w:lang w:eastAsia="en-US"/>
              </w:rPr>
              <w:t>1. posteromedial wing ventrally situated on the retroarticular process</w:t>
            </w:r>
          </w:p>
        </w:tc>
      </w:tr>
    </w:tbl>
    <w:p w14:paraId="1CB9323C" w14:textId="77777777" w:rsidR="004C76BC" w:rsidRDefault="004C76BC" w:rsidP="004C76BC">
      <w:pPr>
        <w:rPr>
          <w:b/>
        </w:rPr>
      </w:pPr>
    </w:p>
    <w:p w14:paraId="07C8E385" w14:textId="66A2DC58" w:rsidR="004C76BC" w:rsidRDefault="004C76BC" w:rsidP="004C76BC">
      <w:r>
        <w:rPr>
          <w:b/>
        </w:rPr>
        <w:lastRenderedPageBreak/>
        <w:t xml:space="preserve">Dentition and alveolar morphologies </w:t>
      </w:r>
      <w:r>
        <w:t>(Ch. 2</w:t>
      </w:r>
      <w:r w:rsidR="00D67975">
        <w:t>70</w:t>
      </w:r>
      <w:r>
        <w:t xml:space="preserve"> – 33</w:t>
      </w:r>
      <w:r w:rsidR="00D67975">
        <w:t>4</w:t>
      </w:r>
      <w:r>
        <w:t>; 14.317% of characters)</w:t>
      </w:r>
    </w:p>
    <w:p w14:paraId="40CD0FE0" w14:textId="77777777" w:rsidR="004C76BC" w:rsidRDefault="004C76BC" w:rsidP="004C76BC">
      <w:pPr>
        <w:rPr>
          <w:i/>
        </w:rPr>
      </w:pPr>
      <w:bookmarkStart w:id="61" w:name="_Hlk486864302"/>
      <w:r>
        <w:rPr>
          <w:i/>
        </w:rPr>
        <w:t>[Note abbreviations used in this section: P = premaxilla, M = maxilla, D = dentary. Thus, D1 would refer to the first dentary alveolus, while M4 would be the fourth maxillary alveolus, etc. Tooth count numbering starts from the anterior-most alveolus.]</w:t>
      </w:r>
    </w:p>
    <w:bookmarkEnd w:id="61"/>
    <w:p w14:paraId="15E6E4D0"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7EDB1C84"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55E4AA45"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0650770" w14:textId="77777777" w:rsidR="004C76BC" w:rsidRDefault="004C76BC" w:rsidP="00AF438E">
            <w:pPr>
              <w:rPr>
                <w:sz w:val="20"/>
                <w:szCs w:val="20"/>
                <w:lang w:eastAsia="en-US"/>
              </w:rPr>
            </w:pPr>
            <w:r>
              <w:rPr>
                <w:sz w:val="20"/>
                <w:szCs w:val="20"/>
                <w:lang w:eastAsia="en-US"/>
              </w:rPr>
              <w:t>Description</w:t>
            </w:r>
          </w:p>
        </w:tc>
      </w:tr>
      <w:tr w:rsidR="00D67975" w14:paraId="353C9A94"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36E1E313" w14:textId="23EE7435" w:rsidR="00D67975" w:rsidRDefault="00D67975" w:rsidP="00D67975">
            <w:pPr>
              <w:rPr>
                <w:sz w:val="20"/>
                <w:szCs w:val="20"/>
                <w:lang w:eastAsia="en-US"/>
              </w:rPr>
            </w:pPr>
            <w:r>
              <w:rPr>
                <w:color w:val="000000"/>
                <w:sz w:val="20"/>
                <w:szCs w:val="20"/>
                <w:lang w:eastAsia="en-US"/>
              </w:rPr>
              <w:t>270</w:t>
            </w:r>
          </w:p>
        </w:tc>
        <w:tc>
          <w:tcPr>
            <w:tcW w:w="0" w:type="auto"/>
            <w:tcBorders>
              <w:top w:val="single" w:sz="4" w:space="0" w:color="auto"/>
              <w:left w:val="single" w:sz="4" w:space="0" w:color="auto"/>
              <w:bottom w:val="single" w:sz="4" w:space="0" w:color="auto"/>
              <w:right w:val="single" w:sz="4" w:space="0" w:color="auto"/>
            </w:tcBorders>
            <w:hideMark/>
          </w:tcPr>
          <w:p w14:paraId="12D111C4" w14:textId="77777777" w:rsidR="00D67975" w:rsidRDefault="00D67975" w:rsidP="00D67975">
            <w:pPr>
              <w:rPr>
                <w:b/>
                <w:color w:val="000000"/>
                <w:sz w:val="20"/>
                <w:szCs w:val="20"/>
                <w:lang w:eastAsia="en-US"/>
              </w:rPr>
            </w:pPr>
            <w:r>
              <w:rPr>
                <w:b/>
                <w:color w:val="000000"/>
                <w:sz w:val="20"/>
                <w:szCs w:val="20"/>
                <w:lang w:eastAsia="en-US"/>
              </w:rPr>
              <w:t>Tooth row, premaxillary alveoli and posterior maxillary alveoli:</w:t>
            </w:r>
          </w:p>
          <w:p w14:paraId="79A35914" w14:textId="5D22E85E"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129); </w:t>
            </w:r>
            <w:r>
              <w:rPr>
                <w:bCs/>
                <w:i/>
                <w:color w:val="000000"/>
                <w:sz w:val="20"/>
                <w:szCs w:val="20"/>
                <w:lang w:eastAsia="en-US"/>
              </w:rPr>
              <w:t>Young et al. (2011, ch. 129); Young et al. (2013a, ch. 3);</w:t>
            </w:r>
            <w:r>
              <w:rPr>
                <w:i/>
                <w:sz w:val="20"/>
                <w:szCs w:val="20"/>
                <w:lang w:eastAsia="en-US"/>
              </w:rPr>
              <w:t xml:space="preserve"> Young et al. (2012, ch. 5); Young (2014, ch. 5); Young et al. (2016, ds 2, ch. 6), Ristevski et al. (2018, ds 2, ch. 13); Smith et al. (in review, ds 1, ch. 14); </w:t>
            </w:r>
            <w:r>
              <w:rPr>
                <w:i/>
                <w:sz w:val="20"/>
                <w:szCs w:val="20"/>
              </w:rPr>
              <w:t>Ősi et al. (in review, ds 1, ch. 269)</w:t>
            </w:r>
            <w:r>
              <w:rPr>
                <w:i/>
                <w:sz w:val="20"/>
                <w:szCs w:val="20"/>
                <w:lang w:eastAsia="en-US"/>
              </w:rPr>
              <w:t>.</w:t>
            </w:r>
          </w:p>
          <w:p w14:paraId="0A9D3C0B" w14:textId="77777777" w:rsidR="00D67975" w:rsidRDefault="00D67975" w:rsidP="00D67975">
            <w:pPr>
              <w:autoSpaceDE w:val="0"/>
              <w:autoSpaceDN w:val="0"/>
              <w:adjustRightInd w:val="0"/>
              <w:rPr>
                <w:i/>
                <w:sz w:val="20"/>
                <w:szCs w:val="20"/>
                <w:lang w:eastAsia="en-US"/>
              </w:rPr>
            </w:pPr>
            <w:r>
              <w:rPr>
                <w:i/>
                <w:sz w:val="20"/>
                <w:szCs w:val="20"/>
                <w:lang w:eastAsia="en-US"/>
              </w:rPr>
              <w:t>State (1) is a putative apomorphy of Metriorhynchidae.</w:t>
            </w:r>
          </w:p>
          <w:p w14:paraId="4D153B80" w14:textId="77777777" w:rsidR="00D67975" w:rsidRDefault="00D67975" w:rsidP="00D67975">
            <w:pPr>
              <w:autoSpaceDE w:val="0"/>
              <w:autoSpaceDN w:val="0"/>
              <w:adjustRightInd w:val="0"/>
              <w:rPr>
                <w:i/>
                <w:sz w:val="20"/>
                <w:szCs w:val="20"/>
                <w:lang w:eastAsia="en-US"/>
              </w:rPr>
            </w:pPr>
            <w:r>
              <w:rPr>
                <w:i/>
                <w:sz w:val="20"/>
                <w:szCs w:val="20"/>
                <w:lang w:eastAsia="en-US"/>
              </w:rPr>
              <w:t>Note that the ventral offset scored by this character is formed by the dorsoventral expansion of the orbits, this results in the ventroposterior curvature of the posterior maxillae (and thus the concave maxillary tooth row).</w:t>
            </w:r>
          </w:p>
          <w:p w14:paraId="42987E9B" w14:textId="77777777" w:rsidR="00D67975" w:rsidRDefault="00D67975" w:rsidP="00D67975">
            <w:pPr>
              <w:rPr>
                <w:color w:val="000000"/>
                <w:sz w:val="20"/>
                <w:szCs w:val="20"/>
                <w:lang w:eastAsia="en-US"/>
              </w:rPr>
            </w:pPr>
            <w:r>
              <w:rPr>
                <w:color w:val="000000"/>
                <w:sz w:val="20"/>
                <w:szCs w:val="20"/>
                <w:lang w:eastAsia="en-US"/>
              </w:rPr>
              <w:t>0. upper tooth row largely in the same plane (excludes maxillary deflections)</w:t>
            </w:r>
          </w:p>
          <w:p w14:paraId="6F3DE9BB" w14:textId="77777777" w:rsidR="00D67975" w:rsidRDefault="00D67975" w:rsidP="00D67975">
            <w:pPr>
              <w:rPr>
                <w:sz w:val="20"/>
                <w:szCs w:val="20"/>
                <w:lang w:eastAsia="en-US"/>
              </w:rPr>
            </w:pPr>
            <w:r>
              <w:rPr>
                <w:color w:val="000000"/>
                <w:sz w:val="20"/>
                <w:szCs w:val="20"/>
                <w:lang w:eastAsia="en-US"/>
              </w:rPr>
              <w:t>1. posterior maxillary alveoli ventral to all other alveoli (caused by the ventroposterior curvature of the posterior maxillae)</w:t>
            </w:r>
          </w:p>
        </w:tc>
      </w:tr>
      <w:tr w:rsidR="00D67975" w14:paraId="71812257" w14:textId="77777777" w:rsidTr="00D67975">
        <w:tc>
          <w:tcPr>
            <w:tcW w:w="0" w:type="auto"/>
            <w:tcBorders>
              <w:top w:val="single" w:sz="4" w:space="0" w:color="auto"/>
              <w:left w:val="single" w:sz="4" w:space="0" w:color="auto"/>
              <w:bottom w:val="single" w:sz="4" w:space="0" w:color="auto"/>
              <w:right w:val="single" w:sz="4" w:space="0" w:color="auto"/>
            </w:tcBorders>
          </w:tcPr>
          <w:p w14:paraId="7102EC1D" w14:textId="0DECDCD0" w:rsidR="00D67975" w:rsidRDefault="00D67975" w:rsidP="00D67975">
            <w:pPr>
              <w:rPr>
                <w:color w:val="000000"/>
                <w:sz w:val="20"/>
                <w:szCs w:val="20"/>
                <w:lang w:eastAsia="en-US"/>
              </w:rPr>
            </w:pPr>
            <w:r>
              <w:rPr>
                <w:color w:val="000000"/>
                <w:sz w:val="20"/>
                <w:szCs w:val="20"/>
                <w:lang w:eastAsia="en-US"/>
              </w:rPr>
              <w:t>271</w:t>
            </w:r>
          </w:p>
        </w:tc>
        <w:tc>
          <w:tcPr>
            <w:tcW w:w="0" w:type="auto"/>
            <w:tcBorders>
              <w:top w:val="single" w:sz="4" w:space="0" w:color="auto"/>
              <w:left w:val="single" w:sz="4" w:space="0" w:color="auto"/>
              <w:bottom w:val="single" w:sz="4" w:space="0" w:color="auto"/>
              <w:right w:val="single" w:sz="4" w:space="0" w:color="auto"/>
            </w:tcBorders>
            <w:vAlign w:val="bottom"/>
            <w:hideMark/>
          </w:tcPr>
          <w:p w14:paraId="18291843" w14:textId="77777777" w:rsidR="00D67975" w:rsidRDefault="00D67975" w:rsidP="00D67975">
            <w:pPr>
              <w:rPr>
                <w:b/>
                <w:color w:val="000000"/>
                <w:sz w:val="20"/>
                <w:szCs w:val="20"/>
                <w:lang w:eastAsia="en-US"/>
              </w:rPr>
            </w:pPr>
            <w:r>
              <w:rPr>
                <w:b/>
                <w:color w:val="000000"/>
                <w:sz w:val="20"/>
                <w:szCs w:val="20"/>
                <w:lang w:eastAsia="en-US"/>
              </w:rPr>
              <w:t>Premaxilla, alveolar count:</w:t>
            </w:r>
          </w:p>
          <w:p w14:paraId="7B948266" w14:textId="18DAC1FF" w:rsidR="00D67975" w:rsidRDefault="00D67975" w:rsidP="00D67975">
            <w:pPr>
              <w:autoSpaceDE w:val="0"/>
              <w:autoSpaceDN w:val="0"/>
              <w:adjustRightInd w:val="0"/>
              <w:rPr>
                <w:i/>
                <w:sz w:val="20"/>
                <w:szCs w:val="20"/>
                <w:lang w:eastAsia="en-US"/>
              </w:rPr>
            </w:pPr>
            <w:r>
              <w:rPr>
                <w:i/>
                <w:sz w:val="20"/>
                <w:szCs w:val="20"/>
                <w:lang w:eastAsia="en-US"/>
              </w:rPr>
              <w:t xml:space="preserve">Young (2006, ch. 26 modified); Wilkinson et al. (2008, ch. 52 modified); Young &amp; Andrade (2009, ch. 52 modified); Nesbitt (2011, ch. 6 modified); </w:t>
            </w:r>
            <w:r>
              <w:rPr>
                <w:bCs/>
                <w:i/>
                <w:color w:val="000000"/>
                <w:sz w:val="20"/>
                <w:szCs w:val="20"/>
                <w:lang w:eastAsia="en-US"/>
              </w:rPr>
              <w:t xml:space="preserve">Young et al. (2011, ch. 52 modified); Young et al. (2013a, ch. 129 modified); </w:t>
            </w:r>
            <w:r>
              <w:rPr>
                <w:i/>
                <w:sz w:val="20"/>
                <w:szCs w:val="20"/>
                <w:lang w:eastAsia="en-US"/>
              </w:rPr>
              <w:t xml:space="preserve">Young et al. (2012, ch. 151 modified); Young (2014, ch. 155 modified); Young et al. (2016, ds 2, ch. 182 modified); Ristevski et al. (2018, ds 2, ch. 240 modified); Smith et al. (in review, ds 1, ch. 245 modified); </w:t>
            </w:r>
            <w:r>
              <w:rPr>
                <w:i/>
                <w:sz w:val="20"/>
                <w:szCs w:val="20"/>
              </w:rPr>
              <w:t>Ősi et al. (in review, ds 1, ch. 270)</w:t>
            </w:r>
            <w:r>
              <w:rPr>
                <w:i/>
                <w:sz w:val="20"/>
                <w:szCs w:val="20"/>
                <w:lang w:eastAsia="en-US"/>
              </w:rPr>
              <w:t>.</w:t>
            </w:r>
          </w:p>
          <w:p w14:paraId="0B5B8EE0" w14:textId="77777777" w:rsidR="00D67975" w:rsidRDefault="00D67975" w:rsidP="00D67975">
            <w:pPr>
              <w:rPr>
                <w:rFonts w:eastAsiaTheme="minorHAnsi"/>
                <w:color w:val="000000"/>
                <w:sz w:val="20"/>
                <w:szCs w:val="20"/>
                <w:lang w:eastAsia="en-US"/>
              </w:rPr>
            </w:pPr>
            <w:r>
              <w:rPr>
                <w:i/>
                <w:color w:val="000000"/>
                <w:sz w:val="20"/>
                <w:szCs w:val="20"/>
                <w:lang w:eastAsia="en-US"/>
              </w:rPr>
              <w:t>State (0) occurs in</w:t>
            </w:r>
            <w:r>
              <w:rPr>
                <w:color w:val="000000"/>
                <w:sz w:val="20"/>
                <w:szCs w:val="20"/>
                <w:lang w:eastAsia="en-US"/>
              </w:rPr>
              <w:t xml:space="preserve"> Anatosuchus.</w:t>
            </w:r>
          </w:p>
          <w:p w14:paraId="5284D8C0" w14:textId="77777777" w:rsidR="00D67975" w:rsidRDefault="00D67975" w:rsidP="00D67975">
            <w:pPr>
              <w:rPr>
                <w:color w:val="000000"/>
                <w:sz w:val="20"/>
                <w:szCs w:val="20"/>
                <w:lang w:eastAsia="en-US"/>
              </w:rPr>
            </w:pPr>
            <w:r>
              <w:rPr>
                <w:color w:val="000000"/>
                <w:sz w:val="20"/>
                <w:szCs w:val="20"/>
                <w:lang w:eastAsia="en-US"/>
              </w:rPr>
              <w:t>0. six or more alveoli</w:t>
            </w:r>
          </w:p>
          <w:p w14:paraId="4D7C327D" w14:textId="77777777" w:rsidR="00D67975" w:rsidRDefault="00D67975" w:rsidP="00D67975">
            <w:pPr>
              <w:rPr>
                <w:color w:val="000000"/>
                <w:sz w:val="20"/>
                <w:szCs w:val="20"/>
                <w:lang w:eastAsia="en-US"/>
              </w:rPr>
            </w:pPr>
            <w:r>
              <w:rPr>
                <w:color w:val="000000"/>
                <w:sz w:val="20"/>
                <w:szCs w:val="20"/>
                <w:lang w:eastAsia="en-US"/>
              </w:rPr>
              <w:t>1. five alveoli</w:t>
            </w:r>
          </w:p>
          <w:p w14:paraId="30A9BF1A" w14:textId="77777777" w:rsidR="00D67975" w:rsidRDefault="00D67975" w:rsidP="00D67975">
            <w:pPr>
              <w:rPr>
                <w:color w:val="000000"/>
                <w:sz w:val="20"/>
                <w:szCs w:val="20"/>
                <w:lang w:eastAsia="en-US"/>
              </w:rPr>
            </w:pPr>
            <w:r>
              <w:rPr>
                <w:color w:val="000000"/>
                <w:sz w:val="20"/>
                <w:szCs w:val="20"/>
                <w:lang w:eastAsia="en-US"/>
              </w:rPr>
              <w:t>2. four alveoli</w:t>
            </w:r>
          </w:p>
          <w:p w14:paraId="7B150C2D" w14:textId="77777777" w:rsidR="00D67975" w:rsidRDefault="00D67975" w:rsidP="00D67975">
            <w:pPr>
              <w:rPr>
                <w:color w:val="000000"/>
                <w:sz w:val="20"/>
                <w:szCs w:val="20"/>
                <w:lang w:eastAsia="en-US"/>
              </w:rPr>
            </w:pPr>
            <w:r>
              <w:rPr>
                <w:color w:val="000000"/>
                <w:sz w:val="20"/>
                <w:szCs w:val="20"/>
                <w:lang w:eastAsia="en-US"/>
              </w:rPr>
              <w:t>3. three or fewer alveoli</w:t>
            </w:r>
          </w:p>
        </w:tc>
      </w:tr>
      <w:tr w:rsidR="00D67975" w14:paraId="7C14E3F6" w14:textId="77777777" w:rsidTr="00D67975">
        <w:tc>
          <w:tcPr>
            <w:tcW w:w="0" w:type="auto"/>
            <w:tcBorders>
              <w:top w:val="single" w:sz="4" w:space="0" w:color="auto"/>
              <w:left w:val="single" w:sz="4" w:space="0" w:color="auto"/>
              <w:bottom w:val="single" w:sz="4" w:space="0" w:color="auto"/>
              <w:right w:val="single" w:sz="4" w:space="0" w:color="auto"/>
            </w:tcBorders>
          </w:tcPr>
          <w:p w14:paraId="020F5786" w14:textId="52DFDCF2" w:rsidR="00D67975" w:rsidRDefault="00D67975" w:rsidP="00D67975">
            <w:pPr>
              <w:rPr>
                <w:color w:val="000000"/>
                <w:sz w:val="20"/>
                <w:szCs w:val="20"/>
                <w:lang w:eastAsia="en-US"/>
              </w:rPr>
            </w:pPr>
            <w:r>
              <w:rPr>
                <w:color w:val="000000"/>
                <w:sz w:val="20"/>
                <w:szCs w:val="20"/>
                <w:lang w:eastAsia="en-US"/>
              </w:rPr>
              <w:t>272</w:t>
            </w:r>
          </w:p>
        </w:tc>
        <w:tc>
          <w:tcPr>
            <w:tcW w:w="0" w:type="auto"/>
            <w:tcBorders>
              <w:top w:val="single" w:sz="4" w:space="0" w:color="auto"/>
              <w:left w:val="single" w:sz="4" w:space="0" w:color="auto"/>
              <w:bottom w:val="single" w:sz="4" w:space="0" w:color="auto"/>
              <w:right w:val="single" w:sz="4" w:space="0" w:color="auto"/>
            </w:tcBorders>
            <w:vAlign w:val="bottom"/>
            <w:hideMark/>
          </w:tcPr>
          <w:p w14:paraId="219D6328" w14:textId="77777777" w:rsidR="00D67975" w:rsidRDefault="00D67975" w:rsidP="00D67975">
            <w:pPr>
              <w:rPr>
                <w:b/>
                <w:color w:val="000000"/>
                <w:sz w:val="20"/>
                <w:szCs w:val="20"/>
                <w:lang w:eastAsia="en-US"/>
              </w:rPr>
            </w:pPr>
            <w:r>
              <w:rPr>
                <w:b/>
                <w:color w:val="000000"/>
                <w:sz w:val="20"/>
                <w:szCs w:val="20"/>
                <w:lang w:eastAsia="en-US"/>
              </w:rPr>
              <w:t>Maxilla, alveolar count:</w:t>
            </w:r>
          </w:p>
          <w:p w14:paraId="2DF1C735" w14:textId="0795E3F1" w:rsidR="00D67975" w:rsidRDefault="00D67975" w:rsidP="00D67975">
            <w:pPr>
              <w:autoSpaceDE w:val="0"/>
              <w:autoSpaceDN w:val="0"/>
              <w:adjustRightInd w:val="0"/>
              <w:rPr>
                <w:i/>
                <w:sz w:val="20"/>
                <w:szCs w:val="20"/>
                <w:lang w:eastAsia="en-US"/>
              </w:rPr>
            </w:pPr>
            <w:r>
              <w:rPr>
                <w:i/>
                <w:sz w:val="20"/>
                <w:szCs w:val="20"/>
                <w:lang w:eastAsia="en-US"/>
              </w:rPr>
              <w:t xml:space="preserve">Young (2006, ch. 27 modified); Wilkinson et al. (2008, ch. 53 modified); Young &amp; Andrade (2009, ch. 53 modified); </w:t>
            </w:r>
            <w:r>
              <w:rPr>
                <w:bCs/>
                <w:i/>
                <w:color w:val="000000"/>
                <w:sz w:val="20"/>
                <w:szCs w:val="20"/>
                <w:lang w:eastAsia="en-US"/>
              </w:rPr>
              <w:t xml:space="preserve">Young et al. (2011, ch. 53 modified); Young et al. (2013a, ch. 130 modified); </w:t>
            </w:r>
            <w:r>
              <w:rPr>
                <w:i/>
                <w:sz w:val="20"/>
                <w:szCs w:val="20"/>
                <w:lang w:eastAsia="en-US"/>
              </w:rPr>
              <w:t xml:space="preserve">Young et al. (2012, ch. 152 modified); Young (2014, ch. 156); Young et al. (2016, ds 2, ch. 183); Ristevski et al. (2018, ds 2, ch. 241); Smith et al. (in review, ds 1, ch. 246); </w:t>
            </w:r>
            <w:r>
              <w:rPr>
                <w:i/>
                <w:sz w:val="20"/>
                <w:szCs w:val="20"/>
              </w:rPr>
              <w:t>Ősi et al. (in review, ds 1, ch. 271)</w:t>
            </w:r>
            <w:r>
              <w:rPr>
                <w:i/>
                <w:sz w:val="20"/>
                <w:szCs w:val="20"/>
                <w:lang w:eastAsia="en-US"/>
              </w:rPr>
              <w:t>.</w:t>
            </w:r>
          </w:p>
          <w:p w14:paraId="2F740649" w14:textId="77777777" w:rsidR="00D67975" w:rsidRDefault="00D67975" w:rsidP="00D67975">
            <w:pPr>
              <w:rPr>
                <w:color w:val="000000"/>
                <w:sz w:val="20"/>
                <w:szCs w:val="20"/>
                <w:lang w:eastAsia="en-US"/>
              </w:rPr>
            </w:pPr>
            <w:r>
              <w:rPr>
                <w:color w:val="000000"/>
                <w:sz w:val="20"/>
                <w:szCs w:val="20"/>
                <w:lang w:eastAsia="en-US"/>
              </w:rPr>
              <w:t>0. 11 or fewer alveoli</w:t>
            </w:r>
          </w:p>
          <w:p w14:paraId="1121E3AE" w14:textId="77777777" w:rsidR="00D67975" w:rsidRDefault="00D67975" w:rsidP="00D67975">
            <w:pPr>
              <w:rPr>
                <w:color w:val="000000"/>
                <w:sz w:val="20"/>
                <w:szCs w:val="20"/>
                <w:lang w:eastAsia="en-US"/>
              </w:rPr>
            </w:pPr>
            <w:r>
              <w:rPr>
                <w:color w:val="000000"/>
                <w:sz w:val="20"/>
                <w:szCs w:val="20"/>
                <w:lang w:eastAsia="en-US"/>
              </w:rPr>
              <w:t>1. 12–16 alveoli</w:t>
            </w:r>
          </w:p>
          <w:p w14:paraId="5C2856C9" w14:textId="77777777" w:rsidR="00D67975" w:rsidRDefault="00D67975" w:rsidP="00D67975">
            <w:pPr>
              <w:rPr>
                <w:color w:val="000000"/>
                <w:sz w:val="20"/>
                <w:szCs w:val="20"/>
                <w:lang w:eastAsia="en-US"/>
              </w:rPr>
            </w:pPr>
            <w:r>
              <w:rPr>
                <w:color w:val="000000"/>
                <w:sz w:val="20"/>
                <w:szCs w:val="20"/>
                <w:lang w:eastAsia="en-US"/>
              </w:rPr>
              <w:t>2. 17–20 alveoli</w:t>
            </w:r>
          </w:p>
          <w:p w14:paraId="12964F4A" w14:textId="77777777" w:rsidR="00D67975" w:rsidRDefault="00D67975" w:rsidP="00D67975">
            <w:pPr>
              <w:rPr>
                <w:color w:val="000000"/>
                <w:sz w:val="20"/>
                <w:szCs w:val="20"/>
                <w:lang w:eastAsia="en-US"/>
              </w:rPr>
            </w:pPr>
            <w:r>
              <w:rPr>
                <w:color w:val="000000"/>
                <w:sz w:val="20"/>
                <w:szCs w:val="20"/>
                <w:lang w:eastAsia="en-US"/>
              </w:rPr>
              <w:t>3. 21–28 alveoli</w:t>
            </w:r>
          </w:p>
          <w:p w14:paraId="2B6C7D6F" w14:textId="77777777" w:rsidR="00D67975" w:rsidRDefault="00D67975" w:rsidP="00D67975">
            <w:pPr>
              <w:rPr>
                <w:color w:val="000000"/>
                <w:sz w:val="20"/>
                <w:szCs w:val="20"/>
                <w:lang w:eastAsia="en-US"/>
              </w:rPr>
            </w:pPr>
            <w:r>
              <w:rPr>
                <w:color w:val="000000"/>
                <w:sz w:val="20"/>
                <w:szCs w:val="20"/>
                <w:lang w:eastAsia="en-US"/>
              </w:rPr>
              <w:t>4. 29 or more alveoli</w:t>
            </w:r>
          </w:p>
        </w:tc>
      </w:tr>
      <w:tr w:rsidR="00D67975" w14:paraId="1A8634B9" w14:textId="77777777" w:rsidTr="00D67975">
        <w:tc>
          <w:tcPr>
            <w:tcW w:w="0" w:type="auto"/>
            <w:tcBorders>
              <w:top w:val="single" w:sz="4" w:space="0" w:color="auto"/>
              <w:left w:val="single" w:sz="4" w:space="0" w:color="auto"/>
              <w:bottom w:val="single" w:sz="4" w:space="0" w:color="auto"/>
              <w:right w:val="single" w:sz="4" w:space="0" w:color="auto"/>
            </w:tcBorders>
          </w:tcPr>
          <w:p w14:paraId="487A5000" w14:textId="712C1165" w:rsidR="00D67975" w:rsidRPr="0019696F" w:rsidRDefault="00D67975" w:rsidP="00D67975">
            <w:pPr>
              <w:rPr>
                <w:color w:val="000000"/>
                <w:sz w:val="20"/>
                <w:szCs w:val="20"/>
                <w:lang w:eastAsia="en-US"/>
              </w:rPr>
            </w:pPr>
            <w:r w:rsidRPr="0019696F">
              <w:rPr>
                <w:color w:val="000000"/>
                <w:sz w:val="20"/>
                <w:szCs w:val="20"/>
                <w:lang w:eastAsia="en-US"/>
              </w:rPr>
              <w:t>273</w:t>
            </w:r>
          </w:p>
        </w:tc>
        <w:tc>
          <w:tcPr>
            <w:tcW w:w="0" w:type="auto"/>
            <w:tcBorders>
              <w:top w:val="single" w:sz="4" w:space="0" w:color="auto"/>
              <w:left w:val="single" w:sz="4" w:space="0" w:color="auto"/>
              <w:bottom w:val="single" w:sz="4" w:space="0" w:color="auto"/>
              <w:right w:val="single" w:sz="4" w:space="0" w:color="auto"/>
            </w:tcBorders>
            <w:vAlign w:val="bottom"/>
            <w:hideMark/>
          </w:tcPr>
          <w:p w14:paraId="175BDEC1" w14:textId="77777777" w:rsidR="00D67975" w:rsidRPr="0019696F" w:rsidRDefault="00D67975" w:rsidP="00D67975">
            <w:pPr>
              <w:rPr>
                <w:b/>
                <w:color w:val="000000"/>
                <w:sz w:val="20"/>
                <w:szCs w:val="20"/>
                <w:lang w:eastAsia="en-US"/>
              </w:rPr>
            </w:pPr>
            <w:r w:rsidRPr="0019696F">
              <w:rPr>
                <w:b/>
                <w:color w:val="000000"/>
                <w:sz w:val="20"/>
                <w:szCs w:val="20"/>
                <w:lang w:eastAsia="en-US"/>
              </w:rPr>
              <w:t>Maxilla, end of the alveolar row:</w:t>
            </w:r>
          </w:p>
          <w:p w14:paraId="3A7D41EB" w14:textId="5DABDBC5" w:rsidR="00D67975" w:rsidRPr="0019696F" w:rsidRDefault="00D67975" w:rsidP="00D67975">
            <w:pPr>
              <w:rPr>
                <w:i/>
                <w:sz w:val="20"/>
                <w:szCs w:val="20"/>
                <w:lang w:eastAsia="en-US"/>
              </w:rPr>
            </w:pPr>
            <w:r w:rsidRPr="0019696F">
              <w:rPr>
                <w:i/>
                <w:sz w:val="20"/>
                <w:szCs w:val="20"/>
                <w:lang w:eastAsia="en-US"/>
              </w:rPr>
              <w:t xml:space="preserve">Ristevski et al. (2018, ds 2, ch. 242); Smith et al. (in review, ds 1, ch. 247); </w:t>
            </w:r>
            <w:r w:rsidRPr="0019696F">
              <w:rPr>
                <w:i/>
                <w:sz w:val="20"/>
                <w:szCs w:val="20"/>
              </w:rPr>
              <w:t>Ősi et al. (in review, ds 1, ch. 272)</w:t>
            </w:r>
            <w:r w:rsidRPr="0019696F">
              <w:rPr>
                <w:i/>
                <w:sz w:val="20"/>
                <w:szCs w:val="20"/>
                <w:lang w:eastAsia="en-US"/>
              </w:rPr>
              <w:t>.</w:t>
            </w:r>
          </w:p>
          <w:p w14:paraId="7256A9DD" w14:textId="77777777" w:rsidR="00D67975" w:rsidRPr="0019696F" w:rsidRDefault="00D67975" w:rsidP="00D67975">
            <w:pPr>
              <w:rPr>
                <w:i/>
                <w:sz w:val="20"/>
                <w:szCs w:val="20"/>
                <w:lang w:eastAsia="en-US"/>
              </w:rPr>
            </w:pPr>
            <w:r w:rsidRPr="0019696F">
              <w:rPr>
                <w:i/>
                <w:sz w:val="20"/>
                <w:szCs w:val="20"/>
                <w:lang w:eastAsia="en-US"/>
              </w:rPr>
              <w:t>State (0) occurs in Dyrosauridae.</w:t>
            </w:r>
          </w:p>
          <w:p w14:paraId="01BF66CB" w14:textId="77777777" w:rsidR="00D67975" w:rsidRPr="0019696F" w:rsidRDefault="00D67975" w:rsidP="00D67975">
            <w:pPr>
              <w:rPr>
                <w:rFonts w:eastAsiaTheme="minorHAnsi"/>
                <w:i/>
                <w:sz w:val="20"/>
                <w:szCs w:val="20"/>
                <w:lang w:eastAsia="en-US"/>
              </w:rPr>
            </w:pPr>
            <w:r w:rsidRPr="0019696F">
              <w:rPr>
                <w:i/>
                <w:sz w:val="20"/>
                <w:szCs w:val="20"/>
                <w:lang w:eastAsia="en-US"/>
              </w:rPr>
              <w:t xml:space="preserve">State (2) occurs in the metriorhynchid subclade </w:t>
            </w:r>
            <w:r w:rsidRPr="0019696F">
              <w:rPr>
                <w:sz w:val="20"/>
                <w:szCs w:val="20"/>
                <w:lang w:eastAsia="en-US"/>
              </w:rPr>
              <w:t xml:space="preserve">Tyrannoneustes lythrodectikos, Purranisaurus, Torvoneustes, 'Metriorhynchus' hastifer </w:t>
            </w:r>
            <w:r w:rsidRPr="0019696F">
              <w:rPr>
                <w:i/>
                <w:sz w:val="20"/>
                <w:szCs w:val="20"/>
                <w:lang w:eastAsia="en-US"/>
              </w:rPr>
              <w:t>+</w:t>
            </w:r>
            <w:r w:rsidRPr="0019696F">
              <w:rPr>
                <w:sz w:val="20"/>
                <w:szCs w:val="20"/>
                <w:lang w:eastAsia="en-US"/>
              </w:rPr>
              <w:t xml:space="preserve"> </w:t>
            </w:r>
            <w:r w:rsidRPr="0019696F">
              <w:rPr>
                <w:i/>
                <w:sz w:val="20"/>
                <w:szCs w:val="20"/>
                <w:lang w:eastAsia="en-US"/>
              </w:rPr>
              <w:t xml:space="preserve">Mr. Passmore's specimen. It also occurs in Baurusuchidae, </w:t>
            </w:r>
            <w:r w:rsidRPr="0019696F">
              <w:rPr>
                <w:sz w:val="20"/>
                <w:szCs w:val="20"/>
                <w:lang w:eastAsia="en-US"/>
              </w:rPr>
              <w:t>Stolokrosuchus</w:t>
            </w:r>
            <w:r w:rsidRPr="0019696F">
              <w:rPr>
                <w:i/>
                <w:sz w:val="20"/>
                <w:szCs w:val="20"/>
                <w:lang w:eastAsia="en-US"/>
              </w:rPr>
              <w:t xml:space="preserve"> and </w:t>
            </w:r>
            <w:r w:rsidRPr="0019696F">
              <w:rPr>
                <w:sz w:val="20"/>
                <w:szCs w:val="20"/>
                <w:lang w:eastAsia="en-US"/>
              </w:rPr>
              <w:t xml:space="preserve">Kaprosuchus </w:t>
            </w:r>
            <w:r w:rsidRPr="0019696F">
              <w:rPr>
                <w:i/>
                <w:sz w:val="20"/>
                <w:szCs w:val="20"/>
                <w:lang w:eastAsia="en-US"/>
              </w:rPr>
              <w:t xml:space="preserve">+ </w:t>
            </w:r>
            <w:r w:rsidRPr="0019696F">
              <w:rPr>
                <w:sz w:val="20"/>
                <w:szCs w:val="20"/>
                <w:lang w:eastAsia="en-US"/>
              </w:rPr>
              <w:t>Mahajangasuchus</w:t>
            </w:r>
            <w:r w:rsidRPr="0019696F">
              <w:rPr>
                <w:i/>
                <w:sz w:val="20"/>
                <w:szCs w:val="20"/>
                <w:lang w:eastAsia="en-US"/>
              </w:rPr>
              <w:t>.</w:t>
            </w:r>
          </w:p>
          <w:p w14:paraId="26D7359E" w14:textId="77777777" w:rsidR="00D67975" w:rsidRPr="0019696F" w:rsidRDefault="00D67975" w:rsidP="00D67975">
            <w:pPr>
              <w:rPr>
                <w:color w:val="000000"/>
                <w:sz w:val="20"/>
                <w:szCs w:val="20"/>
                <w:lang w:eastAsia="en-US"/>
              </w:rPr>
            </w:pPr>
            <w:r w:rsidRPr="0019696F">
              <w:rPr>
                <w:color w:val="000000"/>
                <w:sz w:val="20"/>
                <w:szCs w:val="20"/>
                <w:lang w:eastAsia="en-US"/>
              </w:rPr>
              <w:t>0. maxillary tooth row terminates posterior to the posterior margin of the orbit, but does not extend beyond the anteroposterior mid-length of the supratemporal fenestrae</w:t>
            </w:r>
          </w:p>
          <w:p w14:paraId="2930A6E6" w14:textId="77777777" w:rsidR="00D67975" w:rsidRPr="0019696F" w:rsidRDefault="00D67975" w:rsidP="00D67975">
            <w:pPr>
              <w:rPr>
                <w:color w:val="000000"/>
                <w:sz w:val="20"/>
                <w:szCs w:val="20"/>
                <w:lang w:eastAsia="en-US"/>
              </w:rPr>
            </w:pPr>
            <w:r w:rsidRPr="0019696F">
              <w:rPr>
                <w:color w:val="000000"/>
                <w:sz w:val="20"/>
                <w:szCs w:val="20"/>
                <w:lang w:eastAsia="en-US"/>
              </w:rPr>
              <w:t>1. maxillary tooth row terminates level to, or posterior to, the anterior margin of the orbit</w:t>
            </w:r>
          </w:p>
          <w:p w14:paraId="4A7F8E62" w14:textId="77777777" w:rsidR="00D67975" w:rsidRPr="0019696F" w:rsidRDefault="00D67975" w:rsidP="00D67975">
            <w:pPr>
              <w:rPr>
                <w:color w:val="000000"/>
                <w:sz w:val="20"/>
                <w:szCs w:val="20"/>
                <w:lang w:eastAsia="en-US"/>
              </w:rPr>
            </w:pPr>
            <w:r w:rsidRPr="0019696F">
              <w:rPr>
                <w:color w:val="000000"/>
                <w:sz w:val="20"/>
                <w:szCs w:val="20"/>
                <w:lang w:eastAsia="en-US"/>
              </w:rPr>
              <w:t>2. maxillary tooth row terminates prior to the anterior margin of the orbit</w:t>
            </w:r>
          </w:p>
        </w:tc>
      </w:tr>
      <w:tr w:rsidR="00D67975" w14:paraId="04FAEF23" w14:textId="77777777" w:rsidTr="007E1D07">
        <w:trPr>
          <w:trHeight w:val="420"/>
        </w:trPr>
        <w:tc>
          <w:tcPr>
            <w:tcW w:w="0" w:type="auto"/>
            <w:tcBorders>
              <w:top w:val="single" w:sz="4" w:space="0" w:color="auto"/>
              <w:left w:val="single" w:sz="4" w:space="0" w:color="auto"/>
              <w:bottom w:val="single" w:sz="4" w:space="0" w:color="auto"/>
              <w:right w:val="single" w:sz="4" w:space="0" w:color="auto"/>
            </w:tcBorders>
          </w:tcPr>
          <w:p w14:paraId="29A15EFF" w14:textId="5E29121F" w:rsidR="00D67975" w:rsidRPr="0019696F" w:rsidRDefault="009E2821" w:rsidP="00D67975">
            <w:pPr>
              <w:rPr>
                <w:color w:val="000000"/>
                <w:sz w:val="20"/>
                <w:szCs w:val="20"/>
                <w:lang w:eastAsia="en-US"/>
              </w:rPr>
            </w:pPr>
            <w:r w:rsidRPr="0019696F">
              <w:rPr>
                <w:color w:val="000000"/>
                <w:sz w:val="20"/>
                <w:szCs w:val="20"/>
                <w:lang w:eastAsia="en-US"/>
              </w:rPr>
              <w:t>274</w:t>
            </w:r>
          </w:p>
        </w:tc>
        <w:tc>
          <w:tcPr>
            <w:tcW w:w="0" w:type="auto"/>
            <w:tcBorders>
              <w:top w:val="single" w:sz="4" w:space="0" w:color="auto"/>
              <w:left w:val="single" w:sz="4" w:space="0" w:color="auto"/>
              <w:bottom w:val="single" w:sz="4" w:space="0" w:color="auto"/>
              <w:right w:val="single" w:sz="4" w:space="0" w:color="auto"/>
            </w:tcBorders>
            <w:vAlign w:val="bottom"/>
            <w:hideMark/>
          </w:tcPr>
          <w:p w14:paraId="63873E21" w14:textId="2D5BD7D7" w:rsidR="0019696F" w:rsidRPr="0019696F" w:rsidRDefault="0019696F" w:rsidP="0019696F">
            <w:pPr>
              <w:rPr>
                <w:b/>
                <w:sz w:val="20"/>
                <w:szCs w:val="20"/>
              </w:rPr>
            </w:pPr>
            <w:r w:rsidRPr="0019696F">
              <w:rPr>
                <w:b/>
                <w:sz w:val="20"/>
                <w:szCs w:val="20"/>
              </w:rPr>
              <w:t>Premaxilla, P1 and P2 alveoli are lateral to one another: (NEW)</w:t>
            </w:r>
          </w:p>
          <w:p w14:paraId="566768C1" w14:textId="55614113" w:rsidR="0019696F" w:rsidRDefault="0019696F" w:rsidP="0019696F">
            <w:pPr>
              <w:rPr>
                <w:i/>
                <w:sz w:val="20"/>
                <w:szCs w:val="20"/>
              </w:rPr>
            </w:pPr>
            <w:r w:rsidRPr="0019696F">
              <w:rPr>
                <w:i/>
                <w:sz w:val="20"/>
                <w:szCs w:val="20"/>
              </w:rPr>
              <w:t>State (1) occurs in the teleosauroids</w:t>
            </w:r>
            <w:r w:rsidRPr="0019696F">
              <w:rPr>
                <w:sz w:val="20"/>
                <w:szCs w:val="20"/>
              </w:rPr>
              <w:t xml:space="preserve"> Aeolodon priscus</w:t>
            </w:r>
            <w:r w:rsidRPr="0019696F">
              <w:rPr>
                <w:i/>
                <w:sz w:val="20"/>
                <w:szCs w:val="20"/>
              </w:rPr>
              <w:t>,</w:t>
            </w:r>
            <w:r w:rsidRPr="0019696F">
              <w:rPr>
                <w:sz w:val="20"/>
                <w:szCs w:val="20"/>
              </w:rPr>
              <w:t xml:space="preserve"> Bathysuchus megarhinus</w:t>
            </w:r>
            <w:r w:rsidRPr="0019696F">
              <w:rPr>
                <w:i/>
                <w:sz w:val="20"/>
                <w:szCs w:val="20"/>
              </w:rPr>
              <w:t>, and</w:t>
            </w:r>
            <w:r w:rsidRPr="0019696F">
              <w:rPr>
                <w:sz w:val="20"/>
                <w:szCs w:val="20"/>
              </w:rPr>
              <w:t xml:space="preserve"> Mycterosuchus nasutus. </w:t>
            </w:r>
            <w:r w:rsidRPr="0019696F">
              <w:rPr>
                <w:i/>
                <w:sz w:val="20"/>
                <w:szCs w:val="20"/>
              </w:rPr>
              <w:t>State (1) also occurs in Pholidosauridae.</w:t>
            </w:r>
          </w:p>
          <w:p w14:paraId="0F0A61E1" w14:textId="4B413016" w:rsidR="0019696F" w:rsidRPr="0019696F" w:rsidRDefault="0019696F" w:rsidP="0019696F">
            <w:pPr>
              <w:rPr>
                <w:sz w:val="20"/>
                <w:szCs w:val="20"/>
              </w:rPr>
            </w:pPr>
            <w:r w:rsidRPr="0019696F">
              <w:rPr>
                <w:i/>
                <w:sz w:val="20"/>
                <w:szCs w:val="20"/>
              </w:rPr>
              <w:t>State (2) occurs in</w:t>
            </w:r>
            <w:r w:rsidRPr="0019696F">
              <w:rPr>
                <w:sz w:val="20"/>
                <w:szCs w:val="20"/>
              </w:rPr>
              <w:t xml:space="preserve"> Elosuchus.</w:t>
            </w:r>
          </w:p>
          <w:p w14:paraId="582A9C1D" w14:textId="77777777" w:rsidR="0019696F" w:rsidRPr="0019696F" w:rsidRDefault="0019696F" w:rsidP="0019696F">
            <w:pPr>
              <w:rPr>
                <w:sz w:val="20"/>
                <w:szCs w:val="20"/>
              </w:rPr>
            </w:pPr>
            <w:r w:rsidRPr="0019696F">
              <w:rPr>
                <w:sz w:val="20"/>
                <w:szCs w:val="20"/>
              </w:rPr>
              <w:t>0. no, P2 posterolateral</w:t>
            </w:r>
          </w:p>
          <w:p w14:paraId="3076C336" w14:textId="77777777" w:rsidR="00D67975" w:rsidRDefault="0019696F" w:rsidP="0019696F">
            <w:pPr>
              <w:rPr>
                <w:sz w:val="20"/>
                <w:szCs w:val="20"/>
              </w:rPr>
            </w:pPr>
            <w:r w:rsidRPr="0019696F">
              <w:rPr>
                <w:sz w:val="20"/>
                <w:szCs w:val="20"/>
              </w:rPr>
              <w:t xml:space="preserve">1. yes, both alveoli are in the same transverse plane  </w:t>
            </w:r>
          </w:p>
          <w:p w14:paraId="29322D27" w14:textId="72F8FF26" w:rsidR="0019696F" w:rsidRPr="0019696F" w:rsidRDefault="0019696F" w:rsidP="0019696F">
            <w:pPr>
              <w:rPr>
                <w:sz w:val="20"/>
                <w:szCs w:val="20"/>
              </w:rPr>
            </w:pPr>
            <w:r>
              <w:rPr>
                <w:sz w:val="20"/>
                <w:szCs w:val="20"/>
              </w:rPr>
              <w:t>2. t</w:t>
            </w:r>
            <w:r w:rsidRPr="0019696F">
              <w:rPr>
                <w:sz w:val="20"/>
                <w:szCs w:val="20"/>
              </w:rPr>
              <w:t>he P2 alveolus is anterolateral to the P1 alveolus</w:t>
            </w:r>
          </w:p>
        </w:tc>
      </w:tr>
      <w:tr w:rsidR="007E1D07" w14:paraId="3978CB12" w14:textId="77777777" w:rsidTr="007E1D07">
        <w:trPr>
          <w:trHeight w:val="419"/>
        </w:trPr>
        <w:tc>
          <w:tcPr>
            <w:tcW w:w="0" w:type="auto"/>
            <w:tcBorders>
              <w:top w:val="single" w:sz="4" w:space="0" w:color="auto"/>
              <w:left w:val="single" w:sz="4" w:space="0" w:color="auto"/>
              <w:bottom w:val="single" w:sz="4" w:space="0" w:color="auto"/>
              <w:right w:val="single" w:sz="4" w:space="0" w:color="auto"/>
            </w:tcBorders>
          </w:tcPr>
          <w:p w14:paraId="361A1A21" w14:textId="453D2C56" w:rsidR="007E1D07" w:rsidRPr="0019696F" w:rsidRDefault="009E2821" w:rsidP="00D67975">
            <w:pPr>
              <w:rPr>
                <w:color w:val="000000"/>
                <w:sz w:val="20"/>
                <w:szCs w:val="20"/>
                <w:lang w:eastAsia="en-US"/>
              </w:rPr>
            </w:pPr>
            <w:r w:rsidRPr="0019696F">
              <w:rPr>
                <w:color w:val="000000"/>
                <w:sz w:val="20"/>
                <w:szCs w:val="20"/>
                <w:lang w:eastAsia="en-US"/>
              </w:rPr>
              <w:t>275</w:t>
            </w:r>
          </w:p>
        </w:tc>
        <w:tc>
          <w:tcPr>
            <w:tcW w:w="0" w:type="auto"/>
            <w:tcBorders>
              <w:top w:val="single" w:sz="4" w:space="0" w:color="auto"/>
              <w:left w:val="single" w:sz="4" w:space="0" w:color="auto"/>
              <w:bottom w:val="single" w:sz="4" w:space="0" w:color="auto"/>
              <w:right w:val="single" w:sz="4" w:space="0" w:color="auto"/>
            </w:tcBorders>
            <w:vAlign w:val="bottom"/>
          </w:tcPr>
          <w:p w14:paraId="2A0E5F81" w14:textId="77777777" w:rsidR="0019696F" w:rsidRPr="0019696F" w:rsidRDefault="0019696F" w:rsidP="0019696F">
            <w:pPr>
              <w:rPr>
                <w:b/>
                <w:sz w:val="20"/>
                <w:szCs w:val="20"/>
              </w:rPr>
            </w:pPr>
            <w:r w:rsidRPr="0019696F">
              <w:rPr>
                <w:b/>
                <w:sz w:val="20"/>
                <w:szCs w:val="20"/>
              </w:rPr>
              <w:t>Premaxilla, shape of the anterior margin between the P2-P3 alveoli: (NEW)</w:t>
            </w:r>
          </w:p>
          <w:p w14:paraId="0472A6D7" w14:textId="77777777" w:rsidR="0019696F" w:rsidRPr="0019696F" w:rsidRDefault="0019696F" w:rsidP="0019696F">
            <w:pPr>
              <w:rPr>
                <w:sz w:val="20"/>
                <w:szCs w:val="20"/>
              </w:rPr>
            </w:pPr>
            <w:r w:rsidRPr="0019696F">
              <w:rPr>
                <w:i/>
                <w:sz w:val="20"/>
                <w:szCs w:val="20"/>
              </w:rPr>
              <w:t>State (1) occurs in</w:t>
            </w:r>
            <w:r w:rsidRPr="0019696F">
              <w:rPr>
                <w:sz w:val="20"/>
                <w:szCs w:val="20"/>
              </w:rPr>
              <w:t xml:space="preserve"> Aeolodon priscus</w:t>
            </w:r>
            <w:r w:rsidRPr="0019696F">
              <w:rPr>
                <w:i/>
                <w:sz w:val="20"/>
                <w:szCs w:val="20"/>
              </w:rPr>
              <w:t>,</w:t>
            </w:r>
            <w:r w:rsidRPr="0019696F">
              <w:rPr>
                <w:sz w:val="20"/>
                <w:szCs w:val="20"/>
              </w:rPr>
              <w:t xml:space="preserve"> Bathysuchus megarhinus</w:t>
            </w:r>
            <w:r w:rsidRPr="0019696F">
              <w:rPr>
                <w:i/>
                <w:sz w:val="20"/>
                <w:szCs w:val="20"/>
              </w:rPr>
              <w:t>, and</w:t>
            </w:r>
            <w:r w:rsidRPr="0019696F">
              <w:rPr>
                <w:sz w:val="20"/>
                <w:szCs w:val="20"/>
              </w:rPr>
              <w:t xml:space="preserve"> Mycterosuchus nasutus.</w:t>
            </w:r>
          </w:p>
          <w:p w14:paraId="3D774AD1" w14:textId="77777777" w:rsidR="0019696F" w:rsidRPr="0019696F" w:rsidRDefault="0019696F" w:rsidP="0019696F">
            <w:pPr>
              <w:rPr>
                <w:i/>
                <w:sz w:val="20"/>
                <w:szCs w:val="20"/>
              </w:rPr>
            </w:pPr>
            <w:r w:rsidRPr="0019696F">
              <w:rPr>
                <w:i/>
                <w:sz w:val="20"/>
                <w:szCs w:val="20"/>
              </w:rPr>
              <w:lastRenderedPageBreak/>
              <w:t>Note that this morphology does not occur in Pholidosauridae, which have a semi-circular shaped premaxilla in dorsal view. Thus, how the P1-P2 alveoli are in the same transverse plane, and its structural implications for premaxillary shape differ between teleosauroids and pholidosaurids.</w:t>
            </w:r>
          </w:p>
          <w:p w14:paraId="247DFD0F" w14:textId="77777777" w:rsidR="0019696F" w:rsidRPr="0019696F" w:rsidRDefault="0019696F" w:rsidP="0019696F">
            <w:pPr>
              <w:rPr>
                <w:sz w:val="20"/>
                <w:szCs w:val="20"/>
              </w:rPr>
            </w:pPr>
            <w:r w:rsidRPr="0019696F">
              <w:rPr>
                <w:sz w:val="20"/>
                <w:szCs w:val="20"/>
              </w:rPr>
              <w:t>0. premaxilla lateral margins are clearly curved, with the P3 alveoli being either: in-line, posteromedial or posterolateral to the P2 alveoli</w:t>
            </w:r>
          </w:p>
          <w:p w14:paraId="2269373C" w14:textId="1061E6B8" w:rsidR="007E1D07" w:rsidRPr="0019696F" w:rsidRDefault="0019696F" w:rsidP="0019696F">
            <w:pPr>
              <w:rPr>
                <w:sz w:val="20"/>
                <w:szCs w:val="20"/>
              </w:rPr>
            </w:pPr>
            <w:r w:rsidRPr="0019696F">
              <w:rPr>
                <w:sz w:val="20"/>
                <w:szCs w:val="20"/>
              </w:rPr>
              <w:t>1. premaxilla lateral margins subrectangular, with the P3 alveoli being clearly lateral to the P2 alveoli (i.e. not part of a curving tooth-row)</w:t>
            </w:r>
            <w:r w:rsidR="007E1D07" w:rsidRPr="0019696F">
              <w:rPr>
                <w:sz w:val="20"/>
                <w:szCs w:val="20"/>
              </w:rPr>
              <w:t xml:space="preserve"> </w:t>
            </w:r>
          </w:p>
        </w:tc>
      </w:tr>
      <w:tr w:rsidR="007E1D07" w14:paraId="76584FD3" w14:textId="77777777" w:rsidTr="007E1D07">
        <w:trPr>
          <w:trHeight w:val="274"/>
        </w:trPr>
        <w:tc>
          <w:tcPr>
            <w:tcW w:w="0" w:type="auto"/>
            <w:tcBorders>
              <w:top w:val="single" w:sz="4" w:space="0" w:color="auto"/>
              <w:left w:val="single" w:sz="4" w:space="0" w:color="auto"/>
              <w:bottom w:val="single" w:sz="4" w:space="0" w:color="auto"/>
              <w:right w:val="single" w:sz="4" w:space="0" w:color="auto"/>
            </w:tcBorders>
          </w:tcPr>
          <w:p w14:paraId="6D65BA7E" w14:textId="5EC98A76" w:rsidR="007E1D07" w:rsidRDefault="009E2821" w:rsidP="00D67975">
            <w:pPr>
              <w:rPr>
                <w:color w:val="000000"/>
                <w:sz w:val="20"/>
                <w:szCs w:val="20"/>
                <w:lang w:eastAsia="en-US"/>
              </w:rPr>
            </w:pPr>
            <w:r>
              <w:rPr>
                <w:color w:val="000000"/>
                <w:sz w:val="20"/>
                <w:szCs w:val="20"/>
                <w:lang w:eastAsia="en-US"/>
              </w:rPr>
              <w:lastRenderedPageBreak/>
              <w:t>276</w:t>
            </w:r>
          </w:p>
        </w:tc>
        <w:tc>
          <w:tcPr>
            <w:tcW w:w="0" w:type="auto"/>
            <w:tcBorders>
              <w:top w:val="single" w:sz="4" w:space="0" w:color="auto"/>
              <w:left w:val="single" w:sz="4" w:space="0" w:color="auto"/>
              <w:bottom w:val="single" w:sz="4" w:space="0" w:color="auto"/>
              <w:right w:val="single" w:sz="4" w:space="0" w:color="auto"/>
            </w:tcBorders>
            <w:vAlign w:val="bottom"/>
          </w:tcPr>
          <w:p w14:paraId="61395808" w14:textId="77777777" w:rsidR="007E1D07" w:rsidRPr="007E1D07" w:rsidRDefault="007E1D07" w:rsidP="007E1D07">
            <w:pPr>
              <w:rPr>
                <w:b/>
                <w:sz w:val="20"/>
                <w:szCs w:val="20"/>
                <w:lang w:eastAsia="en-US"/>
              </w:rPr>
            </w:pPr>
            <w:r w:rsidRPr="007E1D07">
              <w:rPr>
                <w:b/>
                <w:sz w:val="20"/>
                <w:szCs w:val="20"/>
                <w:lang w:eastAsia="en-US"/>
              </w:rPr>
              <w:t>Third premaxillary alveoli, relative size when more than three premaxillary alveoli are present: (*)</w:t>
            </w:r>
          </w:p>
          <w:p w14:paraId="7130577F" w14:textId="0A6BB632" w:rsidR="007E1D07" w:rsidRDefault="007E1D07" w:rsidP="007E1D07">
            <w:pPr>
              <w:rPr>
                <w:i/>
                <w:sz w:val="20"/>
                <w:szCs w:val="20"/>
                <w:lang w:eastAsia="en-US"/>
              </w:rPr>
            </w:pPr>
            <w:r w:rsidRPr="007E1D07">
              <w:rPr>
                <w:i/>
                <w:sz w:val="20"/>
                <w:szCs w:val="20"/>
                <w:lang w:eastAsia="en-US"/>
              </w:rPr>
              <w:t>Hastings et al. (2010, ch. 16 modified); Ristevski et al. (2018, ds 2, ch. 243); Smith et al. (in review, ds 1, ch. 248); Ősi et al. (in review, ds 1, ch. 273).</w:t>
            </w:r>
            <w:r>
              <w:rPr>
                <w:i/>
                <w:sz w:val="20"/>
                <w:szCs w:val="20"/>
                <w:lang w:eastAsia="en-US"/>
              </w:rPr>
              <w:t>This character is not applicable for taxa that have fewer than four premaxillary alveoli.</w:t>
            </w:r>
          </w:p>
          <w:p w14:paraId="6699890A" w14:textId="77777777" w:rsidR="007E1D07" w:rsidRDefault="007E1D07" w:rsidP="007E1D07">
            <w:pPr>
              <w:rPr>
                <w:sz w:val="20"/>
                <w:szCs w:val="20"/>
                <w:lang w:eastAsia="en-US"/>
              </w:rPr>
            </w:pPr>
            <w:r>
              <w:rPr>
                <w:sz w:val="20"/>
                <w:szCs w:val="20"/>
                <w:lang w:eastAsia="en-US"/>
              </w:rPr>
              <w:t xml:space="preserve">0. not enlarged relative to both the second and fourth premaxillary alveoli </w:t>
            </w:r>
          </w:p>
          <w:p w14:paraId="72B073D3" w14:textId="2B2B1FAC" w:rsidR="007E1D07" w:rsidRDefault="007E1D07" w:rsidP="007E1D07">
            <w:pPr>
              <w:rPr>
                <w:bCs/>
                <w:i/>
                <w:sz w:val="20"/>
                <w:szCs w:val="20"/>
                <w:lang w:eastAsia="en-US"/>
              </w:rPr>
            </w:pPr>
            <w:r>
              <w:rPr>
                <w:sz w:val="20"/>
                <w:szCs w:val="20"/>
                <w:lang w:eastAsia="en-US"/>
              </w:rPr>
              <w:t>1. third alveoli are enlarged relative to both adjacent alveoli</w:t>
            </w:r>
          </w:p>
        </w:tc>
      </w:tr>
      <w:tr w:rsidR="00D67975" w14:paraId="7C06A146" w14:textId="77777777" w:rsidTr="00D67975">
        <w:tc>
          <w:tcPr>
            <w:tcW w:w="0" w:type="auto"/>
            <w:tcBorders>
              <w:top w:val="single" w:sz="4" w:space="0" w:color="auto"/>
              <w:left w:val="single" w:sz="4" w:space="0" w:color="auto"/>
              <w:bottom w:val="single" w:sz="4" w:space="0" w:color="auto"/>
              <w:right w:val="single" w:sz="4" w:space="0" w:color="auto"/>
            </w:tcBorders>
          </w:tcPr>
          <w:p w14:paraId="29B4CD82" w14:textId="71F248A6" w:rsidR="00D67975" w:rsidRDefault="009E2821" w:rsidP="00D67975">
            <w:pPr>
              <w:rPr>
                <w:color w:val="000000"/>
                <w:sz w:val="20"/>
                <w:szCs w:val="20"/>
                <w:lang w:eastAsia="en-US"/>
              </w:rPr>
            </w:pPr>
            <w:r>
              <w:rPr>
                <w:color w:val="000000"/>
                <w:sz w:val="20"/>
                <w:szCs w:val="20"/>
                <w:lang w:eastAsia="en-US"/>
              </w:rPr>
              <w:t>277</w:t>
            </w:r>
          </w:p>
        </w:tc>
        <w:tc>
          <w:tcPr>
            <w:tcW w:w="0" w:type="auto"/>
            <w:tcBorders>
              <w:top w:val="single" w:sz="4" w:space="0" w:color="auto"/>
              <w:left w:val="single" w:sz="4" w:space="0" w:color="auto"/>
              <w:bottom w:val="single" w:sz="4" w:space="0" w:color="auto"/>
              <w:right w:val="single" w:sz="4" w:space="0" w:color="auto"/>
            </w:tcBorders>
            <w:vAlign w:val="bottom"/>
            <w:hideMark/>
          </w:tcPr>
          <w:p w14:paraId="183CCC1F" w14:textId="77777777" w:rsidR="00D67975" w:rsidRDefault="00D67975" w:rsidP="00D67975">
            <w:pPr>
              <w:autoSpaceDE w:val="0"/>
              <w:autoSpaceDN w:val="0"/>
              <w:adjustRightInd w:val="0"/>
              <w:rPr>
                <w:b/>
                <w:sz w:val="20"/>
                <w:szCs w:val="20"/>
                <w:lang w:eastAsia="en-US"/>
              </w:rPr>
            </w:pPr>
            <w:r>
              <w:rPr>
                <w:b/>
                <w:sz w:val="20"/>
                <w:szCs w:val="20"/>
                <w:lang w:eastAsia="en-US"/>
              </w:rPr>
              <w:t>Premaxilla, tooth row: (ORDERED)</w:t>
            </w:r>
          </w:p>
          <w:p w14:paraId="6F6F7735" w14:textId="2C7D6227" w:rsidR="00D67975" w:rsidRDefault="00D67975" w:rsidP="00D67975">
            <w:pPr>
              <w:autoSpaceDE w:val="0"/>
              <w:autoSpaceDN w:val="0"/>
              <w:adjustRightInd w:val="0"/>
              <w:rPr>
                <w:i/>
                <w:sz w:val="20"/>
                <w:szCs w:val="20"/>
                <w:lang w:eastAsia="en-US"/>
              </w:rPr>
            </w:pPr>
            <w:r>
              <w:rPr>
                <w:bCs/>
                <w:i/>
                <w:sz w:val="20"/>
                <w:szCs w:val="20"/>
                <w:lang w:eastAsia="en-US"/>
              </w:rPr>
              <w:t xml:space="preserve">Sereno </w:t>
            </w:r>
            <w:r>
              <w:rPr>
                <w:bCs/>
                <w:i/>
                <w:iCs/>
                <w:sz w:val="20"/>
                <w:szCs w:val="20"/>
                <w:lang w:eastAsia="en-US"/>
              </w:rPr>
              <w:t>et al. (</w:t>
            </w:r>
            <w:r>
              <w:rPr>
                <w:bCs/>
                <w:i/>
                <w:sz w:val="20"/>
                <w:szCs w:val="20"/>
                <w:lang w:eastAsia="en-US"/>
              </w:rPr>
              <w:t>2001, ch. 69 modified); Turner &amp; Buckley (2008, ch. 240 modified);</w:t>
            </w:r>
            <w:r>
              <w:rPr>
                <w:b/>
                <w:bCs/>
                <w:sz w:val="20"/>
                <w:szCs w:val="20"/>
                <w:lang w:eastAsia="en-US"/>
              </w:rPr>
              <w:t xml:space="preserve"> </w:t>
            </w:r>
            <w:r>
              <w:rPr>
                <w:bCs/>
                <w:i/>
                <w:sz w:val="20"/>
                <w:lang w:eastAsia="en-US"/>
              </w:rPr>
              <w:t>Andrade et al. (2011, ch. 390 modified);</w:t>
            </w:r>
            <w:r>
              <w:rPr>
                <w:i/>
                <w:sz w:val="20"/>
                <w:szCs w:val="20"/>
                <w:lang w:eastAsia="en-US"/>
              </w:rPr>
              <w:t xml:space="preserve"> Young et al. (2016, ds 2, ch. 12 modified), Ristevski et al. (2018, ds 2, ch. 25); Smith et al. (in review, ds 1, ch. 26); </w:t>
            </w:r>
            <w:r>
              <w:rPr>
                <w:i/>
                <w:sz w:val="20"/>
                <w:szCs w:val="20"/>
              </w:rPr>
              <w:t>Ősi et al. (in review, ds 1, ch. 274)</w:t>
            </w:r>
            <w:r>
              <w:rPr>
                <w:i/>
                <w:sz w:val="20"/>
                <w:szCs w:val="20"/>
                <w:lang w:eastAsia="en-US"/>
              </w:rPr>
              <w:t>.</w:t>
            </w:r>
          </w:p>
          <w:p w14:paraId="223D2411" w14:textId="77777777" w:rsidR="00D67975" w:rsidRDefault="00D67975" w:rsidP="00D67975">
            <w:pPr>
              <w:autoSpaceDE w:val="0"/>
              <w:autoSpaceDN w:val="0"/>
              <w:adjustRightInd w:val="0"/>
              <w:rPr>
                <w:i/>
                <w:sz w:val="20"/>
                <w:szCs w:val="20"/>
                <w:lang w:eastAsia="en-US"/>
              </w:rPr>
            </w:pPr>
            <w:r>
              <w:rPr>
                <w:i/>
                <w:sz w:val="20"/>
                <w:szCs w:val="20"/>
                <w:lang w:eastAsia="en-US"/>
              </w:rPr>
              <w:t>State</w:t>
            </w:r>
            <w:r>
              <w:rPr>
                <w:sz w:val="20"/>
                <w:szCs w:val="20"/>
                <w:lang w:eastAsia="en-US"/>
              </w:rPr>
              <w:t xml:space="preserve"> </w:t>
            </w:r>
            <w:r>
              <w:rPr>
                <w:i/>
                <w:sz w:val="20"/>
                <w:szCs w:val="20"/>
                <w:lang w:eastAsia="en-US"/>
              </w:rPr>
              <w:t>(2)</w:t>
            </w:r>
            <w:r>
              <w:rPr>
                <w:sz w:val="20"/>
                <w:szCs w:val="20"/>
                <w:lang w:eastAsia="en-US"/>
              </w:rPr>
              <w:t xml:space="preserve"> </w:t>
            </w:r>
            <w:r>
              <w:rPr>
                <w:i/>
                <w:sz w:val="20"/>
                <w:szCs w:val="20"/>
                <w:lang w:eastAsia="en-US"/>
              </w:rPr>
              <w:t xml:space="preserve">occurs in the pholidosaurids </w:t>
            </w:r>
            <w:r>
              <w:rPr>
                <w:sz w:val="20"/>
                <w:szCs w:val="20"/>
                <w:lang w:eastAsia="en-US"/>
              </w:rPr>
              <w:t xml:space="preserve">Chalawan, Sarcosuchus, Pholidosaurus schaumburgensis </w:t>
            </w:r>
            <w:r>
              <w:rPr>
                <w:i/>
                <w:sz w:val="20"/>
                <w:szCs w:val="20"/>
                <w:lang w:eastAsia="en-US"/>
              </w:rPr>
              <w:t>(based on the German natural mould specimens)</w:t>
            </w:r>
            <w:r>
              <w:rPr>
                <w:sz w:val="20"/>
                <w:szCs w:val="20"/>
                <w:lang w:eastAsia="en-US"/>
              </w:rPr>
              <w:t xml:space="preserve"> </w:t>
            </w:r>
            <w:r>
              <w:rPr>
                <w:i/>
                <w:sz w:val="20"/>
                <w:szCs w:val="20"/>
                <w:lang w:eastAsia="en-US"/>
              </w:rPr>
              <w:t xml:space="preserve">and </w:t>
            </w:r>
            <w:r>
              <w:rPr>
                <w:sz w:val="20"/>
                <w:szCs w:val="20"/>
                <w:lang w:eastAsia="en-US"/>
              </w:rPr>
              <w:t xml:space="preserve">Meridiosaurus. </w:t>
            </w:r>
            <w:r>
              <w:rPr>
                <w:i/>
                <w:sz w:val="20"/>
                <w:szCs w:val="20"/>
                <w:lang w:eastAsia="en-US"/>
              </w:rPr>
              <w:t>The morphology in</w:t>
            </w:r>
            <w:r>
              <w:rPr>
                <w:sz w:val="20"/>
                <w:szCs w:val="20"/>
                <w:lang w:eastAsia="en-US"/>
              </w:rPr>
              <w:t xml:space="preserve"> Elosuchus </w:t>
            </w:r>
            <w:r>
              <w:rPr>
                <w:i/>
                <w:sz w:val="20"/>
                <w:szCs w:val="20"/>
                <w:lang w:eastAsia="en-US"/>
              </w:rPr>
              <w:t xml:space="preserve">and the French </w:t>
            </w:r>
            <w:r>
              <w:rPr>
                <w:sz w:val="20"/>
                <w:szCs w:val="20"/>
                <w:lang w:eastAsia="en-US"/>
              </w:rPr>
              <w:t xml:space="preserve">Pholidosaurus </w:t>
            </w:r>
            <w:r>
              <w:rPr>
                <w:i/>
                <w:sz w:val="20"/>
                <w:szCs w:val="20"/>
                <w:lang w:eastAsia="en-US"/>
              </w:rPr>
              <w:t>approaches this condition, however the P5 is directed posteriorly and the premaxilla has definitive lateral margins rather than a curved anterolateral curve (however, this could be due to the enlargement of the P3 alveoli). Here, we have created a new character state (1) to accommodate this morphology.</w:t>
            </w:r>
          </w:p>
          <w:p w14:paraId="1E9D64BD" w14:textId="77777777" w:rsidR="00D67975" w:rsidRDefault="00D67975" w:rsidP="00D67975">
            <w:pPr>
              <w:autoSpaceDE w:val="0"/>
              <w:autoSpaceDN w:val="0"/>
              <w:adjustRightInd w:val="0"/>
              <w:rPr>
                <w:i/>
                <w:sz w:val="20"/>
                <w:szCs w:val="20"/>
                <w:lang w:eastAsia="en-US"/>
              </w:rPr>
            </w:pPr>
            <w:r>
              <w:rPr>
                <w:i/>
                <w:sz w:val="20"/>
                <w:szCs w:val="20"/>
                <w:lang w:eastAsia="en-US"/>
              </w:rPr>
              <w:t xml:space="preserve">State (3) is a modification seen in </w:t>
            </w:r>
            <w:r>
              <w:rPr>
                <w:sz w:val="20"/>
                <w:szCs w:val="20"/>
                <w:lang w:eastAsia="en-US"/>
              </w:rPr>
              <w:t>Terminonaris</w:t>
            </w:r>
            <w:r>
              <w:rPr>
                <w:i/>
                <w:sz w:val="20"/>
                <w:szCs w:val="20"/>
                <w:lang w:eastAsia="en-US"/>
              </w:rPr>
              <w:t xml:space="preserve"> and </w:t>
            </w:r>
            <w:r>
              <w:rPr>
                <w:sz w:val="20"/>
                <w:szCs w:val="20"/>
                <w:lang w:eastAsia="en-US"/>
              </w:rPr>
              <w:t>Oceanosuchus</w:t>
            </w:r>
            <w:r>
              <w:rPr>
                <w:i/>
                <w:sz w:val="20"/>
                <w:szCs w:val="20"/>
                <w:lang w:eastAsia="en-US"/>
              </w:rPr>
              <w:t xml:space="preserve">. </w:t>
            </w:r>
          </w:p>
          <w:p w14:paraId="172E61DB" w14:textId="77777777" w:rsidR="00D67975" w:rsidRDefault="00D67975" w:rsidP="00D67975">
            <w:pPr>
              <w:autoSpaceDE w:val="0"/>
              <w:autoSpaceDN w:val="0"/>
              <w:adjustRightInd w:val="0"/>
              <w:rPr>
                <w:sz w:val="20"/>
                <w:szCs w:val="20"/>
                <w:lang w:eastAsia="en-US"/>
              </w:rPr>
            </w:pPr>
            <w:r>
              <w:rPr>
                <w:sz w:val="20"/>
                <w:szCs w:val="20"/>
                <w:lang w:eastAsia="en-US"/>
              </w:rPr>
              <w:t>0. alveoli along the anterior and lateral margins</w:t>
            </w:r>
          </w:p>
          <w:p w14:paraId="696CD510" w14:textId="77777777" w:rsidR="00D67975" w:rsidRDefault="00D67975" w:rsidP="00D67975">
            <w:pPr>
              <w:autoSpaceDE w:val="0"/>
              <w:autoSpaceDN w:val="0"/>
              <w:adjustRightInd w:val="0"/>
              <w:rPr>
                <w:sz w:val="20"/>
                <w:szCs w:val="20"/>
                <w:lang w:eastAsia="en-US"/>
              </w:rPr>
            </w:pPr>
            <w:r>
              <w:rPr>
                <w:sz w:val="20"/>
                <w:szCs w:val="20"/>
                <w:lang w:eastAsia="en-US"/>
              </w:rPr>
              <w:t>1. in a slight semi-circle, (similar to state 2), but the P5 alveolar are directly posteriorly, and the premaxilla still has definitive lateral margins rather than a true anterolateral curve</w:t>
            </w:r>
          </w:p>
          <w:p w14:paraId="0F36C419" w14:textId="77777777" w:rsidR="00D67975" w:rsidRDefault="00D67975" w:rsidP="00D67975">
            <w:pPr>
              <w:rPr>
                <w:sz w:val="20"/>
                <w:szCs w:val="20"/>
                <w:lang w:eastAsia="en-US"/>
              </w:rPr>
            </w:pPr>
            <w:r>
              <w:rPr>
                <w:sz w:val="20"/>
                <w:szCs w:val="20"/>
                <w:lang w:eastAsia="en-US"/>
              </w:rPr>
              <w:t>2. in a slight semi-circle, resulting in the premaxillary alveoli being restricted to the anterior and anterolateral margins</w:t>
            </w:r>
          </w:p>
          <w:p w14:paraId="430D9B2B" w14:textId="77777777" w:rsidR="00D67975" w:rsidRDefault="00D67975" w:rsidP="00D67975">
            <w:pPr>
              <w:rPr>
                <w:b/>
                <w:sz w:val="20"/>
                <w:szCs w:val="20"/>
                <w:lang w:eastAsia="en-US"/>
              </w:rPr>
            </w:pPr>
            <w:r>
              <w:rPr>
                <w:sz w:val="20"/>
                <w:szCs w:val="20"/>
                <w:lang w:eastAsia="en-US"/>
              </w:rPr>
              <w:t>3. the premaxillary tooth row is restricted to an even tighter curve, resulting in the P5 alveoli being lateral to the P4 alveoli and being somewhat laterally oriented (compared to the other four alveoli). The tighter curve means the normally very transversely wide premaxilla of pholidosaurids is now much less wide (with the maximal width at the P5)</w:t>
            </w:r>
          </w:p>
        </w:tc>
      </w:tr>
      <w:tr w:rsidR="00D67975" w14:paraId="166747C2" w14:textId="77777777" w:rsidTr="00D67975">
        <w:tc>
          <w:tcPr>
            <w:tcW w:w="0" w:type="auto"/>
            <w:tcBorders>
              <w:top w:val="single" w:sz="4" w:space="0" w:color="auto"/>
              <w:left w:val="single" w:sz="4" w:space="0" w:color="auto"/>
              <w:bottom w:val="single" w:sz="4" w:space="0" w:color="auto"/>
              <w:right w:val="single" w:sz="4" w:space="0" w:color="auto"/>
            </w:tcBorders>
          </w:tcPr>
          <w:p w14:paraId="256606C6" w14:textId="25A503E0" w:rsidR="00D67975" w:rsidRDefault="009E2821" w:rsidP="00D67975">
            <w:pPr>
              <w:rPr>
                <w:color w:val="000000"/>
                <w:sz w:val="20"/>
                <w:szCs w:val="20"/>
                <w:lang w:eastAsia="en-US"/>
              </w:rPr>
            </w:pPr>
            <w:r>
              <w:rPr>
                <w:color w:val="000000"/>
                <w:sz w:val="20"/>
                <w:szCs w:val="20"/>
                <w:lang w:eastAsia="en-US"/>
              </w:rPr>
              <w:t>278</w:t>
            </w:r>
          </w:p>
        </w:tc>
        <w:tc>
          <w:tcPr>
            <w:tcW w:w="0" w:type="auto"/>
            <w:tcBorders>
              <w:top w:val="single" w:sz="4" w:space="0" w:color="auto"/>
              <w:left w:val="single" w:sz="4" w:space="0" w:color="auto"/>
              <w:bottom w:val="single" w:sz="4" w:space="0" w:color="auto"/>
              <w:right w:val="single" w:sz="4" w:space="0" w:color="auto"/>
            </w:tcBorders>
            <w:vAlign w:val="bottom"/>
            <w:hideMark/>
          </w:tcPr>
          <w:p w14:paraId="561E95A6" w14:textId="77777777" w:rsidR="00D67975" w:rsidRDefault="00D67975" w:rsidP="00D67975">
            <w:pPr>
              <w:rPr>
                <w:b/>
                <w:color w:val="000000"/>
                <w:sz w:val="20"/>
                <w:szCs w:val="20"/>
                <w:lang w:eastAsia="en-US"/>
              </w:rPr>
            </w:pPr>
            <w:r>
              <w:rPr>
                <w:b/>
                <w:color w:val="000000"/>
                <w:sz w:val="20"/>
                <w:szCs w:val="20"/>
                <w:lang w:eastAsia="en-US"/>
              </w:rPr>
              <w:t>Number of teeth partially supported by both the premaxilla and maxilla:</w:t>
            </w:r>
          </w:p>
          <w:p w14:paraId="6E5FD23A" w14:textId="50F738CD"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162); </w:t>
            </w:r>
            <w:r>
              <w:rPr>
                <w:bCs/>
                <w:i/>
                <w:color w:val="000000"/>
                <w:sz w:val="20"/>
                <w:szCs w:val="20"/>
                <w:lang w:eastAsia="en-US"/>
              </w:rPr>
              <w:t xml:space="preserve">Young et al. (2011, ch. 162); Young et al. (2013a, ch. 131); </w:t>
            </w:r>
            <w:r>
              <w:rPr>
                <w:i/>
                <w:sz w:val="20"/>
                <w:szCs w:val="20"/>
                <w:lang w:eastAsia="en-US"/>
              </w:rPr>
              <w:t xml:space="preserve">Young et al. (2012, ch. 153); Young (2014, ch. 157); Young et al. (2016, ds 2, ch. 184); Ristevski et al. (2018, ds 2, ch. 244); Smith et al. (in review, ds 1, ch. 249); </w:t>
            </w:r>
            <w:r>
              <w:rPr>
                <w:i/>
                <w:sz w:val="20"/>
                <w:szCs w:val="20"/>
              </w:rPr>
              <w:t>Ősi et al. (in review, ds 1, ch. 275)</w:t>
            </w:r>
            <w:r>
              <w:rPr>
                <w:i/>
                <w:sz w:val="20"/>
                <w:szCs w:val="20"/>
                <w:lang w:eastAsia="en-US"/>
              </w:rPr>
              <w:t>.</w:t>
            </w:r>
          </w:p>
          <w:p w14:paraId="6D10DB80" w14:textId="77777777" w:rsidR="00D67975" w:rsidRDefault="00D67975" w:rsidP="00D67975">
            <w:pPr>
              <w:rPr>
                <w:i/>
                <w:sz w:val="20"/>
                <w:szCs w:val="20"/>
                <w:lang w:eastAsia="en-US"/>
              </w:rPr>
            </w:pPr>
            <w:r>
              <w:rPr>
                <w:i/>
                <w:sz w:val="20"/>
                <w:szCs w:val="20"/>
                <w:lang w:eastAsia="en-US"/>
              </w:rPr>
              <w:t xml:space="preserve">State (1) occurs in </w:t>
            </w:r>
            <w:r>
              <w:rPr>
                <w:sz w:val="20"/>
                <w:szCs w:val="20"/>
                <w:lang w:eastAsia="en-US"/>
              </w:rPr>
              <w:t>Mariliasuchus</w:t>
            </w:r>
            <w:r>
              <w:rPr>
                <w:i/>
                <w:sz w:val="20"/>
                <w:szCs w:val="20"/>
                <w:lang w:eastAsia="en-US"/>
              </w:rPr>
              <w:t xml:space="preserve"> and </w:t>
            </w:r>
            <w:r>
              <w:rPr>
                <w:sz w:val="20"/>
                <w:szCs w:val="20"/>
                <w:lang w:eastAsia="en-US"/>
              </w:rPr>
              <w:t>Notosuchus.</w:t>
            </w:r>
            <w:r>
              <w:rPr>
                <w:i/>
                <w:sz w:val="20"/>
                <w:szCs w:val="20"/>
                <w:lang w:eastAsia="en-US"/>
              </w:rPr>
              <w:t xml:space="preserve"> </w:t>
            </w:r>
          </w:p>
          <w:p w14:paraId="3AC1B503" w14:textId="77777777" w:rsidR="00D67975" w:rsidRDefault="00D67975" w:rsidP="00D67975">
            <w:pPr>
              <w:rPr>
                <w:color w:val="000000"/>
                <w:sz w:val="20"/>
                <w:szCs w:val="20"/>
                <w:lang w:eastAsia="en-US"/>
              </w:rPr>
            </w:pPr>
            <w:r>
              <w:rPr>
                <w:color w:val="000000"/>
                <w:sz w:val="20"/>
                <w:szCs w:val="20"/>
                <w:lang w:eastAsia="en-US"/>
              </w:rPr>
              <w:t>0. none</w:t>
            </w:r>
          </w:p>
          <w:p w14:paraId="344A0324" w14:textId="77777777" w:rsidR="00D67975" w:rsidRDefault="00D67975" w:rsidP="00D67975">
            <w:pPr>
              <w:rPr>
                <w:color w:val="000000"/>
                <w:sz w:val="20"/>
                <w:szCs w:val="20"/>
                <w:lang w:eastAsia="en-US"/>
              </w:rPr>
            </w:pPr>
            <w:r>
              <w:rPr>
                <w:color w:val="000000"/>
                <w:sz w:val="20"/>
                <w:szCs w:val="20"/>
                <w:lang w:eastAsia="en-US"/>
              </w:rPr>
              <w:t xml:space="preserve">1. one </w:t>
            </w:r>
          </w:p>
        </w:tc>
      </w:tr>
      <w:tr w:rsidR="00D67975" w14:paraId="4527646B" w14:textId="77777777" w:rsidTr="00D67975">
        <w:tc>
          <w:tcPr>
            <w:tcW w:w="0" w:type="auto"/>
            <w:tcBorders>
              <w:top w:val="single" w:sz="4" w:space="0" w:color="auto"/>
              <w:left w:val="single" w:sz="4" w:space="0" w:color="auto"/>
              <w:bottom w:val="single" w:sz="4" w:space="0" w:color="auto"/>
              <w:right w:val="single" w:sz="4" w:space="0" w:color="auto"/>
            </w:tcBorders>
          </w:tcPr>
          <w:p w14:paraId="1338A27D" w14:textId="2F89C367" w:rsidR="00D67975" w:rsidRDefault="009E2821" w:rsidP="00D67975">
            <w:pPr>
              <w:rPr>
                <w:color w:val="000000"/>
                <w:sz w:val="20"/>
                <w:szCs w:val="20"/>
                <w:lang w:eastAsia="en-US"/>
              </w:rPr>
            </w:pPr>
            <w:r>
              <w:rPr>
                <w:color w:val="000000"/>
                <w:sz w:val="20"/>
                <w:szCs w:val="20"/>
                <w:lang w:eastAsia="en-US"/>
              </w:rPr>
              <w:t>279</w:t>
            </w:r>
          </w:p>
        </w:tc>
        <w:tc>
          <w:tcPr>
            <w:tcW w:w="0" w:type="auto"/>
            <w:tcBorders>
              <w:top w:val="single" w:sz="4" w:space="0" w:color="auto"/>
              <w:left w:val="single" w:sz="4" w:space="0" w:color="auto"/>
              <w:bottom w:val="single" w:sz="4" w:space="0" w:color="auto"/>
              <w:right w:val="single" w:sz="4" w:space="0" w:color="auto"/>
            </w:tcBorders>
            <w:vAlign w:val="bottom"/>
            <w:hideMark/>
          </w:tcPr>
          <w:p w14:paraId="7EBE540C" w14:textId="77777777" w:rsidR="00D67975" w:rsidRDefault="00D67975" w:rsidP="00D67975">
            <w:pPr>
              <w:rPr>
                <w:b/>
                <w:color w:val="000000"/>
                <w:sz w:val="20"/>
                <w:szCs w:val="20"/>
                <w:lang w:eastAsia="en-US"/>
              </w:rPr>
            </w:pPr>
            <w:r>
              <w:rPr>
                <w:b/>
                <w:color w:val="000000"/>
                <w:sz w:val="20"/>
                <w:szCs w:val="20"/>
                <w:lang w:eastAsia="en-US"/>
              </w:rPr>
              <w:t xml:space="preserve">Presence of a premaxillary lamina extending posteriorly along the palatal surface that overlaps the anterior margin of the first maxillary alveoli: </w:t>
            </w:r>
          </w:p>
          <w:p w14:paraId="66AB4ADD" w14:textId="5D01333F" w:rsidR="00D67975" w:rsidRDefault="00D67975" w:rsidP="00D67975">
            <w:pPr>
              <w:rPr>
                <w:i/>
                <w:sz w:val="20"/>
                <w:szCs w:val="20"/>
                <w:lang w:eastAsia="en-US"/>
              </w:rPr>
            </w:pPr>
            <w:r>
              <w:rPr>
                <w:i/>
                <w:sz w:val="20"/>
                <w:szCs w:val="20"/>
                <w:lang w:eastAsia="en-US"/>
              </w:rPr>
              <w:t xml:space="preserve">Ristevski et al. (2018, ds 2, ch. 245); Smith et al. (in review, ds 1, ch. 250); </w:t>
            </w:r>
            <w:r>
              <w:rPr>
                <w:i/>
                <w:sz w:val="20"/>
                <w:szCs w:val="20"/>
              </w:rPr>
              <w:t>Ősi et al. (in review, ds 1, ch. 276)</w:t>
            </w:r>
            <w:r>
              <w:rPr>
                <w:i/>
                <w:sz w:val="20"/>
                <w:szCs w:val="20"/>
                <w:lang w:eastAsia="en-US"/>
              </w:rPr>
              <w:t>.</w:t>
            </w:r>
          </w:p>
          <w:p w14:paraId="5463FFE3" w14:textId="2DE4C0DA" w:rsidR="00D67975" w:rsidRDefault="00D67975" w:rsidP="00D67975">
            <w:pPr>
              <w:rPr>
                <w:color w:val="000000"/>
                <w:sz w:val="20"/>
                <w:szCs w:val="20"/>
                <w:lang w:eastAsia="en-US"/>
              </w:rPr>
            </w:pPr>
            <w:r>
              <w:rPr>
                <w:i/>
                <w:sz w:val="20"/>
                <w:szCs w:val="20"/>
                <w:lang w:eastAsia="en-US"/>
              </w:rPr>
              <w:t xml:space="preserve">State (1) occurs in </w:t>
            </w:r>
            <w:r>
              <w:rPr>
                <w:sz w:val="20"/>
                <w:szCs w:val="20"/>
                <w:lang w:eastAsia="en-US"/>
              </w:rPr>
              <w:t xml:space="preserve">Tyrannoneustes lythrodectikos, Torvoneustes, ‘Metriorhynchus’ hastifer </w:t>
            </w:r>
            <w:r>
              <w:rPr>
                <w:i/>
                <w:sz w:val="20"/>
                <w:szCs w:val="20"/>
                <w:lang w:eastAsia="en-US"/>
              </w:rPr>
              <w:t>and</w:t>
            </w:r>
            <w:r>
              <w:rPr>
                <w:sz w:val="20"/>
                <w:szCs w:val="20"/>
                <w:lang w:eastAsia="en-US"/>
              </w:rPr>
              <w:t xml:space="preserve"> </w:t>
            </w:r>
            <w:r>
              <w:rPr>
                <w:i/>
                <w:sz w:val="20"/>
                <w:szCs w:val="20"/>
                <w:lang w:eastAsia="en-US"/>
              </w:rPr>
              <w:t>Mr. Passmore’s specimen.</w:t>
            </w:r>
          </w:p>
          <w:p w14:paraId="1B5C8E1F" w14:textId="77777777" w:rsidR="00D67975" w:rsidRDefault="00D67975" w:rsidP="00D67975">
            <w:pPr>
              <w:rPr>
                <w:color w:val="000000"/>
                <w:sz w:val="20"/>
                <w:szCs w:val="20"/>
                <w:lang w:eastAsia="en-US"/>
              </w:rPr>
            </w:pPr>
            <w:r>
              <w:rPr>
                <w:color w:val="000000"/>
                <w:sz w:val="20"/>
                <w:szCs w:val="20"/>
                <w:lang w:eastAsia="en-US"/>
              </w:rPr>
              <w:t>0. absent</w:t>
            </w:r>
          </w:p>
          <w:p w14:paraId="48C4E8E5"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51BB5D35" w14:textId="77777777" w:rsidTr="00D67975">
        <w:tc>
          <w:tcPr>
            <w:tcW w:w="0" w:type="auto"/>
            <w:tcBorders>
              <w:top w:val="single" w:sz="4" w:space="0" w:color="auto"/>
              <w:left w:val="single" w:sz="4" w:space="0" w:color="auto"/>
              <w:bottom w:val="single" w:sz="4" w:space="0" w:color="auto"/>
              <w:right w:val="single" w:sz="4" w:space="0" w:color="auto"/>
            </w:tcBorders>
          </w:tcPr>
          <w:p w14:paraId="134444CD" w14:textId="130B944C" w:rsidR="00D67975" w:rsidRDefault="009E2821" w:rsidP="00D67975">
            <w:pPr>
              <w:rPr>
                <w:color w:val="000000"/>
                <w:sz w:val="20"/>
                <w:szCs w:val="20"/>
                <w:lang w:eastAsia="en-US"/>
              </w:rPr>
            </w:pPr>
            <w:r>
              <w:rPr>
                <w:color w:val="000000"/>
                <w:sz w:val="20"/>
                <w:szCs w:val="20"/>
                <w:lang w:eastAsia="en-US"/>
              </w:rPr>
              <w:t>280</w:t>
            </w:r>
          </w:p>
        </w:tc>
        <w:tc>
          <w:tcPr>
            <w:tcW w:w="0" w:type="auto"/>
            <w:tcBorders>
              <w:top w:val="single" w:sz="4" w:space="0" w:color="auto"/>
              <w:left w:val="single" w:sz="4" w:space="0" w:color="auto"/>
              <w:bottom w:val="single" w:sz="4" w:space="0" w:color="auto"/>
              <w:right w:val="single" w:sz="4" w:space="0" w:color="auto"/>
            </w:tcBorders>
            <w:vAlign w:val="bottom"/>
            <w:hideMark/>
          </w:tcPr>
          <w:p w14:paraId="3D101D7A" w14:textId="77777777" w:rsidR="00D67975" w:rsidRDefault="00D67975" w:rsidP="00D67975">
            <w:pPr>
              <w:rPr>
                <w:b/>
                <w:color w:val="000000"/>
                <w:sz w:val="20"/>
                <w:szCs w:val="20"/>
                <w:lang w:eastAsia="en-US"/>
              </w:rPr>
            </w:pPr>
            <w:r>
              <w:rPr>
                <w:b/>
                <w:color w:val="000000"/>
                <w:sz w:val="20"/>
                <w:szCs w:val="20"/>
                <w:lang w:eastAsia="en-US"/>
              </w:rPr>
              <w:t>Anterior margin of maxillary alveolus one:</w:t>
            </w:r>
          </w:p>
          <w:p w14:paraId="2E47A338" w14:textId="3483101F" w:rsidR="00D67975" w:rsidRDefault="00D67975" w:rsidP="00D67975">
            <w:pPr>
              <w:rPr>
                <w:i/>
                <w:color w:val="000000"/>
                <w:sz w:val="20"/>
                <w:szCs w:val="20"/>
                <w:lang w:eastAsia="en-US"/>
              </w:rPr>
            </w:pPr>
            <w:r>
              <w:rPr>
                <w:i/>
                <w:sz w:val="20"/>
                <w:szCs w:val="20"/>
                <w:lang w:eastAsia="en-US"/>
              </w:rPr>
              <w:t xml:space="preserve">Ristevski et al. (2018, ds 2, ch. 246); Smith et al. (in review, ds 1, ch. 251); </w:t>
            </w:r>
            <w:r>
              <w:rPr>
                <w:i/>
                <w:sz w:val="20"/>
                <w:szCs w:val="20"/>
              </w:rPr>
              <w:t>Ősi et al. (in review, ds 1, ch. 277)</w:t>
            </w:r>
            <w:r>
              <w:rPr>
                <w:i/>
                <w:sz w:val="20"/>
                <w:szCs w:val="20"/>
                <w:lang w:eastAsia="en-US"/>
              </w:rPr>
              <w:t>.</w:t>
            </w:r>
          </w:p>
          <w:p w14:paraId="0D4D6347" w14:textId="77777777" w:rsidR="00D67975" w:rsidRDefault="00D67975" w:rsidP="00D67975">
            <w:pPr>
              <w:rPr>
                <w:color w:val="000000"/>
                <w:sz w:val="20"/>
                <w:szCs w:val="20"/>
                <w:lang w:eastAsia="en-US"/>
              </w:rPr>
            </w:pPr>
            <w:r>
              <w:rPr>
                <w:i/>
                <w:color w:val="000000"/>
                <w:sz w:val="20"/>
                <w:szCs w:val="20"/>
                <w:lang w:eastAsia="en-US"/>
              </w:rPr>
              <w:t>State (1) occurs in</w:t>
            </w:r>
            <w:r>
              <w:rPr>
                <w:color w:val="000000"/>
                <w:sz w:val="20"/>
                <w:szCs w:val="20"/>
                <w:lang w:eastAsia="en-US"/>
              </w:rPr>
              <w:t xml:space="preserve"> Metriorhynchus superciliosus </w:t>
            </w:r>
            <w:r>
              <w:rPr>
                <w:i/>
                <w:color w:val="000000"/>
                <w:sz w:val="20"/>
                <w:szCs w:val="20"/>
                <w:lang w:eastAsia="en-US"/>
              </w:rPr>
              <w:t>and</w:t>
            </w:r>
            <w:r>
              <w:rPr>
                <w:color w:val="000000"/>
                <w:sz w:val="20"/>
                <w:szCs w:val="20"/>
                <w:lang w:eastAsia="en-US"/>
              </w:rPr>
              <w:t xml:space="preserve"> M. geoffroyii.</w:t>
            </w:r>
          </w:p>
          <w:p w14:paraId="6CE65CA7" w14:textId="77777777" w:rsidR="00D67975" w:rsidRDefault="00D67975" w:rsidP="00D67975">
            <w:pPr>
              <w:rPr>
                <w:color w:val="000000"/>
                <w:sz w:val="20"/>
                <w:szCs w:val="20"/>
                <w:lang w:eastAsia="en-US"/>
              </w:rPr>
            </w:pPr>
            <w:r>
              <w:rPr>
                <w:color w:val="000000"/>
                <w:sz w:val="20"/>
                <w:szCs w:val="20"/>
                <w:lang w:eastAsia="en-US"/>
              </w:rPr>
              <w:t>0. lacks an interdigitating suture with the premaxilla</w:t>
            </w:r>
          </w:p>
          <w:p w14:paraId="5C7D65E8" w14:textId="77777777" w:rsidR="00D67975" w:rsidRDefault="00D67975" w:rsidP="00D67975">
            <w:pPr>
              <w:rPr>
                <w:color w:val="000000"/>
                <w:sz w:val="20"/>
                <w:szCs w:val="20"/>
                <w:lang w:eastAsia="en-US"/>
              </w:rPr>
            </w:pPr>
            <w:r>
              <w:rPr>
                <w:color w:val="000000"/>
                <w:sz w:val="20"/>
                <w:szCs w:val="20"/>
                <w:lang w:eastAsia="en-US"/>
              </w:rPr>
              <w:t>1. has an interdigitating suture with the premaxilla, restricted to the anterior margin of the first maxillary alveolus</w:t>
            </w:r>
          </w:p>
        </w:tc>
      </w:tr>
      <w:tr w:rsidR="00D67975" w14:paraId="4E262899" w14:textId="77777777" w:rsidTr="00D67975">
        <w:tc>
          <w:tcPr>
            <w:tcW w:w="0" w:type="auto"/>
            <w:tcBorders>
              <w:top w:val="single" w:sz="4" w:space="0" w:color="auto"/>
              <w:left w:val="single" w:sz="4" w:space="0" w:color="auto"/>
              <w:bottom w:val="single" w:sz="4" w:space="0" w:color="auto"/>
              <w:right w:val="single" w:sz="4" w:space="0" w:color="auto"/>
            </w:tcBorders>
          </w:tcPr>
          <w:p w14:paraId="1BF3919F" w14:textId="44939BB9" w:rsidR="00D67975" w:rsidRDefault="009E2821" w:rsidP="00D67975">
            <w:pPr>
              <w:rPr>
                <w:color w:val="000000"/>
                <w:sz w:val="20"/>
                <w:szCs w:val="20"/>
                <w:lang w:eastAsia="en-US"/>
              </w:rPr>
            </w:pPr>
            <w:r>
              <w:rPr>
                <w:color w:val="000000"/>
                <w:sz w:val="20"/>
                <w:szCs w:val="20"/>
                <w:lang w:eastAsia="en-US"/>
              </w:rPr>
              <w:t>281</w:t>
            </w:r>
          </w:p>
        </w:tc>
        <w:tc>
          <w:tcPr>
            <w:tcW w:w="0" w:type="auto"/>
            <w:tcBorders>
              <w:top w:val="single" w:sz="4" w:space="0" w:color="auto"/>
              <w:left w:val="single" w:sz="4" w:space="0" w:color="auto"/>
              <w:bottom w:val="single" w:sz="4" w:space="0" w:color="auto"/>
              <w:right w:val="single" w:sz="4" w:space="0" w:color="auto"/>
            </w:tcBorders>
            <w:vAlign w:val="bottom"/>
            <w:hideMark/>
          </w:tcPr>
          <w:p w14:paraId="6A2652A8" w14:textId="77777777" w:rsidR="00D67975" w:rsidRDefault="00D67975" w:rsidP="00D67975">
            <w:pPr>
              <w:rPr>
                <w:b/>
                <w:color w:val="000000"/>
                <w:sz w:val="20"/>
                <w:szCs w:val="20"/>
                <w:lang w:eastAsia="en-US"/>
              </w:rPr>
            </w:pPr>
            <w:r>
              <w:rPr>
                <w:b/>
                <w:color w:val="000000"/>
                <w:sz w:val="20"/>
                <w:szCs w:val="20"/>
                <w:lang w:eastAsia="en-US"/>
              </w:rPr>
              <w:t>Dentary, alveolar count:</w:t>
            </w:r>
          </w:p>
          <w:p w14:paraId="5B3DE553" w14:textId="7C74D2E1" w:rsidR="00D67975" w:rsidRDefault="00D67975" w:rsidP="00D67975">
            <w:pPr>
              <w:autoSpaceDE w:val="0"/>
              <w:autoSpaceDN w:val="0"/>
              <w:adjustRightInd w:val="0"/>
              <w:rPr>
                <w:i/>
                <w:sz w:val="20"/>
                <w:szCs w:val="20"/>
                <w:lang w:eastAsia="en-US"/>
              </w:rPr>
            </w:pPr>
            <w:r>
              <w:rPr>
                <w:i/>
                <w:sz w:val="20"/>
                <w:szCs w:val="20"/>
                <w:lang w:eastAsia="en-US"/>
              </w:rPr>
              <w:t xml:space="preserve">Young (2006, ch. 28 modified); Wilkinson et al. (2008, ch. 54 modified); Young &amp; Andrade (2009, ch. 54 modified); </w:t>
            </w:r>
            <w:r>
              <w:rPr>
                <w:bCs/>
                <w:i/>
                <w:color w:val="000000"/>
                <w:sz w:val="20"/>
                <w:szCs w:val="20"/>
                <w:lang w:eastAsia="en-US"/>
              </w:rPr>
              <w:t xml:space="preserve">Young et al. (2011, ch. 54 modified); Young et al. (2013a, ch. 132 modified); </w:t>
            </w:r>
            <w:r>
              <w:rPr>
                <w:i/>
                <w:sz w:val="20"/>
                <w:szCs w:val="20"/>
                <w:lang w:eastAsia="en-US"/>
              </w:rPr>
              <w:t xml:space="preserve">Young et </w:t>
            </w:r>
            <w:r>
              <w:rPr>
                <w:i/>
                <w:sz w:val="20"/>
                <w:szCs w:val="20"/>
                <w:lang w:eastAsia="en-US"/>
              </w:rPr>
              <w:lastRenderedPageBreak/>
              <w:t xml:space="preserve">al. (2012, ch. 154); Young (2014, ch. 158); Young et al. (2016, ds 2, ch. 185); Ristevski et al. (2018, ds 2, ch. 247); Smith et al. (in review, ds 1, ch. 252); </w:t>
            </w:r>
            <w:r>
              <w:rPr>
                <w:i/>
                <w:sz w:val="20"/>
                <w:szCs w:val="20"/>
              </w:rPr>
              <w:t>Ősi et al. (in review, ds 1, ch. 278)</w:t>
            </w:r>
            <w:r>
              <w:rPr>
                <w:i/>
                <w:sz w:val="20"/>
                <w:szCs w:val="20"/>
                <w:lang w:eastAsia="en-US"/>
              </w:rPr>
              <w:t>.</w:t>
            </w:r>
          </w:p>
          <w:p w14:paraId="70938960" w14:textId="3BC723EB" w:rsidR="00D67975" w:rsidRDefault="00D67975" w:rsidP="00D67975">
            <w:pPr>
              <w:rPr>
                <w:b/>
                <w:i/>
                <w:color w:val="000000"/>
                <w:sz w:val="20"/>
                <w:szCs w:val="20"/>
                <w:lang w:eastAsia="en-US"/>
              </w:rPr>
            </w:pPr>
            <w:r>
              <w:rPr>
                <w:i/>
                <w:color w:val="000000"/>
                <w:sz w:val="20"/>
                <w:szCs w:val="20"/>
                <w:lang w:eastAsia="en-US"/>
              </w:rPr>
              <w:t xml:space="preserve">This character does not covary with the maxillary alveolar count character, as some taxa (e.g. </w:t>
            </w:r>
            <w:r>
              <w:rPr>
                <w:color w:val="000000"/>
                <w:sz w:val="20"/>
                <w:szCs w:val="20"/>
                <w:lang w:eastAsia="en-US"/>
              </w:rPr>
              <w:t>‘Metriorhynchus’ casamiquelai</w:t>
            </w:r>
            <w:r>
              <w:rPr>
                <w:i/>
                <w:color w:val="000000"/>
                <w:sz w:val="20"/>
                <w:szCs w:val="20"/>
                <w:lang w:eastAsia="en-US"/>
              </w:rPr>
              <w:t>) have more teeth in the dentary than in the maxilla.</w:t>
            </w:r>
          </w:p>
          <w:p w14:paraId="670A1B1D" w14:textId="77777777" w:rsidR="00D67975" w:rsidRDefault="00D67975" w:rsidP="00D67975">
            <w:pPr>
              <w:rPr>
                <w:color w:val="000000"/>
                <w:sz w:val="20"/>
                <w:szCs w:val="20"/>
                <w:lang w:eastAsia="en-US"/>
              </w:rPr>
            </w:pPr>
            <w:r>
              <w:rPr>
                <w:color w:val="000000"/>
                <w:sz w:val="20"/>
                <w:szCs w:val="20"/>
                <w:lang w:eastAsia="en-US"/>
              </w:rPr>
              <w:t>0. 30 or more alveoli per rami</w:t>
            </w:r>
          </w:p>
          <w:p w14:paraId="09BF0F77" w14:textId="77777777" w:rsidR="00D67975" w:rsidRDefault="00D67975" w:rsidP="00D67975">
            <w:pPr>
              <w:rPr>
                <w:color w:val="000000"/>
                <w:sz w:val="20"/>
                <w:szCs w:val="20"/>
                <w:lang w:eastAsia="en-US"/>
              </w:rPr>
            </w:pPr>
            <w:r>
              <w:rPr>
                <w:color w:val="000000"/>
                <w:sz w:val="20"/>
                <w:szCs w:val="20"/>
                <w:lang w:eastAsia="en-US"/>
              </w:rPr>
              <w:t>1. 20–29 alveoli</w:t>
            </w:r>
          </w:p>
          <w:p w14:paraId="01C0F93D" w14:textId="77777777" w:rsidR="00D67975" w:rsidRDefault="00D67975" w:rsidP="00D67975">
            <w:pPr>
              <w:rPr>
                <w:color w:val="000000"/>
                <w:sz w:val="20"/>
                <w:szCs w:val="20"/>
                <w:lang w:eastAsia="en-US"/>
              </w:rPr>
            </w:pPr>
            <w:r>
              <w:rPr>
                <w:color w:val="000000"/>
                <w:sz w:val="20"/>
                <w:szCs w:val="20"/>
                <w:lang w:eastAsia="en-US"/>
              </w:rPr>
              <w:t>2. 19–15 alveoli</w:t>
            </w:r>
          </w:p>
          <w:p w14:paraId="632644B1" w14:textId="77777777" w:rsidR="00D67975" w:rsidRDefault="00D67975" w:rsidP="00D67975">
            <w:pPr>
              <w:rPr>
                <w:i/>
                <w:color w:val="000000"/>
                <w:sz w:val="20"/>
                <w:szCs w:val="20"/>
                <w:lang w:eastAsia="en-US"/>
              </w:rPr>
            </w:pPr>
            <w:r>
              <w:rPr>
                <w:color w:val="000000"/>
                <w:sz w:val="20"/>
                <w:szCs w:val="20"/>
                <w:lang w:eastAsia="en-US"/>
              </w:rPr>
              <w:t>3. 14 or fewer alveoli</w:t>
            </w:r>
          </w:p>
        </w:tc>
      </w:tr>
      <w:tr w:rsidR="00D67975" w14:paraId="105D3D45" w14:textId="77777777" w:rsidTr="00D67975">
        <w:tc>
          <w:tcPr>
            <w:tcW w:w="0" w:type="auto"/>
            <w:tcBorders>
              <w:top w:val="single" w:sz="4" w:space="0" w:color="auto"/>
              <w:left w:val="single" w:sz="4" w:space="0" w:color="auto"/>
              <w:bottom w:val="single" w:sz="4" w:space="0" w:color="auto"/>
              <w:right w:val="single" w:sz="4" w:space="0" w:color="auto"/>
            </w:tcBorders>
          </w:tcPr>
          <w:p w14:paraId="28F04E73" w14:textId="7A8116C0" w:rsidR="00D67975" w:rsidRDefault="009E2821" w:rsidP="00D67975">
            <w:pPr>
              <w:rPr>
                <w:color w:val="000000"/>
                <w:sz w:val="20"/>
                <w:szCs w:val="20"/>
                <w:lang w:eastAsia="en-US"/>
              </w:rPr>
            </w:pPr>
            <w:r>
              <w:rPr>
                <w:color w:val="000000"/>
                <w:sz w:val="20"/>
                <w:szCs w:val="20"/>
                <w:lang w:eastAsia="en-US"/>
              </w:rPr>
              <w:lastRenderedPageBreak/>
              <w:t>282</w:t>
            </w:r>
          </w:p>
        </w:tc>
        <w:tc>
          <w:tcPr>
            <w:tcW w:w="0" w:type="auto"/>
            <w:tcBorders>
              <w:top w:val="single" w:sz="4" w:space="0" w:color="auto"/>
              <w:left w:val="single" w:sz="4" w:space="0" w:color="auto"/>
              <w:bottom w:val="single" w:sz="4" w:space="0" w:color="auto"/>
              <w:right w:val="single" w:sz="4" w:space="0" w:color="auto"/>
            </w:tcBorders>
            <w:vAlign w:val="bottom"/>
            <w:hideMark/>
          </w:tcPr>
          <w:p w14:paraId="25FE5597" w14:textId="77777777" w:rsidR="00D67975" w:rsidRDefault="00D67975" w:rsidP="00D67975">
            <w:pPr>
              <w:rPr>
                <w:b/>
                <w:color w:val="000000"/>
                <w:sz w:val="20"/>
                <w:szCs w:val="20"/>
                <w:lang w:eastAsia="en-US"/>
              </w:rPr>
            </w:pPr>
            <w:r>
              <w:rPr>
                <w:b/>
                <w:color w:val="000000"/>
                <w:sz w:val="20"/>
                <w:szCs w:val="20"/>
                <w:lang w:eastAsia="en-US"/>
              </w:rPr>
              <w:t xml:space="preserve">Maxillary anterior alveoli shape: </w:t>
            </w:r>
          </w:p>
          <w:p w14:paraId="29264418" w14:textId="517EC5E2"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186); Ristevski et al. (2018, ds 2, ch. 248); Smith et al. (in review, ds 1, ch. 253); </w:t>
            </w:r>
            <w:r>
              <w:rPr>
                <w:i/>
                <w:sz w:val="20"/>
                <w:szCs w:val="20"/>
              </w:rPr>
              <w:t>Ősi et al. (in review, ds 1, ch. 279)</w:t>
            </w:r>
            <w:r>
              <w:rPr>
                <w:i/>
                <w:sz w:val="20"/>
                <w:szCs w:val="20"/>
                <w:lang w:eastAsia="en-US"/>
              </w:rPr>
              <w:t>.</w:t>
            </w:r>
          </w:p>
          <w:p w14:paraId="3C0F1613" w14:textId="2C659245" w:rsidR="00D67975" w:rsidRDefault="00D67975" w:rsidP="00D67975">
            <w:pPr>
              <w:rPr>
                <w:i/>
                <w:sz w:val="20"/>
                <w:szCs w:val="20"/>
                <w:lang w:eastAsia="en-US"/>
              </w:rPr>
            </w:pPr>
            <w:r>
              <w:rPr>
                <w:i/>
                <w:sz w:val="20"/>
                <w:szCs w:val="20"/>
                <w:lang w:eastAsia="en-US"/>
              </w:rPr>
              <w:t xml:space="preserve">In Thalattosuchia, state (1) is a putative apomorphy of the clade </w:t>
            </w:r>
            <w:r>
              <w:rPr>
                <w:sz w:val="20"/>
                <w:szCs w:val="20"/>
                <w:lang w:eastAsia="en-US"/>
              </w:rPr>
              <w:t xml:space="preserve">‘Metriorhynchus’ hastifer </w:t>
            </w:r>
            <w:r>
              <w:rPr>
                <w:i/>
                <w:sz w:val="20"/>
                <w:szCs w:val="20"/>
                <w:lang w:eastAsia="en-US"/>
              </w:rPr>
              <w:t>and</w:t>
            </w:r>
            <w:r>
              <w:rPr>
                <w:sz w:val="20"/>
                <w:szCs w:val="20"/>
                <w:lang w:eastAsia="en-US"/>
              </w:rPr>
              <w:t xml:space="preserve"> </w:t>
            </w:r>
            <w:r>
              <w:rPr>
                <w:i/>
                <w:sz w:val="20"/>
                <w:szCs w:val="20"/>
                <w:lang w:eastAsia="en-US"/>
              </w:rPr>
              <w:t xml:space="preserve">Mr. Passmore's specimen. </w:t>
            </w:r>
          </w:p>
          <w:p w14:paraId="29CEAA13" w14:textId="77777777" w:rsidR="00D67975" w:rsidRDefault="00D67975" w:rsidP="00D67975">
            <w:pPr>
              <w:rPr>
                <w:i/>
                <w:sz w:val="20"/>
                <w:szCs w:val="20"/>
                <w:lang w:eastAsia="en-US"/>
              </w:rPr>
            </w:pPr>
            <w:r>
              <w:rPr>
                <w:i/>
                <w:sz w:val="20"/>
                <w:szCs w:val="20"/>
                <w:lang w:eastAsia="en-US"/>
              </w:rPr>
              <w:t>Note that shearing or crushing of the snout can make this character hard to discern.</w:t>
            </w:r>
          </w:p>
          <w:p w14:paraId="785F6634" w14:textId="77777777" w:rsidR="00D67975" w:rsidRDefault="00D67975" w:rsidP="00D67975">
            <w:pPr>
              <w:rPr>
                <w:color w:val="000000"/>
                <w:sz w:val="20"/>
                <w:szCs w:val="20"/>
                <w:lang w:eastAsia="en-US"/>
              </w:rPr>
            </w:pPr>
            <w:r>
              <w:rPr>
                <w:color w:val="000000"/>
                <w:sz w:val="20"/>
                <w:szCs w:val="20"/>
                <w:lang w:eastAsia="en-US"/>
              </w:rPr>
              <w:t>0. sub-circular</w:t>
            </w:r>
          </w:p>
          <w:p w14:paraId="7EE0C7C8" w14:textId="77777777" w:rsidR="00D67975" w:rsidRDefault="00D67975" w:rsidP="00D67975">
            <w:pPr>
              <w:rPr>
                <w:b/>
                <w:color w:val="000000"/>
                <w:sz w:val="20"/>
                <w:szCs w:val="20"/>
                <w:lang w:eastAsia="en-US"/>
              </w:rPr>
            </w:pPr>
            <w:r>
              <w:rPr>
                <w:color w:val="000000"/>
                <w:sz w:val="20"/>
                <w:szCs w:val="20"/>
                <w:lang w:eastAsia="en-US"/>
              </w:rPr>
              <w:t>1. sub-oval, being wider transversely than anteroposteriorly</w:t>
            </w:r>
          </w:p>
        </w:tc>
      </w:tr>
      <w:tr w:rsidR="00D67975" w14:paraId="53232801" w14:textId="77777777" w:rsidTr="00D67975">
        <w:tc>
          <w:tcPr>
            <w:tcW w:w="0" w:type="auto"/>
            <w:tcBorders>
              <w:top w:val="single" w:sz="4" w:space="0" w:color="auto"/>
              <w:left w:val="single" w:sz="4" w:space="0" w:color="auto"/>
              <w:bottom w:val="single" w:sz="4" w:space="0" w:color="auto"/>
              <w:right w:val="single" w:sz="4" w:space="0" w:color="auto"/>
            </w:tcBorders>
          </w:tcPr>
          <w:p w14:paraId="64042C0C" w14:textId="4F9784EB" w:rsidR="00D67975" w:rsidRDefault="009E2821" w:rsidP="00D67975">
            <w:pPr>
              <w:rPr>
                <w:color w:val="000000"/>
                <w:sz w:val="20"/>
                <w:szCs w:val="20"/>
                <w:lang w:eastAsia="en-US"/>
              </w:rPr>
            </w:pPr>
            <w:r>
              <w:rPr>
                <w:color w:val="000000"/>
                <w:sz w:val="20"/>
                <w:szCs w:val="20"/>
                <w:lang w:eastAsia="en-US"/>
              </w:rPr>
              <w:t>283</w:t>
            </w:r>
          </w:p>
        </w:tc>
        <w:tc>
          <w:tcPr>
            <w:tcW w:w="0" w:type="auto"/>
            <w:tcBorders>
              <w:top w:val="single" w:sz="4" w:space="0" w:color="auto"/>
              <w:left w:val="single" w:sz="4" w:space="0" w:color="auto"/>
              <w:bottom w:val="single" w:sz="4" w:space="0" w:color="auto"/>
              <w:right w:val="single" w:sz="4" w:space="0" w:color="auto"/>
            </w:tcBorders>
            <w:vAlign w:val="bottom"/>
            <w:hideMark/>
          </w:tcPr>
          <w:p w14:paraId="0F1ABA1B" w14:textId="77777777" w:rsidR="00D67975" w:rsidRDefault="00D67975" w:rsidP="00D67975">
            <w:pPr>
              <w:rPr>
                <w:b/>
                <w:color w:val="000000"/>
                <w:sz w:val="20"/>
                <w:szCs w:val="20"/>
                <w:lang w:eastAsia="en-US"/>
              </w:rPr>
            </w:pPr>
            <w:r>
              <w:rPr>
                <w:b/>
                <w:color w:val="000000"/>
                <w:sz w:val="20"/>
                <w:szCs w:val="20"/>
                <w:lang w:eastAsia="en-US"/>
              </w:rPr>
              <w:t>Maxillary interalveolar spaces, relative size:</w:t>
            </w:r>
          </w:p>
          <w:p w14:paraId="0F6246F3" w14:textId="42AAFC40" w:rsidR="00D67975" w:rsidRDefault="00D67975" w:rsidP="00D67975">
            <w:pPr>
              <w:autoSpaceDE w:val="0"/>
              <w:autoSpaceDN w:val="0"/>
              <w:adjustRightInd w:val="0"/>
              <w:rPr>
                <w:i/>
                <w:sz w:val="20"/>
                <w:szCs w:val="20"/>
                <w:lang w:eastAsia="en-US"/>
              </w:rPr>
            </w:pPr>
            <w:r>
              <w:rPr>
                <w:i/>
                <w:sz w:val="20"/>
                <w:szCs w:val="20"/>
                <w:lang w:eastAsia="en-US"/>
              </w:rPr>
              <w:t xml:space="preserve">Young (2014, ch. 159); Young et al. (2016, ds 2, ch. 187); Ristevski et al. (2018, ds 2, ch. 249); Smith et al. (in review, ds 1, ch. 254); </w:t>
            </w:r>
            <w:r>
              <w:rPr>
                <w:i/>
                <w:sz w:val="20"/>
                <w:szCs w:val="20"/>
              </w:rPr>
              <w:t>Ősi et al. (in review, ds 1, ch. 280)</w:t>
            </w:r>
            <w:r>
              <w:rPr>
                <w:i/>
                <w:sz w:val="20"/>
                <w:szCs w:val="20"/>
                <w:lang w:eastAsia="en-US"/>
              </w:rPr>
              <w:t>.</w:t>
            </w:r>
          </w:p>
          <w:p w14:paraId="4848810A" w14:textId="77777777" w:rsidR="00D67975" w:rsidRDefault="00D67975" w:rsidP="00D67975">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Dakosaurus + Plesiosuchus </w:t>
            </w:r>
            <w:r>
              <w:rPr>
                <w:i/>
                <w:color w:val="000000"/>
                <w:sz w:val="20"/>
                <w:szCs w:val="20"/>
                <w:lang w:eastAsia="en-US"/>
              </w:rPr>
              <w:t xml:space="preserve">sub-clade and </w:t>
            </w:r>
            <w:r>
              <w:rPr>
                <w:color w:val="000000"/>
                <w:sz w:val="20"/>
                <w:szCs w:val="20"/>
                <w:lang w:eastAsia="en-US"/>
              </w:rPr>
              <w:t>Gracilineustes leedsi</w:t>
            </w:r>
            <w:r>
              <w:rPr>
                <w:i/>
                <w:color w:val="000000"/>
                <w:sz w:val="20"/>
                <w:szCs w:val="20"/>
                <w:lang w:eastAsia="en-US"/>
              </w:rPr>
              <w:t>.</w:t>
            </w:r>
          </w:p>
          <w:p w14:paraId="208B2F48" w14:textId="1DA28AED" w:rsidR="00D67975" w:rsidRDefault="00D67975" w:rsidP="00D67975">
            <w:pPr>
              <w:rPr>
                <w:i/>
                <w:color w:val="000000"/>
                <w:sz w:val="20"/>
                <w:szCs w:val="20"/>
                <w:lang w:eastAsia="en-US"/>
              </w:rPr>
            </w:pPr>
            <w:r>
              <w:rPr>
                <w:i/>
                <w:color w:val="000000"/>
                <w:sz w:val="20"/>
                <w:szCs w:val="20"/>
                <w:lang w:eastAsia="en-US"/>
              </w:rPr>
              <w:t xml:space="preserve">This character correlates with the dentary interalveolar space character for the metriorhynchids </w:t>
            </w:r>
            <w:r>
              <w:rPr>
                <w:color w:val="000000"/>
                <w:sz w:val="20"/>
                <w:szCs w:val="20"/>
                <w:lang w:eastAsia="en-US"/>
              </w:rPr>
              <w:t>Gracilineustes leedsi and</w:t>
            </w:r>
            <w:r>
              <w:rPr>
                <w:i/>
                <w:color w:val="000000"/>
                <w:sz w:val="20"/>
                <w:szCs w:val="20"/>
                <w:lang w:eastAsia="en-US"/>
              </w:rPr>
              <w:t xml:space="preserve"> the </w:t>
            </w:r>
            <w:r>
              <w:rPr>
                <w:color w:val="000000"/>
                <w:sz w:val="20"/>
                <w:szCs w:val="20"/>
                <w:lang w:eastAsia="en-US"/>
              </w:rPr>
              <w:t xml:space="preserve">Dakosaurus + Plesiosuchus </w:t>
            </w:r>
            <w:r>
              <w:rPr>
                <w:i/>
                <w:color w:val="000000"/>
                <w:sz w:val="20"/>
                <w:szCs w:val="20"/>
                <w:lang w:eastAsia="en-US"/>
              </w:rPr>
              <w:t>sub-clade</w:t>
            </w:r>
            <w:r>
              <w:rPr>
                <w:color w:val="000000"/>
                <w:sz w:val="20"/>
                <w:szCs w:val="20"/>
                <w:lang w:eastAsia="en-US"/>
              </w:rPr>
              <w:t>;</w:t>
            </w:r>
            <w:r>
              <w:rPr>
                <w:i/>
                <w:color w:val="000000"/>
                <w:sz w:val="20"/>
                <w:szCs w:val="20"/>
                <w:lang w:eastAsia="en-US"/>
              </w:rPr>
              <w:t xml:space="preserve"> however, the maxillary interalveolar spacing does not correlate with the dentary character for the teleosaur</w:t>
            </w:r>
            <w:r w:rsidR="00007246">
              <w:rPr>
                <w:i/>
                <w:color w:val="000000"/>
                <w:sz w:val="20"/>
                <w:szCs w:val="20"/>
                <w:lang w:eastAsia="en-US"/>
              </w:rPr>
              <w:t>o</w:t>
            </w:r>
            <w:r>
              <w:rPr>
                <w:i/>
                <w:color w:val="000000"/>
                <w:sz w:val="20"/>
                <w:szCs w:val="20"/>
                <w:lang w:eastAsia="en-US"/>
              </w:rPr>
              <w:t xml:space="preserve">id </w:t>
            </w:r>
            <w:r>
              <w:rPr>
                <w:color w:val="000000"/>
                <w:sz w:val="20"/>
                <w:szCs w:val="20"/>
                <w:lang w:eastAsia="en-US"/>
              </w:rPr>
              <w:t>Machimosaurus hugii</w:t>
            </w:r>
            <w:r>
              <w:rPr>
                <w:i/>
                <w:color w:val="000000"/>
                <w:sz w:val="20"/>
                <w:szCs w:val="20"/>
                <w:lang w:eastAsia="en-US"/>
              </w:rPr>
              <w:t>.</w:t>
            </w:r>
          </w:p>
          <w:p w14:paraId="16A19E0C" w14:textId="4017F5B1" w:rsidR="00D67975" w:rsidRDefault="00D67975" w:rsidP="00D67975">
            <w:pPr>
              <w:rPr>
                <w:i/>
                <w:color w:val="000000"/>
                <w:sz w:val="20"/>
                <w:szCs w:val="20"/>
                <w:lang w:eastAsia="en-US"/>
              </w:rPr>
            </w:pPr>
            <w:r>
              <w:rPr>
                <w:i/>
                <w:color w:val="000000"/>
                <w:sz w:val="20"/>
                <w:szCs w:val="20"/>
                <w:lang w:eastAsia="en-US"/>
              </w:rPr>
              <w:t xml:space="preserve">State (1) does not occur in </w:t>
            </w:r>
            <w:r>
              <w:rPr>
                <w:color w:val="000000"/>
                <w:sz w:val="20"/>
                <w:szCs w:val="20"/>
                <w:lang w:eastAsia="en-US"/>
              </w:rPr>
              <w:t>Torvoneustes carpenteri, ‘Metriorhynchus’</w:t>
            </w:r>
            <w:r>
              <w:rPr>
                <w:i/>
                <w:color w:val="000000"/>
                <w:sz w:val="20"/>
                <w:szCs w:val="20"/>
                <w:lang w:eastAsia="en-US"/>
              </w:rPr>
              <w:t xml:space="preserve"> </w:t>
            </w:r>
            <w:r>
              <w:rPr>
                <w:color w:val="000000"/>
                <w:sz w:val="20"/>
                <w:szCs w:val="20"/>
                <w:lang w:eastAsia="en-US"/>
              </w:rPr>
              <w:t>hastifer</w:t>
            </w:r>
            <w:r>
              <w:rPr>
                <w:i/>
                <w:color w:val="000000"/>
                <w:sz w:val="20"/>
                <w:szCs w:val="20"/>
                <w:lang w:eastAsia="en-US"/>
              </w:rPr>
              <w:t xml:space="preserve"> and Mr. Passmore’s specimen as some interalveolar spaces are large, over half the length of the adjacent alveoli and they do not alway share the same alveolar lamina. They appear to evolve an analogous, but slightly different morphology, which has not yet been scored.</w:t>
            </w:r>
          </w:p>
          <w:p w14:paraId="5138F160" w14:textId="77777777" w:rsidR="00D67975" w:rsidRDefault="00D67975" w:rsidP="00D67975">
            <w:pPr>
              <w:rPr>
                <w:i/>
                <w:color w:val="000000"/>
                <w:sz w:val="20"/>
                <w:szCs w:val="20"/>
                <w:lang w:eastAsia="en-US"/>
              </w:rPr>
            </w:pPr>
            <w:r>
              <w:rPr>
                <w:i/>
                <w:color w:val="000000"/>
                <w:sz w:val="20"/>
                <w:szCs w:val="20"/>
                <w:lang w:eastAsia="en-US"/>
              </w:rPr>
              <w:t xml:space="preserve">State (1) also occurs in </w:t>
            </w:r>
            <w:r>
              <w:rPr>
                <w:color w:val="000000"/>
                <w:sz w:val="20"/>
                <w:szCs w:val="20"/>
                <w:lang w:eastAsia="en-US"/>
              </w:rPr>
              <w:t>Iharkutosuchus makadii</w:t>
            </w:r>
            <w:r>
              <w:rPr>
                <w:i/>
                <w:color w:val="000000"/>
                <w:sz w:val="20"/>
                <w:szCs w:val="20"/>
                <w:lang w:eastAsia="en-US"/>
              </w:rPr>
              <w:t>.</w:t>
            </w:r>
          </w:p>
          <w:p w14:paraId="1090C080" w14:textId="77777777" w:rsidR="00D67975" w:rsidRDefault="00D67975" w:rsidP="00D67975">
            <w:pPr>
              <w:rPr>
                <w:color w:val="000000"/>
                <w:sz w:val="20"/>
                <w:szCs w:val="20"/>
                <w:lang w:eastAsia="en-US"/>
              </w:rPr>
            </w:pPr>
            <w:r>
              <w:rPr>
                <w:color w:val="000000"/>
                <w:sz w:val="20"/>
                <w:szCs w:val="20"/>
                <w:lang w:eastAsia="en-US"/>
              </w:rPr>
              <w:t>0. Interalveolar spaces are variable in size, some are similar in length to the adjacent alveoli, while others are approximately half the length of the immediately adjacent alveoli (especially towards the end of the maxillary tooth row)</w:t>
            </w:r>
          </w:p>
          <w:p w14:paraId="1C35B310" w14:textId="77777777" w:rsidR="00D67975" w:rsidRDefault="00D67975" w:rsidP="00D67975">
            <w:pPr>
              <w:rPr>
                <w:b/>
                <w:color w:val="000000"/>
                <w:sz w:val="20"/>
                <w:szCs w:val="20"/>
                <w:lang w:eastAsia="en-US"/>
              </w:rPr>
            </w:pPr>
            <w:r>
              <w:rPr>
                <w:color w:val="000000"/>
                <w:sz w:val="20"/>
                <w:szCs w:val="20"/>
                <w:lang w:eastAsia="en-US"/>
              </w:rPr>
              <w:t>1. Interalveolar spaces are/almost completely uniformly narrow, being approximately one quarter the length of the adjacent alveoli (or even smaller). The adjacent alveoli share the same alveolar lamina.</w:t>
            </w:r>
          </w:p>
        </w:tc>
      </w:tr>
      <w:tr w:rsidR="00D67975" w14:paraId="38694C93" w14:textId="77777777" w:rsidTr="00D67975">
        <w:tc>
          <w:tcPr>
            <w:tcW w:w="0" w:type="auto"/>
            <w:tcBorders>
              <w:top w:val="single" w:sz="4" w:space="0" w:color="auto"/>
              <w:left w:val="single" w:sz="4" w:space="0" w:color="auto"/>
              <w:bottom w:val="single" w:sz="4" w:space="0" w:color="auto"/>
              <w:right w:val="single" w:sz="4" w:space="0" w:color="auto"/>
            </w:tcBorders>
          </w:tcPr>
          <w:p w14:paraId="06C29B3D" w14:textId="36252536" w:rsidR="00D67975" w:rsidRDefault="009E2821" w:rsidP="00D67975">
            <w:pPr>
              <w:rPr>
                <w:color w:val="000000"/>
                <w:sz w:val="20"/>
                <w:szCs w:val="20"/>
                <w:lang w:eastAsia="en-US"/>
              </w:rPr>
            </w:pPr>
            <w:r>
              <w:rPr>
                <w:color w:val="000000"/>
                <w:sz w:val="20"/>
                <w:szCs w:val="20"/>
                <w:lang w:eastAsia="en-US"/>
              </w:rPr>
              <w:t>284</w:t>
            </w:r>
          </w:p>
        </w:tc>
        <w:tc>
          <w:tcPr>
            <w:tcW w:w="0" w:type="auto"/>
            <w:tcBorders>
              <w:top w:val="single" w:sz="4" w:space="0" w:color="auto"/>
              <w:left w:val="single" w:sz="4" w:space="0" w:color="auto"/>
              <w:bottom w:val="single" w:sz="4" w:space="0" w:color="auto"/>
              <w:right w:val="single" w:sz="4" w:space="0" w:color="auto"/>
            </w:tcBorders>
            <w:vAlign w:val="bottom"/>
            <w:hideMark/>
          </w:tcPr>
          <w:p w14:paraId="72CA23B6" w14:textId="77777777" w:rsidR="00D67975" w:rsidRDefault="00D67975" w:rsidP="00D67975">
            <w:pPr>
              <w:autoSpaceDE w:val="0"/>
              <w:autoSpaceDN w:val="0"/>
              <w:adjustRightInd w:val="0"/>
              <w:rPr>
                <w:b/>
                <w:sz w:val="20"/>
                <w:szCs w:val="20"/>
                <w:lang w:eastAsia="en-US"/>
              </w:rPr>
            </w:pPr>
            <w:r>
              <w:rPr>
                <w:b/>
                <w:sz w:val="20"/>
                <w:szCs w:val="20"/>
                <w:lang w:eastAsia="en-US"/>
              </w:rPr>
              <w:t xml:space="preserve">Dentary tooth-row, distinctly sigmoidal: </w:t>
            </w:r>
          </w:p>
          <w:p w14:paraId="4FC8F1EE" w14:textId="6E8CD4A7"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165); Ristevski et al. (2018, ds 2, ch. 219); Smith et al. (in review, ds 1, ch. 223); </w:t>
            </w:r>
            <w:r>
              <w:rPr>
                <w:i/>
                <w:sz w:val="20"/>
                <w:szCs w:val="20"/>
              </w:rPr>
              <w:t>Ősi et al. (in review, ds 1, ch. 281)</w:t>
            </w:r>
            <w:r>
              <w:rPr>
                <w:i/>
                <w:sz w:val="20"/>
                <w:szCs w:val="20"/>
                <w:lang w:eastAsia="en-US"/>
              </w:rPr>
              <w:t>.</w:t>
            </w:r>
          </w:p>
          <w:p w14:paraId="6AF61831" w14:textId="77777777" w:rsidR="00D67975" w:rsidRDefault="00D67975" w:rsidP="00D67975">
            <w:pPr>
              <w:autoSpaceDE w:val="0"/>
              <w:autoSpaceDN w:val="0"/>
              <w:adjustRightInd w:val="0"/>
              <w:rPr>
                <w:i/>
                <w:sz w:val="20"/>
                <w:szCs w:val="20"/>
                <w:lang w:eastAsia="en-US"/>
              </w:rPr>
            </w:pPr>
            <w:r>
              <w:rPr>
                <w:i/>
                <w:sz w:val="20"/>
                <w:szCs w:val="20"/>
                <w:lang w:eastAsia="en-US"/>
              </w:rPr>
              <w:t xml:space="preserve">State (1) occurs in </w:t>
            </w:r>
            <w:r>
              <w:rPr>
                <w:i/>
                <w:color w:val="000000"/>
                <w:sz w:val="20"/>
                <w:szCs w:val="20"/>
                <w:lang w:eastAsia="en-US"/>
              </w:rPr>
              <w:t>Hylaeochampsidae</w:t>
            </w:r>
            <w:r>
              <w:rPr>
                <w:i/>
                <w:sz w:val="20"/>
                <w:szCs w:val="20"/>
                <w:lang w:eastAsia="en-US"/>
              </w:rPr>
              <w:t>.</w:t>
            </w:r>
          </w:p>
          <w:p w14:paraId="7E0AFCBE" w14:textId="77777777" w:rsidR="00D67975" w:rsidRDefault="00D67975" w:rsidP="00D67975">
            <w:pPr>
              <w:autoSpaceDE w:val="0"/>
              <w:autoSpaceDN w:val="0"/>
              <w:adjustRightInd w:val="0"/>
              <w:rPr>
                <w:sz w:val="20"/>
                <w:szCs w:val="20"/>
                <w:lang w:eastAsia="en-US"/>
              </w:rPr>
            </w:pPr>
            <w:r>
              <w:rPr>
                <w:sz w:val="20"/>
                <w:szCs w:val="20"/>
                <w:lang w:eastAsia="en-US"/>
              </w:rPr>
              <w:t>0. no</w:t>
            </w:r>
          </w:p>
          <w:p w14:paraId="068F096D" w14:textId="77777777" w:rsidR="00D67975" w:rsidRDefault="00D67975" w:rsidP="00D67975">
            <w:pPr>
              <w:rPr>
                <w:b/>
                <w:color w:val="000000"/>
                <w:sz w:val="20"/>
                <w:szCs w:val="20"/>
                <w:lang w:eastAsia="en-US"/>
              </w:rPr>
            </w:pPr>
            <w:r>
              <w:rPr>
                <w:sz w:val="20"/>
                <w:szCs w:val="20"/>
                <w:lang w:eastAsia="en-US"/>
              </w:rPr>
              <w:t>1. yes, with the anterior alveoli orientated slightly anterolaterally and the posterior alveoli orientated posteromedially, between these two orientations the mid-region alveoli become dorsally orientated</w:t>
            </w:r>
          </w:p>
        </w:tc>
      </w:tr>
      <w:tr w:rsidR="00D67975" w14:paraId="55356581" w14:textId="77777777" w:rsidTr="00D67975">
        <w:tc>
          <w:tcPr>
            <w:tcW w:w="0" w:type="auto"/>
            <w:tcBorders>
              <w:top w:val="single" w:sz="4" w:space="0" w:color="auto"/>
              <w:left w:val="single" w:sz="4" w:space="0" w:color="auto"/>
              <w:bottom w:val="single" w:sz="4" w:space="0" w:color="auto"/>
              <w:right w:val="single" w:sz="4" w:space="0" w:color="auto"/>
            </w:tcBorders>
          </w:tcPr>
          <w:p w14:paraId="3AAB8329" w14:textId="29BE49CA" w:rsidR="00D67975" w:rsidRDefault="009E2821" w:rsidP="00D67975">
            <w:pPr>
              <w:autoSpaceDE w:val="0"/>
              <w:autoSpaceDN w:val="0"/>
              <w:adjustRightInd w:val="0"/>
              <w:rPr>
                <w:color w:val="000000"/>
                <w:sz w:val="20"/>
                <w:szCs w:val="20"/>
                <w:lang w:eastAsia="en-US"/>
              </w:rPr>
            </w:pPr>
            <w:r>
              <w:rPr>
                <w:color w:val="000000"/>
                <w:sz w:val="20"/>
                <w:szCs w:val="20"/>
                <w:lang w:eastAsia="en-US"/>
              </w:rPr>
              <w:t>285</w:t>
            </w:r>
          </w:p>
        </w:tc>
        <w:tc>
          <w:tcPr>
            <w:tcW w:w="0" w:type="auto"/>
            <w:tcBorders>
              <w:top w:val="single" w:sz="4" w:space="0" w:color="auto"/>
              <w:left w:val="single" w:sz="4" w:space="0" w:color="auto"/>
              <w:bottom w:val="single" w:sz="4" w:space="0" w:color="auto"/>
              <w:right w:val="single" w:sz="4" w:space="0" w:color="auto"/>
            </w:tcBorders>
            <w:vAlign w:val="bottom"/>
            <w:hideMark/>
          </w:tcPr>
          <w:p w14:paraId="60D39AFA" w14:textId="77777777" w:rsidR="00D67975" w:rsidRDefault="00D67975" w:rsidP="00D67975">
            <w:pPr>
              <w:rPr>
                <w:b/>
                <w:sz w:val="20"/>
                <w:szCs w:val="20"/>
                <w:lang w:eastAsia="en-US"/>
              </w:rPr>
            </w:pPr>
            <w:r>
              <w:rPr>
                <w:b/>
                <w:sz w:val="20"/>
                <w:szCs w:val="20"/>
                <w:lang w:eastAsia="en-US"/>
              </w:rPr>
              <w:t xml:space="preserve">Dentary alveoli one, orientation: </w:t>
            </w:r>
          </w:p>
          <w:p w14:paraId="30ED55EB" w14:textId="4FEF268A"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188); Ristevski et al. (2018, ds 2, ch. 250); Smith et al. (in review, ds 1, ch. 255); </w:t>
            </w:r>
            <w:r>
              <w:rPr>
                <w:i/>
                <w:sz w:val="20"/>
                <w:szCs w:val="20"/>
              </w:rPr>
              <w:t>Ősi et al. (in review, ds 1, ch. 282)</w:t>
            </w:r>
            <w:r>
              <w:rPr>
                <w:i/>
                <w:sz w:val="20"/>
                <w:szCs w:val="20"/>
                <w:lang w:eastAsia="en-US"/>
              </w:rPr>
              <w:t>.</w:t>
            </w:r>
          </w:p>
          <w:p w14:paraId="1C05DDD5" w14:textId="77777777" w:rsidR="00D67975" w:rsidRDefault="00D67975" w:rsidP="00D67975">
            <w:pPr>
              <w:rPr>
                <w:color w:val="000000"/>
                <w:sz w:val="20"/>
                <w:szCs w:val="20"/>
                <w:lang w:eastAsia="en-US"/>
              </w:rPr>
            </w:pPr>
            <w:r>
              <w:rPr>
                <w:i/>
                <w:color w:val="000000"/>
                <w:sz w:val="20"/>
                <w:szCs w:val="20"/>
                <w:lang w:eastAsia="en-US"/>
              </w:rPr>
              <w:t xml:space="preserve">State (1) occurs in Tethysuchia (e.g. dyrosaurids, </w:t>
            </w:r>
            <w:r>
              <w:rPr>
                <w:color w:val="000000"/>
                <w:sz w:val="20"/>
                <w:szCs w:val="20"/>
                <w:lang w:eastAsia="en-US"/>
              </w:rPr>
              <w:t xml:space="preserve">Sarcosuchus, Chalawan) </w:t>
            </w:r>
            <w:r w:rsidRPr="004370E7">
              <w:rPr>
                <w:i/>
                <w:color w:val="000000"/>
                <w:sz w:val="20"/>
                <w:szCs w:val="20"/>
                <w:lang w:eastAsia="en-US"/>
              </w:rPr>
              <w:t>and</w:t>
            </w:r>
            <w:r>
              <w:rPr>
                <w:color w:val="000000"/>
                <w:sz w:val="20"/>
                <w:szCs w:val="20"/>
                <w:lang w:eastAsia="en-US"/>
              </w:rPr>
              <w:t xml:space="preserve"> Hamadasuchus.</w:t>
            </w:r>
          </w:p>
          <w:p w14:paraId="281BF678" w14:textId="77777777" w:rsidR="00D67975" w:rsidRDefault="00D67975" w:rsidP="00D67975">
            <w:pPr>
              <w:rPr>
                <w:i/>
                <w:color w:val="000000"/>
                <w:sz w:val="20"/>
                <w:szCs w:val="20"/>
                <w:lang w:eastAsia="en-US"/>
              </w:rPr>
            </w:pPr>
            <w:r>
              <w:rPr>
                <w:i/>
                <w:color w:val="000000"/>
                <w:sz w:val="20"/>
                <w:szCs w:val="20"/>
                <w:lang w:eastAsia="en-US"/>
              </w:rPr>
              <w:t xml:space="preserve">State (2) occurs in the </w:t>
            </w:r>
            <w:r>
              <w:rPr>
                <w:iCs/>
                <w:color w:val="000000"/>
                <w:sz w:val="20"/>
                <w:lang w:eastAsia="en-US"/>
              </w:rPr>
              <w:t xml:space="preserve">Pachycheilosuchus </w:t>
            </w:r>
            <w:r>
              <w:rPr>
                <w:i/>
                <w:iCs/>
                <w:color w:val="000000"/>
                <w:sz w:val="20"/>
                <w:lang w:eastAsia="en-US"/>
              </w:rPr>
              <w:t xml:space="preserve">+ </w:t>
            </w:r>
            <w:r>
              <w:rPr>
                <w:iCs/>
                <w:color w:val="000000"/>
                <w:sz w:val="20"/>
                <w:lang w:eastAsia="en-US"/>
              </w:rPr>
              <w:t>Pietraroiasuchus</w:t>
            </w:r>
            <w:r>
              <w:rPr>
                <w:i/>
                <w:iCs/>
                <w:color w:val="000000"/>
                <w:sz w:val="20"/>
                <w:lang w:eastAsia="en-US"/>
              </w:rPr>
              <w:t xml:space="preserve"> clade</w:t>
            </w:r>
            <w:r>
              <w:rPr>
                <w:i/>
                <w:color w:val="000000"/>
                <w:sz w:val="20"/>
                <w:szCs w:val="20"/>
                <w:lang w:eastAsia="en-US"/>
              </w:rPr>
              <w:t xml:space="preserve">, </w:t>
            </w:r>
            <w:r>
              <w:rPr>
                <w:color w:val="000000"/>
                <w:sz w:val="20"/>
                <w:szCs w:val="20"/>
                <w:lang w:eastAsia="en-US"/>
              </w:rPr>
              <w:t>Iharkutosuchus makadii,</w:t>
            </w:r>
            <w:r>
              <w:rPr>
                <w:i/>
                <w:color w:val="000000"/>
                <w:sz w:val="20"/>
                <w:szCs w:val="20"/>
                <w:lang w:eastAsia="en-US"/>
              </w:rPr>
              <w:t xml:space="preserve"> </w:t>
            </w:r>
            <w:r>
              <w:rPr>
                <w:color w:val="000000"/>
                <w:sz w:val="20"/>
                <w:szCs w:val="20"/>
                <w:lang w:eastAsia="en-US"/>
              </w:rPr>
              <w:t>Dakosaurus</w:t>
            </w:r>
            <w:r>
              <w:rPr>
                <w:i/>
                <w:color w:val="000000"/>
                <w:sz w:val="20"/>
                <w:szCs w:val="20"/>
                <w:lang w:eastAsia="en-US"/>
              </w:rPr>
              <w:t xml:space="preserve"> and </w:t>
            </w:r>
            <w:r>
              <w:rPr>
                <w:color w:val="000000"/>
                <w:sz w:val="20"/>
                <w:szCs w:val="20"/>
                <w:lang w:eastAsia="en-US"/>
              </w:rPr>
              <w:t>Maledictosuchus riclaensis.</w:t>
            </w:r>
          </w:p>
          <w:p w14:paraId="53CB1503" w14:textId="77777777" w:rsidR="00D67975" w:rsidRDefault="00D67975" w:rsidP="00D67975">
            <w:pPr>
              <w:rPr>
                <w:color w:val="000000"/>
                <w:sz w:val="20"/>
                <w:szCs w:val="20"/>
                <w:lang w:eastAsia="en-US"/>
              </w:rPr>
            </w:pPr>
            <w:r>
              <w:rPr>
                <w:i/>
                <w:color w:val="000000"/>
                <w:sz w:val="20"/>
                <w:szCs w:val="20"/>
                <w:lang w:eastAsia="en-US"/>
              </w:rPr>
              <w:t xml:space="preserve">This morphology differs from the procumbency of the first dentary alveolus seen in </w:t>
            </w:r>
            <w:r>
              <w:rPr>
                <w:color w:val="000000"/>
                <w:sz w:val="20"/>
                <w:szCs w:val="20"/>
                <w:lang w:eastAsia="en-US"/>
              </w:rPr>
              <w:t>Cricosaurus</w:t>
            </w:r>
            <w:r>
              <w:rPr>
                <w:i/>
                <w:color w:val="000000"/>
                <w:sz w:val="20"/>
                <w:szCs w:val="20"/>
                <w:lang w:eastAsia="en-US"/>
              </w:rPr>
              <w:t xml:space="preserve"> </w:t>
            </w:r>
            <w:r>
              <w:rPr>
                <w:color w:val="000000"/>
                <w:sz w:val="20"/>
                <w:szCs w:val="20"/>
                <w:lang w:eastAsia="en-US"/>
              </w:rPr>
              <w:t>aracuanensis</w:t>
            </w:r>
            <w:r>
              <w:rPr>
                <w:i/>
                <w:color w:val="000000"/>
                <w:sz w:val="20"/>
                <w:szCs w:val="20"/>
                <w:lang w:eastAsia="en-US"/>
              </w:rPr>
              <w:t>, as they are also partially laterally orientated.</w:t>
            </w:r>
          </w:p>
          <w:p w14:paraId="30F1EF81" w14:textId="77777777" w:rsidR="00D67975" w:rsidRDefault="00D67975" w:rsidP="00D67975">
            <w:pPr>
              <w:rPr>
                <w:sz w:val="20"/>
                <w:szCs w:val="20"/>
                <w:lang w:eastAsia="en-US"/>
              </w:rPr>
            </w:pPr>
            <w:r>
              <w:rPr>
                <w:sz w:val="20"/>
                <w:szCs w:val="20"/>
                <w:lang w:eastAsia="en-US"/>
              </w:rPr>
              <w:t>0. dorsally orientated</w:t>
            </w:r>
          </w:p>
          <w:p w14:paraId="4C7DF26B" w14:textId="77777777" w:rsidR="00D67975" w:rsidRDefault="00D67975" w:rsidP="00D67975">
            <w:pPr>
              <w:rPr>
                <w:sz w:val="20"/>
                <w:szCs w:val="20"/>
                <w:lang w:eastAsia="en-US"/>
              </w:rPr>
            </w:pPr>
            <w:r>
              <w:rPr>
                <w:sz w:val="20"/>
                <w:szCs w:val="20"/>
                <w:lang w:eastAsia="en-US"/>
              </w:rPr>
              <w:t>1. mainly dorsally orientated, but with a slight anterior orientation</w:t>
            </w:r>
          </w:p>
          <w:p w14:paraId="16C9C273" w14:textId="77777777" w:rsidR="00D67975" w:rsidRDefault="00D67975" w:rsidP="00D67975">
            <w:pPr>
              <w:rPr>
                <w:sz w:val="20"/>
                <w:szCs w:val="20"/>
                <w:lang w:eastAsia="en-US"/>
              </w:rPr>
            </w:pPr>
            <w:r>
              <w:rPr>
                <w:sz w:val="20"/>
                <w:szCs w:val="20"/>
                <w:lang w:eastAsia="en-US"/>
              </w:rPr>
              <w:t>2. strongly anteriorly orientated (procumbent), resulting in the first dentary tooth being directed anteriorly from the mouth, along anteroposterior axis of the skull</w:t>
            </w:r>
          </w:p>
        </w:tc>
      </w:tr>
      <w:tr w:rsidR="00D67975" w14:paraId="18EC06B1" w14:textId="77777777" w:rsidTr="00D67975">
        <w:tc>
          <w:tcPr>
            <w:tcW w:w="0" w:type="auto"/>
            <w:tcBorders>
              <w:top w:val="single" w:sz="4" w:space="0" w:color="auto"/>
              <w:left w:val="single" w:sz="4" w:space="0" w:color="auto"/>
              <w:bottom w:val="single" w:sz="4" w:space="0" w:color="auto"/>
              <w:right w:val="single" w:sz="4" w:space="0" w:color="auto"/>
            </w:tcBorders>
          </w:tcPr>
          <w:p w14:paraId="7C83FABF" w14:textId="694513E1" w:rsidR="00D67975" w:rsidRDefault="009E2821" w:rsidP="00D67975">
            <w:pPr>
              <w:rPr>
                <w:color w:val="000000"/>
                <w:sz w:val="20"/>
                <w:szCs w:val="20"/>
                <w:lang w:eastAsia="en-US"/>
              </w:rPr>
            </w:pPr>
            <w:r>
              <w:rPr>
                <w:color w:val="000000"/>
                <w:sz w:val="20"/>
                <w:szCs w:val="20"/>
                <w:lang w:eastAsia="en-US"/>
              </w:rPr>
              <w:t>286</w:t>
            </w:r>
          </w:p>
        </w:tc>
        <w:tc>
          <w:tcPr>
            <w:tcW w:w="0" w:type="auto"/>
            <w:tcBorders>
              <w:top w:val="single" w:sz="4" w:space="0" w:color="auto"/>
              <w:left w:val="single" w:sz="4" w:space="0" w:color="auto"/>
              <w:bottom w:val="single" w:sz="4" w:space="0" w:color="auto"/>
              <w:right w:val="single" w:sz="4" w:space="0" w:color="auto"/>
            </w:tcBorders>
            <w:vAlign w:val="bottom"/>
            <w:hideMark/>
          </w:tcPr>
          <w:p w14:paraId="6E377F60" w14:textId="77777777" w:rsidR="00D67975" w:rsidRDefault="00D67975" w:rsidP="00D67975">
            <w:pPr>
              <w:rPr>
                <w:b/>
                <w:color w:val="000000"/>
                <w:sz w:val="20"/>
                <w:szCs w:val="20"/>
                <w:lang w:eastAsia="en-US"/>
              </w:rPr>
            </w:pPr>
            <w:r>
              <w:rPr>
                <w:b/>
                <w:color w:val="000000"/>
                <w:sz w:val="20"/>
                <w:szCs w:val="20"/>
                <w:lang w:eastAsia="en-US"/>
              </w:rPr>
              <w:t>Dentary interalveolar spaces, relative size:</w:t>
            </w:r>
          </w:p>
          <w:p w14:paraId="621E67CE" w14:textId="4382763A" w:rsidR="00D67975" w:rsidRDefault="00D67975" w:rsidP="00D67975">
            <w:pPr>
              <w:autoSpaceDE w:val="0"/>
              <w:autoSpaceDN w:val="0"/>
              <w:adjustRightInd w:val="0"/>
              <w:rPr>
                <w:i/>
                <w:sz w:val="20"/>
                <w:szCs w:val="20"/>
                <w:lang w:eastAsia="en-US"/>
              </w:rPr>
            </w:pPr>
            <w:r>
              <w:rPr>
                <w:i/>
                <w:sz w:val="20"/>
                <w:szCs w:val="20"/>
                <w:lang w:eastAsia="en-US"/>
              </w:rPr>
              <w:t xml:space="preserve">Young (2014, ch. 160); Young et al. (2012, ch. 131 modified); Young et al. (2016, ds 2, ch. 189); Ristevski et al. (2018, ds 2, ch. 251); Smith et al. (in review, ds 1, ch. 256); </w:t>
            </w:r>
            <w:r>
              <w:rPr>
                <w:i/>
                <w:sz w:val="20"/>
                <w:szCs w:val="20"/>
              </w:rPr>
              <w:t>Ősi et al. (in review, ds 1, ch. 283)</w:t>
            </w:r>
            <w:r>
              <w:rPr>
                <w:i/>
                <w:sz w:val="20"/>
                <w:szCs w:val="20"/>
                <w:lang w:eastAsia="en-US"/>
              </w:rPr>
              <w:t>.</w:t>
            </w:r>
          </w:p>
          <w:p w14:paraId="43813343" w14:textId="16612110" w:rsidR="00D67975" w:rsidRDefault="00D67975" w:rsidP="00D67975">
            <w:pPr>
              <w:rPr>
                <w:i/>
                <w:color w:val="000000"/>
                <w:sz w:val="20"/>
                <w:szCs w:val="20"/>
                <w:lang w:eastAsia="en-US"/>
              </w:rPr>
            </w:pPr>
            <w:r>
              <w:rPr>
                <w:i/>
                <w:color w:val="000000"/>
                <w:sz w:val="20"/>
                <w:szCs w:val="20"/>
                <w:lang w:eastAsia="en-US"/>
              </w:rPr>
              <w:t xml:space="preserve">State (1) occurs in the thalattosuchians </w:t>
            </w:r>
            <w:r>
              <w:rPr>
                <w:color w:val="000000"/>
                <w:sz w:val="20"/>
                <w:szCs w:val="20"/>
                <w:lang w:eastAsia="en-US"/>
              </w:rPr>
              <w:t xml:space="preserve">Dakosaurus + Plesiosuchus </w:t>
            </w:r>
            <w:r>
              <w:rPr>
                <w:i/>
                <w:color w:val="000000"/>
                <w:sz w:val="20"/>
                <w:szCs w:val="20"/>
                <w:lang w:eastAsia="en-US"/>
              </w:rPr>
              <w:t xml:space="preserve">sub-clade, </w:t>
            </w:r>
            <w:r>
              <w:rPr>
                <w:color w:val="000000"/>
                <w:sz w:val="20"/>
                <w:szCs w:val="20"/>
                <w:lang w:eastAsia="en-US"/>
              </w:rPr>
              <w:t>Gracilineustes leedsi</w:t>
            </w:r>
            <w:r>
              <w:rPr>
                <w:i/>
                <w:color w:val="000000"/>
                <w:sz w:val="20"/>
                <w:szCs w:val="20"/>
                <w:lang w:eastAsia="en-US"/>
              </w:rPr>
              <w:t xml:space="preserve"> and</w:t>
            </w:r>
            <w:r>
              <w:rPr>
                <w:color w:val="000000"/>
                <w:sz w:val="20"/>
                <w:szCs w:val="20"/>
                <w:lang w:eastAsia="en-US"/>
              </w:rPr>
              <w:t xml:space="preserve"> Machimosaurus hugii. </w:t>
            </w:r>
            <w:r>
              <w:rPr>
                <w:i/>
                <w:color w:val="000000"/>
                <w:sz w:val="20"/>
                <w:szCs w:val="20"/>
                <w:lang w:eastAsia="en-US"/>
              </w:rPr>
              <w:t xml:space="preserve">It also occurs in </w:t>
            </w:r>
            <w:r>
              <w:rPr>
                <w:color w:val="000000"/>
                <w:sz w:val="20"/>
                <w:szCs w:val="20"/>
                <w:lang w:eastAsia="en-US"/>
              </w:rPr>
              <w:t>Iharkutosuchus makadii</w:t>
            </w:r>
            <w:r>
              <w:rPr>
                <w:i/>
                <w:color w:val="000000"/>
                <w:sz w:val="20"/>
                <w:szCs w:val="20"/>
                <w:lang w:eastAsia="en-US"/>
              </w:rPr>
              <w:t>.</w:t>
            </w:r>
          </w:p>
          <w:p w14:paraId="4E985A9F" w14:textId="7FB86256" w:rsidR="00D67975" w:rsidRDefault="00D67975" w:rsidP="00D67975">
            <w:pPr>
              <w:rPr>
                <w:i/>
                <w:color w:val="000000"/>
                <w:sz w:val="20"/>
                <w:szCs w:val="20"/>
                <w:lang w:eastAsia="en-US"/>
              </w:rPr>
            </w:pPr>
            <w:r>
              <w:rPr>
                <w:i/>
                <w:color w:val="000000"/>
                <w:sz w:val="20"/>
                <w:szCs w:val="20"/>
                <w:lang w:eastAsia="en-US"/>
              </w:rPr>
              <w:lastRenderedPageBreak/>
              <w:t>This character correlates with the maxillary interalveolar space character for the metriorhynchids</w:t>
            </w:r>
            <w:r>
              <w:rPr>
                <w:color w:val="000000"/>
                <w:sz w:val="20"/>
                <w:szCs w:val="20"/>
                <w:lang w:eastAsia="en-US"/>
              </w:rPr>
              <w:t xml:space="preserve"> Gracilineustes leedsi </w:t>
            </w:r>
            <w:r>
              <w:rPr>
                <w:i/>
                <w:color w:val="000000"/>
                <w:sz w:val="20"/>
                <w:szCs w:val="20"/>
                <w:lang w:eastAsia="en-US"/>
              </w:rPr>
              <w:t xml:space="preserve">and the </w:t>
            </w:r>
            <w:r>
              <w:rPr>
                <w:color w:val="000000"/>
                <w:sz w:val="20"/>
                <w:szCs w:val="20"/>
                <w:lang w:eastAsia="en-US"/>
              </w:rPr>
              <w:t xml:space="preserve">Dakosaurus + Plesiosuchus </w:t>
            </w:r>
            <w:r>
              <w:rPr>
                <w:i/>
                <w:color w:val="000000"/>
                <w:sz w:val="20"/>
                <w:szCs w:val="20"/>
                <w:lang w:eastAsia="en-US"/>
              </w:rPr>
              <w:t xml:space="preserve">sub-clade, and for the hylaeochampsid </w:t>
            </w:r>
            <w:r>
              <w:rPr>
                <w:color w:val="000000"/>
                <w:sz w:val="20"/>
                <w:szCs w:val="20"/>
                <w:lang w:eastAsia="en-US"/>
              </w:rPr>
              <w:t>Iharkutosuchus makadii</w:t>
            </w:r>
            <w:r>
              <w:rPr>
                <w:i/>
                <w:color w:val="000000"/>
                <w:sz w:val="20"/>
                <w:szCs w:val="20"/>
                <w:lang w:eastAsia="en-US"/>
              </w:rPr>
              <w:t>, but does not for the teleosaur</w:t>
            </w:r>
            <w:r w:rsidR="00007246">
              <w:rPr>
                <w:i/>
                <w:color w:val="000000"/>
                <w:sz w:val="20"/>
                <w:szCs w:val="20"/>
                <w:lang w:eastAsia="en-US"/>
              </w:rPr>
              <w:t>o</w:t>
            </w:r>
            <w:r>
              <w:rPr>
                <w:i/>
                <w:color w:val="000000"/>
                <w:sz w:val="20"/>
                <w:szCs w:val="20"/>
                <w:lang w:eastAsia="en-US"/>
              </w:rPr>
              <w:t xml:space="preserve">id </w:t>
            </w:r>
            <w:r>
              <w:rPr>
                <w:color w:val="000000"/>
                <w:sz w:val="20"/>
                <w:szCs w:val="20"/>
                <w:lang w:eastAsia="en-US"/>
              </w:rPr>
              <w:t>Machimosaurus hugii.</w:t>
            </w:r>
          </w:p>
          <w:p w14:paraId="45D951F7" w14:textId="77777777" w:rsidR="00D67975" w:rsidRDefault="00D67975" w:rsidP="00D67975">
            <w:pPr>
              <w:rPr>
                <w:color w:val="000000"/>
                <w:sz w:val="20"/>
                <w:szCs w:val="20"/>
                <w:lang w:eastAsia="en-US"/>
              </w:rPr>
            </w:pPr>
            <w:r>
              <w:rPr>
                <w:color w:val="000000"/>
                <w:sz w:val="20"/>
                <w:szCs w:val="20"/>
                <w:lang w:eastAsia="en-US"/>
              </w:rPr>
              <w:t>0. interalveolar spaces are variable in size, some are similar in length to the adjacent alveoli, while others are approximately half the length of the immediately adjacent alveoli</w:t>
            </w:r>
          </w:p>
          <w:p w14:paraId="3D2A4028" w14:textId="77777777" w:rsidR="00D67975" w:rsidRDefault="00D67975" w:rsidP="00D67975">
            <w:pPr>
              <w:rPr>
                <w:color w:val="000000"/>
                <w:sz w:val="20"/>
                <w:szCs w:val="20"/>
                <w:lang w:eastAsia="en-US"/>
              </w:rPr>
            </w:pPr>
            <w:r>
              <w:rPr>
                <w:color w:val="000000"/>
                <w:sz w:val="20"/>
                <w:szCs w:val="20"/>
                <w:lang w:eastAsia="en-US"/>
              </w:rPr>
              <w:t>1. interalveolar spaces are/almost completely uniformly narrow, being approximately one quarter the length of the immediately adjacent alveoli (or even smaller)</w:t>
            </w:r>
          </w:p>
        </w:tc>
      </w:tr>
      <w:tr w:rsidR="00D67975" w14:paraId="74E5D416" w14:textId="77777777" w:rsidTr="00D67975">
        <w:tc>
          <w:tcPr>
            <w:tcW w:w="0" w:type="auto"/>
            <w:tcBorders>
              <w:top w:val="single" w:sz="4" w:space="0" w:color="auto"/>
              <w:left w:val="single" w:sz="4" w:space="0" w:color="auto"/>
              <w:bottom w:val="single" w:sz="4" w:space="0" w:color="auto"/>
              <w:right w:val="single" w:sz="4" w:space="0" w:color="auto"/>
            </w:tcBorders>
          </w:tcPr>
          <w:p w14:paraId="31C964B5" w14:textId="7571065C" w:rsidR="00D67975" w:rsidRDefault="009E2821" w:rsidP="00D67975">
            <w:pPr>
              <w:autoSpaceDE w:val="0"/>
              <w:autoSpaceDN w:val="0"/>
              <w:adjustRightInd w:val="0"/>
              <w:rPr>
                <w:sz w:val="20"/>
                <w:szCs w:val="20"/>
                <w:lang w:eastAsia="en-US"/>
              </w:rPr>
            </w:pPr>
            <w:r>
              <w:rPr>
                <w:color w:val="000000"/>
                <w:sz w:val="20"/>
                <w:szCs w:val="20"/>
                <w:lang w:eastAsia="en-US"/>
              </w:rPr>
              <w:lastRenderedPageBreak/>
              <w:t>287</w:t>
            </w:r>
          </w:p>
        </w:tc>
        <w:tc>
          <w:tcPr>
            <w:tcW w:w="0" w:type="auto"/>
            <w:tcBorders>
              <w:top w:val="single" w:sz="4" w:space="0" w:color="auto"/>
              <w:left w:val="single" w:sz="4" w:space="0" w:color="auto"/>
              <w:bottom w:val="single" w:sz="4" w:space="0" w:color="auto"/>
              <w:right w:val="single" w:sz="4" w:space="0" w:color="auto"/>
            </w:tcBorders>
            <w:vAlign w:val="bottom"/>
            <w:hideMark/>
          </w:tcPr>
          <w:p w14:paraId="16293445" w14:textId="77777777" w:rsidR="00D67975" w:rsidRDefault="00D67975" w:rsidP="00D67975">
            <w:pPr>
              <w:rPr>
                <w:b/>
                <w:color w:val="000000"/>
                <w:sz w:val="20"/>
                <w:szCs w:val="20"/>
                <w:lang w:eastAsia="en-US"/>
              </w:rPr>
            </w:pPr>
            <w:r>
              <w:rPr>
                <w:b/>
                <w:color w:val="000000"/>
                <w:sz w:val="20"/>
                <w:szCs w:val="20"/>
                <w:lang w:eastAsia="en-US"/>
              </w:rPr>
              <w:t xml:space="preserve">Dentary alveoli, diastema between the first and second alveoli: </w:t>
            </w:r>
          </w:p>
          <w:p w14:paraId="45C6FD9A" w14:textId="656E5F37"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190); Ristevski et al. (2018, ds 2, ch. 252); Smith et al. (in review, ds 1, ch. 257) </w:t>
            </w:r>
            <w:r>
              <w:rPr>
                <w:i/>
                <w:sz w:val="20"/>
                <w:szCs w:val="20"/>
              </w:rPr>
              <w:t>Ősi et al. (in review, ds 1, ch. 284)</w:t>
            </w:r>
            <w:r>
              <w:rPr>
                <w:i/>
                <w:sz w:val="20"/>
                <w:szCs w:val="20"/>
                <w:lang w:eastAsia="en-US"/>
              </w:rPr>
              <w:t>.</w:t>
            </w:r>
          </w:p>
          <w:p w14:paraId="7DFBE22C" w14:textId="77777777" w:rsidR="00D67975" w:rsidRDefault="00D67975" w:rsidP="00D67975">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 maximus</w:t>
            </w:r>
            <w:r>
              <w:rPr>
                <w:i/>
                <w:color w:val="000000"/>
                <w:sz w:val="20"/>
                <w:szCs w:val="20"/>
                <w:lang w:eastAsia="en-US"/>
              </w:rPr>
              <w:t>.</w:t>
            </w:r>
          </w:p>
          <w:p w14:paraId="43209B09" w14:textId="77777777" w:rsidR="00D67975" w:rsidRDefault="00D67975" w:rsidP="00D67975">
            <w:pPr>
              <w:rPr>
                <w:color w:val="000000"/>
                <w:sz w:val="20"/>
                <w:szCs w:val="20"/>
                <w:lang w:eastAsia="en-US"/>
              </w:rPr>
            </w:pPr>
            <w:r>
              <w:rPr>
                <w:color w:val="000000"/>
                <w:sz w:val="20"/>
                <w:szCs w:val="20"/>
                <w:lang w:eastAsia="en-US"/>
              </w:rPr>
              <w:t>0. absent</w:t>
            </w:r>
          </w:p>
          <w:p w14:paraId="54E87538" w14:textId="77777777" w:rsidR="00D67975" w:rsidRDefault="00D67975" w:rsidP="00D67975">
            <w:pPr>
              <w:rPr>
                <w:b/>
                <w:color w:val="000000"/>
                <w:sz w:val="20"/>
                <w:szCs w:val="20"/>
                <w:lang w:eastAsia="en-US"/>
              </w:rPr>
            </w:pPr>
            <w:r>
              <w:rPr>
                <w:color w:val="000000"/>
                <w:sz w:val="20"/>
                <w:szCs w:val="20"/>
                <w:lang w:eastAsia="en-US"/>
              </w:rPr>
              <w:t>1. present</w:t>
            </w:r>
          </w:p>
        </w:tc>
      </w:tr>
      <w:tr w:rsidR="00D67975" w14:paraId="7A0A7F9A" w14:textId="77777777" w:rsidTr="00D67975">
        <w:tc>
          <w:tcPr>
            <w:tcW w:w="0" w:type="auto"/>
            <w:tcBorders>
              <w:top w:val="single" w:sz="4" w:space="0" w:color="auto"/>
              <w:left w:val="single" w:sz="4" w:space="0" w:color="auto"/>
              <w:bottom w:val="single" w:sz="4" w:space="0" w:color="auto"/>
              <w:right w:val="single" w:sz="4" w:space="0" w:color="auto"/>
            </w:tcBorders>
          </w:tcPr>
          <w:p w14:paraId="30063BAA" w14:textId="3E53A298" w:rsidR="00D67975" w:rsidRDefault="009E2821" w:rsidP="00D67975">
            <w:pPr>
              <w:rPr>
                <w:sz w:val="20"/>
                <w:szCs w:val="20"/>
                <w:lang w:eastAsia="en-US"/>
              </w:rPr>
            </w:pPr>
            <w:r>
              <w:rPr>
                <w:color w:val="000000"/>
                <w:sz w:val="20"/>
                <w:szCs w:val="20"/>
                <w:lang w:eastAsia="en-US"/>
              </w:rPr>
              <w:t>288</w:t>
            </w:r>
          </w:p>
        </w:tc>
        <w:tc>
          <w:tcPr>
            <w:tcW w:w="0" w:type="auto"/>
            <w:tcBorders>
              <w:top w:val="single" w:sz="4" w:space="0" w:color="auto"/>
              <w:left w:val="single" w:sz="4" w:space="0" w:color="auto"/>
              <w:bottom w:val="single" w:sz="4" w:space="0" w:color="auto"/>
              <w:right w:val="single" w:sz="4" w:space="0" w:color="auto"/>
            </w:tcBorders>
            <w:vAlign w:val="bottom"/>
            <w:hideMark/>
          </w:tcPr>
          <w:p w14:paraId="7A2BC358" w14:textId="77777777" w:rsidR="00D67975" w:rsidRDefault="00D67975" w:rsidP="00D67975">
            <w:pPr>
              <w:rPr>
                <w:b/>
                <w:bCs/>
                <w:sz w:val="20"/>
                <w:szCs w:val="20"/>
                <w:lang w:eastAsia="en-US"/>
              </w:rPr>
            </w:pPr>
            <w:r>
              <w:rPr>
                <w:b/>
                <w:bCs/>
                <w:sz w:val="20"/>
                <w:szCs w:val="20"/>
                <w:lang w:eastAsia="en-US"/>
              </w:rPr>
              <w:t>Dentary alveoli 1–2, confluence:</w:t>
            </w:r>
          </w:p>
          <w:p w14:paraId="7BF1F7F5" w14:textId="7C1DC019" w:rsidR="00D67975" w:rsidRDefault="00D67975" w:rsidP="00D67975">
            <w:pPr>
              <w:rPr>
                <w:i/>
                <w:iCs/>
                <w:sz w:val="20"/>
                <w:szCs w:val="20"/>
                <w:lang w:eastAsia="en-US"/>
              </w:rPr>
            </w:pPr>
            <w:r>
              <w:rPr>
                <w:i/>
                <w:iCs/>
                <w:sz w:val="20"/>
                <w:szCs w:val="20"/>
                <w:lang w:eastAsia="en-US"/>
              </w:rPr>
              <w:t xml:space="preserve">Andrade et al. (2011, ch. 402); Young et al. (2016, ds 2, ch. 191); </w:t>
            </w:r>
            <w:r>
              <w:rPr>
                <w:i/>
                <w:sz w:val="20"/>
                <w:szCs w:val="20"/>
                <w:lang w:eastAsia="en-US"/>
              </w:rPr>
              <w:t xml:space="preserve">Ristevski et al. (2018, ds 2, ch. 253); Smith et al. (in review, ds 1, ch. 258); </w:t>
            </w:r>
            <w:r>
              <w:rPr>
                <w:i/>
                <w:sz w:val="20"/>
                <w:szCs w:val="20"/>
              </w:rPr>
              <w:t>Ősi et al. (in review, ds 1, ch. 285)</w:t>
            </w:r>
            <w:r>
              <w:rPr>
                <w:i/>
                <w:iCs/>
                <w:sz w:val="20"/>
                <w:szCs w:val="20"/>
                <w:lang w:eastAsia="en-US"/>
              </w:rPr>
              <w:t>.</w:t>
            </w:r>
          </w:p>
          <w:p w14:paraId="0CC26EEA" w14:textId="77777777" w:rsidR="00D67975" w:rsidRDefault="00D67975" w:rsidP="00D67975">
            <w:pPr>
              <w:rPr>
                <w:i/>
                <w:iCs/>
                <w:sz w:val="20"/>
                <w:szCs w:val="20"/>
                <w:lang w:eastAsia="en-US"/>
              </w:rPr>
            </w:pPr>
            <w:r>
              <w:rPr>
                <w:i/>
                <w:iCs/>
                <w:sz w:val="20"/>
                <w:szCs w:val="20"/>
                <w:lang w:eastAsia="en-US"/>
              </w:rPr>
              <w:t>State (1) is a putative apomorphy of Goniopholis.</w:t>
            </w:r>
          </w:p>
          <w:p w14:paraId="1A25B2B2" w14:textId="77777777" w:rsidR="00D67975" w:rsidRDefault="00D67975" w:rsidP="00D67975">
            <w:pPr>
              <w:rPr>
                <w:sz w:val="20"/>
                <w:szCs w:val="20"/>
                <w:lang w:eastAsia="en-US"/>
              </w:rPr>
            </w:pPr>
            <w:r>
              <w:rPr>
                <w:sz w:val="20"/>
                <w:szCs w:val="20"/>
                <w:lang w:eastAsia="en-US"/>
              </w:rPr>
              <w:t>0. well-separated, usually as much distant from each other as from other dentary teeth</w:t>
            </w:r>
          </w:p>
          <w:p w14:paraId="3345062B" w14:textId="77777777" w:rsidR="00D67975" w:rsidRDefault="00D67975" w:rsidP="00D67975">
            <w:pPr>
              <w:rPr>
                <w:sz w:val="20"/>
                <w:szCs w:val="20"/>
                <w:lang w:eastAsia="en-US"/>
              </w:rPr>
            </w:pPr>
            <w:r>
              <w:rPr>
                <w:sz w:val="20"/>
                <w:szCs w:val="20"/>
                <w:lang w:eastAsia="en-US"/>
              </w:rPr>
              <w:t>1. alveoli 1</w:t>
            </w:r>
            <w:r>
              <w:rPr>
                <w:bCs/>
                <w:sz w:val="20"/>
                <w:szCs w:val="20"/>
                <w:lang w:eastAsia="en-US"/>
              </w:rPr>
              <w:t>–</w:t>
            </w:r>
            <w:r>
              <w:rPr>
                <w:sz w:val="20"/>
                <w:szCs w:val="20"/>
                <w:lang w:eastAsia="en-US"/>
              </w:rPr>
              <w:t>2 confluent, separated by a thin alveolar wall, and clearly apart from neighbouring alveoli</w:t>
            </w:r>
          </w:p>
        </w:tc>
      </w:tr>
      <w:tr w:rsidR="00D67975" w14:paraId="2BC8A1A4" w14:textId="77777777" w:rsidTr="00D67975">
        <w:tc>
          <w:tcPr>
            <w:tcW w:w="0" w:type="auto"/>
            <w:tcBorders>
              <w:top w:val="single" w:sz="4" w:space="0" w:color="auto"/>
              <w:left w:val="single" w:sz="4" w:space="0" w:color="auto"/>
              <w:bottom w:val="single" w:sz="4" w:space="0" w:color="auto"/>
              <w:right w:val="single" w:sz="4" w:space="0" w:color="auto"/>
            </w:tcBorders>
          </w:tcPr>
          <w:p w14:paraId="7FCE2AEE" w14:textId="3571206E" w:rsidR="00D67975" w:rsidRDefault="009E2821" w:rsidP="00D67975">
            <w:pPr>
              <w:rPr>
                <w:sz w:val="20"/>
                <w:szCs w:val="20"/>
                <w:lang w:eastAsia="en-US"/>
              </w:rPr>
            </w:pPr>
            <w:r>
              <w:rPr>
                <w:color w:val="000000"/>
                <w:sz w:val="20"/>
                <w:szCs w:val="20"/>
                <w:lang w:eastAsia="en-US"/>
              </w:rPr>
              <w:t>289</w:t>
            </w:r>
          </w:p>
        </w:tc>
        <w:tc>
          <w:tcPr>
            <w:tcW w:w="0" w:type="auto"/>
            <w:tcBorders>
              <w:top w:val="single" w:sz="4" w:space="0" w:color="auto"/>
              <w:left w:val="single" w:sz="4" w:space="0" w:color="auto"/>
              <w:bottom w:val="single" w:sz="4" w:space="0" w:color="auto"/>
              <w:right w:val="single" w:sz="4" w:space="0" w:color="auto"/>
            </w:tcBorders>
            <w:hideMark/>
          </w:tcPr>
          <w:p w14:paraId="2351F38F" w14:textId="77777777" w:rsidR="00D67975" w:rsidRDefault="00D67975" w:rsidP="00D67975">
            <w:pPr>
              <w:rPr>
                <w:b/>
                <w:sz w:val="20"/>
                <w:szCs w:val="20"/>
                <w:lang w:eastAsia="en-US"/>
              </w:rPr>
            </w:pPr>
            <w:r>
              <w:rPr>
                <w:b/>
                <w:sz w:val="20"/>
                <w:szCs w:val="20"/>
                <w:lang w:eastAsia="en-US"/>
              </w:rPr>
              <w:t>D2 alveoli, size relative to D1 alveoli:</w:t>
            </w:r>
          </w:p>
          <w:p w14:paraId="19F97B9C" w14:textId="71FA5CED" w:rsidR="00D67975" w:rsidRDefault="00D67975" w:rsidP="00D67975">
            <w:pPr>
              <w:rPr>
                <w:i/>
                <w:sz w:val="20"/>
                <w:szCs w:val="20"/>
                <w:lang w:eastAsia="en-US"/>
              </w:rPr>
            </w:pPr>
            <w:r>
              <w:rPr>
                <w:i/>
                <w:sz w:val="20"/>
                <w:szCs w:val="20"/>
                <w:lang w:eastAsia="en-US"/>
              </w:rPr>
              <w:t xml:space="preserve">Hastings et al. (2010, ch. 64 modified); Young et al. (2016, ds 2, ch. 192); Ristevski et al. (2018, ds 2, ch. 254); Smith et al. (in review, ds 1, ch. 259); </w:t>
            </w:r>
            <w:r>
              <w:rPr>
                <w:i/>
                <w:sz w:val="20"/>
                <w:szCs w:val="20"/>
              </w:rPr>
              <w:t>Ősi et al. (in review, ds 1, ch. 286)</w:t>
            </w:r>
            <w:r>
              <w:rPr>
                <w:i/>
                <w:sz w:val="20"/>
                <w:szCs w:val="20"/>
                <w:lang w:eastAsia="en-US"/>
              </w:rPr>
              <w:t>.</w:t>
            </w:r>
          </w:p>
          <w:p w14:paraId="1307CE2A" w14:textId="77777777" w:rsidR="00D67975" w:rsidRDefault="00D67975" w:rsidP="00D67975">
            <w:pPr>
              <w:rPr>
                <w:sz w:val="20"/>
                <w:szCs w:val="20"/>
                <w:lang w:eastAsia="en-US"/>
              </w:rPr>
            </w:pPr>
            <w:r>
              <w:rPr>
                <w:sz w:val="20"/>
                <w:szCs w:val="20"/>
                <w:lang w:eastAsia="en-US"/>
              </w:rPr>
              <w:t>0. similar in size</w:t>
            </w:r>
          </w:p>
          <w:p w14:paraId="2D7CE778" w14:textId="77777777" w:rsidR="00D67975" w:rsidRDefault="00D67975" w:rsidP="00D67975">
            <w:pPr>
              <w:rPr>
                <w:sz w:val="20"/>
                <w:szCs w:val="20"/>
                <w:lang w:eastAsia="en-US"/>
              </w:rPr>
            </w:pPr>
            <w:r>
              <w:rPr>
                <w:sz w:val="20"/>
                <w:szCs w:val="20"/>
                <w:lang w:eastAsia="en-US"/>
              </w:rPr>
              <w:t>1. reduced in size relative to both adjacent alveoli</w:t>
            </w:r>
          </w:p>
        </w:tc>
      </w:tr>
      <w:tr w:rsidR="00D67975" w14:paraId="6222839A" w14:textId="77777777" w:rsidTr="00D67975">
        <w:tc>
          <w:tcPr>
            <w:tcW w:w="0" w:type="auto"/>
            <w:tcBorders>
              <w:top w:val="single" w:sz="4" w:space="0" w:color="auto"/>
              <w:left w:val="single" w:sz="4" w:space="0" w:color="auto"/>
              <w:bottom w:val="single" w:sz="4" w:space="0" w:color="auto"/>
              <w:right w:val="single" w:sz="4" w:space="0" w:color="auto"/>
            </w:tcBorders>
          </w:tcPr>
          <w:p w14:paraId="4AEDC926" w14:textId="24A1CA54" w:rsidR="00D67975" w:rsidRDefault="009E2821" w:rsidP="00D67975">
            <w:pPr>
              <w:rPr>
                <w:color w:val="000000"/>
                <w:sz w:val="20"/>
                <w:szCs w:val="20"/>
                <w:lang w:eastAsia="en-US"/>
              </w:rPr>
            </w:pPr>
            <w:r>
              <w:rPr>
                <w:color w:val="000000"/>
                <w:sz w:val="20"/>
                <w:szCs w:val="20"/>
                <w:lang w:eastAsia="en-US"/>
              </w:rPr>
              <w:t>290</w:t>
            </w:r>
          </w:p>
        </w:tc>
        <w:tc>
          <w:tcPr>
            <w:tcW w:w="0" w:type="auto"/>
            <w:tcBorders>
              <w:top w:val="single" w:sz="4" w:space="0" w:color="auto"/>
              <w:left w:val="single" w:sz="4" w:space="0" w:color="auto"/>
              <w:bottom w:val="single" w:sz="4" w:space="0" w:color="auto"/>
              <w:right w:val="single" w:sz="4" w:space="0" w:color="auto"/>
            </w:tcBorders>
            <w:hideMark/>
          </w:tcPr>
          <w:p w14:paraId="1F4A95F7" w14:textId="77777777" w:rsidR="00D67975" w:rsidRDefault="00D67975" w:rsidP="00D67975">
            <w:pPr>
              <w:rPr>
                <w:b/>
                <w:sz w:val="20"/>
                <w:szCs w:val="20"/>
                <w:lang w:eastAsia="en-US"/>
              </w:rPr>
            </w:pPr>
            <w:r>
              <w:rPr>
                <w:b/>
                <w:sz w:val="20"/>
                <w:szCs w:val="20"/>
                <w:lang w:eastAsia="en-US"/>
              </w:rPr>
              <w:t>D3 alveoli, position:</w:t>
            </w:r>
          </w:p>
          <w:p w14:paraId="0B67F26F" w14:textId="339901D2" w:rsidR="00D67975" w:rsidRDefault="00D67975" w:rsidP="00D67975">
            <w:pPr>
              <w:rPr>
                <w:i/>
                <w:sz w:val="20"/>
                <w:szCs w:val="20"/>
                <w:lang w:eastAsia="en-US"/>
              </w:rPr>
            </w:pPr>
            <w:r>
              <w:rPr>
                <w:i/>
                <w:sz w:val="20"/>
                <w:szCs w:val="20"/>
                <w:lang w:eastAsia="en-US"/>
              </w:rPr>
              <w:t xml:space="preserve">Hastings et al. (2010, ch. 66 modified); Ristevski et al. (2018, ds 2, ch. 255); Smith et al. (in review, ds 1, ch. 260); </w:t>
            </w:r>
            <w:r>
              <w:rPr>
                <w:i/>
                <w:sz w:val="20"/>
                <w:szCs w:val="20"/>
              </w:rPr>
              <w:t>Ősi et al. (in review, ds 1, ch. 287)</w:t>
            </w:r>
            <w:r>
              <w:rPr>
                <w:i/>
                <w:sz w:val="20"/>
                <w:szCs w:val="20"/>
                <w:lang w:eastAsia="en-US"/>
              </w:rPr>
              <w:t>.</w:t>
            </w:r>
          </w:p>
          <w:p w14:paraId="2DCC4DAA" w14:textId="77777777" w:rsidR="00D67975" w:rsidRDefault="00D67975" w:rsidP="00D67975">
            <w:pPr>
              <w:rPr>
                <w:sz w:val="20"/>
                <w:szCs w:val="20"/>
                <w:lang w:eastAsia="en-US"/>
              </w:rPr>
            </w:pPr>
            <w:r>
              <w:rPr>
                <w:sz w:val="20"/>
                <w:szCs w:val="20"/>
                <w:lang w:eastAsia="en-US"/>
              </w:rPr>
              <w:t>0. interalveolar space between D2 and D3 is approximately equal to that between D3 and D4</w:t>
            </w:r>
          </w:p>
          <w:p w14:paraId="11CC3539" w14:textId="77777777" w:rsidR="00D67975" w:rsidRDefault="00D67975" w:rsidP="00D67975">
            <w:pPr>
              <w:rPr>
                <w:b/>
                <w:sz w:val="20"/>
                <w:szCs w:val="20"/>
                <w:lang w:eastAsia="en-US"/>
              </w:rPr>
            </w:pPr>
            <w:r>
              <w:rPr>
                <w:sz w:val="20"/>
                <w:szCs w:val="20"/>
                <w:lang w:eastAsia="en-US"/>
              </w:rPr>
              <w:t>1. closer to the D4 alveoli</w:t>
            </w:r>
          </w:p>
        </w:tc>
      </w:tr>
      <w:tr w:rsidR="00D67975" w14:paraId="2DC0ACB1" w14:textId="77777777" w:rsidTr="00D67975">
        <w:tc>
          <w:tcPr>
            <w:tcW w:w="0" w:type="auto"/>
            <w:tcBorders>
              <w:top w:val="single" w:sz="4" w:space="0" w:color="auto"/>
              <w:left w:val="single" w:sz="4" w:space="0" w:color="auto"/>
              <w:bottom w:val="single" w:sz="4" w:space="0" w:color="auto"/>
              <w:right w:val="single" w:sz="4" w:space="0" w:color="auto"/>
            </w:tcBorders>
          </w:tcPr>
          <w:p w14:paraId="611F981D" w14:textId="0CF48AD6" w:rsidR="00D67975" w:rsidRDefault="009E2821" w:rsidP="00D67975">
            <w:pPr>
              <w:rPr>
                <w:sz w:val="20"/>
                <w:szCs w:val="20"/>
                <w:lang w:eastAsia="en-US"/>
              </w:rPr>
            </w:pPr>
            <w:r>
              <w:rPr>
                <w:color w:val="000000"/>
                <w:sz w:val="20"/>
                <w:szCs w:val="20"/>
                <w:lang w:eastAsia="en-US"/>
              </w:rPr>
              <w:t>291</w:t>
            </w:r>
          </w:p>
        </w:tc>
        <w:tc>
          <w:tcPr>
            <w:tcW w:w="0" w:type="auto"/>
            <w:tcBorders>
              <w:top w:val="single" w:sz="4" w:space="0" w:color="auto"/>
              <w:left w:val="single" w:sz="4" w:space="0" w:color="auto"/>
              <w:bottom w:val="single" w:sz="4" w:space="0" w:color="auto"/>
              <w:right w:val="single" w:sz="4" w:space="0" w:color="auto"/>
            </w:tcBorders>
            <w:hideMark/>
          </w:tcPr>
          <w:p w14:paraId="141B8354" w14:textId="77777777" w:rsidR="00D67975" w:rsidRDefault="00D67975" w:rsidP="00D67975">
            <w:pPr>
              <w:rPr>
                <w:b/>
                <w:sz w:val="20"/>
                <w:szCs w:val="20"/>
                <w:lang w:eastAsia="en-US"/>
              </w:rPr>
            </w:pPr>
            <w:r>
              <w:rPr>
                <w:b/>
                <w:sz w:val="20"/>
                <w:szCs w:val="20"/>
                <w:lang w:eastAsia="en-US"/>
              </w:rPr>
              <w:t>Interalveolar space between the D2 and D3 alveoli relative to that of the D1 and D2 alveoli:</w:t>
            </w:r>
          </w:p>
          <w:p w14:paraId="7E89EB7A" w14:textId="09FAB016" w:rsidR="00D67975" w:rsidRDefault="00D67975" w:rsidP="00D67975">
            <w:pPr>
              <w:rPr>
                <w:i/>
                <w:sz w:val="20"/>
                <w:szCs w:val="20"/>
                <w:lang w:eastAsia="en-US"/>
              </w:rPr>
            </w:pPr>
            <w:r>
              <w:rPr>
                <w:i/>
                <w:sz w:val="20"/>
                <w:szCs w:val="20"/>
                <w:lang w:eastAsia="en-US"/>
              </w:rPr>
              <w:t xml:space="preserve">Hastings et al. (2010, ch. 65 modified); Young et al. (2016, ds 2, ch. 193); Ristevski et al. (2018, ds 2, ch. 256); Smith et al. (in review, ds 1, ch. 261); </w:t>
            </w:r>
            <w:r>
              <w:rPr>
                <w:i/>
                <w:sz w:val="20"/>
                <w:szCs w:val="20"/>
              </w:rPr>
              <w:t>Ősi et al. (in review, ds 1, ch. 288)</w:t>
            </w:r>
            <w:r>
              <w:rPr>
                <w:i/>
                <w:sz w:val="20"/>
                <w:szCs w:val="20"/>
                <w:lang w:eastAsia="en-US"/>
              </w:rPr>
              <w:t>.</w:t>
            </w:r>
          </w:p>
          <w:p w14:paraId="0C1BAFD8" w14:textId="77777777" w:rsidR="00D67975" w:rsidRDefault="00D67975" w:rsidP="00D67975">
            <w:pPr>
              <w:rPr>
                <w:sz w:val="20"/>
                <w:szCs w:val="20"/>
                <w:lang w:eastAsia="en-US"/>
              </w:rPr>
            </w:pPr>
            <w:r>
              <w:rPr>
                <w:sz w:val="20"/>
                <w:szCs w:val="20"/>
                <w:lang w:eastAsia="en-US"/>
              </w:rPr>
              <w:t>0. approximately equal in proportion</w:t>
            </w:r>
          </w:p>
          <w:p w14:paraId="1D35A326" w14:textId="77777777" w:rsidR="00D67975" w:rsidRDefault="00D67975" w:rsidP="00D67975">
            <w:pPr>
              <w:rPr>
                <w:b/>
                <w:sz w:val="20"/>
                <w:szCs w:val="20"/>
                <w:lang w:eastAsia="en-US"/>
              </w:rPr>
            </w:pPr>
            <w:r>
              <w:rPr>
                <w:sz w:val="20"/>
                <w:szCs w:val="20"/>
                <w:lang w:eastAsia="en-US"/>
              </w:rPr>
              <w:t>1. the D2–D3 interalveolar space is longer than the interalveolar space between the D1 and D2</w:t>
            </w:r>
          </w:p>
        </w:tc>
      </w:tr>
      <w:tr w:rsidR="00D67975" w14:paraId="7EC52D19" w14:textId="77777777" w:rsidTr="00D67975">
        <w:tc>
          <w:tcPr>
            <w:tcW w:w="0" w:type="auto"/>
            <w:tcBorders>
              <w:top w:val="single" w:sz="4" w:space="0" w:color="auto"/>
              <w:left w:val="single" w:sz="4" w:space="0" w:color="auto"/>
              <w:bottom w:val="single" w:sz="4" w:space="0" w:color="auto"/>
              <w:right w:val="single" w:sz="4" w:space="0" w:color="auto"/>
            </w:tcBorders>
          </w:tcPr>
          <w:p w14:paraId="53ADCB81" w14:textId="163D93DE" w:rsidR="00D67975" w:rsidRDefault="009E2821" w:rsidP="00D67975">
            <w:pPr>
              <w:rPr>
                <w:sz w:val="20"/>
                <w:szCs w:val="20"/>
                <w:lang w:eastAsia="en-US"/>
              </w:rPr>
            </w:pPr>
            <w:r>
              <w:rPr>
                <w:color w:val="000000"/>
                <w:sz w:val="20"/>
                <w:szCs w:val="20"/>
                <w:lang w:eastAsia="en-US"/>
              </w:rPr>
              <w:t>292</w:t>
            </w:r>
          </w:p>
        </w:tc>
        <w:tc>
          <w:tcPr>
            <w:tcW w:w="0" w:type="auto"/>
            <w:tcBorders>
              <w:top w:val="single" w:sz="4" w:space="0" w:color="auto"/>
              <w:left w:val="single" w:sz="4" w:space="0" w:color="auto"/>
              <w:bottom w:val="single" w:sz="4" w:space="0" w:color="auto"/>
              <w:right w:val="single" w:sz="4" w:space="0" w:color="auto"/>
            </w:tcBorders>
            <w:hideMark/>
          </w:tcPr>
          <w:p w14:paraId="4D64FF76" w14:textId="77777777" w:rsidR="00D67975" w:rsidRDefault="00D67975" w:rsidP="00D67975">
            <w:pPr>
              <w:rPr>
                <w:b/>
                <w:sz w:val="20"/>
                <w:szCs w:val="20"/>
                <w:lang w:eastAsia="en-US"/>
              </w:rPr>
            </w:pPr>
            <w:r>
              <w:rPr>
                <w:b/>
                <w:sz w:val="20"/>
                <w:szCs w:val="20"/>
                <w:lang w:eastAsia="en-US"/>
              </w:rPr>
              <w:t>D4 alveolar wall:</w:t>
            </w:r>
          </w:p>
          <w:p w14:paraId="36A9256A" w14:textId="6B51F050" w:rsidR="00D67975" w:rsidRDefault="00D67975" w:rsidP="00D67975">
            <w:pPr>
              <w:rPr>
                <w:i/>
                <w:sz w:val="20"/>
                <w:szCs w:val="20"/>
                <w:lang w:eastAsia="en-US"/>
              </w:rPr>
            </w:pPr>
            <w:r>
              <w:rPr>
                <w:i/>
                <w:sz w:val="20"/>
                <w:szCs w:val="20"/>
                <w:lang w:eastAsia="en-US"/>
              </w:rPr>
              <w:t xml:space="preserve">Hastings et al. (2010, ch. 68 modified); Young et al. (2016, ds 2, ch. 194); Ristevski et al. (2018, ds 2, ch. 257); Smith et al. (in review, ds 1, ch. 262); </w:t>
            </w:r>
            <w:r>
              <w:rPr>
                <w:i/>
                <w:sz w:val="20"/>
                <w:szCs w:val="20"/>
              </w:rPr>
              <w:t>Ősi et al. (in review, ds 1, ch. 289)</w:t>
            </w:r>
            <w:r>
              <w:rPr>
                <w:i/>
                <w:sz w:val="20"/>
                <w:szCs w:val="20"/>
                <w:lang w:eastAsia="en-US"/>
              </w:rPr>
              <w:t>.</w:t>
            </w:r>
          </w:p>
          <w:p w14:paraId="120D1B4B" w14:textId="77777777" w:rsidR="00D67975" w:rsidRDefault="00D67975" w:rsidP="00D67975">
            <w:pPr>
              <w:rPr>
                <w:sz w:val="20"/>
                <w:szCs w:val="20"/>
                <w:lang w:eastAsia="en-US"/>
              </w:rPr>
            </w:pPr>
            <w:r>
              <w:rPr>
                <w:sz w:val="20"/>
                <w:szCs w:val="20"/>
                <w:lang w:eastAsia="en-US"/>
              </w:rPr>
              <w:t>0. level with the adjacent alveoli</w:t>
            </w:r>
          </w:p>
          <w:p w14:paraId="1BDCC02D" w14:textId="77777777" w:rsidR="00D67975" w:rsidRDefault="00D67975" w:rsidP="00D67975">
            <w:pPr>
              <w:rPr>
                <w:b/>
                <w:sz w:val="20"/>
                <w:szCs w:val="20"/>
                <w:lang w:eastAsia="en-US"/>
              </w:rPr>
            </w:pPr>
            <w:r>
              <w:rPr>
                <w:sz w:val="20"/>
                <w:szCs w:val="20"/>
                <w:lang w:eastAsia="en-US"/>
              </w:rPr>
              <w:t>1. raised relative to the adjacent alveoli</w:t>
            </w:r>
          </w:p>
        </w:tc>
      </w:tr>
      <w:tr w:rsidR="00D67975" w14:paraId="1A5B0BD5" w14:textId="77777777" w:rsidTr="00D67975">
        <w:tc>
          <w:tcPr>
            <w:tcW w:w="0" w:type="auto"/>
            <w:tcBorders>
              <w:top w:val="single" w:sz="4" w:space="0" w:color="auto"/>
              <w:left w:val="single" w:sz="4" w:space="0" w:color="auto"/>
              <w:bottom w:val="single" w:sz="4" w:space="0" w:color="auto"/>
              <w:right w:val="single" w:sz="4" w:space="0" w:color="auto"/>
            </w:tcBorders>
          </w:tcPr>
          <w:p w14:paraId="6D602578" w14:textId="28FFAC0B" w:rsidR="00D67975" w:rsidRDefault="009E2821" w:rsidP="00D67975">
            <w:pPr>
              <w:rPr>
                <w:sz w:val="20"/>
                <w:szCs w:val="20"/>
                <w:lang w:eastAsia="en-US"/>
              </w:rPr>
            </w:pPr>
            <w:r>
              <w:rPr>
                <w:color w:val="000000"/>
                <w:sz w:val="20"/>
                <w:szCs w:val="20"/>
                <w:lang w:eastAsia="en-US"/>
              </w:rPr>
              <w:t>293</w:t>
            </w:r>
          </w:p>
        </w:tc>
        <w:tc>
          <w:tcPr>
            <w:tcW w:w="0" w:type="auto"/>
            <w:tcBorders>
              <w:top w:val="single" w:sz="4" w:space="0" w:color="auto"/>
              <w:left w:val="single" w:sz="4" w:space="0" w:color="auto"/>
              <w:bottom w:val="single" w:sz="4" w:space="0" w:color="auto"/>
              <w:right w:val="single" w:sz="4" w:space="0" w:color="auto"/>
            </w:tcBorders>
            <w:vAlign w:val="bottom"/>
            <w:hideMark/>
          </w:tcPr>
          <w:p w14:paraId="1C8A6382" w14:textId="77777777" w:rsidR="00D67975" w:rsidRDefault="00D67975" w:rsidP="00D67975">
            <w:pPr>
              <w:rPr>
                <w:b/>
                <w:color w:val="000000"/>
                <w:sz w:val="20"/>
                <w:szCs w:val="20"/>
                <w:lang w:eastAsia="en-US"/>
              </w:rPr>
            </w:pPr>
            <w:r>
              <w:rPr>
                <w:b/>
                <w:color w:val="000000"/>
                <w:sz w:val="20"/>
                <w:szCs w:val="20"/>
                <w:lang w:eastAsia="en-US"/>
              </w:rPr>
              <w:t>Dentary alveoli, diastema present between the fourth and fifth alveoli:</w:t>
            </w:r>
          </w:p>
          <w:p w14:paraId="04182FE6" w14:textId="43C156B6" w:rsidR="00D67975" w:rsidRDefault="00D67975" w:rsidP="00D67975">
            <w:pPr>
              <w:autoSpaceDE w:val="0"/>
              <w:autoSpaceDN w:val="0"/>
              <w:adjustRightInd w:val="0"/>
              <w:rPr>
                <w:i/>
                <w:sz w:val="20"/>
                <w:szCs w:val="20"/>
                <w:lang w:eastAsia="en-US"/>
              </w:rPr>
            </w:pPr>
            <w:r>
              <w:rPr>
                <w:i/>
                <w:sz w:val="20"/>
                <w:szCs w:val="20"/>
                <w:lang w:eastAsia="en-US"/>
              </w:rPr>
              <w:t xml:space="preserve">Young (2014, ch. 161); Young et al. (2016, ds 2, ch. 195); Ristevski et al. (2018, ds 2, ch. 258); Smith et al. (in review, ds 1, ch. 263); </w:t>
            </w:r>
            <w:r>
              <w:rPr>
                <w:i/>
                <w:sz w:val="20"/>
                <w:szCs w:val="20"/>
              </w:rPr>
              <w:t>Ősi et al. (in review, ds 1, ch. 290)</w:t>
            </w:r>
            <w:r>
              <w:rPr>
                <w:i/>
                <w:sz w:val="20"/>
                <w:szCs w:val="20"/>
                <w:lang w:eastAsia="en-US"/>
              </w:rPr>
              <w:t>.</w:t>
            </w:r>
          </w:p>
          <w:p w14:paraId="2EF22A7A" w14:textId="77777777" w:rsidR="00D67975" w:rsidRDefault="00D67975" w:rsidP="00D67975">
            <w:pPr>
              <w:rPr>
                <w:i/>
                <w:color w:val="000000"/>
                <w:sz w:val="20"/>
                <w:szCs w:val="20"/>
                <w:lang w:eastAsia="en-US"/>
              </w:rPr>
            </w:pPr>
            <w:r>
              <w:rPr>
                <w:i/>
                <w:color w:val="000000"/>
                <w:sz w:val="20"/>
                <w:szCs w:val="20"/>
                <w:lang w:eastAsia="en-US"/>
              </w:rPr>
              <w:t xml:space="preserve">State (1) is a putative apomorphy of Thalattosuchia and </w:t>
            </w:r>
            <w:r>
              <w:rPr>
                <w:color w:val="000000"/>
                <w:sz w:val="20"/>
                <w:szCs w:val="20"/>
                <w:lang w:eastAsia="en-US"/>
              </w:rPr>
              <w:t>Sarcosuchus.</w:t>
            </w:r>
          </w:p>
          <w:p w14:paraId="1B544C56" w14:textId="07306B9A" w:rsidR="00D67975" w:rsidRDefault="00D67975" w:rsidP="00D67975">
            <w:pPr>
              <w:rPr>
                <w:i/>
                <w:color w:val="000000"/>
                <w:sz w:val="20"/>
                <w:szCs w:val="20"/>
                <w:lang w:eastAsia="en-US"/>
              </w:rPr>
            </w:pPr>
            <w:r>
              <w:rPr>
                <w:i/>
                <w:color w:val="000000"/>
                <w:sz w:val="20"/>
                <w:szCs w:val="20"/>
                <w:lang w:eastAsia="en-US"/>
              </w:rPr>
              <w:t xml:space="preserve">Within Thalattosuchia: state (0) is a putative apomorphy of the </w:t>
            </w:r>
            <w:r>
              <w:rPr>
                <w:color w:val="000000"/>
                <w:sz w:val="20"/>
                <w:szCs w:val="20"/>
                <w:lang w:eastAsia="en-US"/>
              </w:rPr>
              <w:t xml:space="preserve">Dakosaurus + Plesiosuchus </w:t>
            </w:r>
            <w:r>
              <w:rPr>
                <w:i/>
                <w:color w:val="000000"/>
                <w:sz w:val="20"/>
                <w:szCs w:val="20"/>
                <w:lang w:eastAsia="en-US"/>
              </w:rPr>
              <w:t>sub-clade.</w:t>
            </w:r>
          </w:p>
          <w:p w14:paraId="0C0133B2" w14:textId="77777777" w:rsidR="00D67975" w:rsidRDefault="00D67975" w:rsidP="00D67975">
            <w:pPr>
              <w:rPr>
                <w:i/>
                <w:color w:val="000000"/>
                <w:sz w:val="20"/>
                <w:szCs w:val="20"/>
                <w:lang w:eastAsia="en-US"/>
              </w:rPr>
            </w:pPr>
            <w:r>
              <w:rPr>
                <w:i/>
                <w:color w:val="000000"/>
                <w:sz w:val="20"/>
                <w:szCs w:val="20"/>
                <w:lang w:eastAsia="en-US"/>
              </w:rPr>
              <w:t xml:space="preserve">Note that while the very small dentary interalveolar spaces are putative apomorphies of </w:t>
            </w:r>
            <w:r>
              <w:rPr>
                <w:color w:val="000000"/>
                <w:sz w:val="20"/>
                <w:szCs w:val="20"/>
                <w:lang w:eastAsia="en-US"/>
              </w:rPr>
              <w:t>Dakosaurus, Plesiosuchus</w:t>
            </w:r>
            <w:r>
              <w:rPr>
                <w:i/>
                <w:color w:val="000000"/>
                <w:sz w:val="20"/>
                <w:szCs w:val="20"/>
                <w:lang w:eastAsia="en-US"/>
              </w:rPr>
              <w:t xml:space="preserve"> and </w:t>
            </w:r>
            <w:r>
              <w:rPr>
                <w:color w:val="000000"/>
                <w:sz w:val="20"/>
                <w:szCs w:val="20"/>
                <w:lang w:eastAsia="en-US"/>
              </w:rPr>
              <w:t>Gracilineustes leedsi</w:t>
            </w:r>
            <w:r>
              <w:rPr>
                <w:i/>
                <w:color w:val="000000"/>
                <w:sz w:val="20"/>
                <w:szCs w:val="20"/>
                <w:lang w:eastAsia="en-US"/>
              </w:rPr>
              <w:t xml:space="preserve">, the D4–D5 diastema is still present in </w:t>
            </w:r>
            <w:r>
              <w:rPr>
                <w:color w:val="000000"/>
                <w:sz w:val="20"/>
                <w:szCs w:val="20"/>
                <w:lang w:eastAsia="en-US"/>
              </w:rPr>
              <w:t>Gracilineustes leedsi.</w:t>
            </w:r>
          </w:p>
          <w:p w14:paraId="2528ECD6" w14:textId="77777777" w:rsidR="00D67975" w:rsidRDefault="00D67975" w:rsidP="00D67975">
            <w:pPr>
              <w:rPr>
                <w:color w:val="000000"/>
                <w:sz w:val="20"/>
                <w:szCs w:val="20"/>
                <w:lang w:eastAsia="en-US"/>
              </w:rPr>
            </w:pPr>
            <w:r>
              <w:rPr>
                <w:color w:val="000000"/>
                <w:sz w:val="20"/>
                <w:szCs w:val="20"/>
                <w:lang w:eastAsia="en-US"/>
              </w:rPr>
              <w:t>0. absent</w:t>
            </w:r>
          </w:p>
          <w:p w14:paraId="2E1297EC"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0F214563" w14:textId="77777777" w:rsidTr="00D67975">
        <w:tc>
          <w:tcPr>
            <w:tcW w:w="0" w:type="auto"/>
            <w:tcBorders>
              <w:top w:val="single" w:sz="4" w:space="0" w:color="auto"/>
              <w:left w:val="single" w:sz="4" w:space="0" w:color="auto"/>
              <w:bottom w:val="single" w:sz="4" w:space="0" w:color="auto"/>
              <w:right w:val="single" w:sz="4" w:space="0" w:color="auto"/>
            </w:tcBorders>
          </w:tcPr>
          <w:p w14:paraId="31E1AEB7" w14:textId="3859DC15" w:rsidR="00D67975" w:rsidRDefault="009E2821" w:rsidP="00D67975">
            <w:pPr>
              <w:rPr>
                <w:sz w:val="20"/>
                <w:szCs w:val="20"/>
                <w:lang w:eastAsia="en-US"/>
              </w:rPr>
            </w:pPr>
            <w:r>
              <w:rPr>
                <w:color w:val="000000"/>
                <w:sz w:val="20"/>
                <w:szCs w:val="20"/>
                <w:lang w:eastAsia="en-US"/>
              </w:rPr>
              <w:t>294</w:t>
            </w:r>
          </w:p>
        </w:tc>
        <w:tc>
          <w:tcPr>
            <w:tcW w:w="0" w:type="auto"/>
            <w:tcBorders>
              <w:top w:val="single" w:sz="4" w:space="0" w:color="auto"/>
              <w:left w:val="single" w:sz="4" w:space="0" w:color="auto"/>
              <w:bottom w:val="single" w:sz="4" w:space="0" w:color="auto"/>
              <w:right w:val="single" w:sz="4" w:space="0" w:color="auto"/>
            </w:tcBorders>
            <w:hideMark/>
          </w:tcPr>
          <w:p w14:paraId="39F86F22" w14:textId="77777777" w:rsidR="00D67975" w:rsidRDefault="00D67975" w:rsidP="00D67975">
            <w:pPr>
              <w:rPr>
                <w:b/>
                <w:sz w:val="20"/>
                <w:szCs w:val="20"/>
                <w:lang w:eastAsia="en-US"/>
              </w:rPr>
            </w:pPr>
            <w:r>
              <w:rPr>
                <w:b/>
                <w:sz w:val="20"/>
                <w:szCs w:val="20"/>
                <w:lang w:eastAsia="en-US"/>
              </w:rPr>
              <w:t>D7 alveoli, size:</w:t>
            </w:r>
          </w:p>
          <w:p w14:paraId="0ACC3E3A" w14:textId="6DEFBBF0" w:rsidR="00D67975" w:rsidRDefault="00D67975" w:rsidP="00D67975">
            <w:pPr>
              <w:rPr>
                <w:i/>
                <w:sz w:val="20"/>
                <w:szCs w:val="20"/>
                <w:lang w:eastAsia="en-US"/>
              </w:rPr>
            </w:pPr>
            <w:r>
              <w:rPr>
                <w:i/>
                <w:sz w:val="20"/>
                <w:szCs w:val="20"/>
                <w:lang w:eastAsia="en-US"/>
              </w:rPr>
              <w:t xml:space="preserve">Jouve (2004, ch. </w:t>
            </w:r>
            <w:r>
              <w:rPr>
                <w:bCs/>
                <w:i/>
                <w:sz w:val="20"/>
                <w:szCs w:val="20"/>
                <w:lang w:eastAsia="en-US"/>
              </w:rPr>
              <w:t>153 modified);</w:t>
            </w:r>
            <w:r>
              <w:rPr>
                <w:i/>
                <w:sz w:val="20"/>
                <w:szCs w:val="20"/>
                <w:lang w:eastAsia="en-US"/>
              </w:rPr>
              <w:t xml:space="preserve"> Jouve (2005, ch. </w:t>
            </w:r>
            <w:r>
              <w:rPr>
                <w:bCs/>
                <w:i/>
                <w:sz w:val="20"/>
                <w:szCs w:val="20"/>
                <w:lang w:eastAsia="en-US"/>
              </w:rPr>
              <w:t>3 modified);</w:t>
            </w:r>
            <w:r>
              <w:rPr>
                <w:i/>
                <w:sz w:val="20"/>
                <w:szCs w:val="20"/>
                <w:lang w:eastAsia="en-US"/>
              </w:rPr>
              <w:t xml:space="preserve"> Jouve et al. (2005b, ch. </w:t>
            </w:r>
            <w:r>
              <w:rPr>
                <w:bCs/>
                <w:i/>
                <w:sz w:val="20"/>
                <w:szCs w:val="20"/>
                <w:lang w:eastAsia="en-US"/>
              </w:rPr>
              <w:t>8 modified);</w:t>
            </w:r>
            <w:r>
              <w:rPr>
                <w:i/>
                <w:sz w:val="20"/>
                <w:szCs w:val="20"/>
                <w:lang w:eastAsia="en-US"/>
              </w:rPr>
              <w:t xml:space="preserve"> Jouve et al. (2006, ch. </w:t>
            </w:r>
            <w:r>
              <w:rPr>
                <w:bCs/>
                <w:i/>
                <w:sz w:val="20"/>
                <w:szCs w:val="20"/>
                <w:lang w:eastAsia="en-US"/>
              </w:rPr>
              <w:t>164 modified);</w:t>
            </w:r>
            <w:r>
              <w:rPr>
                <w:i/>
                <w:sz w:val="20"/>
                <w:szCs w:val="20"/>
                <w:lang w:eastAsia="en-US"/>
              </w:rPr>
              <w:t xml:space="preserve"> Jouve et al. (2008, ch. </w:t>
            </w:r>
            <w:r>
              <w:rPr>
                <w:bCs/>
                <w:i/>
                <w:sz w:val="20"/>
                <w:szCs w:val="20"/>
                <w:lang w:eastAsia="en-US"/>
              </w:rPr>
              <w:t xml:space="preserve">8 modified); Hastings et al. (2010, ch. 73 modified); Young et al. (2016, ds 2, ch. 196 modified); </w:t>
            </w:r>
            <w:r>
              <w:rPr>
                <w:i/>
                <w:sz w:val="20"/>
                <w:szCs w:val="20"/>
                <w:lang w:eastAsia="en-US"/>
              </w:rPr>
              <w:t xml:space="preserve">Ristevski et al. (2018, ds 2, ch. 259); Smith et al. (in review, ds 1, ch. 264); </w:t>
            </w:r>
            <w:r>
              <w:rPr>
                <w:i/>
                <w:sz w:val="20"/>
                <w:szCs w:val="20"/>
              </w:rPr>
              <w:t>Ősi et al. (in review, ds 1, ch. 291)</w:t>
            </w:r>
            <w:r>
              <w:rPr>
                <w:i/>
                <w:sz w:val="20"/>
                <w:szCs w:val="20"/>
                <w:lang w:eastAsia="en-US"/>
              </w:rPr>
              <w:t>.</w:t>
            </w:r>
          </w:p>
          <w:p w14:paraId="587BE680" w14:textId="77777777" w:rsidR="00D67975" w:rsidRDefault="00D67975" w:rsidP="00D67975">
            <w:pPr>
              <w:rPr>
                <w:i/>
                <w:sz w:val="20"/>
                <w:szCs w:val="20"/>
                <w:lang w:eastAsia="en-US"/>
              </w:rPr>
            </w:pPr>
            <w:r>
              <w:rPr>
                <w:i/>
                <w:sz w:val="20"/>
                <w:szCs w:val="20"/>
                <w:lang w:eastAsia="en-US"/>
              </w:rPr>
              <w:t>State (1) occurs in Dyrosauridae.</w:t>
            </w:r>
          </w:p>
          <w:p w14:paraId="24469584" w14:textId="77777777" w:rsidR="00D67975" w:rsidRDefault="00D67975" w:rsidP="00D67975">
            <w:pPr>
              <w:rPr>
                <w:sz w:val="20"/>
                <w:szCs w:val="20"/>
                <w:lang w:eastAsia="en-US"/>
              </w:rPr>
            </w:pPr>
            <w:r>
              <w:rPr>
                <w:sz w:val="20"/>
                <w:szCs w:val="20"/>
                <w:lang w:eastAsia="en-US"/>
              </w:rPr>
              <w:t xml:space="preserve">0. comparable in size to the adjacent alveoli </w:t>
            </w:r>
          </w:p>
          <w:p w14:paraId="42E2BAB3" w14:textId="77777777" w:rsidR="00D67975" w:rsidRDefault="00D67975" w:rsidP="00D67975">
            <w:pPr>
              <w:rPr>
                <w:b/>
                <w:sz w:val="20"/>
                <w:szCs w:val="20"/>
                <w:lang w:eastAsia="en-US"/>
              </w:rPr>
            </w:pPr>
            <w:r>
              <w:rPr>
                <w:sz w:val="20"/>
                <w:szCs w:val="20"/>
                <w:lang w:eastAsia="en-US"/>
              </w:rPr>
              <w:t>1. reduced in size compared to the adjacent alveoli</w:t>
            </w:r>
          </w:p>
        </w:tc>
      </w:tr>
      <w:tr w:rsidR="00D67975" w14:paraId="4AF7562B" w14:textId="77777777" w:rsidTr="00D67975">
        <w:tc>
          <w:tcPr>
            <w:tcW w:w="0" w:type="auto"/>
            <w:tcBorders>
              <w:top w:val="single" w:sz="4" w:space="0" w:color="auto"/>
              <w:left w:val="single" w:sz="4" w:space="0" w:color="auto"/>
              <w:bottom w:val="single" w:sz="4" w:space="0" w:color="auto"/>
              <w:right w:val="single" w:sz="4" w:space="0" w:color="auto"/>
            </w:tcBorders>
          </w:tcPr>
          <w:p w14:paraId="0A6FB113" w14:textId="1CBB4F6C" w:rsidR="00D67975" w:rsidRDefault="009E2821" w:rsidP="00D67975">
            <w:pPr>
              <w:rPr>
                <w:color w:val="000000"/>
                <w:sz w:val="20"/>
                <w:szCs w:val="20"/>
                <w:lang w:eastAsia="en-US"/>
              </w:rPr>
            </w:pPr>
            <w:r>
              <w:rPr>
                <w:color w:val="000000"/>
                <w:sz w:val="20"/>
                <w:szCs w:val="20"/>
                <w:lang w:eastAsia="en-US"/>
              </w:rPr>
              <w:t>295</w:t>
            </w:r>
          </w:p>
        </w:tc>
        <w:tc>
          <w:tcPr>
            <w:tcW w:w="0" w:type="auto"/>
            <w:tcBorders>
              <w:top w:val="single" w:sz="4" w:space="0" w:color="auto"/>
              <w:left w:val="single" w:sz="4" w:space="0" w:color="auto"/>
              <w:bottom w:val="single" w:sz="4" w:space="0" w:color="auto"/>
              <w:right w:val="single" w:sz="4" w:space="0" w:color="auto"/>
            </w:tcBorders>
            <w:hideMark/>
          </w:tcPr>
          <w:p w14:paraId="79E8CBAA" w14:textId="77777777" w:rsidR="00D67975" w:rsidRDefault="00D67975" w:rsidP="00D67975">
            <w:pPr>
              <w:rPr>
                <w:b/>
                <w:sz w:val="20"/>
                <w:szCs w:val="20"/>
                <w:lang w:eastAsia="en-US"/>
              </w:rPr>
            </w:pPr>
            <w:r>
              <w:rPr>
                <w:b/>
                <w:sz w:val="20"/>
                <w:szCs w:val="20"/>
                <w:lang w:eastAsia="en-US"/>
              </w:rPr>
              <w:t>D7 alveoli, position:</w:t>
            </w:r>
          </w:p>
          <w:p w14:paraId="72DA2793" w14:textId="447FBE12" w:rsidR="00D67975" w:rsidRDefault="00D67975" w:rsidP="00D67975">
            <w:pPr>
              <w:rPr>
                <w:i/>
                <w:sz w:val="20"/>
                <w:szCs w:val="20"/>
                <w:lang w:eastAsia="en-US"/>
              </w:rPr>
            </w:pPr>
            <w:r>
              <w:rPr>
                <w:i/>
                <w:sz w:val="20"/>
                <w:szCs w:val="20"/>
                <w:lang w:eastAsia="en-US"/>
              </w:rPr>
              <w:t xml:space="preserve">Jouve (2004, ch. </w:t>
            </w:r>
            <w:r>
              <w:rPr>
                <w:bCs/>
                <w:i/>
                <w:sz w:val="20"/>
                <w:szCs w:val="20"/>
                <w:lang w:eastAsia="en-US"/>
              </w:rPr>
              <w:t>153 modified);</w:t>
            </w:r>
            <w:r>
              <w:rPr>
                <w:i/>
                <w:sz w:val="20"/>
                <w:szCs w:val="20"/>
                <w:lang w:eastAsia="en-US"/>
              </w:rPr>
              <w:t xml:space="preserve"> Jouve (2005a, ch. </w:t>
            </w:r>
            <w:r>
              <w:rPr>
                <w:bCs/>
                <w:i/>
                <w:sz w:val="20"/>
                <w:szCs w:val="20"/>
                <w:lang w:eastAsia="en-US"/>
              </w:rPr>
              <w:t>3 modified);</w:t>
            </w:r>
            <w:r>
              <w:rPr>
                <w:i/>
                <w:sz w:val="20"/>
                <w:szCs w:val="20"/>
                <w:lang w:eastAsia="en-US"/>
              </w:rPr>
              <w:t xml:space="preserve"> Jouve et al. (2005b, ch. </w:t>
            </w:r>
            <w:r>
              <w:rPr>
                <w:bCs/>
                <w:i/>
                <w:sz w:val="20"/>
                <w:szCs w:val="20"/>
                <w:lang w:eastAsia="en-US"/>
              </w:rPr>
              <w:t>8 modified);</w:t>
            </w:r>
            <w:r>
              <w:rPr>
                <w:i/>
                <w:sz w:val="20"/>
                <w:szCs w:val="20"/>
                <w:lang w:eastAsia="en-US"/>
              </w:rPr>
              <w:t xml:space="preserve"> Jouve et al. (2006, ch. </w:t>
            </w:r>
            <w:r>
              <w:rPr>
                <w:bCs/>
                <w:i/>
                <w:sz w:val="20"/>
                <w:szCs w:val="20"/>
                <w:lang w:eastAsia="en-US"/>
              </w:rPr>
              <w:t>164 modified);</w:t>
            </w:r>
            <w:r>
              <w:rPr>
                <w:i/>
                <w:sz w:val="20"/>
                <w:szCs w:val="20"/>
                <w:lang w:eastAsia="en-US"/>
              </w:rPr>
              <w:t xml:space="preserve"> Jouve et al. (2008, ch. </w:t>
            </w:r>
            <w:r>
              <w:rPr>
                <w:bCs/>
                <w:i/>
                <w:sz w:val="20"/>
                <w:szCs w:val="20"/>
                <w:lang w:eastAsia="en-US"/>
              </w:rPr>
              <w:t xml:space="preserve">8 modified); Hastings et al. (2010, ch. 73 </w:t>
            </w:r>
            <w:r>
              <w:rPr>
                <w:bCs/>
                <w:i/>
                <w:sz w:val="20"/>
                <w:szCs w:val="20"/>
                <w:lang w:eastAsia="en-US"/>
              </w:rPr>
              <w:lastRenderedPageBreak/>
              <w:t xml:space="preserve">modified); Young et al. (2016, ds 2, ch. 197 modified); </w:t>
            </w:r>
            <w:r>
              <w:rPr>
                <w:i/>
                <w:sz w:val="20"/>
                <w:szCs w:val="20"/>
                <w:lang w:eastAsia="en-US"/>
              </w:rPr>
              <w:t xml:space="preserve">Ristevski et al. (2018, ds 2, ch. 260); Smith et al. (in review, ds 1, ch. 265); </w:t>
            </w:r>
            <w:r>
              <w:rPr>
                <w:i/>
                <w:sz w:val="20"/>
                <w:szCs w:val="20"/>
              </w:rPr>
              <w:t>Ősi et al. (in review, ds 1, ch. 292)</w:t>
            </w:r>
            <w:r>
              <w:rPr>
                <w:i/>
                <w:sz w:val="20"/>
                <w:szCs w:val="20"/>
                <w:lang w:eastAsia="en-US"/>
              </w:rPr>
              <w:t>.</w:t>
            </w:r>
          </w:p>
          <w:p w14:paraId="362D251E" w14:textId="77777777" w:rsidR="00D67975" w:rsidRDefault="00D67975" w:rsidP="00D67975">
            <w:pPr>
              <w:rPr>
                <w:i/>
                <w:sz w:val="20"/>
                <w:szCs w:val="20"/>
                <w:lang w:eastAsia="en-US"/>
              </w:rPr>
            </w:pPr>
            <w:r>
              <w:rPr>
                <w:i/>
                <w:sz w:val="20"/>
                <w:szCs w:val="20"/>
                <w:lang w:eastAsia="en-US"/>
              </w:rPr>
              <w:t>State (1) occurs in Dyrosauridae.</w:t>
            </w:r>
          </w:p>
          <w:p w14:paraId="7CF5CD55" w14:textId="77777777" w:rsidR="00D67975" w:rsidRDefault="00D67975" w:rsidP="00D67975">
            <w:pPr>
              <w:rPr>
                <w:sz w:val="20"/>
                <w:szCs w:val="20"/>
                <w:lang w:eastAsia="en-US"/>
              </w:rPr>
            </w:pPr>
            <w:r>
              <w:rPr>
                <w:sz w:val="20"/>
                <w:szCs w:val="20"/>
                <w:lang w:eastAsia="en-US"/>
              </w:rPr>
              <w:t xml:space="preserve">0. comparable in size to the adjacent alveoli </w:t>
            </w:r>
          </w:p>
          <w:p w14:paraId="7CD3231F" w14:textId="77777777" w:rsidR="00D67975" w:rsidRDefault="00D67975" w:rsidP="00D67975">
            <w:pPr>
              <w:rPr>
                <w:b/>
                <w:sz w:val="20"/>
                <w:szCs w:val="20"/>
                <w:lang w:eastAsia="en-US"/>
              </w:rPr>
            </w:pPr>
            <w:r>
              <w:rPr>
                <w:sz w:val="20"/>
                <w:szCs w:val="20"/>
                <w:lang w:eastAsia="en-US"/>
              </w:rPr>
              <w:t>1. close in position to the eighth alveoli</w:t>
            </w:r>
          </w:p>
        </w:tc>
      </w:tr>
      <w:tr w:rsidR="00D67975" w14:paraId="229F64A2" w14:textId="77777777" w:rsidTr="00D67975">
        <w:tc>
          <w:tcPr>
            <w:tcW w:w="0" w:type="auto"/>
            <w:tcBorders>
              <w:top w:val="single" w:sz="4" w:space="0" w:color="auto"/>
              <w:left w:val="single" w:sz="4" w:space="0" w:color="auto"/>
              <w:bottom w:val="single" w:sz="4" w:space="0" w:color="auto"/>
              <w:right w:val="single" w:sz="4" w:space="0" w:color="auto"/>
            </w:tcBorders>
          </w:tcPr>
          <w:p w14:paraId="0DB19DD8" w14:textId="231A905E" w:rsidR="00D67975" w:rsidRDefault="009E2821" w:rsidP="00D67975">
            <w:pPr>
              <w:rPr>
                <w:color w:val="000000"/>
                <w:sz w:val="20"/>
                <w:szCs w:val="20"/>
                <w:lang w:eastAsia="en-US"/>
              </w:rPr>
            </w:pPr>
            <w:r>
              <w:rPr>
                <w:color w:val="000000"/>
                <w:sz w:val="20"/>
                <w:szCs w:val="20"/>
                <w:lang w:eastAsia="en-US"/>
              </w:rPr>
              <w:lastRenderedPageBreak/>
              <w:t>296</w:t>
            </w:r>
          </w:p>
        </w:tc>
        <w:tc>
          <w:tcPr>
            <w:tcW w:w="0" w:type="auto"/>
            <w:tcBorders>
              <w:top w:val="single" w:sz="4" w:space="0" w:color="auto"/>
              <w:left w:val="single" w:sz="4" w:space="0" w:color="auto"/>
              <w:bottom w:val="single" w:sz="4" w:space="0" w:color="auto"/>
              <w:right w:val="single" w:sz="4" w:space="0" w:color="auto"/>
            </w:tcBorders>
            <w:vAlign w:val="bottom"/>
            <w:hideMark/>
          </w:tcPr>
          <w:p w14:paraId="7201225C" w14:textId="77777777" w:rsidR="00D67975" w:rsidRDefault="00D67975" w:rsidP="00D67975">
            <w:pPr>
              <w:autoSpaceDE w:val="0"/>
              <w:autoSpaceDN w:val="0"/>
              <w:adjustRightInd w:val="0"/>
              <w:rPr>
                <w:b/>
                <w:color w:val="000000"/>
                <w:sz w:val="20"/>
                <w:szCs w:val="20"/>
                <w:lang w:eastAsia="en-US"/>
              </w:rPr>
            </w:pPr>
            <w:r>
              <w:rPr>
                <w:b/>
                <w:color w:val="000000"/>
                <w:sz w:val="20"/>
                <w:szCs w:val="20"/>
                <w:lang w:eastAsia="en-US"/>
              </w:rPr>
              <w:t>Dentary alveoli, number of alveoli adjacent to the mandibular symphysis:</w:t>
            </w:r>
          </w:p>
          <w:p w14:paraId="30901AC9" w14:textId="5098131E" w:rsidR="00D67975" w:rsidRDefault="00D67975" w:rsidP="00D67975">
            <w:pPr>
              <w:autoSpaceDE w:val="0"/>
              <w:autoSpaceDN w:val="0"/>
              <w:adjustRightInd w:val="0"/>
              <w:rPr>
                <w:i/>
                <w:sz w:val="20"/>
                <w:szCs w:val="20"/>
                <w:lang w:eastAsia="en-US"/>
              </w:rPr>
            </w:pPr>
            <w:r>
              <w:rPr>
                <w:i/>
                <w:sz w:val="20"/>
                <w:szCs w:val="20"/>
                <w:lang w:eastAsia="en-US"/>
              </w:rPr>
              <w:t xml:space="preserve">Young (2014, ch. 162); Young et al. (2016, ds 2, ch. 198); Ristevski et al. (2018, ds 2, ch. 261); Smith et al. (in review, ds 1, ch. 266); </w:t>
            </w:r>
            <w:r>
              <w:rPr>
                <w:i/>
                <w:sz w:val="20"/>
                <w:szCs w:val="20"/>
              </w:rPr>
              <w:t>Ősi et al. (in review, ds 1, ch. 293)</w:t>
            </w:r>
            <w:r>
              <w:rPr>
                <w:i/>
                <w:sz w:val="20"/>
                <w:szCs w:val="20"/>
                <w:lang w:eastAsia="en-US"/>
              </w:rPr>
              <w:t>.</w:t>
            </w:r>
          </w:p>
          <w:p w14:paraId="23605222" w14:textId="77777777" w:rsidR="00D67975" w:rsidRDefault="00D67975" w:rsidP="00D67975">
            <w:pPr>
              <w:rPr>
                <w:color w:val="000000"/>
                <w:sz w:val="20"/>
                <w:szCs w:val="20"/>
                <w:lang w:eastAsia="en-US"/>
              </w:rPr>
            </w:pPr>
            <w:r>
              <w:rPr>
                <w:i/>
                <w:color w:val="000000"/>
                <w:sz w:val="20"/>
                <w:szCs w:val="20"/>
                <w:lang w:eastAsia="en-US"/>
              </w:rPr>
              <w:t>Within Thalattosuchia: state (3) is a putative apomorphy of</w:t>
            </w:r>
            <w:r>
              <w:rPr>
                <w:color w:val="000000"/>
                <w:sz w:val="20"/>
                <w:szCs w:val="20"/>
                <w:lang w:eastAsia="en-US"/>
              </w:rPr>
              <w:t xml:space="preserve"> Dakosaurus.</w:t>
            </w:r>
          </w:p>
          <w:p w14:paraId="413BB646" w14:textId="77777777" w:rsidR="00D67975" w:rsidRDefault="00D67975" w:rsidP="00D67975">
            <w:pPr>
              <w:rPr>
                <w:color w:val="000000"/>
                <w:sz w:val="20"/>
                <w:szCs w:val="20"/>
                <w:lang w:eastAsia="en-US"/>
              </w:rPr>
            </w:pPr>
            <w:r>
              <w:rPr>
                <w:color w:val="000000"/>
                <w:sz w:val="20"/>
                <w:szCs w:val="20"/>
                <w:lang w:eastAsia="en-US"/>
              </w:rPr>
              <w:t>0.  15 or more</w:t>
            </w:r>
          </w:p>
          <w:p w14:paraId="2ACC5FB1" w14:textId="77777777" w:rsidR="00D67975" w:rsidRDefault="00D67975" w:rsidP="00D67975">
            <w:pPr>
              <w:rPr>
                <w:color w:val="000000"/>
                <w:sz w:val="20"/>
                <w:szCs w:val="20"/>
                <w:lang w:eastAsia="en-US"/>
              </w:rPr>
            </w:pPr>
            <w:r>
              <w:rPr>
                <w:color w:val="000000"/>
                <w:sz w:val="20"/>
                <w:szCs w:val="20"/>
                <w:lang w:eastAsia="en-US"/>
              </w:rPr>
              <w:t>1. 10 to 14</w:t>
            </w:r>
          </w:p>
          <w:p w14:paraId="7D7FCEFB" w14:textId="77777777" w:rsidR="00D67975" w:rsidRDefault="00D67975" w:rsidP="00D67975">
            <w:pPr>
              <w:rPr>
                <w:color w:val="000000"/>
                <w:sz w:val="20"/>
                <w:szCs w:val="20"/>
                <w:lang w:eastAsia="en-US"/>
              </w:rPr>
            </w:pPr>
            <w:r>
              <w:rPr>
                <w:color w:val="000000"/>
                <w:sz w:val="20"/>
                <w:szCs w:val="20"/>
                <w:lang w:eastAsia="en-US"/>
              </w:rPr>
              <w:t>2. 7 to 9</w:t>
            </w:r>
          </w:p>
          <w:p w14:paraId="2B34708A" w14:textId="77777777" w:rsidR="00D67975" w:rsidRDefault="00D67975" w:rsidP="00D67975">
            <w:pPr>
              <w:rPr>
                <w:color w:val="000000"/>
                <w:sz w:val="20"/>
                <w:szCs w:val="20"/>
                <w:lang w:eastAsia="en-US"/>
              </w:rPr>
            </w:pPr>
            <w:r>
              <w:rPr>
                <w:color w:val="000000"/>
                <w:sz w:val="20"/>
                <w:szCs w:val="20"/>
                <w:lang w:eastAsia="en-US"/>
              </w:rPr>
              <w:t>3. 4 to 6</w:t>
            </w:r>
          </w:p>
          <w:p w14:paraId="15CE33A1" w14:textId="77777777" w:rsidR="00D67975" w:rsidRDefault="00D67975" w:rsidP="00D67975">
            <w:pPr>
              <w:rPr>
                <w:color w:val="000000"/>
                <w:sz w:val="20"/>
                <w:szCs w:val="20"/>
                <w:lang w:eastAsia="en-US"/>
              </w:rPr>
            </w:pPr>
            <w:r>
              <w:rPr>
                <w:color w:val="000000"/>
                <w:sz w:val="20"/>
                <w:szCs w:val="20"/>
                <w:lang w:eastAsia="en-US"/>
              </w:rPr>
              <w:t>4. Fewer than 4</w:t>
            </w:r>
          </w:p>
        </w:tc>
      </w:tr>
      <w:tr w:rsidR="00D67975" w14:paraId="1159D82F" w14:textId="77777777" w:rsidTr="00D67975">
        <w:tc>
          <w:tcPr>
            <w:tcW w:w="0" w:type="auto"/>
            <w:tcBorders>
              <w:top w:val="single" w:sz="4" w:space="0" w:color="auto"/>
              <w:left w:val="single" w:sz="4" w:space="0" w:color="auto"/>
              <w:bottom w:val="single" w:sz="4" w:space="0" w:color="auto"/>
              <w:right w:val="single" w:sz="4" w:space="0" w:color="auto"/>
            </w:tcBorders>
          </w:tcPr>
          <w:p w14:paraId="57E456B8" w14:textId="3D8FF670" w:rsidR="00D67975" w:rsidRDefault="009E2821" w:rsidP="00D67975">
            <w:pPr>
              <w:rPr>
                <w:color w:val="000000"/>
                <w:sz w:val="20"/>
                <w:szCs w:val="20"/>
                <w:lang w:eastAsia="en-US"/>
              </w:rPr>
            </w:pPr>
            <w:r>
              <w:rPr>
                <w:color w:val="000000"/>
                <w:sz w:val="20"/>
                <w:szCs w:val="20"/>
                <w:lang w:eastAsia="en-US"/>
              </w:rPr>
              <w:t>297</w:t>
            </w:r>
          </w:p>
        </w:tc>
        <w:tc>
          <w:tcPr>
            <w:tcW w:w="0" w:type="auto"/>
            <w:tcBorders>
              <w:top w:val="single" w:sz="4" w:space="0" w:color="auto"/>
              <w:left w:val="single" w:sz="4" w:space="0" w:color="auto"/>
              <w:bottom w:val="single" w:sz="4" w:space="0" w:color="auto"/>
              <w:right w:val="single" w:sz="4" w:space="0" w:color="auto"/>
            </w:tcBorders>
            <w:vAlign w:val="bottom"/>
            <w:hideMark/>
          </w:tcPr>
          <w:p w14:paraId="6DDFAFB3" w14:textId="77777777" w:rsidR="00D67975" w:rsidRDefault="00D67975" w:rsidP="00D67975">
            <w:pPr>
              <w:rPr>
                <w:b/>
                <w:sz w:val="20"/>
                <w:szCs w:val="20"/>
                <w:lang w:eastAsia="en-US"/>
              </w:rPr>
            </w:pPr>
            <w:r>
              <w:rPr>
                <w:b/>
                <w:sz w:val="20"/>
                <w:szCs w:val="20"/>
                <w:lang w:eastAsia="en-US"/>
              </w:rPr>
              <w:t>Premaxilla-anterior maxillary tooth crown apicobasal length to basal width ratio:</w:t>
            </w:r>
          </w:p>
          <w:p w14:paraId="39646495" w14:textId="01BF6B95" w:rsidR="00D67975" w:rsidRDefault="00D67975" w:rsidP="00D67975">
            <w:pPr>
              <w:autoSpaceDE w:val="0"/>
              <w:autoSpaceDN w:val="0"/>
              <w:adjustRightInd w:val="0"/>
              <w:rPr>
                <w:i/>
                <w:sz w:val="20"/>
                <w:szCs w:val="20"/>
                <w:lang w:eastAsia="en-US"/>
              </w:rPr>
            </w:pPr>
            <w:r>
              <w:rPr>
                <w:i/>
                <w:sz w:val="20"/>
                <w:szCs w:val="20"/>
                <w:lang w:eastAsia="en-US"/>
              </w:rPr>
              <w:t xml:space="preserve">Young et al. (2012, ch. 155); Young (2014, ch. 163); Young et al. (2016, ds 2, ch. 199); Ristevski et al. (2018, ds 2, ch. 262); Smith et al. (in review, ds 1, ch. 267); </w:t>
            </w:r>
            <w:r>
              <w:rPr>
                <w:i/>
                <w:sz w:val="20"/>
                <w:szCs w:val="20"/>
              </w:rPr>
              <w:t>Ősi et al. (in review, ds 1, ch. 294)</w:t>
            </w:r>
            <w:r>
              <w:rPr>
                <w:i/>
                <w:sz w:val="20"/>
                <w:szCs w:val="20"/>
                <w:lang w:eastAsia="en-US"/>
              </w:rPr>
              <w:t>.</w:t>
            </w:r>
          </w:p>
          <w:p w14:paraId="5B737A06" w14:textId="77777777" w:rsidR="00D67975" w:rsidRDefault="00D67975" w:rsidP="00D67975">
            <w:pPr>
              <w:rPr>
                <w:sz w:val="20"/>
                <w:szCs w:val="20"/>
                <w:lang w:eastAsia="en-US"/>
              </w:rPr>
            </w:pPr>
            <w:r>
              <w:rPr>
                <w:sz w:val="20"/>
                <w:szCs w:val="20"/>
                <w:lang w:eastAsia="en-US"/>
              </w:rPr>
              <w:t>0. 3 or greater</w:t>
            </w:r>
          </w:p>
          <w:p w14:paraId="781D2679" w14:textId="77777777" w:rsidR="00D67975" w:rsidRDefault="00D67975" w:rsidP="00D67975">
            <w:pPr>
              <w:rPr>
                <w:lang w:eastAsia="en-US"/>
              </w:rPr>
            </w:pPr>
            <w:r>
              <w:rPr>
                <w:sz w:val="20"/>
                <w:szCs w:val="20"/>
                <w:lang w:eastAsia="en-US"/>
              </w:rPr>
              <w:t>1. 2.5 or less</w:t>
            </w:r>
          </w:p>
        </w:tc>
      </w:tr>
      <w:tr w:rsidR="00D67975" w14:paraId="2D278145" w14:textId="77777777" w:rsidTr="00D67975">
        <w:tc>
          <w:tcPr>
            <w:tcW w:w="0" w:type="auto"/>
            <w:tcBorders>
              <w:top w:val="single" w:sz="4" w:space="0" w:color="auto"/>
              <w:left w:val="single" w:sz="4" w:space="0" w:color="auto"/>
              <w:bottom w:val="single" w:sz="4" w:space="0" w:color="auto"/>
              <w:right w:val="single" w:sz="4" w:space="0" w:color="auto"/>
            </w:tcBorders>
          </w:tcPr>
          <w:p w14:paraId="3EC75007" w14:textId="311E3B70" w:rsidR="00D67975" w:rsidRDefault="009E2821" w:rsidP="00D67975">
            <w:pPr>
              <w:rPr>
                <w:sz w:val="20"/>
                <w:szCs w:val="20"/>
                <w:lang w:eastAsia="en-US"/>
              </w:rPr>
            </w:pPr>
            <w:r>
              <w:rPr>
                <w:color w:val="000000"/>
                <w:sz w:val="20"/>
                <w:szCs w:val="20"/>
                <w:lang w:eastAsia="en-US"/>
              </w:rPr>
              <w:t>298</w:t>
            </w:r>
          </w:p>
        </w:tc>
        <w:tc>
          <w:tcPr>
            <w:tcW w:w="0" w:type="auto"/>
            <w:tcBorders>
              <w:top w:val="single" w:sz="4" w:space="0" w:color="auto"/>
              <w:left w:val="single" w:sz="4" w:space="0" w:color="auto"/>
              <w:bottom w:val="single" w:sz="4" w:space="0" w:color="auto"/>
              <w:right w:val="single" w:sz="4" w:space="0" w:color="auto"/>
            </w:tcBorders>
            <w:vAlign w:val="bottom"/>
            <w:hideMark/>
          </w:tcPr>
          <w:p w14:paraId="7F55E4EC" w14:textId="77777777" w:rsidR="00D67975" w:rsidRDefault="00D67975" w:rsidP="00D67975">
            <w:pPr>
              <w:rPr>
                <w:b/>
                <w:color w:val="000000"/>
                <w:sz w:val="20"/>
                <w:szCs w:val="20"/>
                <w:lang w:eastAsia="en-US"/>
              </w:rPr>
            </w:pPr>
            <w:r>
              <w:rPr>
                <w:b/>
                <w:color w:val="000000"/>
                <w:sz w:val="20"/>
                <w:szCs w:val="20"/>
                <w:lang w:eastAsia="en-US"/>
              </w:rPr>
              <w:t>Anterior maxilla, crown size:</w:t>
            </w:r>
          </w:p>
          <w:p w14:paraId="1D3C1D69" w14:textId="15E5AEF1" w:rsidR="00D67975" w:rsidRDefault="00D67975" w:rsidP="00D67975">
            <w:pPr>
              <w:autoSpaceDE w:val="0"/>
              <w:autoSpaceDN w:val="0"/>
              <w:adjustRightInd w:val="0"/>
              <w:rPr>
                <w:i/>
                <w:sz w:val="20"/>
                <w:szCs w:val="20"/>
                <w:lang w:eastAsia="en-US"/>
              </w:rPr>
            </w:pPr>
            <w:r>
              <w:rPr>
                <w:i/>
                <w:sz w:val="20"/>
                <w:szCs w:val="20"/>
                <w:lang w:eastAsia="en-US"/>
              </w:rPr>
              <w:t xml:space="preserve">Wilkinson et al. (2008, ch. 56); Young &amp; Andrade (2009, ch. 56); </w:t>
            </w:r>
            <w:r>
              <w:rPr>
                <w:bCs/>
                <w:i/>
                <w:color w:val="000000"/>
                <w:sz w:val="20"/>
                <w:szCs w:val="20"/>
                <w:lang w:eastAsia="en-US"/>
              </w:rPr>
              <w:t xml:space="preserve">Young et al. (2011, ch. 56); Young et al. (2013a, ch. 133); </w:t>
            </w:r>
            <w:r>
              <w:rPr>
                <w:i/>
                <w:sz w:val="20"/>
                <w:szCs w:val="20"/>
                <w:lang w:eastAsia="en-US"/>
              </w:rPr>
              <w:t xml:space="preserve">Young et al. (2012, ch. 156); Young (2014, ch. 164); Young et al. (2016, ds 2, ch. 200); Ristevski et al. (2018, ds 2, ch. 263); Smith et al. (in review, ds 1, ch. 268); </w:t>
            </w:r>
            <w:r>
              <w:rPr>
                <w:i/>
                <w:sz w:val="20"/>
                <w:szCs w:val="20"/>
              </w:rPr>
              <w:t>Ősi et al. (in review, ds 1, ch. 295)</w:t>
            </w:r>
            <w:r>
              <w:rPr>
                <w:i/>
                <w:sz w:val="20"/>
                <w:szCs w:val="20"/>
                <w:lang w:eastAsia="en-US"/>
              </w:rPr>
              <w:t>.</w:t>
            </w:r>
          </w:p>
          <w:p w14:paraId="2640F95F" w14:textId="77777777" w:rsidR="00D67975" w:rsidRDefault="00D67975" w:rsidP="00D67975">
            <w:pPr>
              <w:rPr>
                <w:i/>
                <w:color w:val="000000"/>
                <w:sz w:val="20"/>
                <w:szCs w:val="20"/>
                <w:lang w:eastAsia="en-US"/>
              </w:rPr>
            </w:pPr>
            <w:r>
              <w:rPr>
                <w:i/>
                <w:color w:val="000000"/>
                <w:sz w:val="20"/>
                <w:szCs w:val="20"/>
                <w:lang w:eastAsia="en-US"/>
              </w:rPr>
              <w:t xml:space="preserve">It is currently unknown if this character correlates with the character quantifying mandibular symphysis depth across Crocodylomorpha. However, in Geosaurinae this is not the case, as shown by Young et al. (2013), the symphysis is deeper in </w:t>
            </w:r>
            <w:r>
              <w:rPr>
                <w:color w:val="000000"/>
                <w:sz w:val="20"/>
                <w:szCs w:val="20"/>
                <w:lang w:eastAsia="en-US"/>
              </w:rPr>
              <w:t xml:space="preserve">‘Metriorhynchus’ brachyrhynchus </w:t>
            </w:r>
            <w:r>
              <w:rPr>
                <w:i/>
                <w:color w:val="000000"/>
                <w:sz w:val="20"/>
                <w:szCs w:val="20"/>
                <w:lang w:eastAsia="en-US"/>
              </w:rPr>
              <w:t xml:space="preserve">than </w:t>
            </w:r>
            <w:r>
              <w:rPr>
                <w:color w:val="000000"/>
                <w:sz w:val="20"/>
                <w:szCs w:val="20"/>
                <w:lang w:eastAsia="en-US"/>
              </w:rPr>
              <w:t>Tyrannoneustes lythrodectikos</w:t>
            </w:r>
            <w:r>
              <w:rPr>
                <w:i/>
                <w:color w:val="000000"/>
                <w:sz w:val="20"/>
                <w:szCs w:val="20"/>
                <w:lang w:eastAsia="en-US"/>
              </w:rPr>
              <w:t xml:space="preserve">, but the latter has tooth crowns with a greater apicobasal length. Moreover, the symphyseal depth of </w:t>
            </w:r>
            <w:r>
              <w:rPr>
                <w:color w:val="000000"/>
                <w:sz w:val="20"/>
                <w:szCs w:val="20"/>
                <w:lang w:eastAsia="en-US"/>
              </w:rPr>
              <w:t>Dakosaurus maximus</w:t>
            </w:r>
            <w:r>
              <w:rPr>
                <w:i/>
                <w:color w:val="000000"/>
                <w:sz w:val="20"/>
                <w:szCs w:val="20"/>
                <w:lang w:eastAsia="en-US"/>
              </w:rPr>
              <w:t xml:space="preserve"> and </w:t>
            </w:r>
            <w:r>
              <w:rPr>
                <w:color w:val="000000"/>
                <w:sz w:val="20"/>
                <w:szCs w:val="20"/>
                <w:lang w:eastAsia="en-US"/>
              </w:rPr>
              <w:t>Plesiosuchus manselii</w:t>
            </w:r>
            <w:r>
              <w:rPr>
                <w:i/>
                <w:color w:val="000000"/>
                <w:sz w:val="20"/>
                <w:szCs w:val="20"/>
                <w:lang w:eastAsia="en-US"/>
              </w:rPr>
              <w:t xml:space="preserve"> noticeably differ, but both taxa have tooth crowns similar in apicobasal length (Young et al., 2012).</w:t>
            </w:r>
          </w:p>
          <w:p w14:paraId="25AB7C24" w14:textId="77777777" w:rsidR="00D67975" w:rsidRDefault="00D67975" w:rsidP="00D67975">
            <w:pPr>
              <w:rPr>
                <w:i/>
                <w:color w:val="000000"/>
                <w:sz w:val="20"/>
                <w:szCs w:val="20"/>
                <w:lang w:eastAsia="en-US"/>
              </w:rPr>
            </w:pPr>
            <w:r>
              <w:rPr>
                <w:i/>
                <w:color w:val="000000"/>
                <w:sz w:val="20"/>
                <w:szCs w:val="20"/>
                <w:lang w:eastAsia="en-US"/>
              </w:rPr>
              <w:t>Anterior maxilla = tooth crowns of the anterior half of the maxillary tooth row.</w:t>
            </w:r>
          </w:p>
          <w:p w14:paraId="3EC6479F" w14:textId="77777777" w:rsidR="00D67975" w:rsidRDefault="00D67975" w:rsidP="00D67975">
            <w:pPr>
              <w:rPr>
                <w:color w:val="000000"/>
                <w:sz w:val="20"/>
                <w:szCs w:val="20"/>
                <w:lang w:eastAsia="en-US"/>
              </w:rPr>
            </w:pPr>
            <w:r>
              <w:rPr>
                <w:color w:val="000000"/>
                <w:sz w:val="20"/>
                <w:szCs w:val="20"/>
                <w:lang w:eastAsia="en-US"/>
              </w:rPr>
              <w:t>0. crowns not enlarged (typically less than 3cm in apicobasal length)</w:t>
            </w:r>
          </w:p>
          <w:p w14:paraId="57B670BB" w14:textId="77777777" w:rsidR="00D67975" w:rsidRDefault="00D67975" w:rsidP="00D67975">
            <w:pPr>
              <w:rPr>
                <w:color w:val="000000"/>
                <w:sz w:val="20"/>
                <w:szCs w:val="20"/>
                <w:lang w:eastAsia="en-US"/>
              </w:rPr>
            </w:pPr>
            <w:r>
              <w:rPr>
                <w:color w:val="000000"/>
                <w:sz w:val="20"/>
                <w:szCs w:val="20"/>
                <w:lang w:eastAsia="en-US"/>
              </w:rPr>
              <w:t>1. moderately enlarged (between 3 and 4 cm in apicobasal length)</w:t>
            </w:r>
          </w:p>
          <w:p w14:paraId="0D0FAB33" w14:textId="77777777" w:rsidR="00D67975" w:rsidRDefault="00D67975" w:rsidP="00D67975">
            <w:pPr>
              <w:rPr>
                <w:color w:val="000000"/>
                <w:sz w:val="20"/>
                <w:szCs w:val="20"/>
                <w:lang w:eastAsia="en-US"/>
              </w:rPr>
            </w:pPr>
            <w:r>
              <w:rPr>
                <w:color w:val="000000"/>
                <w:sz w:val="20"/>
                <w:szCs w:val="20"/>
                <w:lang w:eastAsia="en-US"/>
              </w:rPr>
              <w:t>2. enlarged (apicobasal length 5 cm or greater)</w:t>
            </w:r>
          </w:p>
        </w:tc>
      </w:tr>
      <w:tr w:rsidR="00D67975" w14:paraId="10C9C9F5" w14:textId="77777777" w:rsidTr="00D67975">
        <w:tc>
          <w:tcPr>
            <w:tcW w:w="0" w:type="auto"/>
            <w:tcBorders>
              <w:top w:val="single" w:sz="4" w:space="0" w:color="auto"/>
              <w:left w:val="single" w:sz="4" w:space="0" w:color="auto"/>
              <w:bottom w:val="single" w:sz="4" w:space="0" w:color="auto"/>
              <w:right w:val="single" w:sz="4" w:space="0" w:color="auto"/>
            </w:tcBorders>
          </w:tcPr>
          <w:p w14:paraId="5F970151" w14:textId="179215B7" w:rsidR="00D67975" w:rsidRDefault="009E2821" w:rsidP="00D67975">
            <w:pPr>
              <w:rPr>
                <w:color w:val="000000"/>
                <w:sz w:val="20"/>
                <w:szCs w:val="20"/>
                <w:lang w:eastAsia="en-US"/>
              </w:rPr>
            </w:pPr>
            <w:r>
              <w:rPr>
                <w:color w:val="000000"/>
                <w:sz w:val="20"/>
                <w:szCs w:val="20"/>
                <w:lang w:eastAsia="en-US"/>
              </w:rPr>
              <w:t>299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1A64AE" w14:textId="77777777" w:rsidR="00D67975" w:rsidRDefault="00D67975" w:rsidP="00D67975">
            <w:pPr>
              <w:rPr>
                <w:b/>
                <w:color w:val="000000"/>
                <w:sz w:val="20"/>
                <w:szCs w:val="20"/>
                <w:lang w:eastAsia="en-US"/>
              </w:rPr>
            </w:pPr>
            <w:r>
              <w:rPr>
                <w:b/>
                <w:color w:val="000000"/>
                <w:sz w:val="20"/>
                <w:szCs w:val="20"/>
                <w:lang w:eastAsia="en-US"/>
              </w:rPr>
              <w:t>Anterior maxilla, mediolateral compression/crown cross section:</w:t>
            </w:r>
          </w:p>
          <w:p w14:paraId="72954265" w14:textId="4E354EE8" w:rsidR="00D67975" w:rsidRDefault="00D67975" w:rsidP="00D67975">
            <w:pPr>
              <w:autoSpaceDE w:val="0"/>
              <w:autoSpaceDN w:val="0"/>
              <w:adjustRightInd w:val="0"/>
              <w:rPr>
                <w:i/>
                <w:sz w:val="20"/>
                <w:szCs w:val="20"/>
                <w:lang w:eastAsia="en-US"/>
              </w:rPr>
            </w:pPr>
            <w:r>
              <w:rPr>
                <w:i/>
                <w:sz w:val="20"/>
                <w:szCs w:val="20"/>
                <w:lang w:eastAsia="en-US"/>
              </w:rPr>
              <w:t xml:space="preserve">Young (2006, ch. 30); Wilkinson et al. (2008, ch. 57); Young &amp; Andrade (2009, ch. 57); </w:t>
            </w:r>
            <w:r>
              <w:rPr>
                <w:bCs/>
                <w:i/>
                <w:color w:val="000000"/>
                <w:sz w:val="20"/>
                <w:szCs w:val="20"/>
                <w:lang w:eastAsia="en-US"/>
              </w:rPr>
              <w:t xml:space="preserve">Young et al. (2011, ch. 57); Young et al. (2013a, ch. 134 modified); </w:t>
            </w:r>
            <w:r>
              <w:rPr>
                <w:i/>
                <w:sz w:val="20"/>
                <w:szCs w:val="20"/>
                <w:lang w:eastAsia="en-US"/>
              </w:rPr>
              <w:t xml:space="preserve">Young et al. (2012, ch. 157); Young (2014, ch. 165); Young et al. (2016, ds 2, ch. 201); Ristevski et al. (2018, ds 2, ch. 264); Smith et al. (in review, ds 1, ch. 269); </w:t>
            </w:r>
            <w:r>
              <w:rPr>
                <w:i/>
                <w:sz w:val="20"/>
                <w:szCs w:val="20"/>
              </w:rPr>
              <w:t>Ősi et al. (in review, ds 1, ch. 296)</w:t>
            </w:r>
            <w:r>
              <w:rPr>
                <w:i/>
                <w:sz w:val="20"/>
                <w:szCs w:val="20"/>
                <w:lang w:eastAsia="en-US"/>
              </w:rPr>
              <w:t>.</w:t>
            </w:r>
          </w:p>
          <w:p w14:paraId="63211F11" w14:textId="77777777" w:rsidR="00D67975" w:rsidRDefault="00D67975" w:rsidP="00D67975">
            <w:pPr>
              <w:rPr>
                <w:color w:val="000000"/>
                <w:sz w:val="20"/>
                <w:szCs w:val="20"/>
                <w:lang w:eastAsia="en-US"/>
              </w:rPr>
            </w:pPr>
            <w:r>
              <w:rPr>
                <w:color w:val="000000"/>
                <w:sz w:val="20"/>
                <w:szCs w:val="20"/>
                <w:lang w:eastAsia="en-US"/>
              </w:rPr>
              <w:t>0. no mediolateral compression</w:t>
            </w:r>
          </w:p>
          <w:p w14:paraId="08B1AB1E" w14:textId="77777777" w:rsidR="00D67975" w:rsidRDefault="00D67975" w:rsidP="00D67975">
            <w:pPr>
              <w:rPr>
                <w:color w:val="000000"/>
                <w:sz w:val="20"/>
                <w:szCs w:val="20"/>
                <w:lang w:eastAsia="en-US"/>
              </w:rPr>
            </w:pPr>
            <w:r>
              <w:rPr>
                <w:color w:val="000000"/>
                <w:sz w:val="20"/>
                <w:szCs w:val="20"/>
                <w:lang w:eastAsia="en-US"/>
              </w:rPr>
              <w:t>1. weak mediolateral compression (crown midpoint labiolingual width 60–90% distal-medial width)</w:t>
            </w:r>
          </w:p>
          <w:p w14:paraId="22FE4C82" w14:textId="723951DA" w:rsidR="00D67975" w:rsidRDefault="00D67975" w:rsidP="00D67975">
            <w:pPr>
              <w:rPr>
                <w:color w:val="000000"/>
                <w:sz w:val="20"/>
                <w:szCs w:val="20"/>
                <w:lang w:eastAsia="en-US"/>
              </w:rPr>
            </w:pPr>
            <w:r>
              <w:rPr>
                <w:color w:val="000000"/>
                <w:sz w:val="20"/>
                <w:szCs w:val="20"/>
                <w:lang w:eastAsia="en-US"/>
              </w:rPr>
              <w:t>2. strong mediolateral compression (crown midpoint labiolingual width less than 60% distal-medial width)</w:t>
            </w:r>
          </w:p>
        </w:tc>
      </w:tr>
      <w:tr w:rsidR="00D67975" w14:paraId="117B6610" w14:textId="77777777" w:rsidTr="00D67975">
        <w:tc>
          <w:tcPr>
            <w:tcW w:w="0" w:type="auto"/>
            <w:tcBorders>
              <w:top w:val="single" w:sz="4" w:space="0" w:color="auto"/>
              <w:left w:val="single" w:sz="4" w:space="0" w:color="auto"/>
              <w:bottom w:val="single" w:sz="4" w:space="0" w:color="auto"/>
              <w:right w:val="single" w:sz="4" w:space="0" w:color="auto"/>
            </w:tcBorders>
          </w:tcPr>
          <w:p w14:paraId="28556E5C" w14:textId="239DE0EF" w:rsidR="00D67975" w:rsidRDefault="009E2821" w:rsidP="00D67975">
            <w:pPr>
              <w:rPr>
                <w:color w:val="000000"/>
                <w:sz w:val="20"/>
                <w:szCs w:val="20"/>
                <w:lang w:eastAsia="en-US"/>
              </w:rPr>
            </w:pPr>
            <w:r>
              <w:rPr>
                <w:color w:val="000000"/>
                <w:sz w:val="20"/>
                <w:szCs w:val="20"/>
                <w:lang w:eastAsia="en-US"/>
              </w:rPr>
              <w:t>300</w:t>
            </w:r>
          </w:p>
        </w:tc>
        <w:tc>
          <w:tcPr>
            <w:tcW w:w="0" w:type="auto"/>
            <w:tcBorders>
              <w:top w:val="single" w:sz="4" w:space="0" w:color="auto"/>
              <w:left w:val="single" w:sz="4" w:space="0" w:color="auto"/>
              <w:bottom w:val="single" w:sz="4" w:space="0" w:color="auto"/>
              <w:right w:val="single" w:sz="4" w:space="0" w:color="auto"/>
            </w:tcBorders>
            <w:vAlign w:val="bottom"/>
            <w:hideMark/>
          </w:tcPr>
          <w:p w14:paraId="7077754B" w14:textId="77777777" w:rsidR="00D67975" w:rsidRDefault="00D67975" w:rsidP="00D67975">
            <w:pPr>
              <w:rPr>
                <w:b/>
                <w:color w:val="000000"/>
                <w:sz w:val="20"/>
                <w:szCs w:val="20"/>
                <w:lang w:eastAsia="en-US"/>
              </w:rPr>
            </w:pPr>
            <w:r>
              <w:rPr>
                <w:b/>
                <w:color w:val="000000"/>
                <w:sz w:val="20"/>
                <w:szCs w:val="20"/>
                <w:lang w:eastAsia="en-US"/>
              </w:rPr>
              <w:t>Anterior maxilla, constriction at base of crowns:</w:t>
            </w:r>
          </w:p>
          <w:p w14:paraId="31DBAF17" w14:textId="42A3A47B" w:rsidR="00D67975" w:rsidRDefault="00D67975" w:rsidP="00D67975">
            <w:pPr>
              <w:autoSpaceDE w:val="0"/>
              <w:autoSpaceDN w:val="0"/>
              <w:adjustRightInd w:val="0"/>
              <w:rPr>
                <w:i/>
                <w:sz w:val="20"/>
                <w:szCs w:val="20"/>
                <w:lang w:eastAsia="en-US"/>
              </w:rPr>
            </w:pPr>
            <w:r>
              <w:rPr>
                <w:i/>
                <w:sz w:val="20"/>
                <w:szCs w:val="20"/>
                <w:lang w:eastAsia="en-US"/>
              </w:rPr>
              <w:t xml:space="preserve">Young (2006, ch. 32); Wilkinson et al. (2008, ch. 59); Young &amp; Andrade (2009, ch. 59); </w:t>
            </w:r>
            <w:r>
              <w:rPr>
                <w:bCs/>
                <w:i/>
                <w:color w:val="000000"/>
                <w:sz w:val="20"/>
                <w:szCs w:val="20"/>
                <w:lang w:eastAsia="en-US"/>
              </w:rPr>
              <w:t xml:space="preserve">Young et al. (2011, ch. 59); Young et al. (2013a, ch. 135); </w:t>
            </w:r>
            <w:r>
              <w:rPr>
                <w:i/>
                <w:sz w:val="20"/>
                <w:szCs w:val="20"/>
                <w:lang w:eastAsia="en-US"/>
              </w:rPr>
              <w:t xml:space="preserve">Young et al. (2012, ch. 159); Young (2014, ch. 167); Young et al. (2016, ch. 203); Ristevski et al. (2018, ds 2, ch. 266); Smith et al. (in review, ds 1, ch. 271); </w:t>
            </w:r>
            <w:r>
              <w:rPr>
                <w:i/>
                <w:sz w:val="20"/>
                <w:szCs w:val="20"/>
              </w:rPr>
              <w:t>Ősi et al. (in review, ds 1, ch. 297)</w:t>
            </w:r>
            <w:r>
              <w:rPr>
                <w:i/>
                <w:sz w:val="20"/>
                <w:szCs w:val="20"/>
                <w:lang w:eastAsia="en-US"/>
              </w:rPr>
              <w:t>.</w:t>
            </w:r>
          </w:p>
          <w:p w14:paraId="53D8CE1C" w14:textId="77777777" w:rsidR="00D67975" w:rsidRDefault="00D67975" w:rsidP="00D67975">
            <w:pPr>
              <w:rPr>
                <w:color w:val="000000"/>
                <w:sz w:val="20"/>
                <w:szCs w:val="20"/>
                <w:lang w:eastAsia="en-US"/>
              </w:rPr>
            </w:pPr>
            <w:r>
              <w:rPr>
                <w:color w:val="000000"/>
                <w:sz w:val="20"/>
                <w:szCs w:val="20"/>
                <w:lang w:eastAsia="en-US"/>
              </w:rPr>
              <w:t>0. absent</w:t>
            </w:r>
          </w:p>
          <w:p w14:paraId="3F67F053"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1966A8F8" w14:textId="77777777" w:rsidTr="00D67975">
        <w:tc>
          <w:tcPr>
            <w:tcW w:w="0" w:type="auto"/>
            <w:tcBorders>
              <w:top w:val="single" w:sz="4" w:space="0" w:color="auto"/>
              <w:left w:val="single" w:sz="4" w:space="0" w:color="auto"/>
              <w:bottom w:val="single" w:sz="4" w:space="0" w:color="auto"/>
              <w:right w:val="single" w:sz="4" w:space="0" w:color="auto"/>
            </w:tcBorders>
          </w:tcPr>
          <w:p w14:paraId="46073959" w14:textId="30A844D5" w:rsidR="00D67975" w:rsidRDefault="009E2821" w:rsidP="00D67975">
            <w:pPr>
              <w:rPr>
                <w:color w:val="000000"/>
                <w:sz w:val="20"/>
                <w:szCs w:val="20"/>
                <w:lang w:eastAsia="en-US"/>
              </w:rPr>
            </w:pPr>
            <w:r>
              <w:rPr>
                <w:color w:val="000000"/>
                <w:sz w:val="20"/>
                <w:szCs w:val="20"/>
                <w:lang w:eastAsia="en-US"/>
              </w:rPr>
              <w:t>301</w:t>
            </w:r>
          </w:p>
        </w:tc>
        <w:tc>
          <w:tcPr>
            <w:tcW w:w="0" w:type="auto"/>
            <w:tcBorders>
              <w:top w:val="single" w:sz="4" w:space="0" w:color="auto"/>
              <w:left w:val="single" w:sz="4" w:space="0" w:color="auto"/>
              <w:bottom w:val="single" w:sz="4" w:space="0" w:color="auto"/>
              <w:right w:val="single" w:sz="4" w:space="0" w:color="auto"/>
            </w:tcBorders>
            <w:vAlign w:val="bottom"/>
            <w:hideMark/>
          </w:tcPr>
          <w:p w14:paraId="1E2FD464" w14:textId="77777777" w:rsidR="00D67975" w:rsidRDefault="00D67975" w:rsidP="00D67975">
            <w:pPr>
              <w:rPr>
                <w:b/>
                <w:color w:val="000000"/>
                <w:sz w:val="20"/>
                <w:szCs w:val="20"/>
                <w:lang w:eastAsia="en-US"/>
              </w:rPr>
            </w:pPr>
            <w:r>
              <w:rPr>
                <w:b/>
                <w:color w:val="000000"/>
                <w:sz w:val="20"/>
                <w:szCs w:val="20"/>
                <w:lang w:eastAsia="en-US"/>
              </w:rPr>
              <w:t>Maxillary teeth, orientation of the anterior to mid-snout crowns:</w:t>
            </w:r>
          </w:p>
          <w:p w14:paraId="2BF3B7A0" w14:textId="0A6AAC3C"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123); </w:t>
            </w:r>
            <w:r>
              <w:rPr>
                <w:bCs/>
                <w:i/>
                <w:color w:val="000000"/>
                <w:sz w:val="20"/>
                <w:szCs w:val="20"/>
                <w:lang w:eastAsia="en-US"/>
              </w:rPr>
              <w:t xml:space="preserve">Young et al. (2011, ch. 123); Young et al. (2013a, ch. 136); </w:t>
            </w:r>
            <w:r>
              <w:rPr>
                <w:i/>
                <w:sz w:val="20"/>
                <w:szCs w:val="20"/>
                <w:lang w:eastAsia="en-US"/>
              </w:rPr>
              <w:t xml:space="preserve">Young et al. (2012, ch. 160); Young (2014, ch. 168); Young et al. (2016, ds 2, ch. 204); Ristevski et al. (2018, ds 2, ch. 267); Smith et al. (in review, ds 1, ch. 272); </w:t>
            </w:r>
            <w:r>
              <w:rPr>
                <w:i/>
                <w:sz w:val="20"/>
                <w:szCs w:val="20"/>
              </w:rPr>
              <w:t>Ősi et al. (in review, ds 1, ch. 298)</w:t>
            </w:r>
            <w:r>
              <w:rPr>
                <w:i/>
                <w:sz w:val="20"/>
                <w:szCs w:val="20"/>
                <w:lang w:eastAsia="en-US"/>
              </w:rPr>
              <w:t>.</w:t>
            </w:r>
          </w:p>
          <w:p w14:paraId="3FD850EA" w14:textId="77777777" w:rsidR="00D67975" w:rsidRDefault="00D67975" w:rsidP="00D67975">
            <w:pPr>
              <w:rPr>
                <w:color w:val="000000"/>
                <w:sz w:val="20"/>
                <w:szCs w:val="20"/>
                <w:lang w:eastAsia="en-US"/>
              </w:rPr>
            </w:pPr>
            <w:r>
              <w:rPr>
                <w:color w:val="000000"/>
                <w:sz w:val="20"/>
                <w:szCs w:val="20"/>
                <w:lang w:eastAsia="en-US"/>
              </w:rPr>
              <w:t>0. not procumbent</w:t>
            </w:r>
          </w:p>
          <w:p w14:paraId="68A4E80A" w14:textId="77777777" w:rsidR="00D67975" w:rsidRDefault="00D67975" w:rsidP="00D67975">
            <w:pPr>
              <w:rPr>
                <w:color w:val="000000"/>
                <w:sz w:val="20"/>
                <w:szCs w:val="20"/>
                <w:lang w:eastAsia="en-US"/>
              </w:rPr>
            </w:pPr>
            <w:r>
              <w:rPr>
                <w:color w:val="000000"/>
                <w:sz w:val="20"/>
                <w:szCs w:val="20"/>
                <w:lang w:eastAsia="en-US"/>
              </w:rPr>
              <w:t>1. procumbent</w:t>
            </w:r>
          </w:p>
        </w:tc>
      </w:tr>
      <w:tr w:rsidR="00D67975" w14:paraId="38BE23ED" w14:textId="77777777" w:rsidTr="00D67975">
        <w:tc>
          <w:tcPr>
            <w:tcW w:w="0" w:type="auto"/>
            <w:tcBorders>
              <w:top w:val="single" w:sz="4" w:space="0" w:color="auto"/>
              <w:left w:val="single" w:sz="4" w:space="0" w:color="auto"/>
              <w:bottom w:val="single" w:sz="4" w:space="0" w:color="auto"/>
              <w:right w:val="single" w:sz="4" w:space="0" w:color="auto"/>
            </w:tcBorders>
          </w:tcPr>
          <w:p w14:paraId="126CE3B3" w14:textId="656FBCF8" w:rsidR="00D67975" w:rsidRDefault="009E2821" w:rsidP="00D67975">
            <w:pPr>
              <w:rPr>
                <w:color w:val="000000"/>
                <w:sz w:val="20"/>
                <w:szCs w:val="20"/>
                <w:lang w:eastAsia="en-US"/>
              </w:rPr>
            </w:pPr>
            <w:r>
              <w:rPr>
                <w:color w:val="000000"/>
                <w:sz w:val="20"/>
                <w:szCs w:val="20"/>
                <w:lang w:eastAsia="en-US"/>
              </w:rPr>
              <w:t>302</w:t>
            </w:r>
          </w:p>
        </w:tc>
        <w:tc>
          <w:tcPr>
            <w:tcW w:w="0" w:type="auto"/>
            <w:tcBorders>
              <w:top w:val="single" w:sz="4" w:space="0" w:color="auto"/>
              <w:left w:val="single" w:sz="4" w:space="0" w:color="auto"/>
              <w:bottom w:val="single" w:sz="4" w:space="0" w:color="auto"/>
              <w:right w:val="single" w:sz="4" w:space="0" w:color="auto"/>
            </w:tcBorders>
            <w:vAlign w:val="bottom"/>
            <w:hideMark/>
          </w:tcPr>
          <w:p w14:paraId="766806F1" w14:textId="77777777" w:rsidR="00D67975" w:rsidRDefault="00D67975" w:rsidP="00D67975">
            <w:pPr>
              <w:rPr>
                <w:b/>
                <w:color w:val="000000"/>
                <w:sz w:val="20"/>
                <w:szCs w:val="20"/>
                <w:lang w:eastAsia="en-US"/>
              </w:rPr>
            </w:pPr>
            <w:r>
              <w:rPr>
                <w:b/>
                <w:color w:val="000000"/>
                <w:sz w:val="20"/>
                <w:szCs w:val="20"/>
                <w:lang w:eastAsia="en-US"/>
              </w:rPr>
              <w:t>Posterior maxilla, presence of enamel bands:</w:t>
            </w:r>
          </w:p>
          <w:p w14:paraId="0FDF3F3E" w14:textId="0E04D44B" w:rsidR="00D67975" w:rsidRDefault="00D67975" w:rsidP="00D67975">
            <w:pPr>
              <w:autoSpaceDE w:val="0"/>
              <w:autoSpaceDN w:val="0"/>
              <w:adjustRightInd w:val="0"/>
              <w:rPr>
                <w:i/>
                <w:sz w:val="20"/>
                <w:szCs w:val="20"/>
                <w:lang w:eastAsia="en-US"/>
              </w:rPr>
            </w:pPr>
            <w:r>
              <w:rPr>
                <w:bCs/>
                <w:i/>
                <w:sz w:val="20"/>
                <w:szCs w:val="20"/>
                <w:lang w:eastAsia="en-US"/>
              </w:rPr>
              <w:t xml:space="preserve">Gasparini </w:t>
            </w:r>
            <w:r>
              <w:rPr>
                <w:bCs/>
                <w:i/>
                <w:iCs/>
                <w:sz w:val="20"/>
                <w:szCs w:val="20"/>
                <w:lang w:eastAsia="en-US"/>
              </w:rPr>
              <w:t>et al. (</w:t>
            </w:r>
            <w:r>
              <w:rPr>
                <w:bCs/>
                <w:i/>
                <w:sz w:val="20"/>
                <w:szCs w:val="20"/>
                <w:lang w:eastAsia="en-US"/>
              </w:rPr>
              <w:t>2006, ch. 242);</w:t>
            </w:r>
            <w:r>
              <w:rPr>
                <w:b/>
                <w:bCs/>
                <w:sz w:val="20"/>
                <w:szCs w:val="20"/>
                <w:lang w:eastAsia="en-US"/>
              </w:rPr>
              <w:t xml:space="preserve"> </w:t>
            </w:r>
            <w:r>
              <w:rPr>
                <w:bCs/>
                <w:i/>
                <w:sz w:val="20"/>
                <w:lang w:eastAsia="en-US"/>
              </w:rPr>
              <w:t>Andrade et al. (2011, ch. 418);</w:t>
            </w:r>
            <w:r>
              <w:rPr>
                <w:i/>
                <w:sz w:val="20"/>
                <w:szCs w:val="20"/>
                <w:lang w:eastAsia="en-US"/>
              </w:rPr>
              <w:t xml:space="preserve"> </w:t>
            </w:r>
            <w:r>
              <w:rPr>
                <w:bCs/>
                <w:i/>
                <w:color w:val="000000"/>
                <w:sz w:val="20"/>
                <w:szCs w:val="20"/>
                <w:lang w:eastAsia="en-US"/>
              </w:rPr>
              <w:t xml:space="preserve">Young et al. (2011, ch. 167); Young et al. (2013a, ch. 137); </w:t>
            </w:r>
            <w:r>
              <w:rPr>
                <w:i/>
                <w:sz w:val="20"/>
                <w:szCs w:val="20"/>
                <w:lang w:eastAsia="en-US"/>
              </w:rPr>
              <w:t xml:space="preserve">Young et al. (2012, ch. 161); Young (2014, ch. 169); Young et al. (2016, ds 2, ch. </w:t>
            </w:r>
            <w:r>
              <w:rPr>
                <w:i/>
                <w:sz w:val="20"/>
                <w:szCs w:val="20"/>
                <w:lang w:eastAsia="en-US"/>
              </w:rPr>
              <w:lastRenderedPageBreak/>
              <w:t xml:space="preserve">205); Ristevski et al. (2018, ds 2, ch. 268); Smith et al. (in review, ds 1, ch. 273); </w:t>
            </w:r>
            <w:r>
              <w:rPr>
                <w:i/>
                <w:sz w:val="20"/>
                <w:szCs w:val="20"/>
              </w:rPr>
              <w:t>Ősi et al. (in review, ds 1, ch. 299)</w:t>
            </w:r>
            <w:r>
              <w:rPr>
                <w:i/>
                <w:sz w:val="20"/>
                <w:szCs w:val="20"/>
                <w:lang w:eastAsia="en-US"/>
              </w:rPr>
              <w:t>.</w:t>
            </w:r>
          </w:p>
          <w:p w14:paraId="0289F263" w14:textId="77777777" w:rsidR="00D67975" w:rsidRDefault="00D67975" w:rsidP="00D67975">
            <w:pPr>
              <w:autoSpaceDE w:val="0"/>
              <w:autoSpaceDN w:val="0"/>
              <w:adjustRightInd w:val="0"/>
              <w:rPr>
                <w:i/>
                <w:sz w:val="20"/>
                <w:szCs w:val="20"/>
                <w:lang w:eastAsia="en-US"/>
              </w:rPr>
            </w:pPr>
            <w:r>
              <w:rPr>
                <w:i/>
                <w:sz w:val="20"/>
                <w:szCs w:val="20"/>
                <w:lang w:eastAsia="en-US"/>
              </w:rPr>
              <w:t>‘Enamel bands’ follow the definition by Brusatte et al. (2007).</w:t>
            </w:r>
          </w:p>
          <w:p w14:paraId="012470AC" w14:textId="77777777" w:rsidR="00D67975" w:rsidRDefault="00D67975" w:rsidP="00D67975">
            <w:pPr>
              <w:rPr>
                <w:i/>
                <w:color w:val="000000"/>
                <w:sz w:val="20"/>
                <w:szCs w:val="20"/>
                <w:lang w:eastAsia="en-US"/>
              </w:rPr>
            </w:pPr>
            <w:r>
              <w:rPr>
                <w:i/>
                <w:color w:val="000000"/>
                <w:sz w:val="20"/>
                <w:szCs w:val="20"/>
                <w:lang w:eastAsia="en-US"/>
              </w:rPr>
              <w:t>Posterior maxilla = tooth crowns in the posterior half of the maxillary tooth row.</w:t>
            </w:r>
          </w:p>
          <w:p w14:paraId="6E032C82" w14:textId="77777777" w:rsidR="00D67975" w:rsidRDefault="00D67975" w:rsidP="00D67975">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 xml:space="preserve">Dakosaurus </w:t>
            </w:r>
            <w:r>
              <w:rPr>
                <w:i/>
                <w:color w:val="000000"/>
                <w:sz w:val="20"/>
                <w:szCs w:val="20"/>
                <w:lang w:eastAsia="en-US"/>
              </w:rPr>
              <w:t xml:space="preserve">and </w:t>
            </w:r>
            <w:r>
              <w:rPr>
                <w:color w:val="000000"/>
                <w:sz w:val="20"/>
                <w:szCs w:val="20"/>
                <w:lang w:eastAsia="en-US"/>
              </w:rPr>
              <w:t>Geosaurus</w:t>
            </w:r>
            <w:r>
              <w:rPr>
                <w:i/>
                <w:color w:val="000000"/>
                <w:sz w:val="20"/>
                <w:szCs w:val="20"/>
                <w:lang w:eastAsia="en-US"/>
              </w:rPr>
              <w:t>.</w:t>
            </w:r>
          </w:p>
          <w:p w14:paraId="0ACF66A5" w14:textId="77777777" w:rsidR="00D67975" w:rsidRDefault="00D67975" w:rsidP="00D67975">
            <w:pPr>
              <w:rPr>
                <w:color w:val="000000"/>
                <w:sz w:val="20"/>
                <w:szCs w:val="20"/>
                <w:lang w:eastAsia="en-US"/>
              </w:rPr>
            </w:pPr>
            <w:r>
              <w:rPr>
                <w:color w:val="000000"/>
                <w:sz w:val="20"/>
                <w:szCs w:val="20"/>
                <w:lang w:eastAsia="en-US"/>
              </w:rPr>
              <w:t>0. absent</w:t>
            </w:r>
          </w:p>
          <w:p w14:paraId="51A16C22"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694785DE" w14:textId="77777777" w:rsidTr="00D67975">
        <w:tc>
          <w:tcPr>
            <w:tcW w:w="0" w:type="auto"/>
            <w:tcBorders>
              <w:top w:val="single" w:sz="4" w:space="0" w:color="auto"/>
              <w:left w:val="single" w:sz="4" w:space="0" w:color="auto"/>
              <w:bottom w:val="single" w:sz="4" w:space="0" w:color="auto"/>
              <w:right w:val="single" w:sz="4" w:space="0" w:color="auto"/>
            </w:tcBorders>
          </w:tcPr>
          <w:p w14:paraId="71751130" w14:textId="45591D32" w:rsidR="00D67975" w:rsidRDefault="009E2821" w:rsidP="00D67975">
            <w:pPr>
              <w:rPr>
                <w:color w:val="000000"/>
                <w:sz w:val="20"/>
                <w:szCs w:val="20"/>
                <w:lang w:eastAsia="en-US"/>
              </w:rPr>
            </w:pPr>
            <w:r>
              <w:rPr>
                <w:color w:val="000000"/>
                <w:sz w:val="20"/>
                <w:szCs w:val="20"/>
                <w:lang w:eastAsia="en-US"/>
              </w:rPr>
              <w:lastRenderedPageBreak/>
              <w:t>303</w:t>
            </w:r>
          </w:p>
        </w:tc>
        <w:tc>
          <w:tcPr>
            <w:tcW w:w="0" w:type="auto"/>
            <w:tcBorders>
              <w:top w:val="single" w:sz="4" w:space="0" w:color="auto"/>
              <w:left w:val="single" w:sz="4" w:space="0" w:color="auto"/>
              <w:bottom w:val="single" w:sz="4" w:space="0" w:color="auto"/>
              <w:right w:val="single" w:sz="4" w:space="0" w:color="auto"/>
            </w:tcBorders>
            <w:vAlign w:val="bottom"/>
            <w:hideMark/>
          </w:tcPr>
          <w:p w14:paraId="33215354" w14:textId="77777777" w:rsidR="00D67975" w:rsidRDefault="00D67975" w:rsidP="00D67975">
            <w:pPr>
              <w:rPr>
                <w:i/>
                <w:color w:val="000000"/>
                <w:sz w:val="20"/>
                <w:szCs w:val="20"/>
                <w:lang w:eastAsia="en-US"/>
              </w:rPr>
            </w:pPr>
            <w:r>
              <w:rPr>
                <w:b/>
                <w:color w:val="000000"/>
                <w:sz w:val="20"/>
                <w:szCs w:val="20"/>
                <w:lang w:eastAsia="en-US"/>
              </w:rPr>
              <w:t xml:space="preserve"> Anterior maxilla, tooth crown tip:</w:t>
            </w:r>
          </w:p>
          <w:p w14:paraId="20867EC8" w14:textId="2845685B"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183); Young et al. (2013a, ch. 138); </w:t>
            </w:r>
            <w:r>
              <w:rPr>
                <w:i/>
                <w:sz w:val="20"/>
                <w:szCs w:val="20"/>
                <w:lang w:eastAsia="en-US"/>
              </w:rPr>
              <w:t xml:space="preserve">Young et al. (2012, ch. 162); Young (2014, ch. 170); Young et al. (2016, ds 2, ch. 206); Ristevski et al. (2018, ds 2, ch. 269); Smith et al. (in review, ds 1, ch. 274); </w:t>
            </w:r>
            <w:r>
              <w:rPr>
                <w:i/>
                <w:sz w:val="20"/>
                <w:szCs w:val="20"/>
              </w:rPr>
              <w:t>Ősi et al. (in review, ds 1, ch. 300)</w:t>
            </w:r>
            <w:r>
              <w:rPr>
                <w:i/>
                <w:sz w:val="20"/>
                <w:szCs w:val="20"/>
                <w:lang w:eastAsia="en-US"/>
              </w:rPr>
              <w:t>.</w:t>
            </w:r>
          </w:p>
          <w:p w14:paraId="62BA7A26" w14:textId="77777777" w:rsidR="00D67975" w:rsidRDefault="00D67975" w:rsidP="00D67975">
            <w:pPr>
              <w:rPr>
                <w:color w:val="000000"/>
                <w:sz w:val="20"/>
                <w:szCs w:val="20"/>
                <w:lang w:eastAsia="en-US"/>
              </w:rPr>
            </w:pPr>
            <w:r>
              <w:rPr>
                <w:color w:val="000000"/>
                <w:sz w:val="20"/>
                <w:szCs w:val="20"/>
                <w:lang w:eastAsia="en-US"/>
              </w:rPr>
              <w:t xml:space="preserve">0. sharp or worn apex </w:t>
            </w:r>
          </w:p>
          <w:p w14:paraId="26ECE630" w14:textId="77777777" w:rsidR="00D67975" w:rsidRDefault="00D67975" w:rsidP="00D67975">
            <w:pPr>
              <w:rPr>
                <w:color w:val="000000"/>
                <w:sz w:val="20"/>
                <w:szCs w:val="20"/>
                <w:lang w:eastAsia="en-US"/>
              </w:rPr>
            </w:pPr>
            <w:r>
              <w:rPr>
                <w:color w:val="000000"/>
                <w:sz w:val="20"/>
                <w:szCs w:val="20"/>
                <w:lang w:eastAsia="en-US"/>
              </w:rPr>
              <w:t>1. blunt and rounded at the tips</w:t>
            </w:r>
          </w:p>
        </w:tc>
      </w:tr>
      <w:tr w:rsidR="00D67975" w14:paraId="340264E3" w14:textId="77777777" w:rsidTr="00D67975">
        <w:tc>
          <w:tcPr>
            <w:tcW w:w="0" w:type="auto"/>
            <w:tcBorders>
              <w:top w:val="single" w:sz="4" w:space="0" w:color="auto"/>
              <w:left w:val="single" w:sz="4" w:space="0" w:color="auto"/>
              <w:bottom w:val="single" w:sz="4" w:space="0" w:color="auto"/>
              <w:right w:val="single" w:sz="4" w:space="0" w:color="auto"/>
            </w:tcBorders>
          </w:tcPr>
          <w:p w14:paraId="77E78BF5" w14:textId="64A743E6" w:rsidR="00D67975" w:rsidRDefault="009E2821" w:rsidP="00D67975">
            <w:pPr>
              <w:rPr>
                <w:color w:val="000000"/>
                <w:sz w:val="20"/>
                <w:szCs w:val="20"/>
                <w:lang w:eastAsia="en-US"/>
              </w:rPr>
            </w:pPr>
            <w:r>
              <w:rPr>
                <w:color w:val="000000"/>
                <w:sz w:val="20"/>
                <w:szCs w:val="20"/>
                <w:lang w:eastAsia="en-US"/>
              </w:rPr>
              <w:t>304</w:t>
            </w:r>
          </w:p>
        </w:tc>
        <w:tc>
          <w:tcPr>
            <w:tcW w:w="0" w:type="auto"/>
            <w:tcBorders>
              <w:top w:val="single" w:sz="4" w:space="0" w:color="auto"/>
              <w:left w:val="single" w:sz="4" w:space="0" w:color="auto"/>
              <w:bottom w:val="single" w:sz="4" w:space="0" w:color="auto"/>
              <w:right w:val="single" w:sz="4" w:space="0" w:color="auto"/>
            </w:tcBorders>
            <w:vAlign w:val="bottom"/>
            <w:hideMark/>
          </w:tcPr>
          <w:p w14:paraId="08F12EF1" w14:textId="77777777" w:rsidR="00D67975" w:rsidRDefault="00D67975" w:rsidP="00D67975">
            <w:pPr>
              <w:autoSpaceDE w:val="0"/>
              <w:autoSpaceDN w:val="0"/>
              <w:adjustRightInd w:val="0"/>
              <w:rPr>
                <w:b/>
                <w:bCs/>
                <w:sz w:val="20"/>
                <w:szCs w:val="20"/>
                <w:lang w:eastAsia="en-US"/>
              </w:rPr>
            </w:pPr>
            <w:r>
              <w:rPr>
                <w:b/>
                <w:bCs/>
                <w:sz w:val="20"/>
                <w:szCs w:val="20"/>
                <w:lang w:eastAsia="en-US"/>
              </w:rPr>
              <w:t>Dentary tooth opposite to premaxilla-maxilla contact, isometry:</w:t>
            </w:r>
          </w:p>
          <w:p w14:paraId="27A28D9F" w14:textId="280288BA" w:rsidR="00D67975" w:rsidRDefault="00D67975" w:rsidP="00D67975">
            <w:pPr>
              <w:autoSpaceDE w:val="0"/>
              <w:autoSpaceDN w:val="0"/>
              <w:adjustRightInd w:val="0"/>
              <w:rPr>
                <w:i/>
                <w:iCs/>
                <w:sz w:val="20"/>
                <w:szCs w:val="20"/>
                <w:lang w:eastAsia="en-US"/>
              </w:rPr>
            </w:pPr>
            <w:r>
              <w:rPr>
                <w:i/>
                <w:iCs/>
                <w:sz w:val="20"/>
                <w:szCs w:val="20"/>
                <w:lang w:eastAsia="en-US"/>
              </w:rPr>
              <w:t xml:space="preserve">based on Clark (1994, ch. 80); </w:t>
            </w:r>
            <w:r>
              <w:rPr>
                <w:i/>
                <w:sz w:val="20"/>
                <w:szCs w:val="20"/>
                <w:lang w:eastAsia="en-US"/>
              </w:rPr>
              <w:t xml:space="preserve">Wilkinson et al. (2008, ch. 60); Young &amp; Andrade (2009, ch. 60); </w:t>
            </w:r>
            <w:r>
              <w:rPr>
                <w:bCs/>
                <w:i/>
                <w:sz w:val="20"/>
                <w:lang w:eastAsia="en-US"/>
              </w:rPr>
              <w:t>Andrade et al. (2011, ch. 408);</w:t>
            </w:r>
            <w:r>
              <w:rPr>
                <w:i/>
                <w:sz w:val="20"/>
                <w:szCs w:val="20"/>
                <w:lang w:eastAsia="en-US"/>
              </w:rPr>
              <w:t xml:space="preserve"> </w:t>
            </w:r>
            <w:r>
              <w:rPr>
                <w:bCs/>
                <w:i/>
                <w:color w:val="000000"/>
                <w:sz w:val="20"/>
                <w:szCs w:val="20"/>
                <w:lang w:eastAsia="en-US"/>
              </w:rPr>
              <w:t xml:space="preserve">Young et al. (2011, ch. 60); Young et al. (2013a, ch. 139); </w:t>
            </w:r>
            <w:r>
              <w:rPr>
                <w:i/>
                <w:sz w:val="20"/>
                <w:szCs w:val="20"/>
                <w:lang w:eastAsia="en-US"/>
              </w:rPr>
              <w:t xml:space="preserve">Young et al. (2012, ch. 163); Young (2014, ch. 171); Young et al. (2016, ds 2, ch. 207); Ristevski et al. (2018, ds 1, ch. 408); Smith et al. (in review, ds 2, ch. 408); </w:t>
            </w:r>
            <w:r>
              <w:rPr>
                <w:i/>
                <w:sz w:val="20"/>
                <w:szCs w:val="20"/>
              </w:rPr>
              <w:t>Ősi et al. (in review, ds 1, ch. 301)</w:t>
            </w:r>
            <w:r>
              <w:rPr>
                <w:bCs/>
                <w:i/>
                <w:sz w:val="20"/>
                <w:lang w:eastAsia="en-US"/>
              </w:rPr>
              <w:t>.</w:t>
            </w:r>
          </w:p>
          <w:p w14:paraId="221FDDD6" w14:textId="77777777" w:rsidR="00D67975" w:rsidRDefault="00D67975" w:rsidP="00D67975">
            <w:pPr>
              <w:autoSpaceDE w:val="0"/>
              <w:autoSpaceDN w:val="0"/>
              <w:adjustRightInd w:val="0"/>
              <w:rPr>
                <w:i/>
                <w:iCs/>
                <w:sz w:val="20"/>
                <w:szCs w:val="20"/>
                <w:lang w:eastAsia="en-US"/>
              </w:rPr>
            </w:pPr>
            <w:r>
              <w:rPr>
                <w:i/>
                <w:iCs/>
                <w:sz w:val="20"/>
                <w:szCs w:val="20"/>
                <w:lang w:eastAsia="en-US"/>
              </w:rPr>
              <w:t>Alveolar size may be used as a reasonable proxy for crown size, when teeth are not preserved.</w:t>
            </w:r>
          </w:p>
          <w:p w14:paraId="3B8E22C0" w14:textId="77777777" w:rsidR="00D67975" w:rsidRDefault="00D67975" w:rsidP="00D67975">
            <w:pPr>
              <w:autoSpaceDE w:val="0"/>
              <w:autoSpaceDN w:val="0"/>
              <w:adjustRightInd w:val="0"/>
              <w:rPr>
                <w:sz w:val="20"/>
                <w:szCs w:val="20"/>
                <w:lang w:eastAsia="en-US"/>
              </w:rPr>
            </w:pPr>
            <w:r>
              <w:rPr>
                <w:sz w:val="20"/>
                <w:szCs w:val="20"/>
                <w:lang w:eastAsia="en-US"/>
              </w:rPr>
              <w:t>0. subequal to other neighbouring teeth</w:t>
            </w:r>
          </w:p>
          <w:p w14:paraId="56D7E894" w14:textId="77777777" w:rsidR="00D67975" w:rsidRDefault="00D67975" w:rsidP="00D67975">
            <w:pPr>
              <w:rPr>
                <w:b/>
                <w:color w:val="000000"/>
                <w:sz w:val="20"/>
                <w:szCs w:val="20"/>
                <w:lang w:eastAsia="en-US"/>
              </w:rPr>
            </w:pPr>
            <w:r>
              <w:rPr>
                <w:sz w:val="20"/>
                <w:szCs w:val="20"/>
                <w:lang w:eastAsia="en-US"/>
              </w:rPr>
              <w:t>1. tooth is at least evidently enlarged, anisometric relative to other neighbouring teeth</w:t>
            </w:r>
          </w:p>
        </w:tc>
      </w:tr>
      <w:tr w:rsidR="00D67975" w14:paraId="3A95605C" w14:textId="77777777" w:rsidTr="00D67975">
        <w:tc>
          <w:tcPr>
            <w:tcW w:w="0" w:type="auto"/>
            <w:tcBorders>
              <w:top w:val="single" w:sz="4" w:space="0" w:color="auto"/>
              <w:left w:val="single" w:sz="4" w:space="0" w:color="auto"/>
              <w:bottom w:val="single" w:sz="4" w:space="0" w:color="auto"/>
              <w:right w:val="single" w:sz="4" w:space="0" w:color="auto"/>
            </w:tcBorders>
          </w:tcPr>
          <w:p w14:paraId="5AE51A40" w14:textId="77420175" w:rsidR="00D67975" w:rsidRDefault="009E2821" w:rsidP="00D67975">
            <w:pPr>
              <w:rPr>
                <w:color w:val="000000"/>
                <w:sz w:val="20"/>
                <w:szCs w:val="20"/>
                <w:lang w:eastAsia="en-US"/>
              </w:rPr>
            </w:pPr>
            <w:r>
              <w:rPr>
                <w:color w:val="000000"/>
                <w:sz w:val="20"/>
                <w:szCs w:val="20"/>
                <w:lang w:eastAsia="en-US"/>
              </w:rPr>
              <w:t>305</w:t>
            </w:r>
          </w:p>
        </w:tc>
        <w:tc>
          <w:tcPr>
            <w:tcW w:w="0" w:type="auto"/>
            <w:tcBorders>
              <w:top w:val="single" w:sz="4" w:space="0" w:color="auto"/>
              <w:left w:val="single" w:sz="4" w:space="0" w:color="auto"/>
              <w:bottom w:val="single" w:sz="4" w:space="0" w:color="auto"/>
              <w:right w:val="single" w:sz="4" w:space="0" w:color="auto"/>
            </w:tcBorders>
            <w:hideMark/>
          </w:tcPr>
          <w:p w14:paraId="222CF586" w14:textId="77777777" w:rsidR="00D67975" w:rsidRDefault="00D67975" w:rsidP="00D67975">
            <w:pPr>
              <w:autoSpaceDE w:val="0"/>
              <w:autoSpaceDN w:val="0"/>
              <w:adjustRightInd w:val="0"/>
              <w:rPr>
                <w:b/>
                <w:bCs/>
                <w:sz w:val="20"/>
                <w:szCs w:val="20"/>
                <w:lang w:eastAsia="en-US"/>
              </w:rPr>
            </w:pPr>
            <w:r>
              <w:rPr>
                <w:b/>
                <w:bCs/>
                <w:sz w:val="20"/>
                <w:szCs w:val="20"/>
                <w:lang w:eastAsia="en-US"/>
              </w:rPr>
              <w:t>Dentary tooth opposite to premaxilla-maxilla contact, length:</w:t>
            </w:r>
          </w:p>
          <w:p w14:paraId="31D3DB37" w14:textId="5BEFA5BD" w:rsidR="00D67975" w:rsidRDefault="00D67975" w:rsidP="00D67975">
            <w:pPr>
              <w:autoSpaceDE w:val="0"/>
              <w:autoSpaceDN w:val="0"/>
              <w:adjustRightInd w:val="0"/>
              <w:rPr>
                <w:b/>
                <w:bCs/>
                <w:sz w:val="20"/>
                <w:szCs w:val="20"/>
                <w:lang w:eastAsia="en-US"/>
              </w:rPr>
            </w:pPr>
            <w:r>
              <w:rPr>
                <w:bCs/>
                <w:i/>
                <w:sz w:val="20"/>
                <w:szCs w:val="20"/>
                <w:lang w:eastAsia="en-US"/>
              </w:rPr>
              <w:t xml:space="preserve">Clark (1994, ch. 80); Sereno </w:t>
            </w:r>
            <w:r>
              <w:rPr>
                <w:bCs/>
                <w:i/>
                <w:iCs/>
                <w:sz w:val="20"/>
                <w:szCs w:val="20"/>
                <w:lang w:eastAsia="en-US"/>
              </w:rPr>
              <w:t>et al. (</w:t>
            </w:r>
            <w:r>
              <w:rPr>
                <w:bCs/>
                <w:i/>
                <w:sz w:val="20"/>
                <w:szCs w:val="20"/>
                <w:lang w:eastAsia="en-US"/>
              </w:rPr>
              <w:t>2003, ch. 54); Andrade &amp; Bertini (2008a, ch. 142);</w:t>
            </w:r>
            <w:r>
              <w:rPr>
                <w:b/>
                <w:bCs/>
                <w:sz w:val="20"/>
                <w:szCs w:val="20"/>
                <w:lang w:eastAsia="en-US"/>
              </w:rPr>
              <w:t xml:space="preserve"> </w:t>
            </w:r>
            <w:r>
              <w:rPr>
                <w:bCs/>
                <w:i/>
                <w:sz w:val="20"/>
                <w:lang w:eastAsia="en-US"/>
              </w:rPr>
              <w:t>Andrade et al. (2011, ch. 409);</w:t>
            </w:r>
            <w:r>
              <w:rPr>
                <w:i/>
                <w:sz w:val="20"/>
                <w:szCs w:val="20"/>
                <w:lang w:eastAsia="en-US"/>
              </w:rPr>
              <w:t xml:space="preserve"> Ristevski et al. (2018, ds 1, ch. 409); Smith et al. (in review, ds 2, ch. 409); </w:t>
            </w:r>
            <w:r>
              <w:rPr>
                <w:i/>
                <w:sz w:val="20"/>
                <w:szCs w:val="20"/>
              </w:rPr>
              <w:t>Ősi et al. (in review, ds 1, ch. 302)</w:t>
            </w:r>
            <w:r>
              <w:rPr>
                <w:bCs/>
                <w:i/>
                <w:sz w:val="20"/>
                <w:lang w:eastAsia="en-US"/>
              </w:rPr>
              <w:t>.</w:t>
            </w:r>
          </w:p>
          <w:p w14:paraId="278D960A" w14:textId="77777777" w:rsidR="00D67975" w:rsidRDefault="00D67975" w:rsidP="00D67975">
            <w:pPr>
              <w:autoSpaceDE w:val="0"/>
              <w:autoSpaceDN w:val="0"/>
              <w:adjustRightInd w:val="0"/>
              <w:rPr>
                <w:i/>
                <w:iCs/>
                <w:sz w:val="20"/>
                <w:szCs w:val="20"/>
                <w:lang w:eastAsia="en-US"/>
              </w:rPr>
            </w:pPr>
            <w:r>
              <w:rPr>
                <w:i/>
                <w:iCs/>
                <w:sz w:val="20"/>
                <w:szCs w:val="20"/>
                <w:lang w:eastAsia="en-US"/>
              </w:rPr>
              <w:t>Alveolar size may be used as a reasonable proxy for crown size, when teeth are not preserved.</w:t>
            </w:r>
          </w:p>
          <w:p w14:paraId="7DC1B4ED" w14:textId="77777777" w:rsidR="00D67975" w:rsidRDefault="00D67975" w:rsidP="00D67975">
            <w:pPr>
              <w:autoSpaceDE w:val="0"/>
              <w:autoSpaceDN w:val="0"/>
              <w:adjustRightInd w:val="0"/>
              <w:rPr>
                <w:sz w:val="20"/>
                <w:szCs w:val="20"/>
                <w:lang w:eastAsia="en-US"/>
              </w:rPr>
            </w:pPr>
            <w:r>
              <w:rPr>
                <w:sz w:val="20"/>
                <w:szCs w:val="20"/>
                <w:lang w:eastAsia="en-US"/>
              </w:rPr>
              <w:t>0. small to medium sized, but length is no more than twice the length of other neighbouring teeth</w:t>
            </w:r>
          </w:p>
          <w:p w14:paraId="0B46EA40" w14:textId="77777777" w:rsidR="00D67975" w:rsidRDefault="00D67975" w:rsidP="00D67975">
            <w:pPr>
              <w:rPr>
                <w:b/>
                <w:color w:val="000000"/>
                <w:sz w:val="20"/>
                <w:szCs w:val="20"/>
                <w:lang w:eastAsia="en-US"/>
              </w:rPr>
            </w:pPr>
            <w:r>
              <w:rPr>
                <w:sz w:val="20"/>
                <w:szCs w:val="20"/>
                <w:lang w:eastAsia="en-US"/>
              </w:rPr>
              <w:t>1. hypertrophied, at least twice longer than neighboring teeth</w:t>
            </w:r>
          </w:p>
        </w:tc>
      </w:tr>
      <w:tr w:rsidR="00D67975" w14:paraId="63B674A2" w14:textId="77777777" w:rsidTr="00D67975">
        <w:tc>
          <w:tcPr>
            <w:tcW w:w="0" w:type="auto"/>
            <w:tcBorders>
              <w:top w:val="single" w:sz="4" w:space="0" w:color="auto"/>
              <w:left w:val="single" w:sz="4" w:space="0" w:color="auto"/>
              <w:bottom w:val="single" w:sz="4" w:space="0" w:color="auto"/>
              <w:right w:val="single" w:sz="4" w:space="0" w:color="auto"/>
            </w:tcBorders>
          </w:tcPr>
          <w:p w14:paraId="0F9E6B5D" w14:textId="13001FF9" w:rsidR="00D67975" w:rsidRDefault="009E2821" w:rsidP="00D67975">
            <w:pPr>
              <w:rPr>
                <w:color w:val="000000"/>
                <w:sz w:val="20"/>
                <w:szCs w:val="20"/>
                <w:lang w:eastAsia="en-US"/>
              </w:rPr>
            </w:pPr>
            <w:r>
              <w:rPr>
                <w:color w:val="000000"/>
                <w:sz w:val="20"/>
                <w:szCs w:val="20"/>
                <w:lang w:eastAsia="en-US"/>
              </w:rPr>
              <w:t>306</w:t>
            </w:r>
          </w:p>
        </w:tc>
        <w:tc>
          <w:tcPr>
            <w:tcW w:w="0" w:type="auto"/>
            <w:tcBorders>
              <w:top w:val="single" w:sz="4" w:space="0" w:color="auto"/>
              <w:left w:val="single" w:sz="4" w:space="0" w:color="auto"/>
              <w:bottom w:val="single" w:sz="4" w:space="0" w:color="auto"/>
              <w:right w:val="single" w:sz="4" w:space="0" w:color="auto"/>
            </w:tcBorders>
            <w:hideMark/>
          </w:tcPr>
          <w:p w14:paraId="4B897C44" w14:textId="77777777" w:rsidR="00D67975" w:rsidRDefault="00D67975" w:rsidP="00D67975">
            <w:pPr>
              <w:autoSpaceDE w:val="0"/>
              <w:autoSpaceDN w:val="0"/>
              <w:adjustRightInd w:val="0"/>
              <w:rPr>
                <w:b/>
                <w:bCs/>
                <w:sz w:val="20"/>
                <w:szCs w:val="20"/>
                <w:lang w:eastAsia="en-US"/>
              </w:rPr>
            </w:pPr>
            <w:r>
              <w:rPr>
                <w:b/>
                <w:bCs/>
                <w:sz w:val="20"/>
                <w:szCs w:val="20"/>
                <w:lang w:eastAsia="en-US"/>
              </w:rPr>
              <w:t>Dentary tooth opposite to premaxillary-maxillary suture, occlusion:</w:t>
            </w:r>
          </w:p>
          <w:p w14:paraId="7471205B" w14:textId="393DDBE0" w:rsidR="00D67975" w:rsidRDefault="00D67975" w:rsidP="00D67975">
            <w:pPr>
              <w:autoSpaceDE w:val="0"/>
              <w:autoSpaceDN w:val="0"/>
              <w:adjustRightInd w:val="0"/>
              <w:rPr>
                <w:b/>
                <w:bCs/>
                <w:sz w:val="20"/>
                <w:szCs w:val="20"/>
                <w:lang w:eastAsia="en-US"/>
              </w:rPr>
            </w:pPr>
            <w:r>
              <w:rPr>
                <w:bCs/>
                <w:i/>
                <w:sz w:val="20"/>
                <w:szCs w:val="20"/>
                <w:lang w:eastAsia="en-US"/>
              </w:rPr>
              <w:t>Norell (1988, ch. 29); Brochu (1999, ch. 77 modified);</w:t>
            </w:r>
            <w:r>
              <w:rPr>
                <w:b/>
                <w:bCs/>
                <w:sz w:val="20"/>
                <w:szCs w:val="20"/>
                <w:lang w:eastAsia="en-US"/>
              </w:rPr>
              <w:t xml:space="preserve"> </w:t>
            </w:r>
            <w:r>
              <w:rPr>
                <w:bCs/>
                <w:i/>
                <w:sz w:val="20"/>
                <w:lang w:eastAsia="en-US"/>
              </w:rPr>
              <w:t>Andrade et al. (2011, ch. 410);</w:t>
            </w:r>
            <w:r>
              <w:rPr>
                <w:i/>
                <w:sz w:val="20"/>
                <w:szCs w:val="20"/>
                <w:lang w:eastAsia="en-US"/>
              </w:rPr>
              <w:t xml:space="preserve"> Ristevski et al. (2018, ds 1, ch. 410); Smith et al. (in review, ds 2, ch. 410); </w:t>
            </w:r>
            <w:r>
              <w:rPr>
                <w:i/>
                <w:sz w:val="20"/>
                <w:szCs w:val="20"/>
              </w:rPr>
              <w:t>Ősi et al. (in review, ds 1, ch. 303)</w:t>
            </w:r>
            <w:r>
              <w:rPr>
                <w:bCs/>
                <w:i/>
                <w:sz w:val="20"/>
                <w:lang w:eastAsia="en-US"/>
              </w:rPr>
              <w:t>.</w:t>
            </w:r>
          </w:p>
          <w:p w14:paraId="32F3333A" w14:textId="77777777" w:rsidR="00D67975" w:rsidRDefault="00D67975" w:rsidP="00D67975">
            <w:pPr>
              <w:autoSpaceDE w:val="0"/>
              <w:autoSpaceDN w:val="0"/>
              <w:adjustRightInd w:val="0"/>
              <w:rPr>
                <w:i/>
                <w:iCs/>
                <w:sz w:val="20"/>
                <w:szCs w:val="20"/>
                <w:lang w:eastAsia="en-US"/>
              </w:rPr>
            </w:pPr>
            <w:r>
              <w:rPr>
                <w:i/>
                <w:iCs/>
                <w:sz w:val="20"/>
                <w:szCs w:val="20"/>
                <w:lang w:eastAsia="en-US"/>
              </w:rPr>
              <w:t>The series cannot be ordered, as a transition between states (0) - (2) is possible without intermediate steps.</w:t>
            </w:r>
          </w:p>
          <w:p w14:paraId="37010EC3" w14:textId="77777777" w:rsidR="00D67975" w:rsidRDefault="00D67975" w:rsidP="00D67975">
            <w:pPr>
              <w:autoSpaceDE w:val="0"/>
              <w:autoSpaceDN w:val="0"/>
              <w:adjustRightInd w:val="0"/>
              <w:rPr>
                <w:sz w:val="20"/>
                <w:szCs w:val="20"/>
                <w:lang w:eastAsia="en-US"/>
              </w:rPr>
            </w:pPr>
            <w:r>
              <w:rPr>
                <w:sz w:val="20"/>
                <w:szCs w:val="20"/>
                <w:lang w:eastAsia="en-US"/>
              </w:rPr>
              <w:t>0. occludes either in notch at premaxilla and maxilla early in ontogeny, or lateral to premaxilla-maxilla suture, when the notch is absent or poorly defined</w:t>
            </w:r>
          </w:p>
          <w:p w14:paraId="3EA02EC0" w14:textId="77777777" w:rsidR="00D67975" w:rsidRDefault="00D67975" w:rsidP="00D67975">
            <w:pPr>
              <w:autoSpaceDE w:val="0"/>
              <w:autoSpaceDN w:val="0"/>
              <w:adjustRightInd w:val="0"/>
              <w:rPr>
                <w:sz w:val="20"/>
                <w:szCs w:val="20"/>
                <w:lang w:eastAsia="en-US"/>
              </w:rPr>
            </w:pPr>
            <w:r>
              <w:rPr>
                <w:sz w:val="20"/>
                <w:szCs w:val="20"/>
                <w:lang w:eastAsia="en-US"/>
              </w:rPr>
              <w:t>1. occludes in a pit between premaxilla and maxilla; no notch early in ontogeny</w:t>
            </w:r>
          </w:p>
          <w:p w14:paraId="222E4269" w14:textId="77777777" w:rsidR="00D67975" w:rsidRDefault="00D67975" w:rsidP="00D67975">
            <w:pPr>
              <w:rPr>
                <w:b/>
                <w:color w:val="000000"/>
                <w:sz w:val="20"/>
                <w:szCs w:val="20"/>
                <w:lang w:eastAsia="en-US"/>
              </w:rPr>
            </w:pPr>
            <w:r>
              <w:rPr>
                <w:sz w:val="20"/>
                <w:szCs w:val="20"/>
                <w:lang w:eastAsia="en-US"/>
              </w:rPr>
              <w:t>2. occludes medial to premaxilla-maxilla suture, but not in a pit or a notch</w:t>
            </w:r>
          </w:p>
        </w:tc>
      </w:tr>
      <w:tr w:rsidR="00D67975" w14:paraId="29DD65F9" w14:textId="77777777" w:rsidTr="00D67975">
        <w:tc>
          <w:tcPr>
            <w:tcW w:w="0" w:type="auto"/>
            <w:tcBorders>
              <w:top w:val="single" w:sz="4" w:space="0" w:color="auto"/>
              <w:left w:val="single" w:sz="4" w:space="0" w:color="auto"/>
              <w:bottom w:val="single" w:sz="4" w:space="0" w:color="auto"/>
              <w:right w:val="single" w:sz="4" w:space="0" w:color="auto"/>
            </w:tcBorders>
          </w:tcPr>
          <w:p w14:paraId="69A5576C" w14:textId="4B7C80AE" w:rsidR="00D67975" w:rsidRDefault="009E2821" w:rsidP="00D67975">
            <w:pPr>
              <w:rPr>
                <w:color w:val="000000"/>
                <w:sz w:val="20"/>
                <w:szCs w:val="20"/>
                <w:lang w:eastAsia="en-US"/>
              </w:rPr>
            </w:pPr>
            <w:r>
              <w:rPr>
                <w:color w:val="000000"/>
                <w:sz w:val="20"/>
                <w:szCs w:val="20"/>
                <w:lang w:eastAsia="en-US"/>
              </w:rPr>
              <w:t>307</w:t>
            </w:r>
          </w:p>
        </w:tc>
        <w:tc>
          <w:tcPr>
            <w:tcW w:w="0" w:type="auto"/>
            <w:tcBorders>
              <w:top w:val="single" w:sz="4" w:space="0" w:color="auto"/>
              <w:left w:val="single" w:sz="4" w:space="0" w:color="auto"/>
              <w:bottom w:val="single" w:sz="4" w:space="0" w:color="auto"/>
              <w:right w:val="single" w:sz="4" w:space="0" w:color="auto"/>
            </w:tcBorders>
            <w:hideMark/>
          </w:tcPr>
          <w:p w14:paraId="0717ABA5" w14:textId="77777777" w:rsidR="00D67975" w:rsidRDefault="00D67975" w:rsidP="00D67975">
            <w:pPr>
              <w:autoSpaceDE w:val="0"/>
              <w:autoSpaceDN w:val="0"/>
              <w:adjustRightInd w:val="0"/>
              <w:rPr>
                <w:b/>
                <w:bCs/>
                <w:sz w:val="20"/>
                <w:szCs w:val="20"/>
                <w:lang w:eastAsia="en-US"/>
              </w:rPr>
            </w:pPr>
            <w:r>
              <w:rPr>
                <w:b/>
                <w:bCs/>
                <w:sz w:val="20"/>
                <w:szCs w:val="20"/>
                <w:lang w:eastAsia="en-US"/>
              </w:rPr>
              <w:t>Dentary tooth occluding against premaxillary-maxillary suture:</w:t>
            </w:r>
          </w:p>
          <w:p w14:paraId="32209183" w14:textId="7FC9AD3D" w:rsidR="00D67975" w:rsidRDefault="00D67975" w:rsidP="00D67975">
            <w:pPr>
              <w:autoSpaceDE w:val="0"/>
              <w:autoSpaceDN w:val="0"/>
              <w:adjustRightInd w:val="0"/>
              <w:rPr>
                <w:i/>
                <w:iCs/>
                <w:sz w:val="20"/>
                <w:szCs w:val="20"/>
                <w:lang w:eastAsia="en-US"/>
              </w:rPr>
            </w:pPr>
            <w:r>
              <w:rPr>
                <w:i/>
                <w:iCs/>
                <w:sz w:val="20"/>
                <w:szCs w:val="20"/>
                <w:lang w:eastAsia="en-US"/>
              </w:rPr>
              <w:t xml:space="preserve">based on Norell (1988, ch. 29) and Clark (1994, ch. 80) and Brochu (1999, ch. 77); </w:t>
            </w:r>
            <w:r>
              <w:rPr>
                <w:bCs/>
                <w:i/>
                <w:sz w:val="20"/>
                <w:lang w:eastAsia="en-US"/>
              </w:rPr>
              <w:t>Andrade et al. (2011, ch. 411);</w:t>
            </w:r>
            <w:r>
              <w:rPr>
                <w:i/>
                <w:sz w:val="20"/>
                <w:szCs w:val="20"/>
                <w:lang w:eastAsia="en-US"/>
              </w:rPr>
              <w:t xml:space="preserve"> Ristevski et al. (2018, ds 1, ch. 411); Smith et al. (in review, ds 2, ch. 411); </w:t>
            </w:r>
            <w:r>
              <w:rPr>
                <w:i/>
                <w:sz w:val="20"/>
                <w:szCs w:val="20"/>
              </w:rPr>
              <w:t>Ősi et al. (in review, ds 1, ch. 304)</w:t>
            </w:r>
            <w:r>
              <w:rPr>
                <w:bCs/>
                <w:i/>
                <w:sz w:val="20"/>
                <w:lang w:eastAsia="en-US"/>
              </w:rPr>
              <w:t>.</w:t>
            </w:r>
          </w:p>
          <w:p w14:paraId="267B2DC0"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The tooth occluding to the premaxillomaxillary suture is usually seen as the fourth dentary tooth, but in Crocodylomorpha this may be another tooth due to the loss of anterior teeth or other morphological adaptation. The tooth is not necessarily enlarged, and may be isometric to neighbouring teeth. </w:t>
            </w:r>
          </w:p>
          <w:p w14:paraId="5E96EC73" w14:textId="4F723452" w:rsidR="00D67975" w:rsidRDefault="00D67975" w:rsidP="00D67975">
            <w:pPr>
              <w:autoSpaceDE w:val="0"/>
              <w:autoSpaceDN w:val="0"/>
              <w:adjustRightInd w:val="0"/>
              <w:rPr>
                <w:i/>
                <w:iCs/>
                <w:sz w:val="20"/>
                <w:szCs w:val="20"/>
                <w:lang w:eastAsia="en-US"/>
              </w:rPr>
            </w:pPr>
            <w:r>
              <w:rPr>
                <w:i/>
                <w:iCs/>
                <w:sz w:val="20"/>
                <w:szCs w:val="20"/>
                <w:lang w:eastAsia="en-US"/>
              </w:rPr>
              <w:t xml:space="preserve">State (0) is putative apomorphy of </w:t>
            </w:r>
            <w:r>
              <w:rPr>
                <w:iCs/>
                <w:sz w:val="20"/>
                <w:szCs w:val="20"/>
                <w:lang w:eastAsia="en-US"/>
              </w:rPr>
              <w:t xml:space="preserve">Mahajangasuchus, </w:t>
            </w:r>
            <w:r>
              <w:rPr>
                <w:i/>
                <w:iCs/>
                <w:sz w:val="20"/>
                <w:szCs w:val="20"/>
                <w:lang w:eastAsia="en-US"/>
              </w:rPr>
              <w:t xml:space="preserve">Sphagesauridae, and </w:t>
            </w:r>
            <w:r w:rsidR="00007246">
              <w:rPr>
                <w:i/>
                <w:iCs/>
                <w:sz w:val="20"/>
                <w:szCs w:val="20"/>
                <w:lang w:eastAsia="en-US"/>
              </w:rPr>
              <w:t>Teleosauroidea.</w:t>
            </w:r>
          </w:p>
          <w:p w14:paraId="5EF9DF7A" w14:textId="051217AF" w:rsidR="00D67975" w:rsidRDefault="00D67975" w:rsidP="00D67975">
            <w:pPr>
              <w:autoSpaceDE w:val="0"/>
              <w:autoSpaceDN w:val="0"/>
              <w:adjustRightInd w:val="0"/>
              <w:rPr>
                <w:i/>
                <w:iCs/>
                <w:sz w:val="20"/>
                <w:szCs w:val="20"/>
                <w:lang w:eastAsia="en-US"/>
              </w:rPr>
            </w:pPr>
            <w:r>
              <w:rPr>
                <w:i/>
                <w:iCs/>
                <w:sz w:val="20"/>
                <w:szCs w:val="20"/>
                <w:lang w:eastAsia="en-US"/>
              </w:rPr>
              <w:t xml:space="preserve">State (2) is putative apomorphy of </w:t>
            </w:r>
            <w:r>
              <w:rPr>
                <w:sz w:val="20"/>
                <w:szCs w:val="20"/>
                <w:lang w:eastAsia="en-US"/>
              </w:rPr>
              <w:t>Sarcosuchus</w:t>
            </w:r>
            <w:r>
              <w:rPr>
                <w:i/>
                <w:iCs/>
                <w:sz w:val="20"/>
                <w:szCs w:val="20"/>
                <w:lang w:eastAsia="en-US"/>
              </w:rPr>
              <w:t>.</w:t>
            </w:r>
          </w:p>
          <w:p w14:paraId="32FF3425" w14:textId="6B4E0694" w:rsidR="00D67975" w:rsidRDefault="00D67975" w:rsidP="00D67975">
            <w:pPr>
              <w:autoSpaceDE w:val="0"/>
              <w:autoSpaceDN w:val="0"/>
              <w:adjustRightInd w:val="0"/>
              <w:rPr>
                <w:i/>
                <w:iCs/>
                <w:sz w:val="20"/>
                <w:szCs w:val="20"/>
                <w:lang w:eastAsia="en-US"/>
              </w:rPr>
            </w:pPr>
            <w:r>
              <w:rPr>
                <w:i/>
                <w:iCs/>
                <w:sz w:val="20"/>
                <w:szCs w:val="20"/>
                <w:lang w:eastAsia="en-US"/>
              </w:rPr>
              <w:t>Note that in teleosaur</w:t>
            </w:r>
            <w:r w:rsidR="00007246">
              <w:rPr>
                <w:i/>
                <w:iCs/>
                <w:sz w:val="20"/>
                <w:szCs w:val="20"/>
                <w:lang w:eastAsia="en-US"/>
              </w:rPr>
              <w:t>o</w:t>
            </w:r>
            <w:r>
              <w:rPr>
                <w:i/>
                <w:iCs/>
                <w:sz w:val="20"/>
                <w:szCs w:val="20"/>
                <w:lang w:eastAsia="en-US"/>
              </w:rPr>
              <w:t>ids, the D3 tooth contacts the premaxilla-maxilla suture, not the D4 tooth, due to the orientation of the D3-D4 couplet.</w:t>
            </w:r>
          </w:p>
          <w:p w14:paraId="03804DB5" w14:textId="77777777" w:rsidR="00D67975" w:rsidRDefault="00D67975" w:rsidP="00D67975">
            <w:pPr>
              <w:autoSpaceDE w:val="0"/>
              <w:autoSpaceDN w:val="0"/>
              <w:adjustRightInd w:val="0"/>
              <w:rPr>
                <w:sz w:val="20"/>
                <w:szCs w:val="20"/>
                <w:lang w:eastAsia="en-US"/>
              </w:rPr>
            </w:pPr>
            <w:r>
              <w:rPr>
                <w:sz w:val="20"/>
                <w:szCs w:val="20"/>
                <w:lang w:eastAsia="en-US"/>
              </w:rPr>
              <w:t>0. third, or anterior</w:t>
            </w:r>
          </w:p>
          <w:p w14:paraId="6C31B932" w14:textId="77777777" w:rsidR="00D67975" w:rsidRDefault="00D67975" w:rsidP="00D67975">
            <w:pPr>
              <w:autoSpaceDE w:val="0"/>
              <w:autoSpaceDN w:val="0"/>
              <w:adjustRightInd w:val="0"/>
              <w:rPr>
                <w:sz w:val="20"/>
                <w:szCs w:val="20"/>
                <w:lang w:eastAsia="en-US"/>
              </w:rPr>
            </w:pPr>
            <w:r>
              <w:rPr>
                <w:sz w:val="20"/>
                <w:szCs w:val="20"/>
                <w:lang w:eastAsia="en-US"/>
              </w:rPr>
              <w:t>1. fourth</w:t>
            </w:r>
          </w:p>
          <w:p w14:paraId="4A9AA5F4" w14:textId="77777777" w:rsidR="00D67975" w:rsidRDefault="00D67975" w:rsidP="00D67975">
            <w:pPr>
              <w:rPr>
                <w:b/>
                <w:color w:val="000000"/>
                <w:sz w:val="20"/>
                <w:szCs w:val="20"/>
                <w:lang w:eastAsia="en-US"/>
              </w:rPr>
            </w:pPr>
            <w:r>
              <w:rPr>
                <w:sz w:val="20"/>
                <w:szCs w:val="20"/>
                <w:lang w:eastAsia="en-US"/>
              </w:rPr>
              <w:t>2. fifth, or posterior</w:t>
            </w:r>
          </w:p>
        </w:tc>
      </w:tr>
      <w:tr w:rsidR="00D67975" w14:paraId="156634BC" w14:textId="77777777" w:rsidTr="00D67975">
        <w:tc>
          <w:tcPr>
            <w:tcW w:w="0" w:type="auto"/>
            <w:tcBorders>
              <w:top w:val="single" w:sz="4" w:space="0" w:color="auto"/>
              <w:left w:val="single" w:sz="4" w:space="0" w:color="auto"/>
              <w:bottom w:val="single" w:sz="4" w:space="0" w:color="auto"/>
              <w:right w:val="single" w:sz="4" w:space="0" w:color="auto"/>
            </w:tcBorders>
          </w:tcPr>
          <w:p w14:paraId="2D9DBD40" w14:textId="57737BD0" w:rsidR="00D67975" w:rsidRDefault="009E2821" w:rsidP="00D67975">
            <w:pPr>
              <w:rPr>
                <w:color w:val="000000"/>
                <w:sz w:val="20"/>
                <w:szCs w:val="20"/>
                <w:lang w:eastAsia="en-US"/>
              </w:rPr>
            </w:pPr>
            <w:r>
              <w:rPr>
                <w:color w:val="000000"/>
                <w:sz w:val="20"/>
                <w:szCs w:val="20"/>
                <w:lang w:eastAsia="en-US"/>
              </w:rPr>
              <w:t>308</w:t>
            </w:r>
          </w:p>
        </w:tc>
        <w:tc>
          <w:tcPr>
            <w:tcW w:w="0" w:type="auto"/>
            <w:tcBorders>
              <w:top w:val="single" w:sz="4" w:space="0" w:color="auto"/>
              <w:left w:val="single" w:sz="4" w:space="0" w:color="auto"/>
              <w:bottom w:val="single" w:sz="4" w:space="0" w:color="auto"/>
              <w:right w:val="single" w:sz="4" w:space="0" w:color="auto"/>
            </w:tcBorders>
            <w:hideMark/>
          </w:tcPr>
          <w:p w14:paraId="17721825" w14:textId="77777777" w:rsidR="00D67975" w:rsidRDefault="00D67975" w:rsidP="00D67975">
            <w:pPr>
              <w:autoSpaceDE w:val="0"/>
              <w:autoSpaceDN w:val="0"/>
              <w:adjustRightInd w:val="0"/>
              <w:rPr>
                <w:b/>
                <w:bCs/>
                <w:sz w:val="20"/>
                <w:szCs w:val="20"/>
                <w:lang w:eastAsia="en-US"/>
              </w:rPr>
            </w:pPr>
            <w:r>
              <w:rPr>
                <w:b/>
                <w:bCs/>
                <w:sz w:val="20"/>
                <w:szCs w:val="20"/>
                <w:lang w:eastAsia="en-US"/>
              </w:rPr>
              <w:t>Dentition, relation between tooth rows on both sides of the skull:</w:t>
            </w:r>
          </w:p>
          <w:p w14:paraId="0F14F965" w14:textId="7C5B0647" w:rsidR="00D67975" w:rsidRDefault="00D67975" w:rsidP="00D67975">
            <w:pPr>
              <w:autoSpaceDE w:val="0"/>
              <w:autoSpaceDN w:val="0"/>
              <w:adjustRightInd w:val="0"/>
              <w:rPr>
                <w:b/>
                <w:bCs/>
                <w:sz w:val="20"/>
                <w:szCs w:val="20"/>
                <w:lang w:eastAsia="en-US"/>
              </w:rPr>
            </w:pPr>
            <w:r>
              <w:rPr>
                <w:bCs/>
                <w:i/>
                <w:sz w:val="20"/>
                <w:szCs w:val="20"/>
                <w:lang w:eastAsia="en-US"/>
              </w:rPr>
              <w:t xml:space="preserve">Novas </w:t>
            </w:r>
            <w:r>
              <w:rPr>
                <w:bCs/>
                <w:i/>
                <w:iCs/>
                <w:sz w:val="20"/>
                <w:szCs w:val="20"/>
                <w:lang w:eastAsia="en-US"/>
              </w:rPr>
              <w:t>et al. (</w:t>
            </w:r>
            <w:r>
              <w:rPr>
                <w:bCs/>
                <w:i/>
                <w:sz w:val="20"/>
                <w:szCs w:val="20"/>
                <w:lang w:eastAsia="en-US"/>
              </w:rPr>
              <w:t>2009);</w:t>
            </w:r>
            <w:r>
              <w:rPr>
                <w:b/>
                <w:bCs/>
                <w:sz w:val="20"/>
                <w:szCs w:val="20"/>
                <w:lang w:eastAsia="en-US"/>
              </w:rPr>
              <w:t xml:space="preserve"> </w:t>
            </w:r>
            <w:r>
              <w:rPr>
                <w:bCs/>
                <w:i/>
                <w:sz w:val="20"/>
                <w:lang w:eastAsia="en-US"/>
              </w:rPr>
              <w:t>Andrade et al. (2011, ch. 367);</w:t>
            </w:r>
            <w:r>
              <w:rPr>
                <w:i/>
                <w:sz w:val="20"/>
                <w:szCs w:val="20"/>
                <w:lang w:eastAsia="en-US"/>
              </w:rPr>
              <w:t xml:space="preserve"> Ristevski et al. (2018, ds 1, ch. 367); Smith et al. (in review, ds 2, ch. 367); </w:t>
            </w:r>
            <w:r>
              <w:rPr>
                <w:i/>
                <w:sz w:val="20"/>
                <w:szCs w:val="20"/>
              </w:rPr>
              <w:t>Ősi et al. (in review, ds 1, ch. 305)</w:t>
            </w:r>
            <w:r>
              <w:rPr>
                <w:bCs/>
                <w:i/>
                <w:sz w:val="20"/>
                <w:lang w:eastAsia="en-US"/>
              </w:rPr>
              <w:t>.</w:t>
            </w:r>
          </w:p>
          <w:p w14:paraId="32B042C7"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(1) is putative autapomorphy of </w:t>
            </w:r>
            <w:r>
              <w:rPr>
                <w:sz w:val="20"/>
                <w:szCs w:val="20"/>
                <w:lang w:eastAsia="en-US"/>
              </w:rPr>
              <w:t>Yacarerani</w:t>
            </w:r>
            <w:r>
              <w:rPr>
                <w:i/>
                <w:iCs/>
                <w:sz w:val="20"/>
                <w:szCs w:val="20"/>
                <w:lang w:eastAsia="en-US"/>
              </w:rPr>
              <w:t>, where maxillary tooth rows converge at mid-palate, the same occurring with the dentition in the mandible. As a consequence, anterior teeth (pairs 1-4) both in the upper and lower dentition constitute functionally distinct sets, one anterior and one posterior. Teeth at the posterior set (mid-dentition) are located close to the median line of the skull, with first tooth at least almost in contact with its complementary tooth.</w:t>
            </w:r>
          </w:p>
          <w:p w14:paraId="2EFE90C7" w14:textId="77777777" w:rsidR="00D67975" w:rsidRDefault="00D67975" w:rsidP="00D67975">
            <w:pPr>
              <w:autoSpaceDE w:val="0"/>
              <w:autoSpaceDN w:val="0"/>
              <w:adjustRightInd w:val="0"/>
              <w:rPr>
                <w:sz w:val="20"/>
                <w:szCs w:val="20"/>
                <w:lang w:eastAsia="en-US"/>
              </w:rPr>
            </w:pPr>
            <w:r>
              <w:rPr>
                <w:sz w:val="20"/>
                <w:szCs w:val="20"/>
                <w:lang w:eastAsia="en-US"/>
              </w:rPr>
              <w:t>0. forming one continuous set of teeth, both in the cranium and mandible</w:t>
            </w:r>
          </w:p>
          <w:p w14:paraId="7704FCE1" w14:textId="77777777" w:rsidR="00D67975" w:rsidRDefault="00D67975" w:rsidP="00D67975">
            <w:pPr>
              <w:autoSpaceDE w:val="0"/>
              <w:autoSpaceDN w:val="0"/>
              <w:adjustRightInd w:val="0"/>
              <w:rPr>
                <w:b/>
                <w:bCs/>
                <w:sz w:val="20"/>
                <w:szCs w:val="20"/>
                <w:lang w:eastAsia="en-US"/>
              </w:rPr>
            </w:pPr>
            <w:r>
              <w:rPr>
                <w:sz w:val="20"/>
                <w:szCs w:val="20"/>
                <w:lang w:eastAsia="en-US"/>
              </w:rPr>
              <w:lastRenderedPageBreak/>
              <w:t>1. forming two distinct sets, tooth rows at posterior set convergent rostrally and almost in touch each other, at mid-palate and mandible</w:t>
            </w:r>
          </w:p>
        </w:tc>
      </w:tr>
      <w:tr w:rsidR="00D67975" w14:paraId="365CFFC9" w14:textId="77777777" w:rsidTr="00D67975">
        <w:tc>
          <w:tcPr>
            <w:tcW w:w="0" w:type="auto"/>
            <w:tcBorders>
              <w:top w:val="single" w:sz="4" w:space="0" w:color="auto"/>
              <w:left w:val="single" w:sz="4" w:space="0" w:color="auto"/>
              <w:bottom w:val="single" w:sz="4" w:space="0" w:color="auto"/>
              <w:right w:val="single" w:sz="4" w:space="0" w:color="auto"/>
            </w:tcBorders>
          </w:tcPr>
          <w:p w14:paraId="0D01C07B" w14:textId="7112DFAD" w:rsidR="00D67975" w:rsidRDefault="009E2821" w:rsidP="00D67975">
            <w:pPr>
              <w:rPr>
                <w:color w:val="000000"/>
                <w:sz w:val="20"/>
                <w:szCs w:val="20"/>
                <w:lang w:eastAsia="en-US"/>
              </w:rPr>
            </w:pPr>
            <w:r>
              <w:rPr>
                <w:color w:val="000000"/>
                <w:sz w:val="20"/>
                <w:szCs w:val="20"/>
                <w:lang w:eastAsia="en-US"/>
              </w:rPr>
              <w:lastRenderedPageBreak/>
              <w:t>309</w:t>
            </w:r>
          </w:p>
        </w:tc>
        <w:tc>
          <w:tcPr>
            <w:tcW w:w="0" w:type="auto"/>
            <w:tcBorders>
              <w:top w:val="single" w:sz="4" w:space="0" w:color="auto"/>
              <w:left w:val="single" w:sz="4" w:space="0" w:color="auto"/>
              <w:bottom w:val="single" w:sz="4" w:space="0" w:color="auto"/>
              <w:right w:val="single" w:sz="4" w:space="0" w:color="auto"/>
            </w:tcBorders>
            <w:hideMark/>
          </w:tcPr>
          <w:p w14:paraId="1741DA4B" w14:textId="77777777" w:rsidR="00D67975" w:rsidRDefault="00D67975" w:rsidP="00D67975">
            <w:pPr>
              <w:autoSpaceDE w:val="0"/>
              <w:autoSpaceDN w:val="0"/>
              <w:adjustRightInd w:val="0"/>
              <w:rPr>
                <w:b/>
                <w:bCs/>
                <w:sz w:val="20"/>
                <w:szCs w:val="20"/>
                <w:lang w:eastAsia="en-US"/>
              </w:rPr>
            </w:pPr>
            <w:r>
              <w:rPr>
                <w:b/>
                <w:bCs/>
                <w:sz w:val="20"/>
                <w:szCs w:val="20"/>
                <w:lang w:eastAsia="en-US"/>
              </w:rPr>
              <w:t>Posterior maxillary teeth, transverse section:</w:t>
            </w:r>
          </w:p>
          <w:p w14:paraId="54603E25" w14:textId="60ADC8AD" w:rsidR="00D67975" w:rsidRDefault="00D67975" w:rsidP="00D67975">
            <w:pPr>
              <w:autoSpaceDE w:val="0"/>
              <w:autoSpaceDN w:val="0"/>
              <w:adjustRightInd w:val="0"/>
              <w:rPr>
                <w:bCs/>
                <w:i/>
                <w:sz w:val="20"/>
                <w:lang w:eastAsia="en-US"/>
              </w:rPr>
            </w:pPr>
            <w:r>
              <w:rPr>
                <w:bCs/>
                <w:i/>
                <w:sz w:val="20"/>
                <w:szCs w:val="20"/>
                <w:lang w:eastAsia="en-US"/>
              </w:rPr>
              <w:t xml:space="preserve">Buckley </w:t>
            </w:r>
            <w:r>
              <w:rPr>
                <w:bCs/>
                <w:i/>
                <w:iCs/>
                <w:sz w:val="20"/>
                <w:szCs w:val="20"/>
                <w:lang w:eastAsia="en-US"/>
              </w:rPr>
              <w:t>et al. (</w:t>
            </w:r>
            <w:r>
              <w:rPr>
                <w:bCs/>
                <w:i/>
                <w:sz w:val="20"/>
                <w:szCs w:val="20"/>
                <w:lang w:eastAsia="en-US"/>
              </w:rPr>
              <w:t xml:space="preserve">2000, ch. 116 modified); Ortega </w:t>
            </w:r>
            <w:r>
              <w:rPr>
                <w:bCs/>
                <w:i/>
                <w:iCs/>
                <w:sz w:val="20"/>
                <w:szCs w:val="20"/>
                <w:lang w:eastAsia="en-US"/>
              </w:rPr>
              <w:t>et al. (</w:t>
            </w:r>
            <w:r>
              <w:rPr>
                <w:bCs/>
                <w:i/>
                <w:sz w:val="20"/>
                <w:szCs w:val="20"/>
                <w:lang w:eastAsia="en-US"/>
              </w:rPr>
              <w:t>2000, ch. 104 modified); as in Andrade &amp; Bertini (2008, ch. 135);</w:t>
            </w:r>
            <w:r>
              <w:rPr>
                <w:bCs/>
                <w:i/>
                <w:sz w:val="20"/>
                <w:lang w:eastAsia="en-US"/>
              </w:rPr>
              <w:t xml:space="preserve"> Andrade et al. (2011, ch. 368);</w:t>
            </w:r>
            <w:r>
              <w:rPr>
                <w:i/>
                <w:sz w:val="20"/>
                <w:szCs w:val="20"/>
                <w:lang w:eastAsia="en-US"/>
              </w:rPr>
              <w:t xml:space="preserve"> Ristevski et al. (2018, ds 1, ch. 368); Smith et al. (in review, ds 2, ch. 368); </w:t>
            </w:r>
            <w:r>
              <w:rPr>
                <w:i/>
                <w:sz w:val="20"/>
                <w:szCs w:val="20"/>
              </w:rPr>
              <w:t>Ősi et al. (in review, ds 1, ch. 306)</w:t>
            </w:r>
            <w:r>
              <w:rPr>
                <w:bCs/>
                <w:i/>
                <w:sz w:val="20"/>
                <w:lang w:eastAsia="en-US"/>
              </w:rPr>
              <w:t>.</w:t>
            </w:r>
          </w:p>
          <w:p w14:paraId="0B3CF58D" w14:textId="77777777" w:rsidR="00D67975" w:rsidRDefault="00D67975" w:rsidP="00D67975">
            <w:pPr>
              <w:autoSpaceDE w:val="0"/>
              <w:autoSpaceDN w:val="0"/>
              <w:adjustRightInd w:val="0"/>
              <w:rPr>
                <w:sz w:val="20"/>
                <w:szCs w:val="20"/>
                <w:lang w:eastAsia="en-US"/>
              </w:rPr>
            </w:pPr>
            <w:r>
              <w:rPr>
                <w:sz w:val="20"/>
                <w:szCs w:val="20"/>
                <w:lang w:eastAsia="en-US"/>
              </w:rPr>
              <w:t>0. evident lateral compression affecting both edges of the crown, making both edges evident regardless of the presence/absence of carinae/keel</w:t>
            </w:r>
          </w:p>
          <w:p w14:paraId="3CA4C91C" w14:textId="77777777" w:rsidR="00D67975" w:rsidRDefault="00D67975" w:rsidP="00D67975">
            <w:pPr>
              <w:autoSpaceDE w:val="0"/>
              <w:autoSpaceDN w:val="0"/>
              <w:adjustRightInd w:val="0"/>
              <w:rPr>
                <w:sz w:val="20"/>
                <w:szCs w:val="20"/>
                <w:lang w:eastAsia="en-US"/>
              </w:rPr>
            </w:pPr>
            <w:r>
              <w:rPr>
                <w:sz w:val="20"/>
                <w:szCs w:val="20"/>
                <w:lang w:eastAsia="en-US"/>
              </w:rPr>
              <w:t>1. transverse section circular to subcircular, without significant lateral compression</w:t>
            </w:r>
          </w:p>
          <w:p w14:paraId="18C41B6E" w14:textId="3F64A2D3" w:rsidR="00D67975" w:rsidRDefault="00D67975" w:rsidP="00D67975">
            <w:pPr>
              <w:autoSpaceDE w:val="0"/>
              <w:autoSpaceDN w:val="0"/>
              <w:adjustRightInd w:val="0"/>
              <w:rPr>
                <w:b/>
                <w:bCs/>
                <w:sz w:val="20"/>
                <w:szCs w:val="20"/>
                <w:lang w:eastAsia="en-US"/>
              </w:rPr>
            </w:pPr>
            <w:r>
              <w:rPr>
                <w:sz w:val="20"/>
                <w:szCs w:val="20"/>
                <w:lang w:eastAsia="en-US"/>
              </w:rPr>
              <w:t>2. transverse section ‘teardrop-like’ (= triangular), with asymmetric lateral compression occurring on the distal margin only</w:t>
            </w:r>
          </w:p>
        </w:tc>
      </w:tr>
      <w:tr w:rsidR="00D67975" w14:paraId="77C865B0" w14:textId="77777777" w:rsidTr="00D67975">
        <w:tc>
          <w:tcPr>
            <w:tcW w:w="0" w:type="auto"/>
            <w:tcBorders>
              <w:top w:val="single" w:sz="4" w:space="0" w:color="auto"/>
              <w:left w:val="single" w:sz="4" w:space="0" w:color="auto"/>
              <w:bottom w:val="single" w:sz="4" w:space="0" w:color="auto"/>
              <w:right w:val="single" w:sz="4" w:space="0" w:color="auto"/>
            </w:tcBorders>
          </w:tcPr>
          <w:p w14:paraId="28CD9E09" w14:textId="2B46A070" w:rsidR="00D67975" w:rsidRDefault="009E2821" w:rsidP="00D67975">
            <w:pPr>
              <w:rPr>
                <w:color w:val="000000"/>
                <w:sz w:val="20"/>
                <w:szCs w:val="20"/>
                <w:lang w:eastAsia="en-US"/>
              </w:rPr>
            </w:pPr>
            <w:r>
              <w:rPr>
                <w:color w:val="000000"/>
                <w:sz w:val="20"/>
                <w:szCs w:val="20"/>
                <w:lang w:eastAsia="en-US"/>
              </w:rPr>
              <w:t>310</w:t>
            </w:r>
          </w:p>
        </w:tc>
        <w:tc>
          <w:tcPr>
            <w:tcW w:w="0" w:type="auto"/>
            <w:tcBorders>
              <w:top w:val="single" w:sz="4" w:space="0" w:color="auto"/>
              <w:left w:val="single" w:sz="4" w:space="0" w:color="auto"/>
              <w:bottom w:val="single" w:sz="4" w:space="0" w:color="auto"/>
              <w:right w:val="single" w:sz="4" w:space="0" w:color="auto"/>
            </w:tcBorders>
            <w:hideMark/>
          </w:tcPr>
          <w:p w14:paraId="733474D7" w14:textId="77777777" w:rsidR="00D67975" w:rsidRDefault="00D67975" w:rsidP="00D67975">
            <w:pPr>
              <w:autoSpaceDE w:val="0"/>
              <w:autoSpaceDN w:val="0"/>
              <w:adjustRightInd w:val="0"/>
              <w:rPr>
                <w:b/>
                <w:bCs/>
                <w:sz w:val="20"/>
                <w:szCs w:val="20"/>
                <w:lang w:eastAsia="en-US"/>
              </w:rPr>
            </w:pPr>
            <w:r>
              <w:rPr>
                <w:b/>
                <w:bCs/>
                <w:sz w:val="20"/>
                <w:szCs w:val="20"/>
                <w:lang w:eastAsia="en-US"/>
              </w:rPr>
              <w:t>Mid to posterior mandibular teeth, transverse section:</w:t>
            </w:r>
          </w:p>
          <w:p w14:paraId="3E735770" w14:textId="0F5BAF41" w:rsidR="00D67975" w:rsidRDefault="00D67975" w:rsidP="00D67975">
            <w:pPr>
              <w:autoSpaceDE w:val="0"/>
              <w:autoSpaceDN w:val="0"/>
              <w:adjustRightInd w:val="0"/>
              <w:rPr>
                <w:b/>
                <w:bCs/>
                <w:sz w:val="20"/>
                <w:szCs w:val="20"/>
                <w:lang w:eastAsia="en-US"/>
              </w:rPr>
            </w:pPr>
            <w:r>
              <w:rPr>
                <w:bCs/>
                <w:i/>
                <w:sz w:val="20"/>
                <w:szCs w:val="20"/>
                <w:lang w:eastAsia="en-US"/>
              </w:rPr>
              <w:t xml:space="preserve">Buckley </w:t>
            </w:r>
            <w:r>
              <w:rPr>
                <w:bCs/>
                <w:i/>
                <w:iCs/>
                <w:sz w:val="20"/>
                <w:szCs w:val="20"/>
                <w:lang w:eastAsia="en-US"/>
              </w:rPr>
              <w:t>et al. (</w:t>
            </w:r>
            <w:r>
              <w:rPr>
                <w:bCs/>
                <w:i/>
                <w:sz w:val="20"/>
                <w:szCs w:val="20"/>
                <w:lang w:eastAsia="en-US"/>
              </w:rPr>
              <w:t xml:space="preserve">2000, ch. 116 modified); Ortega </w:t>
            </w:r>
            <w:r>
              <w:rPr>
                <w:bCs/>
                <w:i/>
                <w:iCs/>
                <w:sz w:val="20"/>
                <w:szCs w:val="20"/>
                <w:lang w:eastAsia="en-US"/>
              </w:rPr>
              <w:t>et al. (</w:t>
            </w:r>
            <w:r>
              <w:rPr>
                <w:bCs/>
                <w:i/>
                <w:sz w:val="20"/>
                <w:szCs w:val="20"/>
                <w:lang w:eastAsia="en-US"/>
              </w:rPr>
              <w:t>2000, ch. 104 modified); as in Andrade &amp; Bertini (2008, ch. 146);</w:t>
            </w:r>
            <w:r>
              <w:rPr>
                <w:b/>
                <w:bCs/>
                <w:sz w:val="20"/>
                <w:szCs w:val="20"/>
                <w:lang w:eastAsia="en-US"/>
              </w:rPr>
              <w:t xml:space="preserve"> </w:t>
            </w:r>
            <w:r>
              <w:rPr>
                <w:bCs/>
                <w:i/>
                <w:sz w:val="20"/>
                <w:lang w:eastAsia="en-US"/>
              </w:rPr>
              <w:t>Andrade et al. (2011, ch. 369);</w:t>
            </w:r>
            <w:r>
              <w:rPr>
                <w:i/>
                <w:sz w:val="20"/>
                <w:szCs w:val="20"/>
                <w:lang w:eastAsia="en-US"/>
              </w:rPr>
              <w:t xml:space="preserve"> Ristevski et al. (2018, ds 1, ch. 369); Smith et al. (in review, ds 2, ch. 369); </w:t>
            </w:r>
            <w:r>
              <w:rPr>
                <w:i/>
                <w:sz w:val="20"/>
                <w:szCs w:val="20"/>
              </w:rPr>
              <w:t>Ősi et al. (in review, ds 1, ch. 307)</w:t>
            </w:r>
            <w:r>
              <w:rPr>
                <w:bCs/>
                <w:i/>
                <w:sz w:val="20"/>
                <w:lang w:eastAsia="en-US"/>
              </w:rPr>
              <w:t>.</w:t>
            </w:r>
          </w:p>
          <w:p w14:paraId="69EE3CED" w14:textId="77777777" w:rsidR="00D67975" w:rsidRDefault="00D67975" w:rsidP="00D67975">
            <w:pPr>
              <w:autoSpaceDE w:val="0"/>
              <w:autoSpaceDN w:val="0"/>
              <w:adjustRightInd w:val="0"/>
              <w:rPr>
                <w:sz w:val="20"/>
                <w:szCs w:val="20"/>
                <w:lang w:eastAsia="en-US"/>
              </w:rPr>
            </w:pPr>
            <w:r>
              <w:rPr>
                <w:sz w:val="20"/>
                <w:szCs w:val="20"/>
                <w:lang w:eastAsia="en-US"/>
              </w:rPr>
              <w:t>0. evident lateral compression affecting the entire crown, making evident both mesial and distal edges, regardless of the presence/absence of carinae/keel</w:t>
            </w:r>
          </w:p>
          <w:p w14:paraId="73A436BF" w14:textId="77777777" w:rsidR="00D67975" w:rsidRDefault="00D67975" w:rsidP="00D67975">
            <w:pPr>
              <w:autoSpaceDE w:val="0"/>
              <w:autoSpaceDN w:val="0"/>
              <w:adjustRightInd w:val="0"/>
              <w:rPr>
                <w:sz w:val="20"/>
                <w:szCs w:val="20"/>
                <w:lang w:eastAsia="en-US"/>
              </w:rPr>
            </w:pPr>
            <w:r>
              <w:rPr>
                <w:sz w:val="20"/>
                <w:szCs w:val="20"/>
                <w:lang w:eastAsia="en-US"/>
              </w:rPr>
              <w:t>1. transverse section circular to subcircular, without significant lateral compression</w:t>
            </w:r>
          </w:p>
          <w:p w14:paraId="7DD537BE" w14:textId="03EDFADD" w:rsidR="00D67975" w:rsidRDefault="00D67975" w:rsidP="00D67975">
            <w:pPr>
              <w:autoSpaceDE w:val="0"/>
              <w:autoSpaceDN w:val="0"/>
              <w:adjustRightInd w:val="0"/>
              <w:rPr>
                <w:b/>
                <w:bCs/>
                <w:sz w:val="20"/>
                <w:szCs w:val="20"/>
                <w:lang w:eastAsia="en-US"/>
              </w:rPr>
            </w:pPr>
            <w:r>
              <w:rPr>
                <w:sz w:val="20"/>
                <w:szCs w:val="20"/>
                <w:lang w:eastAsia="en-US"/>
              </w:rPr>
              <w:t>2. transverse section ‘teardrop-like’ (= triangular), with asymmetric lateral compression occurring on the mesial margin only</w:t>
            </w:r>
          </w:p>
        </w:tc>
      </w:tr>
      <w:tr w:rsidR="00D67975" w14:paraId="51D99424" w14:textId="77777777" w:rsidTr="00D67975">
        <w:tc>
          <w:tcPr>
            <w:tcW w:w="0" w:type="auto"/>
            <w:tcBorders>
              <w:top w:val="single" w:sz="4" w:space="0" w:color="auto"/>
              <w:left w:val="single" w:sz="4" w:space="0" w:color="auto"/>
              <w:bottom w:val="single" w:sz="4" w:space="0" w:color="auto"/>
              <w:right w:val="single" w:sz="4" w:space="0" w:color="auto"/>
            </w:tcBorders>
          </w:tcPr>
          <w:p w14:paraId="5DF1FFE8" w14:textId="60E1B7F6" w:rsidR="00D67975" w:rsidRDefault="009E2821" w:rsidP="00D67975">
            <w:pPr>
              <w:rPr>
                <w:sz w:val="20"/>
                <w:szCs w:val="20"/>
                <w:lang w:eastAsia="en-US"/>
              </w:rPr>
            </w:pPr>
            <w:r>
              <w:rPr>
                <w:color w:val="000000"/>
                <w:sz w:val="20"/>
                <w:szCs w:val="20"/>
                <w:lang w:eastAsia="en-US"/>
              </w:rPr>
              <w:t>311</w:t>
            </w:r>
          </w:p>
        </w:tc>
        <w:tc>
          <w:tcPr>
            <w:tcW w:w="0" w:type="auto"/>
            <w:tcBorders>
              <w:top w:val="single" w:sz="4" w:space="0" w:color="auto"/>
              <w:left w:val="single" w:sz="4" w:space="0" w:color="auto"/>
              <w:bottom w:val="single" w:sz="4" w:space="0" w:color="auto"/>
              <w:right w:val="single" w:sz="4" w:space="0" w:color="auto"/>
            </w:tcBorders>
            <w:vAlign w:val="bottom"/>
            <w:hideMark/>
          </w:tcPr>
          <w:p w14:paraId="27F34192" w14:textId="77777777" w:rsidR="00D67975" w:rsidRDefault="00D67975" w:rsidP="00D67975">
            <w:pPr>
              <w:rPr>
                <w:b/>
                <w:color w:val="000000"/>
                <w:sz w:val="20"/>
                <w:szCs w:val="20"/>
                <w:lang w:eastAsia="en-US"/>
              </w:rPr>
            </w:pPr>
            <w:r>
              <w:rPr>
                <w:b/>
                <w:color w:val="000000"/>
                <w:sz w:val="20"/>
                <w:szCs w:val="20"/>
                <w:lang w:eastAsia="en-US"/>
              </w:rPr>
              <w:t>Dentition, presence of apicobasal facets on the labial sufrace:</w:t>
            </w:r>
          </w:p>
          <w:p w14:paraId="3A275329" w14:textId="23865C50" w:rsidR="00D67975" w:rsidRDefault="00D67975" w:rsidP="00D67975">
            <w:pPr>
              <w:autoSpaceDE w:val="0"/>
              <w:autoSpaceDN w:val="0"/>
              <w:adjustRightInd w:val="0"/>
              <w:rPr>
                <w:i/>
                <w:sz w:val="20"/>
                <w:szCs w:val="20"/>
                <w:lang w:eastAsia="en-US"/>
              </w:rPr>
            </w:pPr>
            <w:r>
              <w:rPr>
                <w:i/>
                <w:sz w:val="20"/>
                <w:szCs w:val="20"/>
                <w:lang w:eastAsia="en-US"/>
              </w:rPr>
              <w:t xml:space="preserve">Young &amp; Andrade (2009, ch. 130); Andrade et al. (2011, ch. 370); </w:t>
            </w:r>
            <w:r>
              <w:rPr>
                <w:bCs/>
                <w:i/>
                <w:color w:val="000000"/>
                <w:sz w:val="20"/>
                <w:szCs w:val="20"/>
                <w:lang w:eastAsia="en-US"/>
              </w:rPr>
              <w:t xml:space="preserve">Young et al. (2011, ch. 130); Young et al. (2013a, ch. 140); </w:t>
            </w:r>
            <w:r>
              <w:rPr>
                <w:i/>
                <w:sz w:val="20"/>
                <w:szCs w:val="20"/>
                <w:lang w:eastAsia="en-US"/>
              </w:rPr>
              <w:t xml:space="preserve">Young et al. (2012, ch. 164); Young (2014, ch. 172); Young et al. (2016, ds 2, ch. 208); Ristevski et al. (2018, ds 2, ch. 271); Smith et al. (in review, ds 1, ch. 276); </w:t>
            </w:r>
            <w:r>
              <w:rPr>
                <w:i/>
                <w:sz w:val="20"/>
                <w:szCs w:val="20"/>
              </w:rPr>
              <w:t>Ősi et al. (in review, ds 1, ch. 308)</w:t>
            </w:r>
            <w:r>
              <w:rPr>
                <w:i/>
                <w:sz w:val="20"/>
                <w:szCs w:val="20"/>
                <w:lang w:eastAsia="en-US"/>
              </w:rPr>
              <w:t>.</w:t>
            </w:r>
          </w:p>
          <w:p w14:paraId="11AE0C90" w14:textId="77777777" w:rsidR="00D67975" w:rsidRDefault="00D67975" w:rsidP="00D67975">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Geosaurus giganteus, G. grandis +</w:t>
            </w:r>
            <w:r>
              <w:rPr>
                <w:i/>
                <w:color w:val="000000"/>
                <w:sz w:val="20"/>
                <w:szCs w:val="20"/>
                <w:lang w:eastAsia="en-US"/>
              </w:rPr>
              <w:t xml:space="preserve"> </w:t>
            </w:r>
            <w:r>
              <w:rPr>
                <w:color w:val="000000"/>
                <w:sz w:val="20"/>
                <w:szCs w:val="20"/>
                <w:lang w:eastAsia="en-US"/>
              </w:rPr>
              <w:t>Ieldraan melkshamensis.</w:t>
            </w:r>
          </w:p>
          <w:p w14:paraId="5D249A6C" w14:textId="77777777" w:rsidR="00D67975" w:rsidRDefault="00D67975" w:rsidP="00D67975">
            <w:pPr>
              <w:rPr>
                <w:color w:val="000000"/>
                <w:sz w:val="20"/>
                <w:szCs w:val="20"/>
                <w:lang w:eastAsia="en-US"/>
              </w:rPr>
            </w:pPr>
            <w:r>
              <w:rPr>
                <w:color w:val="000000"/>
                <w:sz w:val="20"/>
                <w:szCs w:val="20"/>
                <w:lang w:eastAsia="en-US"/>
              </w:rPr>
              <w:t>0. absent, either lacking facets, or facetted into 4–5 indistinct planes</w:t>
            </w:r>
          </w:p>
          <w:p w14:paraId="6044FE38" w14:textId="77777777" w:rsidR="00D67975" w:rsidRDefault="00D67975" w:rsidP="00D67975">
            <w:pPr>
              <w:rPr>
                <w:color w:val="000000"/>
                <w:sz w:val="20"/>
                <w:szCs w:val="20"/>
                <w:lang w:eastAsia="en-US"/>
              </w:rPr>
            </w:pPr>
            <w:r>
              <w:rPr>
                <w:color w:val="000000"/>
                <w:sz w:val="20"/>
                <w:szCs w:val="20"/>
                <w:lang w:eastAsia="en-US"/>
              </w:rPr>
              <w:t>1. present, most crowns have the labial surface distinctly facetted into three planes (one large medial one, and two smaller planes either side)</w:t>
            </w:r>
          </w:p>
        </w:tc>
      </w:tr>
      <w:tr w:rsidR="00D67975" w14:paraId="62C97F75" w14:textId="77777777" w:rsidTr="00D67975">
        <w:tc>
          <w:tcPr>
            <w:tcW w:w="0" w:type="auto"/>
            <w:tcBorders>
              <w:top w:val="single" w:sz="4" w:space="0" w:color="auto"/>
              <w:left w:val="single" w:sz="4" w:space="0" w:color="auto"/>
              <w:bottom w:val="single" w:sz="4" w:space="0" w:color="auto"/>
              <w:right w:val="single" w:sz="4" w:space="0" w:color="auto"/>
            </w:tcBorders>
          </w:tcPr>
          <w:p w14:paraId="23151534" w14:textId="3B5B55EF" w:rsidR="00D67975" w:rsidRDefault="009E2821" w:rsidP="00D67975">
            <w:pPr>
              <w:rPr>
                <w:color w:val="000000"/>
                <w:sz w:val="20"/>
                <w:szCs w:val="20"/>
                <w:lang w:eastAsia="en-US"/>
              </w:rPr>
            </w:pPr>
            <w:r>
              <w:rPr>
                <w:color w:val="000000"/>
                <w:sz w:val="20"/>
                <w:szCs w:val="20"/>
                <w:lang w:eastAsia="en-US"/>
              </w:rPr>
              <w:t>312</w:t>
            </w:r>
          </w:p>
        </w:tc>
        <w:tc>
          <w:tcPr>
            <w:tcW w:w="0" w:type="auto"/>
            <w:tcBorders>
              <w:top w:val="single" w:sz="4" w:space="0" w:color="auto"/>
              <w:left w:val="single" w:sz="4" w:space="0" w:color="auto"/>
              <w:bottom w:val="single" w:sz="4" w:space="0" w:color="auto"/>
              <w:right w:val="single" w:sz="4" w:space="0" w:color="auto"/>
            </w:tcBorders>
            <w:vAlign w:val="bottom"/>
            <w:hideMark/>
          </w:tcPr>
          <w:p w14:paraId="7ADB237C" w14:textId="77777777" w:rsidR="00D67975" w:rsidRDefault="00D67975" w:rsidP="00D67975">
            <w:pPr>
              <w:rPr>
                <w:b/>
                <w:color w:val="000000"/>
                <w:sz w:val="20"/>
                <w:szCs w:val="20"/>
                <w:lang w:eastAsia="en-US"/>
              </w:rPr>
            </w:pPr>
            <w:r>
              <w:rPr>
                <w:b/>
                <w:color w:val="000000"/>
                <w:sz w:val="20"/>
                <w:szCs w:val="20"/>
                <w:lang w:eastAsia="en-US"/>
              </w:rPr>
              <w:t>Dentition, presence of laminar teeth:</w:t>
            </w:r>
          </w:p>
          <w:p w14:paraId="43ED43B5" w14:textId="3AA503FB" w:rsidR="00D67975" w:rsidRDefault="00D67975" w:rsidP="00D67975">
            <w:pPr>
              <w:autoSpaceDE w:val="0"/>
              <w:autoSpaceDN w:val="0"/>
              <w:adjustRightInd w:val="0"/>
              <w:rPr>
                <w:i/>
                <w:sz w:val="20"/>
                <w:szCs w:val="20"/>
                <w:lang w:eastAsia="en-US"/>
              </w:rPr>
            </w:pPr>
            <w:r>
              <w:rPr>
                <w:bCs/>
                <w:i/>
                <w:sz w:val="20"/>
                <w:lang w:eastAsia="en-US"/>
              </w:rPr>
              <w:t>Andrade et al. (2011, ch. 371);</w:t>
            </w:r>
            <w:r>
              <w:rPr>
                <w:i/>
                <w:sz w:val="20"/>
                <w:szCs w:val="20"/>
                <w:lang w:eastAsia="en-US"/>
              </w:rPr>
              <w:t xml:space="preserve"> </w:t>
            </w:r>
            <w:r>
              <w:rPr>
                <w:bCs/>
                <w:i/>
                <w:color w:val="000000"/>
                <w:sz w:val="20"/>
                <w:szCs w:val="20"/>
                <w:lang w:eastAsia="en-US"/>
              </w:rPr>
              <w:t xml:space="preserve">Young et al. (2011, ch. 170); Young et al. (2013a, ch. 141); </w:t>
            </w:r>
            <w:r>
              <w:rPr>
                <w:i/>
                <w:sz w:val="20"/>
                <w:szCs w:val="20"/>
                <w:lang w:eastAsia="en-US"/>
              </w:rPr>
              <w:t xml:space="preserve">Young et al. (2012, ch. 165); Young (2014, ch. 173); Young et al. (2016, ds 2, ch. 209); Ristevski et al. (2018, ds 2, ch. 272); Smith et al. (in review, ds 1, ch. 277); </w:t>
            </w:r>
            <w:r>
              <w:rPr>
                <w:i/>
                <w:sz w:val="20"/>
                <w:szCs w:val="20"/>
              </w:rPr>
              <w:t>Ősi et al. (in review, ds 1, ch. 309)</w:t>
            </w:r>
            <w:r>
              <w:rPr>
                <w:i/>
                <w:sz w:val="20"/>
                <w:szCs w:val="20"/>
                <w:lang w:eastAsia="en-US"/>
              </w:rPr>
              <w:t>.</w:t>
            </w:r>
          </w:p>
          <w:p w14:paraId="004B53BE" w14:textId="77777777" w:rsidR="00D67975" w:rsidRDefault="00D67975" w:rsidP="00D67975">
            <w:pPr>
              <w:rPr>
                <w:color w:val="000000"/>
                <w:sz w:val="20"/>
                <w:szCs w:val="20"/>
                <w:lang w:eastAsia="en-US"/>
              </w:rPr>
            </w:pPr>
            <w:r>
              <w:rPr>
                <w:i/>
                <w:color w:val="000000"/>
                <w:sz w:val="20"/>
                <w:szCs w:val="20"/>
                <w:lang w:eastAsia="en-US"/>
              </w:rPr>
              <w:t>State (1) is a putative apomorphy of Geosaurina (</w:t>
            </w:r>
            <w:r>
              <w:rPr>
                <w:color w:val="000000"/>
                <w:sz w:val="20"/>
                <w:szCs w:val="20"/>
                <w:lang w:eastAsia="en-US"/>
              </w:rPr>
              <w:t>Geosaurus +</w:t>
            </w:r>
            <w:r>
              <w:rPr>
                <w:i/>
                <w:color w:val="000000"/>
                <w:sz w:val="20"/>
                <w:szCs w:val="20"/>
                <w:lang w:eastAsia="en-US"/>
              </w:rPr>
              <w:t xml:space="preserve"> </w:t>
            </w:r>
            <w:r>
              <w:rPr>
                <w:color w:val="000000"/>
                <w:sz w:val="20"/>
                <w:szCs w:val="20"/>
                <w:lang w:eastAsia="en-US"/>
              </w:rPr>
              <w:t>Ieldraan</w:t>
            </w:r>
            <w:r>
              <w:rPr>
                <w:i/>
                <w:color w:val="000000"/>
                <w:sz w:val="20"/>
                <w:szCs w:val="20"/>
                <w:lang w:eastAsia="en-US"/>
              </w:rPr>
              <w:t>)</w:t>
            </w:r>
            <w:r>
              <w:rPr>
                <w:color w:val="000000"/>
                <w:sz w:val="20"/>
                <w:szCs w:val="20"/>
                <w:lang w:eastAsia="en-US"/>
              </w:rPr>
              <w:t>.</w:t>
            </w:r>
          </w:p>
          <w:p w14:paraId="64D86375" w14:textId="77777777" w:rsidR="00D67975" w:rsidRDefault="00D67975" w:rsidP="00D67975">
            <w:pPr>
              <w:rPr>
                <w:color w:val="000000"/>
                <w:sz w:val="20"/>
                <w:szCs w:val="20"/>
                <w:lang w:eastAsia="en-US"/>
              </w:rPr>
            </w:pPr>
            <w:r>
              <w:rPr>
                <w:i/>
                <w:iCs/>
                <w:sz w:val="20"/>
                <w:szCs w:val="20"/>
                <w:lang w:eastAsia="en-US"/>
              </w:rPr>
              <w:t>For practical purposes, 'laminar tooth' are here considered as teeth with cross-section highly elliptical at the base of crown, with mesial-distal axis approximately twice the labial-lingual axis, or greater.</w:t>
            </w:r>
          </w:p>
          <w:p w14:paraId="5C6C6BA0" w14:textId="77777777" w:rsidR="00D67975" w:rsidRDefault="00D67975" w:rsidP="00D67975">
            <w:pPr>
              <w:rPr>
                <w:color w:val="000000"/>
                <w:sz w:val="20"/>
                <w:szCs w:val="20"/>
                <w:lang w:eastAsia="en-US"/>
              </w:rPr>
            </w:pPr>
            <w:r>
              <w:rPr>
                <w:color w:val="000000"/>
                <w:sz w:val="20"/>
                <w:szCs w:val="20"/>
                <w:lang w:eastAsia="en-US"/>
              </w:rPr>
              <w:t>0. absent</w:t>
            </w:r>
          </w:p>
          <w:p w14:paraId="4669C579" w14:textId="77777777" w:rsidR="00D67975" w:rsidRDefault="00D67975" w:rsidP="00D67975">
            <w:pPr>
              <w:rPr>
                <w:color w:val="000000"/>
                <w:sz w:val="20"/>
                <w:szCs w:val="20"/>
                <w:lang w:eastAsia="en-US"/>
              </w:rPr>
            </w:pPr>
            <w:r>
              <w:rPr>
                <w:color w:val="000000"/>
                <w:sz w:val="20"/>
                <w:szCs w:val="20"/>
                <w:lang w:eastAsia="en-US"/>
              </w:rPr>
              <w:t xml:space="preserve">1. present, laminar teeth dominate dentition </w:t>
            </w:r>
          </w:p>
        </w:tc>
      </w:tr>
      <w:tr w:rsidR="00D67975" w14:paraId="53EF8894" w14:textId="77777777" w:rsidTr="00D67975">
        <w:tc>
          <w:tcPr>
            <w:tcW w:w="0" w:type="auto"/>
            <w:tcBorders>
              <w:top w:val="single" w:sz="4" w:space="0" w:color="auto"/>
              <w:left w:val="single" w:sz="4" w:space="0" w:color="auto"/>
              <w:bottom w:val="single" w:sz="4" w:space="0" w:color="auto"/>
              <w:right w:val="single" w:sz="4" w:space="0" w:color="auto"/>
            </w:tcBorders>
          </w:tcPr>
          <w:p w14:paraId="672B96CD" w14:textId="3A58387F" w:rsidR="00D67975" w:rsidRDefault="009E2821" w:rsidP="00D67975">
            <w:pPr>
              <w:rPr>
                <w:color w:val="000000"/>
                <w:sz w:val="20"/>
                <w:szCs w:val="20"/>
                <w:lang w:eastAsia="en-US"/>
              </w:rPr>
            </w:pPr>
            <w:r>
              <w:rPr>
                <w:color w:val="000000"/>
                <w:sz w:val="20"/>
                <w:szCs w:val="20"/>
                <w:lang w:eastAsia="en-US"/>
              </w:rPr>
              <w:t>313</w:t>
            </w:r>
          </w:p>
        </w:tc>
        <w:tc>
          <w:tcPr>
            <w:tcW w:w="0" w:type="auto"/>
            <w:tcBorders>
              <w:top w:val="single" w:sz="4" w:space="0" w:color="auto"/>
              <w:left w:val="single" w:sz="4" w:space="0" w:color="auto"/>
              <w:bottom w:val="single" w:sz="4" w:space="0" w:color="auto"/>
              <w:right w:val="single" w:sz="4" w:space="0" w:color="auto"/>
            </w:tcBorders>
            <w:vAlign w:val="bottom"/>
            <w:hideMark/>
          </w:tcPr>
          <w:p w14:paraId="0E451483" w14:textId="77777777" w:rsidR="00D67975" w:rsidRDefault="00D67975" w:rsidP="00D67975">
            <w:pPr>
              <w:autoSpaceDE w:val="0"/>
              <w:autoSpaceDN w:val="0"/>
              <w:adjustRightInd w:val="0"/>
              <w:rPr>
                <w:b/>
                <w:bCs/>
                <w:sz w:val="20"/>
                <w:szCs w:val="20"/>
                <w:lang w:eastAsia="en-US"/>
              </w:rPr>
            </w:pPr>
            <w:r>
              <w:rPr>
                <w:b/>
                <w:bCs/>
                <w:sz w:val="20"/>
                <w:szCs w:val="20"/>
                <w:lang w:eastAsia="en-US"/>
              </w:rPr>
              <w:t>Dentition, presence of spatulated teeth:</w:t>
            </w:r>
          </w:p>
          <w:p w14:paraId="0B30977F" w14:textId="6EFDD5FF" w:rsidR="00D67975" w:rsidRDefault="00D67975" w:rsidP="00D67975">
            <w:pPr>
              <w:autoSpaceDE w:val="0"/>
              <w:autoSpaceDN w:val="0"/>
              <w:adjustRightInd w:val="0"/>
              <w:rPr>
                <w:b/>
                <w:bCs/>
                <w:sz w:val="20"/>
                <w:szCs w:val="20"/>
                <w:lang w:eastAsia="en-US"/>
              </w:rPr>
            </w:pPr>
            <w:r>
              <w:rPr>
                <w:bCs/>
                <w:i/>
                <w:sz w:val="20"/>
                <w:szCs w:val="20"/>
                <w:lang w:eastAsia="en-US"/>
              </w:rPr>
              <w:t xml:space="preserve">Buckley </w:t>
            </w:r>
            <w:r>
              <w:rPr>
                <w:bCs/>
                <w:i/>
                <w:iCs/>
                <w:sz w:val="20"/>
                <w:szCs w:val="20"/>
                <w:lang w:eastAsia="en-US"/>
              </w:rPr>
              <w:t>et al. (</w:t>
            </w:r>
            <w:r>
              <w:rPr>
                <w:bCs/>
                <w:i/>
                <w:sz w:val="20"/>
                <w:szCs w:val="20"/>
                <w:lang w:eastAsia="en-US"/>
              </w:rPr>
              <w:t>2000, ch. 116 modified);</w:t>
            </w:r>
            <w:r>
              <w:rPr>
                <w:b/>
                <w:bCs/>
                <w:sz w:val="20"/>
                <w:szCs w:val="20"/>
                <w:lang w:eastAsia="en-US"/>
              </w:rPr>
              <w:t xml:space="preserve"> </w:t>
            </w:r>
            <w:r>
              <w:rPr>
                <w:bCs/>
                <w:i/>
                <w:sz w:val="20"/>
                <w:lang w:eastAsia="en-US"/>
              </w:rPr>
              <w:t>Andrade et al. (2011, ch. 372);</w:t>
            </w:r>
            <w:r>
              <w:rPr>
                <w:i/>
                <w:sz w:val="20"/>
                <w:szCs w:val="20"/>
                <w:lang w:eastAsia="en-US"/>
              </w:rPr>
              <w:t xml:space="preserve"> Ristevski et al. (2018, ds 1, ch. 372); Smith et al. (in review, ds 2, ch. 372); </w:t>
            </w:r>
            <w:r>
              <w:rPr>
                <w:i/>
                <w:sz w:val="20"/>
                <w:szCs w:val="20"/>
              </w:rPr>
              <w:t>Ősi et al. (in review, ds 1, ch. 310)</w:t>
            </w:r>
            <w:r>
              <w:rPr>
                <w:bCs/>
                <w:i/>
                <w:sz w:val="20"/>
                <w:lang w:eastAsia="en-US"/>
              </w:rPr>
              <w:t>.</w:t>
            </w:r>
          </w:p>
          <w:p w14:paraId="62309590" w14:textId="77777777" w:rsidR="00D67975" w:rsidRDefault="00D67975" w:rsidP="00D67975">
            <w:pPr>
              <w:autoSpaceDE w:val="0"/>
              <w:autoSpaceDN w:val="0"/>
              <w:adjustRightInd w:val="0"/>
              <w:rPr>
                <w:i/>
                <w:iCs/>
                <w:sz w:val="20"/>
                <w:szCs w:val="20"/>
                <w:lang w:eastAsia="en-US"/>
              </w:rPr>
            </w:pPr>
            <w:r>
              <w:rPr>
                <w:i/>
                <w:iCs/>
                <w:sz w:val="20"/>
                <w:szCs w:val="20"/>
                <w:lang w:eastAsia="en-US"/>
              </w:rPr>
              <w:t>The spatulated morphology refers to the morphology of the crown, not simply its compression, number of cusps or presence of cingula. Therefore, it is considered as a different character, and treated separately. However, all spatulated teeth are considered as laterally compressed.</w:t>
            </w:r>
          </w:p>
          <w:p w14:paraId="7CE69884" w14:textId="77777777" w:rsidR="00D67975" w:rsidRDefault="00D67975" w:rsidP="00D67975">
            <w:pPr>
              <w:autoSpaceDE w:val="0"/>
              <w:autoSpaceDN w:val="0"/>
              <w:adjustRightInd w:val="0"/>
              <w:rPr>
                <w:b/>
                <w:bCs/>
                <w:sz w:val="20"/>
                <w:szCs w:val="20"/>
                <w:lang w:eastAsia="en-US"/>
              </w:rPr>
            </w:pPr>
            <w:r>
              <w:rPr>
                <w:bCs/>
                <w:i/>
                <w:sz w:val="20"/>
                <w:lang w:eastAsia="en-US"/>
              </w:rPr>
              <w:t xml:space="preserve">State (1) occurs in </w:t>
            </w:r>
            <w:r>
              <w:rPr>
                <w:bCs/>
                <w:sz w:val="20"/>
                <w:lang w:eastAsia="en-US"/>
              </w:rPr>
              <w:t xml:space="preserve">Candidodon, Malawisuchus </w:t>
            </w:r>
            <w:r>
              <w:rPr>
                <w:bCs/>
                <w:i/>
                <w:sz w:val="20"/>
                <w:lang w:eastAsia="en-US"/>
              </w:rPr>
              <w:t xml:space="preserve">and </w:t>
            </w:r>
            <w:r>
              <w:rPr>
                <w:bCs/>
                <w:sz w:val="20"/>
                <w:lang w:eastAsia="en-US"/>
              </w:rPr>
              <w:t>Uruguaysuchus</w:t>
            </w:r>
            <w:r>
              <w:rPr>
                <w:bCs/>
                <w:i/>
                <w:sz w:val="20"/>
                <w:lang w:eastAsia="en-US"/>
              </w:rPr>
              <w:t>.</w:t>
            </w:r>
          </w:p>
          <w:p w14:paraId="3575ECAD" w14:textId="77777777" w:rsidR="00D67975" w:rsidRDefault="00D67975" w:rsidP="00D67975">
            <w:pPr>
              <w:autoSpaceDE w:val="0"/>
              <w:autoSpaceDN w:val="0"/>
              <w:adjustRightInd w:val="0"/>
              <w:rPr>
                <w:sz w:val="20"/>
                <w:szCs w:val="20"/>
                <w:lang w:eastAsia="en-US"/>
              </w:rPr>
            </w:pPr>
            <w:r>
              <w:rPr>
                <w:sz w:val="20"/>
                <w:szCs w:val="20"/>
                <w:lang w:eastAsia="en-US"/>
              </w:rPr>
              <w:t>0. absent</w:t>
            </w:r>
          </w:p>
          <w:p w14:paraId="080571E8" w14:textId="77777777" w:rsidR="00D67975" w:rsidRDefault="00D67975" w:rsidP="00D67975">
            <w:pPr>
              <w:rPr>
                <w:b/>
                <w:color w:val="000000"/>
                <w:sz w:val="20"/>
                <w:szCs w:val="20"/>
                <w:lang w:eastAsia="en-US"/>
              </w:rPr>
            </w:pPr>
            <w:r>
              <w:rPr>
                <w:sz w:val="20"/>
                <w:szCs w:val="20"/>
                <w:lang w:eastAsia="en-US"/>
              </w:rPr>
              <w:t>1. present</w:t>
            </w:r>
          </w:p>
        </w:tc>
      </w:tr>
      <w:tr w:rsidR="00D67975" w14:paraId="515C8655" w14:textId="77777777" w:rsidTr="00D67975">
        <w:tc>
          <w:tcPr>
            <w:tcW w:w="0" w:type="auto"/>
            <w:tcBorders>
              <w:top w:val="single" w:sz="4" w:space="0" w:color="auto"/>
              <w:left w:val="single" w:sz="4" w:space="0" w:color="auto"/>
              <w:bottom w:val="single" w:sz="4" w:space="0" w:color="auto"/>
              <w:right w:val="single" w:sz="4" w:space="0" w:color="auto"/>
            </w:tcBorders>
          </w:tcPr>
          <w:p w14:paraId="2757718E" w14:textId="02A144D0" w:rsidR="00D67975" w:rsidRDefault="009E2821" w:rsidP="00D67975">
            <w:pPr>
              <w:rPr>
                <w:color w:val="000000"/>
                <w:sz w:val="20"/>
                <w:szCs w:val="20"/>
                <w:lang w:eastAsia="en-US"/>
              </w:rPr>
            </w:pPr>
            <w:r>
              <w:rPr>
                <w:color w:val="000000"/>
                <w:sz w:val="20"/>
                <w:szCs w:val="20"/>
                <w:lang w:eastAsia="en-US"/>
              </w:rPr>
              <w:t>314</w:t>
            </w:r>
          </w:p>
        </w:tc>
        <w:tc>
          <w:tcPr>
            <w:tcW w:w="0" w:type="auto"/>
            <w:tcBorders>
              <w:top w:val="single" w:sz="4" w:space="0" w:color="auto"/>
              <w:left w:val="single" w:sz="4" w:space="0" w:color="auto"/>
              <w:bottom w:val="single" w:sz="4" w:space="0" w:color="auto"/>
              <w:right w:val="single" w:sz="4" w:space="0" w:color="auto"/>
            </w:tcBorders>
            <w:vAlign w:val="bottom"/>
            <w:hideMark/>
          </w:tcPr>
          <w:p w14:paraId="60AC1B9E" w14:textId="77777777" w:rsidR="00D67975" w:rsidRDefault="00D67975" w:rsidP="00D67975">
            <w:pPr>
              <w:rPr>
                <w:b/>
                <w:color w:val="000000"/>
                <w:sz w:val="20"/>
                <w:szCs w:val="20"/>
                <w:lang w:eastAsia="en-US"/>
              </w:rPr>
            </w:pPr>
            <w:r>
              <w:rPr>
                <w:b/>
                <w:color w:val="000000"/>
                <w:sz w:val="20"/>
                <w:szCs w:val="20"/>
                <w:lang w:eastAsia="en-US"/>
              </w:rPr>
              <w:t xml:space="preserve">Dentition, presence of tribodont teeth in both the posterior maxillae and dentaries: </w:t>
            </w:r>
          </w:p>
          <w:p w14:paraId="45AC5DBB" w14:textId="7C1E23E4" w:rsidR="00D67975" w:rsidRDefault="00D67975" w:rsidP="00D67975">
            <w:pPr>
              <w:rPr>
                <w:i/>
                <w:color w:val="000000"/>
                <w:sz w:val="20"/>
                <w:szCs w:val="20"/>
                <w:lang w:eastAsia="en-US"/>
              </w:rPr>
            </w:pPr>
            <w:r>
              <w:rPr>
                <w:i/>
                <w:sz w:val="20"/>
                <w:szCs w:val="20"/>
                <w:lang w:eastAsia="en-US"/>
              </w:rPr>
              <w:t xml:space="preserve">Ristevski et al. (2018, ds 2, ch. 274); Smith et al. (in review, ds 1, ch. 279); </w:t>
            </w:r>
            <w:r>
              <w:rPr>
                <w:i/>
                <w:sz w:val="20"/>
                <w:szCs w:val="20"/>
              </w:rPr>
              <w:t>Ősi et al. (in review, ds 1, ch. 311)</w:t>
            </w:r>
            <w:r>
              <w:rPr>
                <w:i/>
                <w:sz w:val="20"/>
                <w:szCs w:val="20"/>
                <w:lang w:eastAsia="en-US"/>
              </w:rPr>
              <w:t>.</w:t>
            </w:r>
          </w:p>
          <w:p w14:paraId="0094A6E7" w14:textId="77777777" w:rsidR="00D67975" w:rsidRDefault="00D67975" w:rsidP="00D67975">
            <w:pPr>
              <w:rPr>
                <w:color w:val="000000"/>
                <w:sz w:val="20"/>
                <w:szCs w:val="20"/>
                <w:lang w:eastAsia="en-US"/>
              </w:rPr>
            </w:pPr>
            <w:r>
              <w:rPr>
                <w:i/>
                <w:color w:val="000000"/>
                <w:sz w:val="20"/>
                <w:szCs w:val="20"/>
                <w:lang w:eastAsia="en-US"/>
              </w:rPr>
              <w:t>State (1) occurs in Bernissartiidae and in some alligatoroids</w:t>
            </w:r>
            <w:r>
              <w:rPr>
                <w:color w:val="000000"/>
                <w:sz w:val="20"/>
                <w:szCs w:val="20"/>
                <w:lang w:eastAsia="en-US"/>
              </w:rPr>
              <w:t>.</w:t>
            </w:r>
          </w:p>
          <w:p w14:paraId="61D3A8D5" w14:textId="77777777" w:rsidR="00D67975" w:rsidRDefault="00D67975" w:rsidP="00D67975">
            <w:pPr>
              <w:rPr>
                <w:i/>
                <w:color w:val="000000"/>
                <w:sz w:val="20"/>
                <w:szCs w:val="20"/>
                <w:lang w:eastAsia="en-US"/>
              </w:rPr>
            </w:pPr>
            <w:r>
              <w:rPr>
                <w:i/>
                <w:color w:val="000000"/>
                <w:sz w:val="20"/>
                <w:szCs w:val="20"/>
                <w:lang w:eastAsia="en-US"/>
              </w:rPr>
              <w:t>For practical purposes, ‘tribodont teeth’ are here considered as teeth that are ‘low crowned’, bulbous, mesiodistally compressed, single cusped, and lack carinae.</w:t>
            </w:r>
          </w:p>
          <w:p w14:paraId="1000E713" w14:textId="77777777" w:rsidR="00D67975" w:rsidRDefault="00D67975" w:rsidP="00D67975">
            <w:pPr>
              <w:rPr>
                <w:color w:val="000000"/>
                <w:sz w:val="20"/>
                <w:szCs w:val="20"/>
                <w:lang w:eastAsia="en-US"/>
              </w:rPr>
            </w:pPr>
            <w:r>
              <w:rPr>
                <w:color w:val="000000"/>
                <w:sz w:val="20"/>
                <w:szCs w:val="20"/>
                <w:lang w:eastAsia="en-US"/>
              </w:rPr>
              <w:t xml:space="preserve">0. absent </w:t>
            </w:r>
          </w:p>
          <w:p w14:paraId="0DAD6DDE" w14:textId="77777777" w:rsidR="00D67975" w:rsidRDefault="00D67975" w:rsidP="00D67975">
            <w:pPr>
              <w:autoSpaceDE w:val="0"/>
              <w:autoSpaceDN w:val="0"/>
              <w:adjustRightInd w:val="0"/>
              <w:rPr>
                <w:rFonts w:ascii="TimesNewRoman" w:hAnsi="TimesNewRoman" w:cs="TimesNewRoman"/>
                <w:lang w:eastAsia="en-US"/>
              </w:rPr>
            </w:pPr>
            <w:r>
              <w:rPr>
                <w:color w:val="000000"/>
                <w:sz w:val="20"/>
                <w:szCs w:val="20"/>
                <w:lang w:eastAsia="en-US"/>
              </w:rPr>
              <w:t>1. present</w:t>
            </w:r>
          </w:p>
        </w:tc>
      </w:tr>
      <w:tr w:rsidR="00D67975" w14:paraId="10377C52" w14:textId="77777777" w:rsidTr="00D67975">
        <w:tc>
          <w:tcPr>
            <w:tcW w:w="0" w:type="auto"/>
            <w:tcBorders>
              <w:top w:val="single" w:sz="4" w:space="0" w:color="auto"/>
              <w:left w:val="single" w:sz="4" w:space="0" w:color="auto"/>
              <w:bottom w:val="single" w:sz="4" w:space="0" w:color="auto"/>
              <w:right w:val="single" w:sz="4" w:space="0" w:color="auto"/>
            </w:tcBorders>
          </w:tcPr>
          <w:p w14:paraId="659A5CEB" w14:textId="5534D6F7" w:rsidR="00D67975" w:rsidRDefault="009E2821" w:rsidP="00D67975">
            <w:pPr>
              <w:rPr>
                <w:color w:val="000000"/>
                <w:sz w:val="20"/>
                <w:szCs w:val="20"/>
                <w:lang w:eastAsia="en-US"/>
              </w:rPr>
            </w:pPr>
            <w:r>
              <w:rPr>
                <w:color w:val="000000"/>
                <w:sz w:val="20"/>
                <w:szCs w:val="20"/>
                <w:lang w:eastAsia="en-US"/>
              </w:rPr>
              <w:t>315</w:t>
            </w:r>
          </w:p>
        </w:tc>
        <w:tc>
          <w:tcPr>
            <w:tcW w:w="0" w:type="auto"/>
            <w:tcBorders>
              <w:top w:val="single" w:sz="4" w:space="0" w:color="auto"/>
              <w:left w:val="single" w:sz="4" w:space="0" w:color="auto"/>
              <w:bottom w:val="single" w:sz="4" w:space="0" w:color="auto"/>
              <w:right w:val="single" w:sz="4" w:space="0" w:color="auto"/>
            </w:tcBorders>
            <w:vAlign w:val="bottom"/>
            <w:hideMark/>
          </w:tcPr>
          <w:p w14:paraId="6DEB8EBE" w14:textId="77777777" w:rsidR="00D67975" w:rsidRDefault="00D67975" w:rsidP="00D67975">
            <w:pPr>
              <w:autoSpaceDE w:val="0"/>
              <w:autoSpaceDN w:val="0"/>
              <w:adjustRightInd w:val="0"/>
              <w:rPr>
                <w:b/>
                <w:bCs/>
                <w:sz w:val="20"/>
                <w:szCs w:val="20"/>
                <w:lang w:eastAsia="en-US"/>
              </w:rPr>
            </w:pPr>
            <w:r>
              <w:rPr>
                <w:b/>
                <w:bCs/>
                <w:sz w:val="20"/>
                <w:szCs w:val="20"/>
                <w:lang w:eastAsia="en-US"/>
              </w:rPr>
              <w:t>Mid to posterior dentition, presence of pebbled ornamentation on tooth crown surface:</w:t>
            </w:r>
          </w:p>
          <w:p w14:paraId="00CFF408" w14:textId="66871CFA" w:rsidR="00D67975" w:rsidRDefault="00D67975" w:rsidP="00D67975">
            <w:pPr>
              <w:autoSpaceDE w:val="0"/>
              <w:autoSpaceDN w:val="0"/>
              <w:adjustRightInd w:val="0"/>
              <w:rPr>
                <w:i/>
                <w:iCs/>
                <w:sz w:val="20"/>
                <w:szCs w:val="20"/>
                <w:lang w:eastAsia="en-US"/>
              </w:rPr>
            </w:pPr>
            <w:r>
              <w:rPr>
                <w:bCs/>
                <w:i/>
                <w:sz w:val="20"/>
                <w:lang w:eastAsia="en-US"/>
              </w:rPr>
              <w:t>Andrade et al. (2011, ch. 374);</w:t>
            </w:r>
            <w:r>
              <w:rPr>
                <w:i/>
                <w:sz w:val="20"/>
                <w:szCs w:val="20"/>
                <w:lang w:eastAsia="en-US"/>
              </w:rPr>
              <w:t xml:space="preserve"> Ristevski et al. (2018, ds 1, ch. 374); Smith et al. (in review, ds 2, ch. 374); </w:t>
            </w:r>
            <w:r>
              <w:rPr>
                <w:i/>
                <w:sz w:val="20"/>
                <w:szCs w:val="20"/>
              </w:rPr>
              <w:t>Ősi et al. (in review, ds 1, ch. 312)</w:t>
            </w:r>
            <w:r>
              <w:rPr>
                <w:bCs/>
                <w:i/>
                <w:sz w:val="20"/>
                <w:lang w:eastAsia="en-US"/>
              </w:rPr>
              <w:t>.</w:t>
            </w:r>
          </w:p>
          <w:p w14:paraId="44D184B0" w14:textId="77777777" w:rsidR="00D67975" w:rsidRDefault="00D67975" w:rsidP="00D67975">
            <w:pPr>
              <w:autoSpaceDE w:val="0"/>
              <w:autoSpaceDN w:val="0"/>
              <w:adjustRightInd w:val="0"/>
              <w:rPr>
                <w:i/>
                <w:iCs/>
                <w:sz w:val="20"/>
                <w:szCs w:val="20"/>
                <w:lang w:eastAsia="en-US"/>
              </w:rPr>
            </w:pPr>
            <w:r>
              <w:rPr>
                <w:i/>
                <w:iCs/>
                <w:sz w:val="20"/>
                <w:szCs w:val="20"/>
                <w:lang w:eastAsia="en-US"/>
              </w:rPr>
              <w:t>State (1) is putative apomorphy of Sphagesauridae.</w:t>
            </w:r>
          </w:p>
          <w:p w14:paraId="34DC2D1B" w14:textId="77777777" w:rsidR="00D67975" w:rsidRDefault="00D67975" w:rsidP="00D67975">
            <w:pPr>
              <w:autoSpaceDE w:val="0"/>
              <w:autoSpaceDN w:val="0"/>
              <w:adjustRightInd w:val="0"/>
              <w:rPr>
                <w:i/>
                <w:iCs/>
                <w:sz w:val="20"/>
                <w:szCs w:val="20"/>
                <w:lang w:eastAsia="en-US"/>
              </w:rPr>
            </w:pPr>
            <w:r>
              <w:rPr>
                <w:sz w:val="20"/>
                <w:szCs w:val="20"/>
                <w:lang w:eastAsia="en-US"/>
              </w:rPr>
              <w:t>0. absent</w:t>
            </w:r>
          </w:p>
          <w:p w14:paraId="7DBB2997" w14:textId="77777777" w:rsidR="00D67975" w:rsidRDefault="00D67975" w:rsidP="00D67975">
            <w:pPr>
              <w:rPr>
                <w:b/>
                <w:color w:val="000000"/>
                <w:sz w:val="20"/>
                <w:szCs w:val="20"/>
                <w:lang w:eastAsia="en-US"/>
              </w:rPr>
            </w:pPr>
            <w:r>
              <w:rPr>
                <w:sz w:val="20"/>
                <w:szCs w:val="20"/>
                <w:lang w:eastAsia="en-US"/>
              </w:rPr>
              <w:lastRenderedPageBreak/>
              <w:t>1. present, enamel ornamented with a peebled pattern</w:t>
            </w:r>
          </w:p>
        </w:tc>
      </w:tr>
      <w:tr w:rsidR="00D67975" w14:paraId="58C55778" w14:textId="77777777" w:rsidTr="00D67975">
        <w:tc>
          <w:tcPr>
            <w:tcW w:w="0" w:type="auto"/>
            <w:tcBorders>
              <w:top w:val="single" w:sz="4" w:space="0" w:color="auto"/>
              <w:left w:val="single" w:sz="4" w:space="0" w:color="auto"/>
              <w:bottom w:val="single" w:sz="4" w:space="0" w:color="auto"/>
              <w:right w:val="single" w:sz="4" w:space="0" w:color="auto"/>
            </w:tcBorders>
          </w:tcPr>
          <w:p w14:paraId="3BA91002" w14:textId="057129DF" w:rsidR="00D67975" w:rsidRDefault="009E2821" w:rsidP="00D67975">
            <w:pPr>
              <w:rPr>
                <w:color w:val="000000"/>
                <w:sz w:val="20"/>
                <w:szCs w:val="20"/>
                <w:lang w:eastAsia="en-US"/>
              </w:rPr>
            </w:pPr>
            <w:r>
              <w:rPr>
                <w:color w:val="000000"/>
                <w:sz w:val="20"/>
                <w:szCs w:val="20"/>
                <w:lang w:eastAsia="en-US"/>
              </w:rPr>
              <w:lastRenderedPageBreak/>
              <w:t>316</w:t>
            </w:r>
          </w:p>
        </w:tc>
        <w:tc>
          <w:tcPr>
            <w:tcW w:w="0" w:type="auto"/>
            <w:tcBorders>
              <w:top w:val="single" w:sz="4" w:space="0" w:color="auto"/>
              <w:left w:val="single" w:sz="4" w:space="0" w:color="auto"/>
              <w:bottom w:val="single" w:sz="4" w:space="0" w:color="auto"/>
              <w:right w:val="single" w:sz="4" w:space="0" w:color="auto"/>
            </w:tcBorders>
            <w:vAlign w:val="bottom"/>
            <w:hideMark/>
          </w:tcPr>
          <w:p w14:paraId="5FD7FBBC" w14:textId="77777777" w:rsidR="00D67975" w:rsidRDefault="00D67975" w:rsidP="00D67975">
            <w:pPr>
              <w:autoSpaceDE w:val="0"/>
              <w:autoSpaceDN w:val="0"/>
              <w:adjustRightInd w:val="0"/>
              <w:rPr>
                <w:b/>
                <w:bCs/>
                <w:sz w:val="20"/>
                <w:szCs w:val="20"/>
                <w:lang w:eastAsia="en-US"/>
              </w:rPr>
            </w:pPr>
            <w:r>
              <w:rPr>
                <w:b/>
                <w:bCs/>
                <w:sz w:val="20"/>
                <w:szCs w:val="20"/>
                <w:lang w:eastAsia="en-US"/>
              </w:rPr>
              <w:t>Mid to posterior dentition, presence of accessory ridges on labial-lingual surfaces of crown:</w:t>
            </w:r>
          </w:p>
          <w:p w14:paraId="7BE1416C" w14:textId="160DA7A7" w:rsidR="00D67975" w:rsidRDefault="00D67975" w:rsidP="00D67975">
            <w:pPr>
              <w:autoSpaceDE w:val="0"/>
              <w:autoSpaceDN w:val="0"/>
              <w:adjustRightInd w:val="0"/>
              <w:rPr>
                <w:i/>
                <w:iCs/>
                <w:sz w:val="20"/>
                <w:szCs w:val="20"/>
                <w:lang w:eastAsia="en-US"/>
              </w:rPr>
            </w:pPr>
            <w:r>
              <w:rPr>
                <w:bCs/>
                <w:i/>
                <w:sz w:val="20"/>
                <w:lang w:eastAsia="en-US"/>
              </w:rPr>
              <w:t>Andrade et al. (2011, ch. 376);</w:t>
            </w:r>
            <w:r>
              <w:rPr>
                <w:i/>
                <w:sz w:val="20"/>
                <w:szCs w:val="20"/>
                <w:lang w:eastAsia="en-US"/>
              </w:rPr>
              <w:t xml:space="preserve"> Ristevski et al. (2018, ds 1, ch. 376); Smith et al. (in review, ds 2, ch. 376); </w:t>
            </w:r>
            <w:r>
              <w:rPr>
                <w:i/>
                <w:sz w:val="20"/>
                <w:szCs w:val="20"/>
              </w:rPr>
              <w:t>Ősi et al. (in review, ds 1, ch. 313)</w:t>
            </w:r>
            <w:r>
              <w:rPr>
                <w:bCs/>
                <w:i/>
                <w:sz w:val="20"/>
                <w:lang w:eastAsia="en-US"/>
              </w:rPr>
              <w:t>.</w:t>
            </w:r>
          </w:p>
          <w:p w14:paraId="0B97BC2E"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The ridges present in </w:t>
            </w:r>
            <w:r>
              <w:rPr>
                <w:sz w:val="20"/>
                <w:szCs w:val="20"/>
                <w:lang w:eastAsia="en-US"/>
              </w:rPr>
              <w:t xml:space="preserve">Notosuchus </w:t>
            </w:r>
            <w:r>
              <w:rPr>
                <w:i/>
                <w:iCs/>
                <w:sz w:val="20"/>
                <w:szCs w:val="20"/>
                <w:lang w:eastAsia="en-US"/>
              </w:rPr>
              <w:t>and sphagesaurids do involve enamel and dentine, therefore should not be considered as superficial ornamentation.</w:t>
            </w:r>
          </w:p>
          <w:p w14:paraId="571AF292"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(1) occurs in </w:t>
            </w:r>
            <w:r>
              <w:rPr>
                <w:iCs/>
                <w:sz w:val="20"/>
                <w:szCs w:val="20"/>
                <w:lang w:eastAsia="en-US"/>
              </w:rPr>
              <w:t xml:space="preserve">Notosuchus </w:t>
            </w:r>
            <w:r>
              <w:rPr>
                <w:i/>
                <w:iCs/>
                <w:sz w:val="20"/>
                <w:szCs w:val="20"/>
                <w:lang w:eastAsia="en-US"/>
              </w:rPr>
              <w:t xml:space="preserve">and in derived sphagesaurids (i.e. not </w:t>
            </w:r>
            <w:r>
              <w:rPr>
                <w:iCs/>
                <w:sz w:val="20"/>
                <w:szCs w:val="20"/>
                <w:lang w:eastAsia="en-US"/>
              </w:rPr>
              <w:t xml:space="preserve">Adamantinasuchus </w:t>
            </w:r>
            <w:r>
              <w:rPr>
                <w:i/>
                <w:iCs/>
                <w:sz w:val="20"/>
                <w:szCs w:val="20"/>
                <w:lang w:eastAsia="en-US"/>
              </w:rPr>
              <w:t xml:space="preserve">and </w:t>
            </w:r>
            <w:r>
              <w:rPr>
                <w:iCs/>
                <w:sz w:val="20"/>
                <w:szCs w:val="20"/>
                <w:lang w:eastAsia="en-US"/>
              </w:rPr>
              <w:t>Yacareni</w:t>
            </w:r>
            <w:r>
              <w:rPr>
                <w:i/>
                <w:iCs/>
                <w:sz w:val="20"/>
                <w:szCs w:val="20"/>
                <w:lang w:eastAsia="en-US"/>
              </w:rPr>
              <w:t>).</w:t>
            </w:r>
          </w:p>
          <w:p w14:paraId="3FD8BE47" w14:textId="77777777" w:rsidR="00D67975" w:rsidRDefault="00D67975" w:rsidP="00D67975">
            <w:pPr>
              <w:autoSpaceDE w:val="0"/>
              <w:autoSpaceDN w:val="0"/>
              <w:adjustRightInd w:val="0"/>
              <w:rPr>
                <w:sz w:val="20"/>
                <w:szCs w:val="20"/>
                <w:lang w:eastAsia="en-US"/>
              </w:rPr>
            </w:pPr>
            <w:r>
              <w:rPr>
                <w:sz w:val="20"/>
                <w:szCs w:val="20"/>
                <w:lang w:eastAsia="en-US"/>
              </w:rPr>
              <w:t>0. absent</w:t>
            </w:r>
          </w:p>
          <w:p w14:paraId="79089191" w14:textId="77777777" w:rsidR="00D67975" w:rsidRDefault="00D67975" w:rsidP="00D67975">
            <w:pPr>
              <w:rPr>
                <w:b/>
                <w:color w:val="000000"/>
                <w:sz w:val="20"/>
                <w:szCs w:val="20"/>
                <w:lang w:eastAsia="en-US"/>
              </w:rPr>
            </w:pPr>
            <w:r>
              <w:rPr>
                <w:sz w:val="20"/>
                <w:szCs w:val="20"/>
                <w:lang w:eastAsia="en-US"/>
              </w:rPr>
              <w:t>1. present, apicobasal, evident and well-spaced, formed by enamel and dentine</w:t>
            </w:r>
          </w:p>
        </w:tc>
      </w:tr>
      <w:tr w:rsidR="00D67975" w14:paraId="7A3DA5A9" w14:textId="77777777" w:rsidTr="00D67975">
        <w:tc>
          <w:tcPr>
            <w:tcW w:w="0" w:type="auto"/>
            <w:tcBorders>
              <w:top w:val="single" w:sz="4" w:space="0" w:color="auto"/>
              <w:left w:val="single" w:sz="4" w:space="0" w:color="auto"/>
              <w:bottom w:val="single" w:sz="4" w:space="0" w:color="auto"/>
              <w:right w:val="single" w:sz="4" w:space="0" w:color="auto"/>
            </w:tcBorders>
          </w:tcPr>
          <w:p w14:paraId="25B970BC" w14:textId="1A10D8C8" w:rsidR="00D67975" w:rsidRDefault="009E2821" w:rsidP="00D67975">
            <w:pPr>
              <w:rPr>
                <w:color w:val="000000"/>
                <w:sz w:val="20"/>
                <w:szCs w:val="20"/>
                <w:lang w:eastAsia="en-US"/>
              </w:rPr>
            </w:pPr>
            <w:r>
              <w:rPr>
                <w:color w:val="000000"/>
                <w:sz w:val="20"/>
                <w:szCs w:val="20"/>
                <w:lang w:eastAsia="en-US"/>
              </w:rPr>
              <w:t>317</w:t>
            </w:r>
          </w:p>
        </w:tc>
        <w:tc>
          <w:tcPr>
            <w:tcW w:w="0" w:type="auto"/>
            <w:tcBorders>
              <w:top w:val="single" w:sz="4" w:space="0" w:color="auto"/>
              <w:left w:val="single" w:sz="4" w:space="0" w:color="auto"/>
              <w:bottom w:val="single" w:sz="4" w:space="0" w:color="auto"/>
              <w:right w:val="single" w:sz="4" w:space="0" w:color="auto"/>
            </w:tcBorders>
            <w:vAlign w:val="bottom"/>
            <w:hideMark/>
          </w:tcPr>
          <w:p w14:paraId="5626A37A" w14:textId="77777777" w:rsidR="00D67975" w:rsidRDefault="00D67975" w:rsidP="00D67975">
            <w:pPr>
              <w:autoSpaceDE w:val="0"/>
              <w:autoSpaceDN w:val="0"/>
              <w:adjustRightInd w:val="0"/>
              <w:rPr>
                <w:b/>
                <w:bCs/>
                <w:sz w:val="20"/>
                <w:szCs w:val="20"/>
                <w:lang w:eastAsia="en-US"/>
              </w:rPr>
            </w:pPr>
            <w:r>
              <w:rPr>
                <w:b/>
                <w:bCs/>
                <w:sz w:val="20"/>
                <w:szCs w:val="20"/>
                <w:lang w:eastAsia="en-US"/>
              </w:rPr>
              <w:t>Mid to posterior dentition, number of cusps per tooth:</w:t>
            </w:r>
          </w:p>
          <w:p w14:paraId="235A6E97" w14:textId="5B498E4B" w:rsidR="00D67975" w:rsidRDefault="00D67975" w:rsidP="00D67975">
            <w:pPr>
              <w:autoSpaceDE w:val="0"/>
              <w:autoSpaceDN w:val="0"/>
              <w:adjustRightInd w:val="0"/>
              <w:rPr>
                <w:b/>
                <w:bCs/>
                <w:sz w:val="20"/>
                <w:szCs w:val="20"/>
                <w:lang w:eastAsia="en-US"/>
              </w:rPr>
            </w:pPr>
            <w:r>
              <w:rPr>
                <w:bCs/>
                <w:i/>
                <w:sz w:val="20"/>
                <w:szCs w:val="20"/>
                <w:lang w:eastAsia="en-US"/>
              </w:rPr>
              <w:t xml:space="preserve">Gomani (1997, ch. 46 modified); Buckley </w:t>
            </w:r>
            <w:r>
              <w:rPr>
                <w:bCs/>
                <w:i/>
                <w:iCs/>
                <w:sz w:val="20"/>
                <w:szCs w:val="20"/>
                <w:lang w:eastAsia="en-US"/>
              </w:rPr>
              <w:t>et al. (</w:t>
            </w:r>
            <w:r>
              <w:rPr>
                <w:bCs/>
                <w:i/>
                <w:sz w:val="20"/>
                <w:szCs w:val="20"/>
                <w:lang w:eastAsia="en-US"/>
              </w:rPr>
              <w:t>2000, ch. 113 modified); Pol (2003, ch. 162 modified); Turner &amp; Buckley (2008, ch. 188 modified);</w:t>
            </w:r>
            <w:r>
              <w:rPr>
                <w:b/>
                <w:bCs/>
                <w:sz w:val="20"/>
                <w:szCs w:val="20"/>
                <w:lang w:eastAsia="en-US"/>
              </w:rPr>
              <w:t xml:space="preserve"> </w:t>
            </w:r>
            <w:r>
              <w:rPr>
                <w:bCs/>
                <w:i/>
                <w:sz w:val="20"/>
                <w:lang w:eastAsia="en-US"/>
              </w:rPr>
              <w:t>Andrade et al. (2011, ch. 377);</w:t>
            </w:r>
            <w:r>
              <w:rPr>
                <w:i/>
                <w:sz w:val="20"/>
                <w:szCs w:val="20"/>
                <w:lang w:eastAsia="en-US"/>
              </w:rPr>
              <w:t xml:space="preserve"> Ristevski et al. (2018, ds 1, ch. 377); Smith et al. (in review, ds 2, ch. 377); </w:t>
            </w:r>
            <w:r>
              <w:rPr>
                <w:i/>
                <w:sz w:val="20"/>
                <w:szCs w:val="20"/>
              </w:rPr>
              <w:t>Ősi et al. (in review, ds 1, ch. 314)</w:t>
            </w:r>
            <w:r>
              <w:rPr>
                <w:bCs/>
                <w:i/>
                <w:sz w:val="20"/>
                <w:lang w:eastAsia="en-US"/>
              </w:rPr>
              <w:t>.</w:t>
            </w:r>
          </w:p>
          <w:p w14:paraId="5F516694"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This character was modified by Andrade et al. (2011), and here only the main crown is evaluated, not the presence of accessory cusps in cingula. This is considered as a separate character. However, note that states (2) and (3) sample teeth where primary and secondary rows of cusps are present, while in states (0) and (1) there is only one row. </w:t>
            </w:r>
          </w:p>
          <w:p w14:paraId="50D91FCB"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(1) occurs in </w:t>
            </w:r>
            <w:r>
              <w:rPr>
                <w:iCs/>
                <w:sz w:val="20"/>
                <w:szCs w:val="20"/>
                <w:lang w:eastAsia="en-US"/>
              </w:rPr>
              <w:t>Malawisuchus</w:t>
            </w:r>
            <w:r>
              <w:rPr>
                <w:i/>
                <w:iCs/>
                <w:sz w:val="20"/>
                <w:szCs w:val="20"/>
                <w:lang w:eastAsia="en-US"/>
              </w:rPr>
              <w:t>.</w:t>
            </w:r>
          </w:p>
          <w:p w14:paraId="34A59B65"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(2) occurs in </w:t>
            </w:r>
            <w:r>
              <w:rPr>
                <w:iCs/>
                <w:sz w:val="20"/>
                <w:szCs w:val="20"/>
                <w:lang w:eastAsia="en-US"/>
              </w:rPr>
              <w:t>Iharkutosuchus</w:t>
            </w:r>
            <w:r>
              <w:rPr>
                <w:i/>
                <w:iCs/>
                <w:sz w:val="20"/>
                <w:szCs w:val="20"/>
                <w:lang w:eastAsia="en-US"/>
              </w:rPr>
              <w:t>.</w:t>
            </w:r>
          </w:p>
          <w:p w14:paraId="504733B4"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(3) occurs in </w:t>
            </w:r>
            <w:r>
              <w:rPr>
                <w:sz w:val="20"/>
                <w:szCs w:val="20"/>
                <w:lang w:eastAsia="en-US"/>
              </w:rPr>
              <w:t xml:space="preserve">Edentosuchus </w:t>
            </w:r>
            <w:r>
              <w:rPr>
                <w:i/>
                <w:iCs/>
                <w:sz w:val="20"/>
                <w:szCs w:val="20"/>
                <w:lang w:eastAsia="en-US"/>
              </w:rPr>
              <w:t xml:space="preserve">and </w:t>
            </w:r>
            <w:r>
              <w:rPr>
                <w:iCs/>
                <w:sz w:val="20"/>
                <w:szCs w:val="20"/>
                <w:lang w:eastAsia="en-US"/>
              </w:rPr>
              <w:t>Kayentasuchus,</w:t>
            </w:r>
            <w:r>
              <w:rPr>
                <w:i/>
                <w:iCs/>
                <w:sz w:val="20"/>
                <w:szCs w:val="20"/>
                <w:lang w:eastAsia="en-US"/>
              </w:rPr>
              <w:t xml:space="preserve"> not sampled in this analysis.</w:t>
            </w:r>
          </w:p>
          <w:p w14:paraId="56975B34" w14:textId="77777777" w:rsidR="00D67975" w:rsidRDefault="00D67975" w:rsidP="00D67975">
            <w:pPr>
              <w:autoSpaceDE w:val="0"/>
              <w:autoSpaceDN w:val="0"/>
              <w:adjustRightInd w:val="0"/>
              <w:rPr>
                <w:sz w:val="20"/>
                <w:szCs w:val="20"/>
                <w:lang w:eastAsia="en-US"/>
              </w:rPr>
            </w:pPr>
            <w:r>
              <w:rPr>
                <w:sz w:val="20"/>
                <w:szCs w:val="20"/>
                <w:lang w:eastAsia="en-US"/>
              </w:rPr>
              <w:t>0. each crown has single apical cusp, regardless of presence of accessory cusps in cingula</w:t>
            </w:r>
          </w:p>
          <w:p w14:paraId="0792B96E" w14:textId="77777777" w:rsidR="00D67975" w:rsidRDefault="00D67975" w:rsidP="00D67975">
            <w:pPr>
              <w:autoSpaceDE w:val="0"/>
              <w:autoSpaceDN w:val="0"/>
              <w:adjustRightInd w:val="0"/>
              <w:rPr>
                <w:sz w:val="20"/>
                <w:szCs w:val="20"/>
                <w:lang w:eastAsia="en-US"/>
              </w:rPr>
            </w:pPr>
            <w:r>
              <w:rPr>
                <w:sz w:val="20"/>
                <w:szCs w:val="20"/>
                <w:lang w:eastAsia="en-US"/>
              </w:rPr>
              <w:t>1. each crown has one main cusp aligned with smaller cusps, arranged in a single row</w:t>
            </w:r>
          </w:p>
          <w:p w14:paraId="22E054C7" w14:textId="77777777" w:rsidR="00D67975" w:rsidRDefault="00D67975" w:rsidP="00D67975">
            <w:pPr>
              <w:autoSpaceDE w:val="0"/>
              <w:autoSpaceDN w:val="0"/>
              <w:adjustRightInd w:val="0"/>
              <w:rPr>
                <w:sz w:val="20"/>
                <w:szCs w:val="20"/>
                <w:lang w:eastAsia="en-US"/>
              </w:rPr>
            </w:pPr>
            <w:r>
              <w:rPr>
                <w:sz w:val="20"/>
                <w:szCs w:val="20"/>
                <w:lang w:eastAsia="en-US"/>
              </w:rPr>
              <w:t>2. several cusps, unequal in size, arranged in more than one row</w:t>
            </w:r>
          </w:p>
          <w:p w14:paraId="13212964" w14:textId="77777777" w:rsidR="00D67975" w:rsidRDefault="00D67975" w:rsidP="00D67975">
            <w:pPr>
              <w:rPr>
                <w:b/>
                <w:color w:val="000000"/>
                <w:sz w:val="20"/>
                <w:szCs w:val="20"/>
                <w:lang w:eastAsia="en-US"/>
              </w:rPr>
            </w:pPr>
            <w:r>
              <w:rPr>
                <w:sz w:val="20"/>
                <w:szCs w:val="20"/>
                <w:lang w:eastAsia="en-US"/>
              </w:rPr>
              <w:t>3. multiple small cusps, subequal in size, along edges of occlusal surface</w:t>
            </w:r>
          </w:p>
        </w:tc>
      </w:tr>
      <w:tr w:rsidR="00D67975" w14:paraId="081632EA" w14:textId="77777777" w:rsidTr="00D67975">
        <w:tc>
          <w:tcPr>
            <w:tcW w:w="0" w:type="auto"/>
            <w:tcBorders>
              <w:top w:val="single" w:sz="4" w:space="0" w:color="auto"/>
              <w:left w:val="single" w:sz="4" w:space="0" w:color="auto"/>
              <w:bottom w:val="single" w:sz="4" w:space="0" w:color="auto"/>
              <w:right w:val="single" w:sz="4" w:space="0" w:color="auto"/>
            </w:tcBorders>
          </w:tcPr>
          <w:p w14:paraId="2A093769" w14:textId="01A3B547" w:rsidR="00D67975" w:rsidRDefault="009E2821" w:rsidP="00D67975">
            <w:pPr>
              <w:rPr>
                <w:color w:val="000000"/>
                <w:sz w:val="20"/>
                <w:szCs w:val="20"/>
                <w:lang w:eastAsia="en-US"/>
              </w:rPr>
            </w:pPr>
            <w:r>
              <w:rPr>
                <w:color w:val="000000"/>
                <w:sz w:val="20"/>
                <w:szCs w:val="20"/>
                <w:lang w:eastAsia="en-US"/>
              </w:rPr>
              <w:t>318</w:t>
            </w:r>
          </w:p>
        </w:tc>
        <w:tc>
          <w:tcPr>
            <w:tcW w:w="0" w:type="auto"/>
            <w:tcBorders>
              <w:top w:val="single" w:sz="4" w:space="0" w:color="auto"/>
              <w:left w:val="single" w:sz="4" w:space="0" w:color="auto"/>
              <w:bottom w:val="single" w:sz="4" w:space="0" w:color="auto"/>
              <w:right w:val="single" w:sz="4" w:space="0" w:color="auto"/>
            </w:tcBorders>
            <w:vAlign w:val="bottom"/>
            <w:hideMark/>
          </w:tcPr>
          <w:p w14:paraId="3E9F8A17" w14:textId="77777777" w:rsidR="00D67975" w:rsidRDefault="00D67975" w:rsidP="00D67975">
            <w:pPr>
              <w:rPr>
                <w:b/>
                <w:color w:val="000000"/>
                <w:sz w:val="20"/>
                <w:szCs w:val="20"/>
                <w:lang w:eastAsia="en-US"/>
              </w:rPr>
            </w:pPr>
            <w:r>
              <w:rPr>
                <w:b/>
                <w:color w:val="000000"/>
                <w:sz w:val="20"/>
                <w:szCs w:val="20"/>
                <w:lang w:eastAsia="en-US"/>
              </w:rPr>
              <w:t>Tooth wear, macroscopic wear along the carinae/mesiodistal margins:</w:t>
            </w:r>
          </w:p>
          <w:p w14:paraId="0981711F" w14:textId="727D1650" w:rsidR="00D67975" w:rsidRDefault="00D67975" w:rsidP="00D67975">
            <w:pPr>
              <w:autoSpaceDE w:val="0"/>
              <w:autoSpaceDN w:val="0"/>
              <w:adjustRightInd w:val="0"/>
              <w:rPr>
                <w:i/>
                <w:sz w:val="20"/>
                <w:szCs w:val="20"/>
                <w:lang w:eastAsia="en-US"/>
              </w:rPr>
            </w:pPr>
            <w:r>
              <w:rPr>
                <w:i/>
                <w:sz w:val="20"/>
                <w:szCs w:val="20"/>
                <w:lang w:eastAsia="en-US"/>
              </w:rPr>
              <w:t xml:space="preserve">Young et al. (2016, ds 2, ch. 211); Ristevski et al. (2018, ds 2, ch. 275); Smith et al. (in review, ds 1, ch. 280); </w:t>
            </w:r>
            <w:r>
              <w:rPr>
                <w:i/>
                <w:sz w:val="20"/>
                <w:szCs w:val="20"/>
              </w:rPr>
              <w:t>Ősi et al. (in review, ds 1, ch. 315)</w:t>
            </w:r>
            <w:r>
              <w:rPr>
                <w:i/>
                <w:sz w:val="20"/>
                <w:szCs w:val="20"/>
                <w:lang w:eastAsia="en-US"/>
              </w:rPr>
              <w:t>.</w:t>
            </w:r>
          </w:p>
          <w:p w14:paraId="45DD60CB" w14:textId="77777777" w:rsidR="00D67975" w:rsidRDefault="00D67975" w:rsidP="00D67975">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Dakosaurus</w:t>
            </w:r>
            <w:r>
              <w:rPr>
                <w:i/>
                <w:color w:val="000000"/>
                <w:sz w:val="20"/>
                <w:szCs w:val="20"/>
                <w:lang w:eastAsia="en-US"/>
              </w:rPr>
              <w:t xml:space="preserve"> + Mr Leeds Dakosaur.</w:t>
            </w:r>
          </w:p>
          <w:p w14:paraId="58D71DDE" w14:textId="77777777" w:rsidR="00D67975" w:rsidRDefault="00D67975" w:rsidP="00D67975">
            <w:pPr>
              <w:rPr>
                <w:color w:val="000000"/>
                <w:sz w:val="20"/>
                <w:szCs w:val="20"/>
                <w:lang w:eastAsia="en-US"/>
              </w:rPr>
            </w:pPr>
            <w:r>
              <w:rPr>
                <w:color w:val="000000"/>
                <w:sz w:val="20"/>
                <w:szCs w:val="20"/>
                <w:lang w:eastAsia="en-US"/>
              </w:rPr>
              <w:t>0. absent</w:t>
            </w:r>
          </w:p>
          <w:p w14:paraId="4FA1AA7C" w14:textId="77777777" w:rsidR="00D67975" w:rsidRDefault="00D67975" w:rsidP="00D67975">
            <w:pPr>
              <w:rPr>
                <w:color w:val="000000"/>
                <w:sz w:val="20"/>
                <w:szCs w:val="20"/>
                <w:lang w:eastAsia="en-US"/>
              </w:rPr>
            </w:pPr>
            <w:r>
              <w:rPr>
                <w:color w:val="000000"/>
                <w:sz w:val="20"/>
                <w:szCs w:val="20"/>
                <w:lang w:eastAsia="en-US"/>
              </w:rPr>
              <w:t>1. present</w:t>
            </w:r>
          </w:p>
        </w:tc>
      </w:tr>
      <w:tr w:rsidR="00D67975" w14:paraId="13FF79F4" w14:textId="77777777" w:rsidTr="00D67975">
        <w:tc>
          <w:tcPr>
            <w:tcW w:w="0" w:type="auto"/>
            <w:tcBorders>
              <w:top w:val="single" w:sz="4" w:space="0" w:color="auto"/>
              <w:left w:val="single" w:sz="4" w:space="0" w:color="auto"/>
              <w:bottom w:val="single" w:sz="4" w:space="0" w:color="auto"/>
              <w:right w:val="single" w:sz="4" w:space="0" w:color="auto"/>
            </w:tcBorders>
          </w:tcPr>
          <w:p w14:paraId="56ABE2A5" w14:textId="5EEAE904" w:rsidR="00D67975" w:rsidRDefault="009E2821" w:rsidP="00D67975">
            <w:pPr>
              <w:rPr>
                <w:color w:val="000000"/>
                <w:sz w:val="20"/>
                <w:szCs w:val="20"/>
                <w:lang w:eastAsia="en-US"/>
              </w:rPr>
            </w:pPr>
            <w:r>
              <w:rPr>
                <w:color w:val="000000"/>
                <w:sz w:val="20"/>
                <w:szCs w:val="20"/>
                <w:lang w:eastAsia="en-US"/>
              </w:rPr>
              <w:t>319</w:t>
            </w:r>
          </w:p>
        </w:tc>
        <w:tc>
          <w:tcPr>
            <w:tcW w:w="0" w:type="auto"/>
            <w:tcBorders>
              <w:top w:val="single" w:sz="4" w:space="0" w:color="auto"/>
              <w:left w:val="single" w:sz="4" w:space="0" w:color="auto"/>
              <w:bottom w:val="single" w:sz="4" w:space="0" w:color="auto"/>
              <w:right w:val="single" w:sz="4" w:space="0" w:color="auto"/>
            </w:tcBorders>
            <w:vAlign w:val="bottom"/>
            <w:hideMark/>
          </w:tcPr>
          <w:p w14:paraId="1B22B128" w14:textId="77777777" w:rsidR="00D67975" w:rsidRDefault="00D67975" w:rsidP="00D67975">
            <w:pPr>
              <w:rPr>
                <w:b/>
                <w:color w:val="000000"/>
                <w:sz w:val="20"/>
                <w:szCs w:val="20"/>
                <w:lang w:eastAsia="en-US"/>
              </w:rPr>
            </w:pPr>
            <w:r>
              <w:rPr>
                <w:b/>
                <w:color w:val="000000"/>
                <w:sz w:val="20"/>
                <w:szCs w:val="20"/>
                <w:lang w:eastAsia="en-US"/>
              </w:rPr>
              <w:t>Anterior–middle dentition, tooth crown curvature:</w:t>
            </w:r>
          </w:p>
          <w:p w14:paraId="1CF2FD83" w14:textId="3E7B1D58" w:rsidR="00D67975" w:rsidRDefault="00D67975" w:rsidP="00D67975">
            <w:pPr>
              <w:autoSpaceDE w:val="0"/>
              <w:autoSpaceDN w:val="0"/>
              <w:adjustRightInd w:val="0"/>
              <w:rPr>
                <w:i/>
                <w:sz w:val="20"/>
                <w:szCs w:val="20"/>
                <w:lang w:eastAsia="en-US"/>
              </w:rPr>
            </w:pPr>
            <w:r>
              <w:rPr>
                <w:i/>
                <w:sz w:val="20"/>
                <w:szCs w:val="20"/>
                <w:lang w:eastAsia="en-US"/>
              </w:rPr>
              <w:t xml:space="preserve">Young (2006, ch. 31); Wilkinson et al. (2008, ch. 58); Young &amp; Andrade (2009, ch. 58); </w:t>
            </w:r>
            <w:r>
              <w:rPr>
                <w:bCs/>
                <w:i/>
                <w:color w:val="000000"/>
                <w:sz w:val="20"/>
                <w:szCs w:val="20"/>
                <w:lang w:eastAsia="en-US"/>
              </w:rPr>
              <w:t xml:space="preserve">Young et al. (2011, ch. 58); Young et al. (2013a, ch. 142); </w:t>
            </w:r>
            <w:r>
              <w:rPr>
                <w:i/>
                <w:sz w:val="20"/>
                <w:szCs w:val="20"/>
                <w:lang w:eastAsia="en-US"/>
              </w:rPr>
              <w:t xml:space="preserve">Young et al. (2012, ch. 166); Young (2014, ch. 174); Young et al. (2016, ds 2, ch. 212); Ristevski et al. (2018, ds 2, ch. 276); Smith et al. (in review, ds 1, ch. 281); </w:t>
            </w:r>
            <w:r>
              <w:rPr>
                <w:i/>
                <w:sz w:val="20"/>
                <w:szCs w:val="20"/>
              </w:rPr>
              <w:t>Ősi et al. (in review, ds 1, ch. 316)</w:t>
            </w:r>
            <w:r>
              <w:rPr>
                <w:i/>
                <w:sz w:val="20"/>
                <w:szCs w:val="20"/>
                <w:lang w:eastAsia="en-US"/>
              </w:rPr>
              <w:t>.</w:t>
            </w:r>
          </w:p>
          <w:p w14:paraId="30F443FC" w14:textId="097D8C3F" w:rsidR="00D67975" w:rsidRDefault="00D67975" w:rsidP="00D67975">
            <w:pPr>
              <w:rPr>
                <w:color w:val="000000"/>
                <w:sz w:val="20"/>
                <w:szCs w:val="20"/>
                <w:lang w:eastAsia="en-US"/>
              </w:rPr>
            </w:pPr>
            <w:r>
              <w:rPr>
                <w:color w:val="000000"/>
                <w:sz w:val="20"/>
                <w:szCs w:val="20"/>
                <w:lang w:eastAsia="en-US"/>
              </w:rPr>
              <w:t>0. none, crown apical/subapical (between 91 – 89 degrees)</w:t>
            </w:r>
          </w:p>
          <w:p w14:paraId="25E0F9A2" w14:textId="181E562C" w:rsidR="00D67975" w:rsidRDefault="00D67975" w:rsidP="00D67975">
            <w:pPr>
              <w:rPr>
                <w:color w:val="000000"/>
                <w:sz w:val="20"/>
                <w:szCs w:val="20"/>
                <w:lang w:eastAsia="en-US"/>
              </w:rPr>
            </w:pPr>
            <w:r>
              <w:rPr>
                <w:color w:val="000000"/>
                <w:sz w:val="20"/>
                <w:szCs w:val="20"/>
                <w:lang w:eastAsia="en-US"/>
              </w:rPr>
              <w:t>1. weakly recurved (between 88 – 82 degrees)</w:t>
            </w:r>
          </w:p>
          <w:p w14:paraId="42D58296" w14:textId="5BBD9D9E" w:rsidR="00D67975" w:rsidRDefault="00D67975" w:rsidP="00D67975">
            <w:pPr>
              <w:rPr>
                <w:color w:val="000000"/>
                <w:sz w:val="20"/>
                <w:szCs w:val="20"/>
                <w:lang w:eastAsia="en-US"/>
              </w:rPr>
            </w:pPr>
            <w:r>
              <w:rPr>
                <w:color w:val="000000"/>
                <w:sz w:val="20"/>
                <w:szCs w:val="20"/>
                <w:lang w:eastAsia="en-US"/>
              </w:rPr>
              <w:t>2. strongly recurved (less than 80 degrees)</w:t>
            </w:r>
          </w:p>
        </w:tc>
      </w:tr>
      <w:tr w:rsidR="00D67975" w14:paraId="61AB5A5E" w14:textId="77777777" w:rsidTr="00D67975">
        <w:tc>
          <w:tcPr>
            <w:tcW w:w="0" w:type="auto"/>
            <w:tcBorders>
              <w:top w:val="single" w:sz="4" w:space="0" w:color="auto"/>
              <w:left w:val="single" w:sz="4" w:space="0" w:color="auto"/>
              <w:bottom w:val="single" w:sz="4" w:space="0" w:color="auto"/>
              <w:right w:val="single" w:sz="4" w:space="0" w:color="auto"/>
            </w:tcBorders>
          </w:tcPr>
          <w:p w14:paraId="4AF647BA" w14:textId="1AFAB006" w:rsidR="00D67975" w:rsidRDefault="009E2821" w:rsidP="00D67975">
            <w:pPr>
              <w:rPr>
                <w:color w:val="000000"/>
                <w:sz w:val="20"/>
                <w:szCs w:val="20"/>
                <w:lang w:eastAsia="en-US"/>
              </w:rPr>
            </w:pPr>
            <w:r>
              <w:rPr>
                <w:color w:val="000000"/>
                <w:sz w:val="20"/>
                <w:szCs w:val="20"/>
                <w:lang w:eastAsia="en-US"/>
              </w:rPr>
              <w:t>320</w:t>
            </w:r>
          </w:p>
        </w:tc>
        <w:tc>
          <w:tcPr>
            <w:tcW w:w="0" w:type="auto"/>
            <w:tcBorders>
              <w:top w:val="single" w:sz="4" w:space="0" w:color="auto"/>
              <w:left w:val="single" w:sz="4" w:space="0" w:color="auto"/>
              <w:bottom w:val="single" w:sz="4" w:space="0" w:color="auto"/>
              <w:right w:val="single" w:sz="4" w:space="0" w:color="auto"/>
            </w:tcBorders>
            <w:vAlign w:val="bottom"/>
            <w:hideMark/>
          </w:tcPr>
          <w:p w14:paraId="652A8C5A" w14:textId="77777777" w:rsidR="00D67975" w:rsidRDefault="00D67975" w:rsidP="00D67975">
            <w:pPr>
              <w:rPr>
                <w:b/>
                <w:color w:val="000000"/>
                <w:sz w:val="20"/>
                <w:szCs w:val="20"/>
                <w:lang w:eastAsia="en-US"/>
              </w:rPr>
            </w:pPr>
            <w:r>
              <w:rPr>
                <w:b/>
                <w:color w:val="000000"/>
                <w:sz w:val="20"/>
                <w:szCs w:val="20"/>
                <w:lang w:eastAsia="en-US"/>
              </w:rPr>
              <w:t>Carinae, presence of keel at the edge of tooth crown:</w:t>
            </w:r>
          </w:p>
          <w:p w14:paraId="2C57341C" w14:textId="425AC0C6" w:rsidR="00D67975" w:rsidRDefault="00D67975" w:rsidP="00D67975">
            <w:pPr>
              <w:autoSpaceDE w:val="0"/>
              <w:autoSpaceDN w:val="0"/>
              <w:adjustRightInd w:val="0"/>
              <w:rPr>
                <w:i/>
                <w:sz w:val="20"/>
                <w:szCs w:val="20"/>
                <w:lang w:eastAsia="en-US"/>
              </w:rPr>
            </w:pPr>
            <w:r>
              <w:rPr>
                <w:i/>
                <w:sz w:val="20"/>
                <w:szCs w:val="20"/>
                <w:lang w:eastAsia="en-US"/>
              </w:rPr>
              <w:t xml:space="preserve">Young (2006, ch. 29 part modified); Wilkinson et al. (2008, ch. 55 part modified); Young &amp; Andrade (2009, ch. 55 part modified); Andrade et al. (2011, ch. 378); </w:t>
            </w:r>
            <w:r>
              <w:rPr>
                <w:bCs/>
                <w:i/>
                <w:color w:val="000000"/>
                <w:sz w:val="20"/>
                <w:szCs w:val="20"/>
                <w:lang w:eastAsia="en-US"/>
              </w:rPr>
              <w:t xml:space="preserve">Young et al. (2011, ch. 55 part modified); Young et al. (2013a, ch. 143 part modified); </w:t>
            </w:r>
            <w:r>
              <w:rPr>
                <w:i/>
                <w:sz w:val="20"/>
                <w:szCs w:val="20"/>
                <w:lang w:eastAsia="en-US"/>
              </w:rPr>
              <w:t xml:space="preserve">Young et al. (2012, ch. 167 modified); Young (2014, ch. 175); Young et al. (2016, ds 2, ch. 213 modified); Ristevski et al. (2018, ds 2, ch. 277); Smith et al. (in review, ds 1, ch. 282); </w:t>
            </w:r>
            <w:r>
              <w:rPr>
                <w:i/>
                <w:sz w:val="20"/>
                <w:szCs w:val="20"/>
              </w:rPr>
              <w:t>Ősi et al. (in review, ds 1, ch. 317)</w:t>
            </w:r>
            <w:r>
              <w:rPr>
                <w:i/>
                <w:sz w:val="20"/>
                <w:szCs w:val="20"/>
                <w:lang w:eastAsia="en-US"/>
              </w:rPr>
              <w:t>.</w:t>
            </w:r>
          </w:p>
          <w:p w14:paraId="2876E0BA" w14:textId="77777777" w:rsidR="00D67975" w:rsidRDefault="00D67975" w:rsidP="00D67975">
            <w:pPr>
              <w:autoSpaceDE w:val="0"/>
              <w:autoSpaceDN w:val="0"/>
              <w:adjustRightInd w:val="0"/>
              <w:rPr>
                <w:i/>
                <w:iCs/>
                <w:color w:val="000000"/>
                <w:sz w:val="20"/>
                <w:szCs w:val="20"/>
                <w:lang w:eastAsia="en-US"/>
              </w:rPr>
            </w:pPr>
            <w:r>
              <w:rPr>
                <w:i/>
                <w:iCs/>
                <w:color w:val="000000"/>
                <w:sz w:val="20"/>
                <w:szCs w:val="20"/>
                <w:lang w:eastAsia="en-US"/>
              </w:rPr>
              <w:t>Currently, no data suggests differential presence of keels in antero-posterior or upper-lower dentition, therefore a single character is used. Mesial-distal keels may occur independently from denticles in the mesial and distal carinae; denticulated carinae may or may not have keel on denticles.</w:t>
            </w:r>
          </w:p>
          <w:p w14:paraId="73980F24" w14:textId="77777777" w:rsidR="00D67975" w:rsidRDefault="00D67975" w:rsidP="00D67975">
            <w:pPr>
              <w:rPr>
                <w:color w:val="000000"/>
                <w:sz w:val="20"/>
                <w:szCs w:val="20"/>
                <w:lang w:eastAsia="en-US"/>
              </w:rPr>
            </w:pPr>
            <w:r>
              <w:rPr>
                <w:color w:val="000000"/>
                <w:sz w:val="20"/>
                <w:szCs w:val="20"/>
                <w:lang w:eastAsia="en-US"/>
              </w:rPr>
              <w:t>0. absent (i.e. lacks keeled carinae)</w:t>
            </w:r>
          </w:p>
          <w:p w14:paraId="2B89D489" w14:textId="77777777" w:rsidR="00D67975" w:rsidRDefault="00D67975" w:rsidP="00D67975">
            <w:pPr>
              <w:rPr>
                <w:color w:val="000000"/>
                <w:sz w:val="20"/>
                <w:szCs w:val="20"/>
                <w:lang w:eastAsia="en-US"/>
              </w:rPr>
            </w:pPr>
            <w:r>
              <w:rPr>
                <w:color w:val="000000"/>
                <w:sz w:val="20"/>
                <w:szCs w:val="20"/>
                <w:lang w:eastAsia="en-US"/>
              </w:rPr>
              <w:t>1. present (i.e. carinated sensu stricto, created by a smooth keel [raised ridge] on the crown edges, typically on the mesial and distal margins)</w:t>
            </w:r>
          </w:p>
        </w:tc>
      </w:tr>
      <w:tr w:rsidR="00D67975" w14:paraId="5A79B8AE" w14:textId="77777777" w:rsidTr="00D67975">
        <w:tc>
          <w:tcPr>
            <w:tcW w:w="0" w:type="auto"/>
            <w:tcBorders>
              <w:top w:val="single" w:sz="4" w:space="0" w:color="auto"/>
              <w:left w:val="single" w:sz="4" w:space="0" w:color="auto"/>
              <w:bottom w:val="single" w:sz="4" w:space="0" w:color="auto"/>
              <w:right w:val="single" w:sz="4" w:space="0" w:color="auto"/>
            </w:tcBorders>
          </w:tcPr>
          <w:p w14:paraId="05B6B6BF" w14:textId="0360713E" w:rsidR="00D67975" w:rsidRDefault="009E2821" w:rsidP="00D67975">
            <w:pPr>
              <w:rPr>
                <w:color w:val="000000"/>
                <w:sz w:val="20"/>
                <w:szCs w:val="20"/>
                <w:lang w:eastAsia="en-US"/>
              </w:rPr>
            </w:pPr>
            <w:r>
              <w:rPr>
                <w:color w:val="000000"/>
                <w:sz w:val="20"/>
                <w:szCs w:val="20"/>
                <w:lang w:eastAsia="en-US"/>
              </w:rPr>
              <w:t>321</w:t>
            </w:r>
          </w:p>
        </w:tc>
        <w:tc>
          <w:tcPr>
            <w:tcW w:w="0" w:type="auto"/>
            <w:tcBorders>
              <w:top w:val="single" w:sz="4" w:space="0" w:color="auto"/>
              <w:left w:val="single" w:sz="4" w:space="0" w:color="auto"/>
              <w:bottom w:val="single" w:sz="4" w:space="0" w:color="auto"/>
              <w:right w:val="single" w:sz="4" w:space="0" w:color="auto"/>
            </w:tcBorders>
            <w:vAlign w:val="bottom"/>
            <w:hideMark/>
          </w:tcPr>
          <w:p w14:paraId="4D8D74C2" w14:textId="77777777" w:rsidR="00D67975" w:rsidRDefault="00D67975" w:rsidP="00D67975">
            <w:pPr>
              <w:rPr>
                <w:b/>
                <w:color w:val="000000"/>
                <w:sz w:val="20"/>
                <w:szCs w:val="20"/>
                <w:lang w:eastAsia="en-US"/>
              </w:rPr>
            </w:pPr>
            <w:r>
              <w:rPr>
                <w:b/>
                <w:color w:val="000000"/>
                <w:sz w:val="20"/>
                <w:szCs w:val="20"/>
                <w:lang w:eastAsia="en-US"/>
              </w:rPr>
              <w:t>Carinae, presence of ‘carinal flanges’: (*)</w:t>
            </w:r>
          </w:p>
          <w:p w14:paraId="46C5193B" w14:textId="008C08E7" w:rsidR="00D67975" w:rsidRDefault="00D67975" w:rsidP="00D67975">
            <w:pPr>
              <w:rPr>
                <w:i/>
                <w:color w:val="000000"/>
                <w:sz w:val="20"/>
                <w:szCs w:val="20"/>
                <w:lang w:eastAsia="en-US"/>
              </w:rPr>
            </w:pPr>
            <w:r>
              <w:rPr>
                <w:i/>
                <w:sz w:val="20"/>
                <w:szCs w:val="20"/>
                <w:lang w:eastAsia="en-US"/>
              </w:rPr>
              <w:t xml:space="preserve">Ristevski et al. (2018, ds 2, ch. 278); Smith et al. (in review, ds 1, ch. 283); </w:t>
            </w:r>
            <w:r>
              <w:rPr>
                <w:i/>
                <w:sz w:val="20"/>
                <w:szCs w:val="20"/>
              </w:rPr>
              <w:t>Ősi et al. (in review, ds 1, ch. 318)</w:t>
            </w:r>
            <w:r>
              <w:rPr>
                <w:i/>
                <w:sz w:val="20"/>
                <w:szCs w:val="20"/>
                <w:lang w:eastAsia="en-US"/>
              </w:rPr>
              <w:t>.</w:t>
            </w:r>
          </w:p>
          <w:p w14:paraId="1265D5B6" w14:textId="77777777" w:rsidR="00D67975" w:rsidRDefault="00D67975" w:rsidP="00D67975">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Plesiosuchus</w:t>
            </w:r>
            <w:r>
              <w:rPr>
                <w:i/>
                <w:color w:val="000000"/>
                <w:sz w:val="20"/>
                <w:szCs w:val="20"/>
                <w:lang w:eastAsia="en-US"/>
              </w:rPr>
              <w:t xml:space="preserve">, </w:t>
            </w:r>
            <w:r>
              <w:rPr>
                <w:color w:val="000000"/>
                <w:sz w:val="20"/>
                <w:szCs w:val="20"/>
                <w:lang w:eastAsia="en-US"/>
              </w:rPr>
              <w:t>Suchodus</w:t>
            </w:r>
            <w:r>
              <w:rPr>
                <w:i/>
                <w:color w:val="000000"/>
                <w:sz w:val="20"/>
                <w:szCs w:val="20"/>
                <w:lang w:eastAsia="en-US"/>
              </w:rPr>
              <w:t xml:space="preserve"> and Mr Leeds Dakosaur</w:t>
            </w:r>
            <w:r>
              <w:rPr>
                <w:color w:val="000000"/>
                <w:sz w:val="20"/>
                <w:szCs w:val="20"/>
                <w:lang w:eastAsia="en-US"/>
              </w:rPr>
              <w:t>.</w:t>
            </w:r>
          </w:p>
          <w:p w14:paraId="67C46275" w14:textId="77777777" w:rsidR="00D67975" w:rsidRDefault="00D67975" w:rsidP="00D67975">
            <w:pPr>
              <w:rPr>
                <w:color w:val="000000"/>
                <w:sz w:val="20"/>
                <w:szCs w:val="20"/>
                <w:lang w:eastAsia="en-US"/>
              </w:rPr>
            </w:pPr>
            <w:r>
              <w:rPr>
                <w:i/>
                <w:color w:val="000000"/>
                <w:sz w:val="20"/>
                <w:szCs w:val="20"/>
                <w:lang w:eastAsia="en-US"/>
              </w:rPr>
              <w:t xml:space="preserve">State (2) occurs in </w:t>
            </w:r>
            <w:r>
              <w:rPr>
                <w:color w:val="000000"/>
                <w:sz w:val="20"/>
                <w:szCs w:val="20"/>
                <w:lang w:eastAsia="en-US"/>
              </w:rPr>
              <w:t>Dakosaurus.</w:t>
            </w:r>
          </w:p>
          <w:p w14:paraId="74021D4F" w14:textId="77777777" w:rsidR="00D67975" w:rsidRDefault="00D67975" w:rsidP="00D67975">
            <w:pPr>
              <w:rPr>
                <w:i/>
                <w:color w:val="000000"/>
                <w:sz w:val="20"/>
                <w:szCs w:val="20"/>
                <w:lang w:eastAsia="en-US"/>
              </w:rPr>
            </w:pPr>
            <w:r>
              <w:rPr>
                <w:i/>
                <w:sz w:val="20"/>
                <w:szCs w:val="20"/>
                <w:lang w:eastAsia="en-US"/>
              </w:rPr>
              <w:t>This character is not applicable for taxa that lack carinae on all tooth crowns.</w:t>
            </w:r>
          </w:p>
          <w:p w14:paraId="102B54BE" w14:textId="77777777" w:rsidR="00D67975" w:rsidRDefault="00D67975" w:rsidP="00D67975">
            <w:pPr>
              <w:autoSpaceDE w:val="0"/>
              <w:autoSpaceDN w:val="0"/>
              <w:adjustRightInd w:val="0"/>
              <w:rPr>
                <w:sz w:val="20"/>
                <w:szCs w:val="20"/>
                <w:lang w:eastAsia="en-US"/>
              </w:rPr>
            </w:pPr>
            <w:r>
              <w:rPr>
                <w:color w:val="000000"/>
                <w:sz w:val="20"/>
                <w:szCs w:val="20"/>
                <w:lang w:eastAsia="en-US"/>
              </w:rPr>
              <w:t xml:space="preserve">0. absent - </w:t>
            </w:r>
            <w:r>
              <w:rPr>
                <w:sz w:val="20"/>
                <w:szCs w:val="20"/>
                <w:lang w:eastAsia="en-US"/>
              </w:rPr>
              <w:t>the external surfaces of the tooth crowns are still convex/straight when they approach the carinae</w:t>
            </w:r>
          </w:p>
          <w:p w14:paraId="695EA602" w14:textId="77777777" w:rsidR="00D67975" w:rsidRDefault="00D67975" w:rsidP="00D67975">
            <w:pPr>
              <w:autoSpaceDE w:val="0"/>
              <w:autoSpaceDN w:val="0"/>
              <w:adjustRightInd w:val="0"/>
              <w:rPr>
                <w:sz w:val="20"/>
                <w:szCs w:val="20"/>
                <w:lang w:eastAsia="en-US"/>
              </w:rPr>
            </w:pPr>
            <w:r>
              <w:rPr>
                <w:sz w:val="20"/>
                <w:szCs w:val="20"/>
                <w:lang w:eastAsia="en-US"/>
              </w:rPr>
              <w:lastRenderedPageBreak/>
              <w:t>1. poorly-developed - the external surface of the tooth crown becomes concave immediately adjacent to the carinae. However, they are unequally expressed on the labial and lingual surfaces, and are rarely expressed along the entire carina</w:t>
            </w:r>
          </w:p>
          <w:p w14:paraId="6F138246" w14:textId="77777777" w:rsidR="00D67975" w:rsidRDefault="00D67975" w:rsidP="00D67975">
            <w:pPr>
              <w:autoSpaceDE w:val="0"/>
              <w:autoSpaceDN w:val="0"/>
              <w:adjustRightInd w:val="0"/>
              <w:rPr>
                <w:sz w:val="20"/>
                <w:szCs w:val="20"/>
                <w:lang w:eastAsia="en-US"/>
              </w:rPr>
            </w:pPr>
            <w:r>
              <w:rPr>
                <w:color w:val="000000"/>
                <w:sz w:val="20"/>
                <w:szCs w:val="20"/>
                <w:lang w:eastAsia="en-US"/>
              </w:rPr>
              <w:t>2.</w:t>
            </w:r>
            <w:r>
              <w:rPr>
                <w:b/>
                <w:color w:val="000000"/>
                <w:sz w:val="20"/>
                <w:szCs w:val="20"/>
                <w:lang w:eastAsia="en-US"/>
              </w:rPr>
              <w:t xml:space="preserve"> </w:t>
            </w:r>
            <w:r>
              <w:rPr>
                <w:color w:val="000000"/>
                <w:sz w:val="20"/>
                <w:szCs w:val="20"/>
                <w:lang w:eastAsia="en-US"/>
              </w:rPr>
              <w:t>well-developed -</w:t>
            </w:r>
            <w:r>
              <w:rPr>
                <w:b/>
                <w:color w:val="000000"/>
                <w:sz w:val="20"/>
                <w:szCs w:val="20"/>
                <w:lang w:eastAsia="en-US"/>
              </w:rPr>
              <w:t xml:space="preserve"> </w:t>
            </w:r>
            <w:r>
              <w:rPr>
                <w:sz w:val="20"/>
                <w:szCs w:val="20"/>
                <w:lang w:eastAsia="en-US"/>
              </w:rPr>
              <w:t>the external surface of the tooth crown becomes concave immediately adjacent to the carinae. They are present on both the labial and lingual surfaces, being most noticeably developed at the mid-crown and apex</w:t>
            </w:r>
          </w:p>
        </w:tc>
      </w:tr>
      <w:tr w:rsidR="00D67975" w14:paraId="31D3C10D" w14:textId="77777777" w:rsidTr="00D67975">
        <w:tc>
          <w:tcPr>
            <w:tcW w:w="0" w:type="auto"/>
            <w:tcBorders>
              <w:top w:val="single" w:sz="4" w:space="0" w:color="auto"/>
              <w:left w:val="single" w:sz="4" w:space="0" w:color="auto"/>
              <w:bottom w:val="single" w:sz="4" w:space="0" w:color="auto"/>
              <w:right w:val="single" w:sz="4" w:space="0" w:color="auto"/>
            </w:tcBorders>
          </w:tcPr>
          <w:p w14:paraId="0AAED1CB" w14:textId="68B6151B" w:rsidR="00D67975" w:rsidRDefault="009E2821" w:rsidP="00D67975">
            <w:pPr>
              <w:rPr>
                <w:color w:val="000000"/>
                <w:sz w:val="20"/>
                <w:szCs w:val="20"/>
                <w:lang w:eastAsia="en-US"/>
              </w:rPr>
            </w:pPr>
            <w:r>
              <w:rPr>
                <w:color w:val="000000"/>
                <w:sz w:val="20"/>
                <w:szCs w:val="20"/>
                <w:lang w:eastAsia="en-US"/>
              </w:rPr>
              <w:lastRenderedPageBreak/>
              <w:t>322</w:t>
            </w:r>
          </w:p>
        </w:tc>
        <w:tc>
          <w:tcPr>
            <w:tcW w:w="0" w:type="auto"/>
            <w:tcBorders>
              <w:top w:val="single" w:sz="4" w:space="0" w:color="auto"/>
              <w:left w:val="single" w:sz="4" w:space="0" w:color="auto"/>
              <w:bottom w:val="single" w:sz="4" w:space="0" w:color="auto"/>
              <w:right w:val="single" w:sz="4" w:space="0" w:color="auto"/>
            </w:tcBorders>
            <w:vAlign w:val="bottom"/>
            <w:hideMark/>
          </w:tcPr>
          <w:p w14:paraId="6FB2FF68" w14:textId="77777777" w:rsidR="00D67975" w:rsidRDefault="00D67975" w:rsidP="00D67975">
            <w:pPr>
              <w:rPr>
                <w:b/>
                <w:color w:val="000000"/>
                <w:sz w:val="20"/>
                <w:szCs w:val="20"/>
                <w:lang w:eastAsia="en-US"/>
              </w:rPr>
            </w:pPr>
            <w:r>
              <w:rPr>
                <w:b/>
                <w:color w:val="000000"/>
                <w:sz w:val="20"/>
                <w:szCs w:val="20"/>
                <w:lang w:eastAsia="en-US"/>
              </w:rPr>
              <w:t>Carinae, height of the keel in the apical region:</w:t>
            </w:r>
          </w:p>
          <w:p w14:paraId="40FD2E7E" w14:textId="05F6F783" w:rsidR="00D67975" w:rsidRDefault="00D67975" w:rsidP="00D67975">
            <w:pPr>
              <w:rPr>
                <w:i/>
                <w:color w:val="000000"/>
                <w:sz w:val="20"/>
                <w:szCs w:val="20"/>
                <w:lang w:eastAsia="en-US"/>
              </w:rPr>
            </w:pPr>
            <w:r>
              <w:rPr>
                <w:i/>
                <w:sz w:val="20"/>
                <w:szCs w:val="20"/>
                <w:lang w:eastAsia="en-US"/>
              </w:rPr>
              <w:t xml:space="preserve">Ristevski et al. (2018, ds 2, ch. 279); Smith et al. (in review, ds 1, ch. 284); </w:t>
            </w:r>
            <w:r>
              <w:rPr>
                <w:i/>
                <w:sz w:val="20"/>
                <w:szCs w:val="20"/>
              </w:rPr>
              <w:t>Ősi et al. (in review, ds 1, ch. 319)</w:t>
            </w:r>
            <w:r>
              <w:rPr>
                <w:i/>
                <w:sz w:val="20"/>
                <w:szCs w:val="20"/>
                <w:lang w:eastAsia="en-US"/>
              </w:rPr>
              <w:t>.</w:t>
            </w:r>
          </w:p>
          <w:p w14:paraId="4BED7F66" w14:textId="77777777" w:rsidR="00D67975" w:rsidRDefault="00D67975" w:rsidP="00D67975">
            <w:pPr>
              <w:rPr>
                <w:color w:val="000000"/>
                <w:sz w:val="20"/>
                <w:szCs w:val="20"/>
                <w:lang w:eastAsia="en-US"/>
              </w:rPr>
            </w:pPr>
            <w:r>
              <w:rPr>
                <w:i/>
                <w:color w:val="000000"/>
                <w:sz w:val="20"/>
                <w:szCs w:val="20"/>
                <w:lang w:eastAsia="en-US"/>
              </w:rPr>
              <w:t xml:space="preserve">State (1) occurs in </w:t>
            </w:r>
            <w:r>
              <w:rPr>
                <w:color w:val="000000"/>
                <w:sz w:val="20"/>
                <w:szCs w:val="20"/>
                <w:lang w:eastAsia="en-US"/>
              </w:rPr>
              <w:t>Torvoneustes.</w:t>
            </w:r>
          </w:p>
          <w:p w14:paraId="713D4DE9" w14:textId="77777777" w:rsidR="00D67975" w:rsidRDefault="00D67975" w:rsidP="00D67975">
            <w:pPr>
              <w:rPr>
                <w:color w:val="000000"/>
                <w:sz w:val="20"/>
                <w:szCs w:val="20"/>
                <w:lang w:eastAsia="en-US"/>
              </w:rPr>
            </w:pPr>
            <w:r>
              <w:rPr>
                <w:color w:val="000000"/>
                <w:sz w:val="20"/>
                <w:szCs w:val="20"/>
                <w:lang w:eastAsia="en-US"/>
              </w:rPr>
              <w:t>0. keel is either absent, or not greatly enlarged</w:t>
            </w:r>
          </w:p>
          <w:p w14:paraId="57E2C606" w14:textId="77777777" w:rsidR="00D67975" w:rsidRDefault="00D67975" w:rsidP="00D67975">
            <w:pPr>
              <w:rPr>
                <w:color w:val="000000"/>
                <w:sz w:val="20"/>
                <w:szCs w:val="20"/>
                <w:lang w:eastAsia="en-US"/>
              </w:rPr>
            </w:pPr>
            <w:r>
              <w:rPr>
                <w:color w:val="000000"/>
                <w:sz w:val="20"/>
                <w:szCs w:val="20"/>
                <w:lang w:eastAsia="en-US"/>
              </w:rPr>
              <w:t>1.</w:t>
            </w:r>
            <w:r>
              <w:rPr>
                <w:b/>
                <w:color w:val="000000"/>
                <w:sz w:val="20"/>
                <w:szCs w:val="20"/>
                <w:lang w:eastAsia="en-US"/>
              </w:rPr>
              <w:t xml:space="preserve"> </w:t>
            </w:r>
            <w:r>
              <w:rPr>
                <w:color w:val="000000"/>
                <w:sz w:val="20"/>
                <w:szCs w:val="20"/>
                <w:lang w:eastAsia="en-US"/>
              </w:rPr>
              <w:t>keel is</w:t>
            </w:r>
            <w:r>
              <w:rPr>
                <w:b/>
                <w:color w:val="000000"/>
                <w:sz w:val="20"/>
                <w:szCs w:val="20"/>
                <w:lang w:eastAsia="en-US"/>
              </w:rPr>
              <w:t xml:space="preserve"> </w:t>
            </w:r>
            <w:r>
              <w:rPr>
                <w:color w:val="000000"/>
                <w:sz w:val="20"/>
                <w:szCs w:val="20"/>
                <w:lang w:eastAsia="en-US"/>
              </w:rPr>
              <w:t>greatly enlarged in height</w:t>
            </w:r>
          </w:p>
        </w:tc>
      </w:tr>
      <w:tr w:rsidR="00D67975" w14:paraId="4F6D37A9" w14:textId="77777777" w:rsidTr="00D67975">
        <w:tc>
          <w:tcPr>
            <w:tcW w:w="0" w:type="auto"/>
            <w:tcBorders>
              <w:top w:val="single" w:sz="4" w:space="0" w:color="auto"/>
              <w:left w:val="single" w:sz="4" w:space="0" w:color="auto"/>
              <w:bottom w:val="single" w:sz="4" w:space="0" w:color="auto"/>
              <w:right w:val="single" w:sz="4" w:space="0" w:color="auto"/>
            </w:tcBorders>
          </w:tcPr>
          <w:p w14:paraId="23A1E6A4" w14:textId="1B46F85A" w:rsidR="00D67975" w:rsidRDefault="009E2821" w:rsidP="00D67975">
            <w:pPr>
              <w:rPr>
                <w:color w:val="000000"/>
                <w:sz w:val="20"/>
                <w:szCs w:val="20"/>
                <w:lang w:eastAsia="en-US"/>
              </w:rPr>
            </w:pPr>
            <w:r>
              <w:rPr>
                <w:color w:val="000000"/>
                <w:sz w:val="20"/>
                <w:szCs w:val="20"/>
                <w:lang w:eastAsia="en-US"/>
              </w:rPr>
              <w:t>323</w:t>
            </w:r>
          </w:p>
        </w:tc>
        <w:tc>
          <w:tcPr>
            <w:tcW w:w="0" w:type="auto"/>
            <w:tcBorders>
              <w:top w:val="single" w:sz="4" w:space="0" w:color="auto"/>
              <w:left w:val="single" w:sz="4" w:space="0" w:color="auto"/>
              <w:bottom w:val="single" w:sz="4" w:space="0" w:color="auto"/>
              <w:right w:val="single" w:sz="4" w:space="0" w:color="auto"/>
            </w:tcBorders>
            <w:vAlign w:val="bottom"/>
            <w:hideMark/>
          </w:tcPr>
          <w:p w14:paraId="1519F008" w14:textId="77777777" w:rsidR="00D67975" w:rsidRDefault="00D67975" w:rsidP="00D67975">
            <w:pPr>
              <w:rPr>
                <w:b/>
                <w:color w:val="000000"/>
                <w:sz w:val="20"/>
                <w:szCs w:val="20"/>
                <w:lang w:eastAsia="en-US"/>
              </w:rPr>
            </w:pPr>
            <w:r>
              <w:rPr>
                <w:b/>
                <w:color w:val="000000"/>
                <w:sz w:val="20"/>
                <w:szCs w:val="20"/>
                <w:lang w:eastAsia="en-US"/>
              </w:rPr>
              <w:t>Carinae, presence of false zipdont serrations at crown edges: (*)</w:t>
            </w:r>
          </w:p>
          <w:p w14:paraId="1F1A1D34" w14:textId="4A0D418E"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172 part); Young et al. (2013a, ch. 144 part); </w:t>
            </w:r>
            <w:r>
              <w:rPr>
                <w:i/>
                <w:sz w:val="20"/>
                <w:szCs w:val="20"/>
                <w:lang w:eastAsia="en-US"/>
              </w:rPr>
              <w:t xml:space="preserve">Young et al. (2012, ch. 168 part); Young (2014, ch. 176 part); Young et al. (2016, ds 2, ch. 214 part); Ristevski et al. (2018, ds 2, ch. 280); Smith et al. (in review, ds 1, ch. 285); </w:t>
            </w:r>
            <w:r>
              <w:rPr>
                <w:i/>
                <w:sz w:val="20"/>
                <w:szCs w:val="20"/>
              </w:rPr>
              <w:t>Ősi et al. (in review, ds 1, ch. 320)</w:t>
            </w:r>
            <w:r>
              <w:rPr>
                <w:i/>
                <w:sz w:val="20"/>
                <w:szCs w:val="20"/>
                <w:lang w:eastAsia="en-US"/>
              </w:rPr>
              <w:t>.</w:t>
            </w:r>
          </w:p>
          <w:p w14:paraId="47DF1381" w14:textId="77777777" w:rsidR="00D67975" w:rsidRDefault="00D67975" w:rsidP="00D67975">
            <w:pPr>
              <w:rPr>
                <w:i/>
                <w:sz w:val="20"/>
                <w:szCs w:val="20"/>
                <w:lang w:eastAsia="en-US"/>
              </w:rPr>
            </w:pPr>
            <w:r>
              <w:rPr>
                <w:i/>
                <w:sz w:val="20"/>
                <w:szCs w:val="20"/>
                <w:lang w:eastAsia="en-US"/>
              </w:rPr>
              <w:t>This character is not applicable for taxa that lack carinae on all tooth crowns.</w:t>
            </w:r>
          </w:p>
          <w:p w14:paraId="53FC1DDE" w14:textId="77777777" w:rsidR="00D67975" w:rsidRDefault="00D67975" w:rsidP="00D67975">
            <w:pPr>
              <w:rPr>
                <w:i/>
                <w:sz w:val="20"/>
                <w:szCs w:val="20"/>
                <w:lang w:eastAsia="en-US"/>
              </w:rPr>
            </w:pPr>
            <w:r>
              <w:rPr>
                <w:i/>
                <w:sz w:val="20"/>
                <w:szCs w:val="20"/>
                <w:lang w:eastAsia="en-US"/>
              </w:rPr>
              <w:t>False ziphodonty (= conspicuous superficial enamel ornamentation contacting the keel) herein follows the definition described in Prasad &amp; de Lapparent de Broin (2002).</w:t>
            </w:r>
          </w:p>
          <w:p w14:paraId="0A12BDF8" w14:textId="77777777" w:rsidR="00D67975" w:rsidRDefault="00D67975" w:rsidP="00D67975">
            <w:pPr>
              <w:rPr>
                <w:i/>
                <w:sz w:val="20"/>
                <w:szCs w:val="20"/>
                <w:lang w:eastAsia="en-US"/>
              </w:rPr>
            </w:pPr>
            <w:r>
              <w:rPr>
                <w:i/>
                <w:sz w:val="20"/>
                <w:szCs w:val="20"/>
                <w:lang w:eastAsia="en-US"/>
              </w:rPr>
              <w:t xml:space="preserve">State (1) occurs in </w:t>
            </w:r>
            <w:r>
              <w:rPr>
                <w:sz w:val="20"/>
                <w:szCs w:val="20"/>
                <w:lang w:eastAsia="en-US"/>
              </w:rPr>
              <w:t>Theriosuchus pusillus</w:t>
            </w:r>
            <w:r>
              <w:rPr>
                <w:i/>
                <w:sz w:val="20"/>
                <w:szCs w:val="20"/>
                <w:lang w:eastAsia="en-US"/>
              </w:rPr>
              <w:t>.</w:t>
            </w:r>
          </w:p>
          <w:p w14:paraId="0C0E914A" w14:textId="77777777" w:rsidR="00D67975" w:rsidRDefault="00D67975" w:rsidP="00D67975">
            <w:pPr>
              <w:rPr>
                <w:i/>
                <w:sz w:val="20"/>
                <w:szCs w:val="20"/>
                <w:lang w:eastAsia="en-US"/>
              </w:rPr>
            </w:pPr>
            <w:r>
              <w:rPr>
                <w:i/>
                <w:sz w:val="20"/>
                <w:szCs w:val="20"/>
                <w:lang w:eastAsia="en-US"/>
              </w:rPr>
              <w:t xml:space="preserve">State (2) occurs in </w:t>
            </w:r>
            <w:r>
              <w:rPr>
                <w:sz w:val="20"/>
                <w:szCs w:val="20"/>
                <w:lang w:eastAsia="en-US"/>
              </w:rPr>
              <w:t>Goniopholis, Anteophthalmosuchus, Torvoneustes</w:t>
            </w:r>
            <w:r>
              <w:rPr>
                <w:i/>
                <w:sz w:val="20"/>
                <w:szCs w:val="20"/>
                <w:lang w:eastAsia="en-US"/>
              </w:rPr>
              <w:t>, and Machimosaurini.</w:t>
            </w:r>
          </w:p>
          <w:p w14:paraId="25E86E38" w14:textId="77777777" w:rsidR="00D67975" w:rsidRDefault="00D67975" w:rsidP="00D67975">
            <w:pPr>
              <w:rPr>
                <w:color w:val="000000"/>
                <w:sz w:val="20"/>
                <w:szCs w:val="20"/>
                <w:lang w:eastAsia="en-US"/>
              </w:rPr>
            </w:pPr>
            <w:r>
              <w:rPr>
                <w:color w:val="000000"/>
                <w:sz w:val="20"/>
                <w:szCs w:val="20"/>
                <w:lang w:eastAsia="en-US"/>
              </w:rPr>
              <w:t>0. absent across the dentition</w:t>
            </w:r>
          </w:p>
          <w:p w14:paraId="60D925DF" w14:textId="77777777" w:rsidR="00D67975" w:rsidRDefault="00D67975" w:rsidP="00D67975">
            <w:pPr>
              <w:rPr>
                <w:color w:val="000000"/>
                <w:sz w:val="20"/>
                <w:szCs w:val="20"/>
                <w:lang w:eastAsia="en-US"/>
              </w:rPr>
            </w:pPr>
            <w:r>
              <w:rPr>
                <w:color w:val="000000"/>
                <w:sz w:val="20"/>
                <w:szCs w:val="20"/>
                <w:lang w:eastAsia="en-US"/>
              </w:rPr>
              <w:t>1. present, but restricted to the tooth crowns in the posterior end of the tooth row</w:t>
            </w:r>
          </w:p>
          <w:p w14:paraId="058EB974" w14:textId="77777777" w:rsidR="00D67975" w:rsidRDefault="00D67975" w:rsidP="00D67975">
            <w:pPr>
              <w:rPr>
                <w:color w:val="000000"/>
                <w:sz w:val="20"/>
                <w:szCs w:val="20"/>
                <w:lang w:eastAsia="en-US"/>
              </w:rPr>
            </w:pPr>
            <w:r>
              <w:rPr>
                <w:color w:val="000000"/>
                <w:sz w:val="20"/>
                <w:szCs w:val="20"/>
                <w:lang w:eastAsia="en-US"/>
              </w:rPr>
              <w:t>2. present across the dentition</w:t>
            </w:r>
          </w:p>
        </w:tc>
      </w:tr>
      <w:tr w:rsidR="00D67975" w14:paraId="547507F7" w14:textId="77777777" w:rsidTr="00D67975">
        <w:tc>
          <w:tcPr>
            <w:tcW w:w="0" w:type="auto"/>
            <w:tcBorders>
              <w:top w:val="single" w:sz="4" w:space="0" w:color="auto"/>
              <w:left w:val="single" w:sz="4" w:space="0" w:color="auto"/>
              <w:bottom w:val="single" w:sz="4" w:space="0" w:color="auto"/>
              <w:right w:val="single" w:sz="4" w:space="0" w:color="auto"/>
            </w:tcBorders>
          </w:tcPr>
          <w:p w14:paraId="2BFD21CB" w14:textId="01E8F803" w:rsidR="00D67975" w:rsidRDefault="009E2821" w:rsidP="00D67975">
            <w:pPr>
              <w:rPr>
                <w:color w:val="000000"/>
                <w:sz w:val="20"/>
                <w:szCs w:val="20"/>
                <w:lang w:eastAsia="en-US"/>
              </w:rPr>
            </w:pPr>
            <w:r>
              <w:rPr>
                <w:color w:val="000000"/>
                <w:sz w:val="20"/>
                <w:szCs w:val="20"/>
                <w:lang w:eastAsia="en-US"/>
              </w:rPr>
              <w:t>324</w:t>
            </w:r>
          </w:p>
        </w:tc>
        <w:tc>
          <w:tcPr>
            <w:tcW w:w="0" w:type="auto"/>
            <w:tcBorders>
              <w:top w:val="single" w:sz="4" w:space="0" w:color="auto"/>
              <w:left w:val="single" w:sz="4" w:space="0" w:color="auto"/>
              <w:bottom w:val="single" w:sz="4" w:space="0" w:color="auto"/>
              <w:right w:val="single" w:sz="4" w:space="0" w:color="auto"/>
            </w:tcBorders>
            <w:vAlign w:val="bottom"/>
            <w:hideMark/>
          </w:tcPr>
          <w:p w14:paraId="29062298" w14:textId="77777777" w:rsidR="00D67975" w:rsidRDefault="00D67975" w:rsidP="00D67975">
            <w:pPr>
              <w:rPr>
                <w:b/>
                <w:color w:val="000000"/>
                <w:sz w:val="20"/>
                <w:szCs w:val="20"/>
                <w:lang w:eastAsia="en-US"/>
              </w:rPr>
            </w:pPr>
            <w:r>
              <w:rPr>
                <w:b/>
                <w:color w:val="000000"/>
                <w:sz w:val="20"/>
                <w:szCs w:val="20"/>
                <w:lang w:eastAsia="en-US"/>
              </w:rPr>
              <w:t>Carinae, presence and development of true denticles at crown edges: (*)</w:t>
            </w:r>
          </w:p>
          <w:p w14:paraId="6B69DD62" w14:textId="5D99DA59" w:rsidR="00D67975" w:rsidRDefault="00D67975" w:rsidP="00D67975">
            <w:pPr>
              <w:autoSpaceDE w:val="0"/>
              <w:autoSpaceDN w:val="0"/>
              <w:adjustRightInd w:val="0"/>
              <w:rPr>
                <w:i/>
                <w:sz w:val="20"/>
                <w:szCs w:val="20"/>
                <w:lang w:eastAsia="en-US"/>
              </w:rPr>
            </w:pPr>
            <w:r>
              <w:rPr>
                <w:i/>
                <w:sz w:val="20"/>
                <w:szCs w:val="20"/>
                <w:lang w:eastAsia="en-US"/>
              </w:rPr>
              <w:t xml:space="preserve">Young (2006, ch. 29 part); Wilkinson et al. (2008, ch. 55 part); Young &amp; Andrade (2009, ch. 53 part); Young et al. (2011, ch. 53 part); Young et al. (2012, ch. 169); Young (2014, ch. 177); Young et al. (2016, ds 2, ch. 215); Ristevski et al. (2018, ds 2, ch. 281); Smith et al. (in review, ds 1, ch. 286); </w:t>
            </w:r>
            <w:r>
              <w:rPr>
                <w:i/>
                <w:sz w:val="20"/>
                <w:szCs w:val="20"/>
              </w:rPr>
              <w:t>Ősi et al. (in review, ds 1, ch. 321)</w:t>
            </w:r>
            <w:r>
              <w:rPr>
                <w:i/>
                <w:sz w:val="20"/>
                <w:szCs w:val="20"/>
                <w:lang w:eastAsia="en-US"/>
              </w:rPr>
              <w:t>.</w:t>
            </w:r>
          </w:p>
          <w:p w14:paraId="575EF355" w14:textId="77777777" w:rsidR="00D67975" w:rsidRDefault="00D67975" w:rsidP="00D67975">
            <w:pPr>
              <w:rPr>
                <w:i/>
                <w:color w:val="000000"/>
                <w:sz w:val="20"/>
                <w:szCs w:val="20"/>
                <w:lang w:eastAsia="en-US"/>
              </w:rPr>
            </w:pPr>
            <w:r>
              <w:rPr>
                <w:i/>
                <w:color w:val="000000"/>
                <w:sz w:val="20"/>
                <w:szCs w:val="20"/>
                <w:lang w:eastAsia="en-US"/>
              </w:rPr>
              <w:t xml:space="preserve">In Thalattosuchia, basal geosaurines are scored as state (1). </w:t>
            </w:r>
          </w:p>
          <w:p w14:paraId="70A9F219" w14:textId="77777777" w:rsidR="00D67975" w:rsidRDefault="00D67975" w:rsidP="00D67975">
            <w:pPr>
              <w:rPr>
                <w:i/>
                <w:color w:val="000000"/>
                <w:sz w:val="20"/>
                <w:szCs w:val="20"/>
                <w:lang w:eastAsia="en-US"/>
              </w:rPr>
            </w:pPr>
            <w:r>
              <w:rPr>
                <w:i/>
                <w:color w:val="000000"/>
                <w:sz w:val="20"/>
                <w:szCs w:val="20"/>
                <w:lang w:eastAsia="en-US"/>
              </w:rPr>
              <w:t>Derived genera within Geosaurini are scored as state (2).</w:t>
            </w:r>
          </w:p>
          <w:p w14:paraId="42B98A57" w14:textId="77777777" w:rsidR="00D67975" w:rsidRDefault="00D67975" w:rsidP="00D67975">
            <w:pPr>
              <w:rPr>
                <w:i/>
                <w:sz w:val="20"/>
                <w:szCs w:val="20"/>
                <w:lang w:eastAsia="en-US"/>
              </w:rPr>
            </w:pPr>
            <w:r>
              <w:rPr>
                <w:i/>
                <w:sz w:val="20"/>
                <w:szCs w:val="20"/>
                <w:lang w:eastAsia="en-US"/>
              </w:rPr>
              <w:t>This character is not applicable for taxa that lack carinae on all tooth crowns.</w:t>
            </w:r>
          </w:p>
          <w:p w14:paraId="62FCFCC0" w14:textId="77777777" w:rsidR="00D67975" w:rsidRDefault="00D67975" w:rsidP="00D67975">
            <w:pPr>
              <w:rPr>
                <w:i/>
                <w:sz w:val="20"/>
                <w:szCs w:val="20"/>
                <w:lang w:eastAsia="en-US"/>
              </w:rPr>
            </w:pPr>
            <w:r>
              <w:rPr>
                <w:i/>
                <w:sz w:val="20"/>
                <w:szCs w:val="20"/>
                <w:lang w:eastAsia="en-US"/>
              </w:rPr>
              <w:t>True ziphodonty herein follows the definition described in Prasad &amp; de Lapparent de Broin (2002).</w:t>
            </w:r>
          </w:p>
          <w:p w14:paraId="1E794717" w14:textId="77777777" w:rsidR="00D67975" w:rsidRDefault="00D67975" w:rsidP="00D67975">
            <w:pPr>
              <w:rPr>
                <w:color w:val="000000"/>
                <w:sz w:val="20"/>
                <w:szCs w:val="20"/>
                <w:lang w:eastAsia="en-US"/>
              </w:rPr>
            </w:pPr>
            <w:r>
              <w:rPr>
                <w:color w:val="000000"/>
                <w:sz w:val="20"/>
                <w:szCs w:val="20"/>
                <w:lang w:eastAsia="en-US"/>
              </w:rPr>
              <w:t>0. absent</w:t>
            </w:r>
          </w:p>
          <w:p w14:paraId="2DA90211" w14:textId="77777777" w:rsidR="00D67975" w:rsidRDefault="00D67975" w:rsidP="00D67975">
            <w:pPr>
              <w:rPr>
                <w:color w:val="000000"/>
                <w:sz w:val="20"/>
                <w:szCs w:val="20"/>
                <w:lang w:eastAsia="en-US"/>
              </w:rPr>
            </w:pPr>
            <w:r>
              <w:rPr>
                <w:color w:val="000000"/>
                <w:sz w:val="20"/>
                <w:szCs w:val="20"/>
                <w:lang w:eastAsia="en-US"/>
              </w:rPr>
              <w:t xml:space="preserve">1. incipient denticles that are poorly defined (hard to discern, in some cases even under Scanning Electron Microscopy). Typically, they either alter the height of the carinal keel very little or not at all (definition described in Young </w:t>
            </w:r>
            <w:r>
              <w:rPr>
                <w:i/>
                <w:color w:val="000000"/>
                <w:sz w:val="20"/>
                <w:szCs w:val="20"/>
                <w:lang w:eastAsia="en-US"/>
              </w:rPr>
              <w:t>et al</w:t>
            </w:r>
            <w:r>
              <w:rPr>
                <w:color w:val="000000"/>
                <w:sz w:val="20"/>
                <w:szCs w:val="20"/>
                <w:lang w:eastAsia="en-US"/>
              </w:rPr>
              <w:t>., 2013)</w:t>
            </w:r>
          </w:p>
          <w:p w14:paraId="47C10F4E" w14:textId="77777777" w:rsidR="00D67975" w:rsidRDefault="00D67975" w:rsidP="00D67975">
            <w:pPr>
              <w:rPr>
                <w:color w:val="000000"/>
                <w:sz w:val="20"/>
                <w:szCs w:val="20"/>
                <w:lang w:eastAsia="en-US"/>
              </w:rPr>
            </w:pPr>
            <w:r>
              <w:rPr>
                <w:color w:val="000000"/>
                <w:sz w:val="20"/>
                <w:szCs w:val="20"/>
                <w:lang w:eastAsia="en-US"/>
              </w:rPr>
              <w:t>2. well-defined denticles (can be discerned with or without optical aids)</w:t>
            </w:r>
          </w:p>
        </w:tc>
      </w:tr>
      <w:tr w:rsidR="00D67975" w14:paraId="30E58FCF" w14:textId="77777777" w:rsidTr="00D67975">
        <w:tc>
          <w:tcPr>
            <w:tcW w:w="0" w:type="auto"/>
            <w:tcBorders>
              <w:top w:val="single" w:sz="4" w:space="0" w:color="auto"/>
              <w:left w:val="single" w:sz="4" w:space="0" w:color="auto"/>
              <w:bottom w:val="single" w:sz="4" w:space="0" w:color="auto"/>
              <w:right w:val="single" w:sz="4" w:space="0" w:color="auto"/>
            </w:tcBorders>
          </w:tcPr>
          <w:p w14:paraId="28BF6666" w14:textId="58C57A93" w:rsidR="00D67975" w:rsidRDefault="009E2821" w:rsidP="00D67975">
            <w:pPr>
              <w:rPr>
                <w:color w:val="000000"/>
                <w:sz w:val="20"/>
                <w:szCs w:val="20"/>
                <w:lang w:eastAsia="en-US"/>
              </w:rPr>
            </w:pPr>
            <w:r>
              <w:rPr>
                <w:color w:val="000000"/>
                <w:sz w:val="20"/>
                <w:szCs w:val="20"/>
                <w:lang w:eastAsia="en-US"/>
              </w:rPr>
              <w:t>325</w:t>
            </w:r>
          </w:p>
        </w:tc>
        <w:tc>
          <w:tcPr>
            <w:tcW w:w="0" w:type="auto"/>
            <w:tcBorders>
              <w:top w:val="single" w:sz="4" w:space="0" w:color="auto"/>
              <w:left w:val="single" w:sz="4" w:space="0" w:color="auto"/>
              <w:bottom w:val="single" w:sz="4" w:space="0" w:color="auto"/>
              <w:right w:val="single" w:sz="4" w:space="0" w:color="auto"/>
            </w:tcBorders>
            <w:vAlign w:val="bottom"/>
            <w:hideMark/>
          </w:tcPr>
          <w:p w14:paraId="51C81E76" w14:textId="77777777" w:rsidR="00D67975" w:rsidRDefault="00D67975" w:rsidP="00D67975">
            <w:pPr>
              <w:autoSpaceDE w:val="0"/>
              <w:autoSpaceDN w:val="0"/>
              <w:adjustRightInd w:val="0"/>
              <w:rPr>
                <w:b/>
                <w:bCs/>
                <w:color w:val="000000"/>
                <w:sz w:val="20"/>
                <w:szCs w:val="20"/>
                <w:lang w:eastAsia="en-US"/>
              </w:rPr>
            </w:pPr>
            <w:r>
              <w:rPr>
                <w:b/>
                <w:bCs/>
                <w:color w:val="000000"/>
                <w:sz w:val="20"/>
                <w:szCs w:val="20"/>
                <w:lang w:eastAsia="en-US"/>
              </w:rPr>
              <w:t>Carinae (mid-posterior dentition), presence and morphology of denticles at crown edges:</w:t>
            </w:r>
          </w:p>
          <w:p w14:paraId="054572AE" w14:textId="4BA388B1"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Buckley </w:t>
            </w:r>
            <w:r>
              <w:rPr>
                <w:bCs/>
                <w:i/>
                <w:iCs/>
                <w:color w:val="000000"/>
                <w:sz w:val="20"/>
                <w:szCs w:val="20"/>
                <w:lang w:eastAsia="en-US"/>
              </w:rPr>
              <w:t>et al. (</w:t>
            </w:r>
            <w:r>
              <w:rPr>
                <w:bCs/>
                <w:i/>
                <w:color w:val="000000"/>
                <w:sz w:val="20"/>
                <w:szCs w:val="20"/>
                <w:lang w:eastAsia="en-US"/>
              </w:rPr>
              <w:t xml:space="preserve">2000, ch. 104 modified); Sereno </w:t>
            </w:r>
            <w:r>
              <w:rPr>
                <w:bCs/>
                <w:i/>
                <w:iCs/>
                <w:color w:val="000000"/>
                <w:sz w:val="20"/>
                <w:szCs w:val="20"/>
                <w:lang w:eastAsia="en-US"/>
              </w:rPr>
              <w:t>et al. (</w:t>
            </w:r>
            <w:r>
              <w:rPr>
                <w:bCs/>
                <w:i/>
                <w:color w:val="000000"/>
                <w:sz w:val="20"/>
                <w:szCs w:val="20"/>
                <w:lang w:eastAsia="en-US"/>
              </w:rPr>
              <w:t>2003, ch. 53 modified); Andrade &amp; Bertini (2008a, ch. 132 revised);</w:t>
            </w:r>
            <w:r>
              <w:rPr>
                <w:b/>
                <w:bCs/>
                <w:color w:val="000000"/>
                <w:sz w:val="20"/>
                <w:szCs w:val="20"/>
                <w:lang w:eastAsia="en-US"/>
              </w:rPr>
              <w:t xml:space="preserve"> </w:t>
            </w:r>
            <w:r>
              <w:rPr>
                <w:i/>
                <w:sz w:val="20"/>
                <w:szCs w:val="20"/>
                <w:lang w:eastAsia="en-US"/>
              </w:rPr>
              <w:t xml:space="preserve">Andrade et al. (2011, ch. 379 modified – character states re-ordered); </w:t>
            </w:r>
            <w:r>
              <w:rPr>
                <w:bCs/>
                <w:i/>
                <w:color w:val="000000"/>
                <w:sz w:val="20"/>
                <w:szCs w:val="20"/>
                <w:lang w:eastAsia="en-US"/>
              </w:rPr>
              <w:t>Young et al. (2011, ch. 172 modified); Young et al. (2013a, ch. 145 modified);</w:t>
            </w:r>
            <w:r>
              <w:rPr>
                <w:i/>
                <w:sz w:val="20"/>
                <w:szCs w:val="20"/>
                <w:lang w:eastAsia="en-US"/>
              </w:rPr>
              <w:t xml:space="preserve"> Young et al. (2012, ch. 170 modified); Young (2014, ch. 178 modified); Young et al. (2016, ds 2. ch. 216 modified – new character state added); Ristevski et al. (2018, ds 2, ch. 282); Smith et al. (in review, ds 1, ch. 287); </w:t>
            </w:r>
            <w:r>
              <w:rPr>
                <w:i/>
                <w:sz w:val="20"/>
                <w:szCs w:val="20"/>
              </w:rPr>
              <w:t>Ősi et al. (in review, ds 1, ch. 322)</w:t>
            </w:r>
            <w:r>
              <w:rPr>
                <w:i/>
                <w:sz w:val="20"/>
                <w:szCs w:val="20"/>
                <w:lang w:eastAsia="en-US"/>
              </w:rPr>
              <w:t>.</w:t>
            </w:r>
          </w:p>
          <w:p w14:paraId="544D4092" w14:textId="77777777" w:rsidR="00D67975" w:rsidRDefault="00D67975" w:rsidP="00D67975">
            <w:pPr>
              <w:autoSpaceDE w:val="0"/>
              <w:autoSpaceDN w:val="0"/>
              <w:adjustRightInd w:val="0"/>
              <w:rPr>
                <w:i/>
                <w:iCs/>
                <w:color w:val="000000"/>
                <w:sz w:val="20"/>
                <w:szCs w:val="20"/>
                <w:lang w:eastAsia="en-US"/>
              </w:rPr>
            </w:pPr>
            <w:r>
              <w:rPr>
                <w:i/>
                <w:iCs/>
                <w:color w:val="000000"/>
                <w:sz w:val="20"/>
                <w:szCs w:val="20"/>
                <w:lang w:eastAsia="en-US"/>
              </w:rPr>
              <w:t>State (1) is putative apomorphy of Notosuchidae + Sphagesauridae.</w:t>
            </w:r>
          </w:p>
          <w:p w14:paraId="32B30632" w14:textId="77777777" w:rsidR="00D67975" w:rsidRDefault="00D67975" w:rsidP="00D67975">
            <w:pPr>
              <w:rPr>
                <w:i/>
                <w:color w:val="000000"/>
                <w:sz w:val="20"/>
                <w:szCs w:val="20"/>
                <w:lang w:eastAsia="en-US"/>
              </w:rPr>
            </w:pPr>
            <w:r>
              <w:rPr>
                <w:i/>
                <w:color w:val="000000"/>
                <w:sz w:val="20"/>
                <w:szCs w:val="20"/>
                <w:lang w:eastAsia="en-US"/>
              </w:rPr>
              <w:t>In Thalattosuchia, basal geosaurines score as state (2).</w:t>
            </w:r>
          </w:p>
          <w:p w14:paraId="190167E2" w14:textId="77777777" w:rsidR="00D67975" w:rsidRDefault="00D67975" w:rsidP="00D67975">
            <w:pPr>
              <w:rPr>
                <w:i/>
                <w:color w:val="000000"/>
                <w:sz w:val="20"/>
                <w:szCs w:val="20"/>
                <w:lang w:eastAsia="en-US"/>
              </w:rPr>
            </w:pPr>
            <w:r>
              <w:rPr>
                <w:i/>
                <w:color w:val="000000"/>
                <w:sz w:val="20"/>
                <w:szCs w:val="20"/>
                <w:lang w:eastAsia="en-US"/>
              </w:rPr>
              <w:t>Derived genera within Geosaurini score as state (3).</w:t>
            </w:r>
          </w:p>
          <w:p w14:paraId="65FB1A06" w14:textId="77777777" w:rsidR="00D67975" w:rsidRDefault="00D67975" w:rsidP="00D67975">
            <w:pPr>
              <w:rPr>
                <w:i/>
                <w:color w:val="000000"/>
                <w:sz w:val="20"/>
                <w:szCs w:val="20"/>
                <w:lang w:eastAsia="en-US"/>
              </w:rPr>
            </w:pPr>
            <w:r>
              <w:rPr>
                <w:i/>
                <w:color w:val="000000"/>
                <w:sz w:val="20"/>
                <w:szCs w:val="20"/>
                <w:lang w:eastAsia="en-US"/>
              </w:rPr>
              <w:t>Note that this character and the character describing the presence of true denticles appear to correlate. However, the two morphologies are not the same, and it is possible that taxa can score differently for these two characters (i.e., the ziphomorphy condition – see Andrade &amp; Bertini, 2008a).</w:t>
            </w:r>
          </w:p>
          <w:p w14:paraId="6D22389C" w14:textId="3811B6A5" w:rsidR="00D67975" w:rsidRDefault="00D67975" w:rsidP="00D67975">
            <w:pPr>
              <w:rPr>
                <w:color w:val="000000"/>
                <w:sz w:val="20"/>
                <w:szCs w:val="20"/>
                <w:lang w:eastAsia="en-US"/>
              </w:rPr>
            </w:pPr>
            <w:r>
              <w:rPr>
                <w:i/>
                <w:color w:val="000000"/>
                <w:sz w:val="20"/>
                <w:szCs w:val="20"/>
                <w:lang w:eastAsia="en-US"/>
              </w:rPr>
              <w:t xml:space="preserve">Moreover, in Metriorhynchidae the development of the denticles, and whether they form a contiguous row along the carina is highly variable. Some taxa have contiguous and well-defined denticles (e.g. </w:t>
            </w:r>
            <w:r>
              <w:rPr>
                <w:color w:val="000000"/>
                <w:sz w:val="20"/>
                <w:szCs w:val="20"/>
                <w:lang w:eastAsia="en-US"/>
              </w:rPr>
              <w:t>Dakosaurus</w:t>
            </w:r>
            <w:r>
              <w:rPr>
                <w:i/>
                <w:color w:val="000000"/>
                <w:sz w:val="20"/>
                <w:szCs w:val="20"/>
                <w:lang w:eastAsia="en-US"/>
              </w:rPr>
              <w:t xml:space="preserve">, </w:t>
            </w:r>
            <w:r>
              <w:rPr>
                <w:color w:val="000000"/>
                <w:sz w:val="20"/>
                <w:szCs w:val="20"/>
                <w:lang w:eastAsia="en-US"/>
              </w:rPr>
              <w:t>Plesiosuchus</w:t>
            </w:r>
            <w:r>
              <w:rPr>
                <w:i/>
                <w:color w:val="000000"/>
                <w:sz w:val="20"/>
                <w:szCs w:val="20"/>
                <w:lang w:eastAsia="en-US"/>
              </w:rPr>
              <w:t xml:space="preserve">, </w:t>
            </w:r>
            <w:r>
              <w:rPr>
                <w:color w:val="000000"/>
                <w:sz w:val="20"/>
                <w:szCs w:val="20"/>
                <w:lang w:eastAsia="en-US"/>
              </w:rPr>
              <w:t>Geosaurus</w:t>
            </w:r>
            <w:r>
              <w:rPr>
                <w:i/>
                <w:color w:val="000000"/>
                <w:sz w:val="20"/>
                <w:szCs w:val="20"/>
                <w:lang w:eastAsia="en-US"/>
              </w:rPr>
              <w:t>) while some taxa have contiguous but incipient denticles (</w:t>
            </w:r>
            <w:r>
              <w:rPr>
                <w:color w:val="000000"/>
                <w:sz w:val="20"/>
                <w:szCs w:val="20"/>
                <w:lang w:eastAsia="en-US"/>
              </w:rPr>
              <w:t>Torvoneustes</w:t>
            </w:r>
            <w:r>
              <w:rPr>
                <w:i/>
                <w:color w:val="000000"/>
                <w:sz w:val="20"/>
                <w:szCs w:val="20"/>
                <w:lang w:eastAsia="en-US"/>
              </w:rPr>
              <w:t>), others non-contiguous incipient denticles (</w:t>
            </w:r>
            <w:r>
              <w:rPr>
                <w:color w:val="000000"/>
                <w:sz w:val="20"/>
                <w:szCs w:val="20"/>
                <w:lang w:eastAsia="en-US"/>
              </w:rPr>
              <w:t>Tyrannoneustes</w:t>
            </w:r>
            <w:r>
              <w:rPr>
                <w:i/>
                <w:color w:val="000000"/>
                <w:sz w:val="20"/>
                <w:szCs w:val="20"/>
                <w:lang w:eastAsia="en-US"/>
              </w:rPr>
              <w:t xml:space="preserve">, </w:t>
            </w:r>
            <w:r>
              <w:rPr>
                <w:color w:val="000000"/>
                <w:sz w:val="20"/>
                <w:szCs w:val="20"/>
                <w:lang w:eastAsia="en-US"/>
              </w:rPr>
              <w:t>‘M.’ brachyrhynchus</w:t>
            </w:r>
            <w:r>
              <w:rPr>
                <w:i/>
                <w:color w:val="000000"/>
                <w:sz w:val="20"/>
                <w:szCs w:val="20"/>
                <w:lang w:eastAsia="en-US"/>
              </w:rPr>
              <w:t xml:space="preserve">). </w:t>
            </w:r>
          </w:p>
          <w:p w14:paraId="54E2B01B" w14:textId="77777777" w:rsidR="00D67975" w:rsidRDefault="00D67975" w:rsidP="00D67975">
            <w:pPr>
              <w:rPr>
                <w:color w:val="000000"/>
                <w:sz w:val="20"/>
                <w:szCs w:val="20"/>
                <w:lang w:eastAsia="en-US"/>
              </w:rPr>
            </w:pPr>
            <w:r>
              <w:rPr>
                <w:color w:val="000000"/>
                <w:sz w:val="20"/>
                <w:szCs w:val="20"/>
                <w:lang w:eastAsia="en-US"/>
              </w:rPr>
              <w:t>0. carinae and/or denticles are absent (non-ziphodont), or homogenous carina where serrations may appear as the result of superficial enamel ornamentation (false ziphodont)</w:t>
            </w:r>
          </w:p>
          <w:p w14:paraId="178AEA55" w14:textId="77777777" w:rsidR="00D67975" w:rsidRDefault="00D67975" w:rsidP="00D67975">
            <w:pPr>
              <w:rPr>
                <w:color w:val="000000"/>
                <w:sz w:val="20"/>
                <w:szCs w:val="20"/>
                <w:lang w:eastAsia="en-US"/>
              </w:rPr>
            </w:pPr>
            <w:r>
              <w:rPr>
                <w:color w:val="000000"/>
                <w:sz w:val="20"/>
                <w:szCs w:val="20"/>
                <w:lang w:eastAsia="en-US"/>
              </w:rPr>
              <w:t>1. heterogeneous carina, tubercle-like true denticles that do not form a series (ziphomorph)</w:t>
            </w:r>
          </w:p>
          <w:p w14:paraId="474C6F48" w14:textId="77777777" w:rsidR="00D67975" w:rsidRDefault="00D67975" w:rsidP="00D67975">
            <w:pPr>
              <w:rPr>
                <w:color w:val="000000"/>
                <w:sz w:val="20"/>
                <w:szCs w:val="20"/>
                <w:lang w:eastAsia="en-US"/>
              </w:rPr>
            </w:pPr>
            <w:r>
              <w:rPr>
                <w:color w:val="000000"/>
                <w:sz w:val="20"/>
                <w:szCs w:val="20"/>
                <w:lang w:eastAsia="en-US"/>
              </w:rPr>
              <w:t>2. heterogeneous carina, cuneiform or ripple-like true denticles form short rows of 2–10 denticles and do not proceed contiguously along the entire carina (incipient ziphodont)</w:t>
            </w:r>
          </w:p>
          <w:p w14:paraId="5A560408" w14:textId="77777777" w:rsidR="00D67975" w:rsidRDefault="00D67975" w:rsidP="00D67975">
            <w:pPr>
              <w:rPr>
                <w:color w:val="000000"/>
                <w:sz w:val="20"/>
                <w:szCs w:val="20"/>
                <w:lang w:eastAsia="en-US"/>
              </w:rPr>
            </w:pPr>
            <w:r>
              <w:rPr>
                <w:color w:val="000000"/>
                <w:sz w:val="20"/>
                <w:szCs w:val="20"/>
                <w:lang w:eastAsia="en-US"/>
              </w:rPr>
              <w:lastRenderedPageBreak/>
              <w:t>3. homogeneous carina, cuneiform or ripple-like true true denticles form a contiguous, or near contiguous, series along the entire carina (ziphodont)</w:t>
            </w:r>
          </w:p>
        </w:tc>
      </w:tr>
      <w:tr w:rsidR="00D67975" w14:paraId="566C419D" w14:textId="77777777" w:rsidTr="00D67975">
        <w:tc>
          <w:tcPr>
            <w:tcW w:w="0" w:type="auto"/>
            <w:tcBorders>
              <w:top w:val="single" w:sz="4" w:space="0" w:color="auto"/>
              <w:left w:val="single" w:sz="4" w:space="0" w:color="auto"/>
              <w:bottom w:val="single" w:sz="4" w:space="0" w:color="auto"/>
              <w:right w:val="single" w:sz="4" w:space="0" w:color="auto"/>
            </w:tcBorders>
          </w:tcPr>
          <w:p w14:paraId="71CAB710" w14:textId="2D09C1BF" w:rsidR="00D67975" w:rsidRDefault="009E2821" w:rsidP="00D67975">
            <w:pPr>
              <w:rPr>
                <w:color w:val="000000"/>
                <w:sz w:val="20"/>
                <w:szCs w:val="20"/>
                <w:lang w:eastAsia="en-US"/>
              </w:rPr>
            </w:pPr>
            <w:r>
              <w:rPr>
                <w:color w:val="000000"/>
                <w:sz w:val="20"/>
                <w:szCs w:val="20"/>
                <w:lang w:eastAsia="en-US"/>
              </w:rPr>
              <w:lastRenderedPageBreak/>
              <w:t>326</w:t>
            </w:r>
          </w:p>
        </w:tc>
        <w:tc>
          <w:tcPr>
            <w:tcW w:w="0" w:type="auto"/>
            <w:tcBorders>
              <w:top w:val="single" w:sz="4" w:space="0" w:color="auto"/>
              <w:left w:val="single" w:sz="4" w:space="0" w:color="auto"/>
              <w:bottom w:val="single" w:sz="4" w:space="0" w:color="auto"/>
              <w:right w:val="single" w:sz="4" w:space="0" w:color="auto"/>
            </w:tcBorders>
            <w:vAlign w:val="bottom"/>
            <w:hideMark/>
          </w:tcPr>
          <w:p w14:paraId="08DDC9DE" w14:textId="77777777" w:rsidR="00D67975" w:rsidRDefault="00D67975" w:rsidP="00D67975">
            <w:pPr>
              <w:rPr>
                <w:b/>
                <w:color w:val="000000"/>
                <w:sz w:val="20"/>
                <w:szCs w:val="20"/>
                <w:lang w:eastAsia="en-US"/>
              </w:rPr>
            </w:pPr>
            <w:r>
              <w:rPr>
                <w:b/>
                <w:color w:val="000000"/>
                <w:sz w:val="20"/>
                <w:szCs w:val="20"/>
                <w:lang w:eastAsia="en-US"/>
              </w:rPr>
              <w:t>Carinae, true denticle shape when observed in lingual or labial view: (*)</w:t>
            </w:r>
          </w:p>
          <w:p w14:paraId="3F95F03D" w14:textId="7F9C77BB" w:rsidR="00D67975" w:rsidRDefault="00D67975" w:rsidP="00D67975">
            <w:pPr>
              <w:autoSpaceDE w:val="0"/>
              <w:autoSpaceDN w:val="0"/>
              <w:adjustRightInd w:val="0"/>
              <w:rPr>
                <w:i/>
                <w:sz w:val="20"/>
                <w:szCs w:val="20"/>
                <w:lang w:eastAsia="en-US"/>
              </w:rPr>
            </w:pPr>
            <w:r>
              <w:rPr>
                <w:i/>
                <w:sz w:val="20"/>
                <w:szCs w:val="20"/>
                <w:lang w:eastAsia="en-US"/>
              </w:rPr>
              <w:t xml:space="preserve">Young et al. (2012, ch. 171); Young (2014, ch. 179); Young et al. (2016, ds 2, ch. 217); Ristevski et al. (2018, ds 2, ch. 283); Smith et al. (in review, ds 1, ch. 288); </w:t>
            </w:r>
            <w:r>
              <w:rPr>
                <w:i/>
                <w:sz w:val="20"/>
                <w:szCs w:val="20"/>
              </w:rPr>
              <w:t>Ősi et al. (in review, ds 1, ch. 323)</w:t>
            </w:r>
            <w:r>
              <w:rPr>
                <w:i/>
                <w:sz w:val="20"/>
                <w:szCs w:val="20"/>
                <w:lang w:eastAsia="en-US"/>
              </w:rPr>
              <w:t>.</w:t>
            </w:r>
          </w:p>
          <w:p w14:paraId="762E1C8A" w14:textId="77777777" w:rsidR="00D67975" w:rsidRDefault="00D67975" w:rsidP="00D67975">
            <w:pPr>
              <w:rPr>
                <w:i/>
                <w:color w:val="000000"/>
                <w:sz w:val="20"/>
                <w:szCs w:val="20"/>
                <w:lang w:eastAsia="en-US"/>
              </w:rPr>
            </w:pPr>
            <w:r>
              <w:rPr>
                <w:i/>
                <w:color w:val="000000"/>
                <w:sz w:val="20"/>
                <w:szCs w:val="20"/>
                <w:lang w:eastAsia="en-US"/>
              </w:rPr>
              <w:t xml:space="preserve">In Thalattosuchia, </w:t>
            </w:r>
            <w:r>
              <w:rPr>
                <w:color w:val="000000"/>
                <w:sz w:val="20"/>
                <w:szCs w:val="20"/>
                <w:lang w:eastAsia="en-US"/>
              </w:rPr>
              <w:t xml:space="preserve">Plesiosuchus </w:t>
            </w:r>
            <w:r>
              <w:rPr>
                <w:i/>
                <w:color w:val="000000"/>
                <w:sz w:val="20"/>
                <w:szCs w:val="20"/>
                <w:lang w:eastAsia="en-US"/>
              </w:rPr>
              <w:t>and</w:t>
            </w:r>
            <w:r>
              <w:rPr>
                <w:color w:val="000000"/>
                <w:sz w:val="20"/>
                <w:szCs w:val="20"/>
                <w:lang w:eastAsia="en-US"/>
              </w:rPr>
              <w:t xml:space="preserve"> Suchodus are </w:t>
            </w:r>
            <w:r>
              <w:rPr>
                <w:i/>
                <w:color w:val="000000"/>
                <w:sz w:val="20"/>
                <w:szCs w:val="20"/>
                <w:lang w:eastAsia="en-US"/>
              </w:rPr>
              <w:t xml:space="preserve">scored as state (0). </w:t>
            </w:r>
          </w:p>
          <w:p w14:paraId="6209C5CE" w14:textId="77777777" w:rsidR="00D67975" w:rsidRDefault="00D67975" w:rsidP="00D67975">
            <w:pPr>
              <w:rPr>
                <w:i/>
                <w:color w:val="000000"/>
                <w:sz w:val="20"/>
                <w:szCs w:val="20"/>
                <w:lang w:eastAsia="en-US"/>
              </w:rPr>
            </w:pPr>
            <w:r>
              <w:rPr>
                <w:i/>
                <w:sz w:val="20"/>
                <w:szCs w:val="20"/>
                <w:lang w:eastAsia="en-US"/>
              </w:rPr>
              <w:t>This character is not applicable for taxa that lack carinae on all tooth crowns, and for those that lack denticles.</w:t>
            </w:r>
          </w:p>
          <w:p w14:paraId="2BF64A6D" w14:textId="77777777" w:rsidR="00D67975" w:rsidRDefault="00D67975" w:rsidP="00D67975">
            <w:pPr>
              <w:rPr>
                <w:color w:val="000000"/>
                <w:sz w:val="20"/>
                <w:szCs w:val="20"/>
                <w:lang w:eastAsia="en-US"/>
              </w:rPr>
            </w:pPr>
            <w:r>
              <w:rPr>
                <w:color w:val="000000"/>
                <w:sz w:val="20"/>
                <w:szCs w:val="20"/>
                <w:lang w:eastAsia="en-US"/>
              </w:rPr>
              <w:t>0. “chisel”-shaped or rectangular</w:t>
            </w:r>
          </w:p>
          <w:p w14:paraId="2292023A" w14:textId="77777777" w:rsidR="00D67975" w:rsidRDefault="00D67975" w:rsidP="00D67975">
            <w:pPr>
              <w:rPr>
                <w:color w:val="000000"/>
                <w:sz w:val="20"/>
                <w:szCs w:val="20"/>
                <w:lang w:eastAsia="en-US"/>
              </w:rPr>
            </w:pPr>
            <w:r>
              <w:rPr>
                <w:color w:val="000000"/>
                <w:sz w:val="20"/>
                <w:szCs w:val="20"/>
                <w:lang w:eastAsia="en-US"/>
              </w:rPr>
              <w:t>1. rounded</w:t>
            </w:r>
          </w:p>
        </w:tc>
      </w:tr>
      <w:tr w:rsidR="00D67975" w14:paraId="03CCD5EC" w14:textId="77777777" w:rsidTr="00D67975">
        <w:tc>
          <w:tcPr>
            <w:tcW w:w="0" w:type="auto"/>
            <w:tcBorders>
              <w:top w:val="single" w:sz="4" w:space="0" w:color="auto"/>
              <w:left w:val="single" w:sz="4" w:space="0" w:color="auto"/>
              <w:bottom w:val="single" w:sz="4" w:space="0" w:color="auto"/>
              <w:right w:val="single" w:sz="4" w:space="0" w:color="auto"/>
            </w:tcBorders>
          </w:tcPr>
          <w:p w14:paraId="121DF603" w14:textId="62306D49" w:rsidR="00D67975" w:rsidRDefault="009E2821" w:rsidP="00D67975">
            <w:pPr>
              <w:rPr>
                <w:color w:val="000000"/>
                <w:sz w:val="20"/>
                <w:szCs w:val="20"/>
                <w:lang w:eastAsia="en-US"/>
              </w:rPr>
            </w:pPr>
            <w:r>
              <w:rPr>
                <w:color w:val="000000"/>
                <w:sz w:val="20"/>
                <w:szCs w:val="20"/>
                <w:lang w:eastAsia="en-US"/>
              </w:rPr>
              <w:t>327</w:t>
            </w:r>
          </w:p>
        </w:tc>
        <w:tc>
          <w:tcPr>
            <w:tcW w:w="0" w:type="auto"/>
            <w:tcBorders>
              <w:top w:val="single" w:sz="4" w:space="0" w:color="auto"/>
              <w:left w:val="single" w:sz="4" w:space="0" w:color="auto"/>
              <w:bottom w:val="single" w:sz="4" w:space="0" w:color="auto"/>
              <w:right w:val="single" w:sz="4" w:space="0" w:color="auto"/>
            </w:tcBorders>
            <w:vAlign w:val="bottom"/>
            <w:hideMark/>
          </w:tcPr>
          <w:p w14:paraId="227379A1" w14:textId="77777777" w:rsidR="00D67975" w:rsidRDefault="00D67975" w:rsidP="00D67975">
            <w:pPr>
              <w:rPr>
                <w:b/>
                <w:color w:val="000000"/>
                <w:sz w:val="20"/>
                <w:szCs w:val="20"/>
                <w:lang w:eastAsia="en-US"/>
              </w:rPr>
            </w:pPr>
            <w:r>
              <w:rPr>
                <w:b/>
                <w:color w:val="000000"/>
                <w:sz w:val="20"/>
                <w:szCs w:val="20"/>
                <w:lang w:eastAsia="en-US"/>
              </w:rPr>
              <w:t>Carinae, denticle distribution across the dentition:</w:t>
            </w:r>
          </w:p>
          <w:p w14:paraId="430DD33B" w14:textId="26DCAE8E" w:rsidR="00D67975" w:rsidRDefault="00D67975" w:rsidP="00D67975">
            <w:pPr>
              <w:autoSpaceDE w:val="0"/>
              <w:autoSpaceDN w:val="0"/>
              <w:adjustRightInd w:val="0"/>
              <w:rPr>
                <w:i/>
                <w:sz w:val="20"/>
                <w:szCs w:val="20"/>
                <w:lang w:eastAsia="en-US"/>
              </w:rPr>
            </w:pPr>
            <w:r>
              <w:rPr>
                <w:i/>
                <w:sz w:val="20"/>
                <w:szCs w:val="20"/>
                <w:lang w:eastAsia="en-US"/>
              </w:rPr>
              <w:t xml:space="preserve">Young et al. (2012, ch. 172); Young (2014, ch. 180); Young et al. (2016, ds 2, ch. 218); Ristevski et al. (2018, ds 2, ch. 284); Smith et al. (in review, ds 1, ch. 289); </w:t>
            </w:r>
            <w:r>
              <w:rPr>
                <w:i/>
                <w:sz w:val="20"/>
                <w:szCs w:val="20"/>
              </w:rPr>
              <w:t>Ősi et al. (in review, ds 1, ch. 324)</w:t>
            </w:r>
            <w:r>
              <w:rPr>
                <w:i/>
                <w:sz w:val="20"/>
                <w:szCs w:val="20"/>
                <w:lang w:eastAsia="en-US"/>
              </w:rPr>
              <w:t>.</w:t>
            </w:r>
          </w:p>
          <w:p w14:paraId="046D4BB0" w14:textId="77777777" w:rsidR="00D67975" w:rsidRDefault="00D67975" w:rsidP="00D67975">
            <w:pPr>
              <w:rPr>
                <w:i/>
                <w:color w:val="000000"/>
                <w:sz w:val="20"/>
                <w:szCs w:val="20"/>
                <w:lang w:eastAsia="en-US"/>
              </w:rPr>
            </w:pPr>
            <w:r>
              <w:rPr>
                <w:i/>
                <w:color w:val="000000"/>
                <w:sz w:val="20"/>
                <w:szCs w:val="20"/>
                <w:lang w:eastAsia="en-US"/>
              </w:rPr>
              <w:t xml:space="preserve">In Thalattosuchia, state (2) occurs in </w:t>
            </w:r>
            <w:r>
              <w:rPr>
                <w:color w:val="000000"/>
                <w:sz w:val="20"/>
                <w:szCs w:val="20"/>
                <w:lang w:eastAsia="en-US"/>
              </w:rPr>
              <w:t>Dakosaurus</w:t>
            </w:r>
            <w:r>
              <w:rPr>
                <w:i/>
                <w:color w:val="000000"/>
                <w:sz w:val="20"/>
                <w:szCs w:val="20"/>
                <w:lang w:eastAsia="en-US"/>
              </w:rPr>
              <w:t>.</w:t>
            </w:r>
          </w:p>
          <w:p w14:paraId="6FFD5CD3" w14:textId="77777777" w:rsidR="00D67975" w:rsidRDefault="00D67975" w:rsidP="00D67975">
            <w:pPr>
              <w:rPr>
                <w:i/>
                <w:color w:val="000000"/>
                <w:sz w:val="20"/>
                <w:szCs w:val="20"/>
                <w:lang w:eastAsia="en-US"/>
              </w:rPr>
            </w:pPr>
            <w:r>
              <w:rPr>
                <w:i/>
                <w:color w:val="000000"/>
                <w:sz w:val="20"/>
                <w:szCs w:val="20"/>
                <w:lang w:eastAsia="en-US"/>
              </w:rPr>
              <w:t>At present no taxon is known to combine the microziphodont and macroziphodont conditions. However, it is entirely possible that such a taxon could occur. As such, state (3) was created.</w:t>
            </w:r>
          </w:p>
          <w:p w14:paraId="65DF0C34" w14:textId="0A902CF3" w:rsidR="00D67975" w:rsidRDefault="00D67975" w:rsidP="00D67975">
            <w:pPr>
              <w:rPr>
                <w:i/>
                <w:color w:val="000000"/>
                <w:sz w:val="20"/>
                <w:szCs w:val="20"/>
                <w:lang w:eastAsia="en-US"/>
              </w:rPr>
            </w:pPr>
            <w:r>
              <w:rPr>
                <w:i/>
                <w:color w:val="000000"/>
                <w:sz w:val="20"/>
                <w:szCs w:val="20"/>
                <w:lang w:eastAsia="en-US"/>
              </w:rPr>
              <w:t xml:space="preserve">In Thalattosuchia, </w:t>
            </w:r>
            <w:r>
              <w:rPr>
                <w:color w:val="000000"/>
                <w:sz w:val="20"/>
                <w:szCs w:val="20"/>
                <w:lang w:eastAsia="en-US"/>
              </w:rPr>
              <w:t>Dakosaurus</w:t>
            </w:r>
            <w:r>
              <w:rPr>
                <w:i/>
                <w:color w:val="000000"/>
                <w:sz w:val="20"/>
                <w:szCs w:val="20"/>
                <w:lang w:eastAsia="en-US"/>
              </w:rPr>
              <w:t xml:space="preserve"> scores as (2), while </w:t>
            </w:r>
            <w:r>
              <w:rPr>
                <w:color w:val="000000"/>
                <w:sz w:val="20"/>
                <w:szCs w:val="20"/>
                <w:lang w:eastAsia="en-US"/>
              </w:rPr>
              <w:t>‘Metriorhynchus’</w:t>
            </w:r>
            <w:r>
              <w:rPr>
                <w:i/>
                <w:color w:val="000000"/>
                <w:sz w:val="20"/>
                <w:szCs w:val="20"/>
                <w:lang w:eastAsia="en-US"/>
              </w:rPr>
              <w:t xml:space="preserve"> </w:t>
            </w:r>
            <w:r>
              <w:rPr>
                <w:color w:val="000000"/>
                <w:sz w:val="20"/>
                <w:szCs w:val="20"/>
                <w:lang w:eastAsia="en-US"/>
              </w:rPr>
              <w:t>brachyrhynchus, Tyrannoneustes lythrodectikos</w:t>
            </w:r>
            <w:r>
              <w:rPr>
                <w:i/>
                <w:color w:val="000000"/>
                <w:sz w:val="20"/>
                <w:szCs w:val="20"/>
                <w:lang w:eastAsia="en-US"/>
              </w:rPr>
              <w:t xml:space="preserve">, </w:t>
            </w:r>
            <w:r>
              <w:rPr>
                <w:color w:val="000000"/>
                <w:sz w:val="20"/>
                <w:szCs w:val="20"/>
                <w:lang w:eastAsia="en-US"/>
              </w:rPr>
              <w:t>Torvoneustes</w:t>
            </w:r>
            <w:r>
              <w:rPr>
                <w:i/>
                <w:color w:val="000000"/>
                <w:sz w:val="20"/>
                <w:szCs w:val="20"/>
                <w:lang w:eastAsia="en-US"/>
              </w:rPr>
              <w:t xml:space="preserve">, </w:t>
            </w:r>
            <w:r>
              <w:rPr>
                <w:color w:val="000000"/>
                <w:sz w:val="20"/>
                <w:szCs w:val="20"/>
                <w:lang w:eastAsia="en-US"/>
              </w:rPr>
              <w:t>Geosaurus</w:t>
            </w:r>
            <w:r>
              <w:rPr>
                <w:i/>
                <w:color w:val="000000"/>
                <w:sz w:val="20"/>
                <w:szCs w:val="20"/>
                <w:lang w:eastAsia="en-US"/>
              </w:rPr>
              <w:t xml:space="preserve"> and </w:t>
            </w:r>
            <w:r>
              <w:rPr>
                <w:color w:val="000000"/>
                <w:sz w:val="20"/>
                <w:szCs w:val="20"/>
                <w:lang w:eastAsia="en-US"/>
              </w:rPr>
              <w:t>Plesiosuchus</w:t>
            </w:r>
            <w:r>
              <w:rPr>
                <w:i/>
                <w:color w:val="000000"/>
                <w:sz w:val="20"/>
                <w:szCs w:val="20"/>
                <w:lang w:eastAsia="en-US"/>
              </w:rPr>
              <w:t xml:space="preserve"> score as (1).</w:t>
            </w:r>
          </w:p>
          <w:p w14:paraId="38E402FA" w14:textId="77777777" w:rsidR="00D67975" w:rsidRDefault="00D67975" w:rsidP="00D67975">
            <w:pPr>
              <w:rPr>
                <w:i/>
                <w:color w:val="000000"/>
                <w:sz w:val="20"/>
                <w:szCs w:val="20"/>
                <w:lang w:eastAsia="en-US"/>
              </w:rPr>
            </w:pPr>
            <w:r>
              <w:rPr>
                <w:i/>
                <w:color w:val="000000"/>
                <w:sz w:val="20"/>
                <w:szCs w:val="20"/>
                <w:lang w:eastAsia="en-US"/>
              </w:rPr>
              <w:t xml:space="preserve">Note that this character appears to correlate with the characters describing the incipient/well-developed denticles) and homogeneous/heterogenous carinae. However, these morphologies are not the same, and it is possible that taxa can score differently for these three characters. </w:t>
            </w:r>
          </w:p>
          <w:p w14:paraId="1E5313BA" w14:textId="2843D5F3" w:rsidR="00D67975" w:rsidRDefault="00D67975" w:rsidP="00D67975">
            <w:pPr>
              <w:rPr>
                <w:color w:val="000000"/>
                <w:sz w:val="20"/>
                <w:szCs w:val="20"/>
                <w:lang w:eastAsia="en-US"/>
              </w:rPr>
            </w:pPr>
            <w:r>
              <w:rPr>
                <w:i/>
                <w:color w:val="000000"/>
                <w:sz w:val="20"/>
                <w:szCs w:val="20"/>
                <w:lang w:eastAsia="en-US"/>
              </w:rPr>
              <w:t xml:space="preserve">In Metriorhynchidae the development of the macroscopic denticles is a putative apomorphy of </w:t>
            </w:r>
            <w:r>
              <w:rPr>
                <w:color w:val="000000"/>
                <w:sz w:val="20"/>
                <w:szCs w:val="20"/>
                <w:lang w:eastAsia="en-US"/>
              </w:rPr>
              <w:t>Dakosaurus</w:t>
            </w:r>
            <w:r>
              <w:rPr>
                <w:i/>
                <w:color w:val="000000"/>
                <w:sz w:val="20"/>
                <w:szCs w:val="20"/>
                <w:lang w:eastAsia="en-US"/>
              </w:rPr>
              <w:t xml:space="preserve">, giving this genus macroscopic, well-defined contiguous denticles. In contrast, </w:t>
            </w:r>
            <w:r>
              <w:rPr>
                <w:color w:val="000000"/>
                <w:sz w:val="20"/>
                <w:szCs w:val="20"/>
                <w:lang w:eastAsia="en-US"/>
              </w:rPr>
              <w:t>Plesiosuchus</w:t>
            </w:r>
            <w:r>
              <w:rPr>
                <w:i/>
                <w:color w:val="000000"/>
                <w:sz w:val="20"/>
                <w:szCs w:val="20"/>
                <w:lang w:eastAsia="en-US"/>
              </w:rPr>
              <w:t xml:space="preserve"> and </w:t>
            </w:r>
            <w:r>
              <w:rPr>
                <w:color w:val="000000"/>
                <w:sz w:val="20"/>
                <w:szCs w:val="20"/>
                <w:lang w:eastAsia="en-US"/>
              </w:rPr>
              <w:t xml:space="preserve">Geosaurus </w:t>
            </w:r>
            <w:r>
              <w:rPr>
                <w:i/>
                <w:color w:val="000000"/>
                <w:sz w:val="20"/>
                <w:szCs w:val="20"/>
                <w:lang w:eastAsia="en-US"/>
              </w:rPr>
              <w:t xml:space="preserve">have microscopic, well-defined contiguous denticles; </w:t>
            </w:r>
            <w:r>
              <w:rPr>
                <w:color w:val="000000"/>
                <w:sz w:val="20"/>
                <w:szCs w:val="20"/>
                <w:lang w:eastAsia="en-US"/>
              </w:rPr>
              <w:t xml:space="preserve">Torvoneustes </w:t>
            </w:r>
            <w:r>
              <w:rPr>
                <w:i/>
                <w:color w:val="000000"/>
                <w:sz w:val="20"/>
                <w:szCs w:val="20"/>
                <w:lang w:eastAsia="en-US"/>
              </w:rPr>
              <w:t xml:space="preserve">has microscopic, incipient contiguous denticles; while </w:t>
            </w:r>
            <w:r>
              <w:rPr>
                <w:color w:val="000000"/>
                <w:sz w:val="20"/>
                <w:szCs w:val="20"/>
                <w:lang w:eastAsia="en-US"/>
              </w:rPr>
              <w:t xml:space="preserve">Tyrannoneustes </w:t>
            </w:r>
            <w:r>
              <w:rPr>
                <w:i/>
                <w:color w:val="000000"/>
                <w:sz w:val="20"/>
                <w:szCs w:val="20"/>
                <w:lang w:eastAsia="en-US"/>
              </w:rPr>
              <w:t xml:space="preserve">and </w:t>
            </w:r>
            <w:r>
              <w:rPr>
                <w:color w:val="000000"/>
                <w:sz w:val="20"/>
                <w:szCs w:val="20"/>
                <w:lang w:eastAsia="en-US"/>
              </w:rPr>
              <w:t xml:space="preserve">‘M.’ brachyrhynchus </w:t>
            </w:r>
            <w:r>
              <w:rPr>
                <w:i/>
                <w:color w:val="000000"/>
                <w:sz w:val="20"/>
                <w:szCs w:val="20"/>
                <w:lang w:eastAsia="en-US"/>
              </w:rPr>
              <w:t>have microscopic, incipient, non-contiguous denticles.</w:t>
            </w:r>
          </w:p>
          <w:p w14:paraId="7428976A" w14:textId="77777777" w:rsidR="00D67975" w:rsidRDefault="00D67975" w:rsidP="00D67975">
            <w:pPr>
              <w:rPr>
                <w:i/>
                <w:color w:val="000000"/>
                <w:sz w:val="20"/>
                <w:szCs w:val="20"/>
                <w:lang w:eastAsia="en-US"/>
              </w:rPr>
            </w:pPr>
            <w:r>
              <w:rPr>
                <w:i/>
                <w:color w:val="000000"/>
                <w:sz w:val="20"/>
                <w:szCs w:val="20"/>
                <w:lang w:eastAsia="en-US"/>
              </w:rPr>
              <w:t>Thus, these three characters are describing a different aspect of denticle development and arrangement.</w:t>
            </w:r>
          </w:p>
          <w:p w14:paraId="5445BD56" w14:textId="77777777" w:rsidR="00D67975" w:rsidRDefault="00D67975" w:rsidP="00D67975">
            <w:pPr>
              <w:rPr>
                <w:color w:val="000000"/>
                <w:sz w:val="20"/>
                <w:szCs w:val="20"/>
                <w:lang w:eastAsia="en-US"/>
              </w:rPr>
            </w:pPr>
            <w:r>
              <w:rPr>
                <w:color w:val="000000"/>
                <w:sz w:val="20"/>
                <w:szCs w:val="20"/>
                <w:lang w:eastAsia="en-US"/>
              </w:rPr>
              <w:t>0. all or most teeth lack denticles</w:t>
            </w:r>
          </w:p>
          <w:p w14:paraId="127D6197" w14:textId="77777777" w:rsidR="00D67975" w:rsidRDefault="00D67975" w:rsidP="00D67975">
            <w:pPr>
              <w:rPr>
                <w:color w:val="000000"/>
                <w:sz w:val="20"/>
                <w:szCs w:val="20"/>
                <w:lang w:eastAsia="en-US"/>
              </w:rPr>
            </w:pPr>
            <w:r>
              <w:rPr>
                <w:color w:val="000000"/>
                <w:sz w:val="20"/>
                <w:szCs w:val="20"/>
                <w:lang w:eastAsia="en-US"/>
              </w:rPr>
              <w:t>1. all teeth are microziphodont (</w:t>
            </w:r>
            <w:r w:rsidRPr="00EA0330">
              <w:rPr>
                <w:i/>
                <w:color w:val="000000"/>
                <w:sz w:val="20"/>
                <w:szCs w:val="20"/>
                <w:lang w:eastAsia="en-US"/>
              </w:rPr>
              <w:t>sensu</w:t>
            </w:r>
            <w:r>
              <w:rPr>
                <w:color w:val="000000"/>
                <w:sz w:val="20"/>
                <w:szCs w:val="20"/>
                <w:lang w:eastAsia="en-US"/>
              </w:rPr>
              <w:t xml:space="preserve"> Andrade </w:t>
            </w:r>
            <w:r w:rsidRPr="00EA0330">
              <w:rPr>
                <w:i/>
                <w:color w:val="000000"/>
                <w:sz w:val="20"/>
                <w:szCs w:val="20"/>
                <w:lang w:eastAsia="en-US"/>
              </w:rPr>
              <w:t>et al</w:t>
            </w:r>
            <w:r>
              <w:rPr>
                <w:color w:val="000000"/>
                <w:sz w:val="20"/>
                <w:szCs w:val="20"/>
                <w:lang w:eastAsia="en-US"/>
              </w:rPr>
              <w:t>., 2010)</w:t>
            </w:r>
          </w:p>
          <w:p w14:paraId="6F158D0F" w14:textId="77777777" w:rsidR="00D67975" w:rsidRDefault="00D67975" w:rsidP="00D67975">
            <w:pPr>
              <w:rPr>
                <w:color w:val="000000"/>
                <w:sz w:val="20"/>
                <w:szCs w:val="20"/>
                <w:lang w:eastAsia="en-US"/>
              </w:rPr>
            </w:pPr>
            <w:r>
              <w:rPr>
                <w:color w:val="000000"/>
                <w:sz w:val="20"/>
                <w:szCs w:val="20"/>
                <w:lang w:eastAsia="en-US"/>
              </w:rPr>
              <w:t>2. all teeth are macroziphodont (</w:t>
            </w:r>
            <w:r w:rsidRPr="00EA0330">
              <w:rPr>
                <w:i/>
                <w:color w:val="000000"/>
                <w:sz w:val="20"/>
                <w:szCs w:val="20"/>
                <w:lang w:eastAsia="en-US"/>
              </w:rPr>
              <w:t>sensu</w:t>
            </w:r>
            <w:r>
              <w:rPr>
                <w:color w:val="000000"/>
                <w:sz w:val="20"/>
                <w:szCs w:val="20"/>
                <w:lang w:eastAsia="en-US"/>
              </w:rPr>
              <w:t xml:space="preserve"> Andrade </w:t>
            </w:r>
            <w:r w:rsidRPr="00EA0330">
              <w:rPr>
                <w:i/>
                <w:color w:val="000000"/>
                <w:sz w:val="20"/>
                <w:szCs w:val="20"/>
                <w:lang w:eastAsia="en-US"/>
              </w:rPr>
              <w:t>et al</w:t>
            </w:r>
            <w:r>
              <w:rPr>
                <w:color w:val="000000"/>
                <w:sz w:val="20"/>
                <w:szCs w:val="20"/>
                <w:lang w:eastAsia="en-US"/>
              </w:rPr>
              <w:t>., 2010)</w:t>
            </w:r>
          </w:p>
          <w:p w14:paraId="28D162ED" w14:textId="77777777" w:rsidR="00D67975" w:rsidRDefault="00D67975" w:rsidP="00D67975">
            <w:pPr>
              <w:rPr>
                <w:b/>
                <w:color w:val="000000"/>
                <w:sz w:val="20"/>
                <w:szCs w:val="20"/>
                <w:lang w:eastAsia="en-US"/>
              </w:rPr>
            </w:pPr>
            <w:r>
              <w:rPr>
                <w:color w:val="000000"/>
                <w:sz w:val="20"/>
                <w:szCs w:val="20"/>
                <w:lang w:eastAsia="en-US"/>
              </w:rPr>
              <w:t>3. teeth show variation in denticle size (with both microziphodonty and macroziphodonty)</w:t>
            </w:r>
          </w:p>
        </w:tc>
      </w:tr>
      <w:tr w:rsidR="00D67975" w14:paraId="50D88A04" w14:textId="77777777" w:rsidTr="00D67975">
        <w:tc>
          <w:tcPr>
            <w:tcW w:w="0" w:type="auto"/>
            <w:tcBorders>
              <w:top w:val="single" w:sz="4" w:space="0" w:color="auto"/>
              <w:left w:val="single" w:sz="4" w:space="0" w:color="auto"/>
              <w:bottom w:val="single" w:sz="4" w:space="0" w:color="auto"/>
              <w:right w:val="single" w:sz="4" w:space="0" w:color="auto"/>
            </w:tcBorders>
          </w:tcPr>
          <w:p w14:paraId="64377E92" w14:textId="4468CD85" w:rsidR="00D67975" w:rsidRDefault="009E2821" w:rsidP="00D67975">
            <w:pPr>
              <w:rPr>
                <w:color w:val="000000"/>
                <w:sz w:val="20"/>
                <w:szCs w:val="20"/>
                <w:lang w:eastAsia="en-US"/>
              </w:rPr>
            </w:pPr>
            <w:r>
              <w:rPr>
                <w:color w:val="000000"/>
                <w:sz w:val="20"/>
                <w:szCs w:val="20"/>
                <w:lang w:eastAsia="en-US"/>
              </w:rPr>
              <w:t>328</w:t>
            </w:r>
          </w:p>
        </w:tc>
        <w:tc>
          <w:tcPr>
            <w:tcW w:w="0" w:type="auto"/>
            <w:tcBorders>
              <w:top w:val="single" w:sz="4" w:space="0" w:color="auto"/>
              <w:left w:val="single" w:sz="4" w:space="0" w:color="auto"/>
              <w:bottom w:val="single" w:sz="4" w:space="0" w:color="auto"/>
              <w:right w:val="single" w:sz="4" w:space="0" w:color="auto"/>
            </w:tcBorders>
            <w:vAlign w:val="bottom"/>
            <w:hideMark/>
          </w:tcPr>
          <w:p w14:paraId="3FFF9DF3" w14:textId="77777777" w:rsidR="00D67975" w:rsidRDefault="00D67975" w:rsidP="00D67975">
            <w:pPr>
              <w:autoSpaceDE w:val="0"/>
              <w:autoSpaceDN w:val="0"/>
              <w:adjustRightInd w:val="0"/>
              <w:rPr>
                <w:b/>
                <w:bCs/>
                <w:sz w:val="20"/>
                <w:szCs w:val="20"/>
                <w:lang w:eastAsia="en-US"/>
              </w:rPr>
            </w:pPr>
            <w:r>
              <w:rPr>
                <w:b/>
                <w:bCs/>
                <w:sz w:val="20"/>
                <w:szCs w:val="20"/>
                <w:lang w:eastAsia="en-US"/>
              </w:rPr>
              <w:t>Carinae (maxillae), distribution of denticles at crown edges:</w:t>
            </w:r>
          </w:p>
          <w:p w14:paraId="4C5B573B" w14:textId="2B56338E" w:rsidR="00D67975" w:rsidRDefault="00D67975" w:rsidP="00D67975">
            <w:pPr>
              <w:autoSpaceDE w:val="0"/>
              <w:autoSpaceDN w:val="0"/>
              <w:adjustRightInd w:val="0"/>
              <w:rPr>
                <w:b/>
                <w:bCs/>
                <w:sz w:val="20"/>
                <w:szCs w:val="20"/>
                <w:lang w:eastAsia="en-US"/>
              </w:rPr>
            </w:pPr>
            <w:r>
              <w:rPr>
                <w:i/>
                <w:iCs/>
                <w:sz w:val="20"/>
                <w:szCs w:val="20"/>
                <w:lang w:eastAsia="en-US"/>
              </w:rPr>
              <w:t xml:space="preserve">based on Price (1950) and Pol (2003); </w:t>
            </w:r>
            <w:r>
              <w:rPr>
                <w:bCs/>
                <w:i/>
                <w:sz w:val="20"/>
                <w:szCs w:val="20"/>
                <w:lang w:eastAsia="en-US"/>
              </w:rPr>
              <w:t>Andrade &amp; Bertini (2008a, ch. 132 modified);</w:t>
            </w:r>
            <w:r>
              <w:rPr>
                <w:b/>
                <w:bCs/>
                <w:sz w:val="20"/>
                <w:szCs w:val="20"/>
                <w:lang w:eastAsia="en-US"/>
              </w:rPr>
              <w:t xml:space="preserve"> </w:t>
            </w:r>
            <w:r>
              <w:rPr>
                <w:bCs/>
                <w:i/>
                <w:sz w:val="20"/>
                <w:lang w:eastAsia="en-US"/>
              </w:rPr>
              <w:t>Andrade et al. (2011, ch. 380);</w:t>
            </w:r>
            <w:r>
              <w:rPr>
                <w:i/>
                <w:sz w:val="20"/>
                <w:szCs w:val="20"/>
                <w:lang w:eastAsia="en-US"/>
              </w:rPr>
              <w:t xml:space="preserve"> Ristevski et al. (2018, ds 1, ch. 380); Smith et al. (in review, ds 2, ch. 380); </w:t>
            </w:r>
            <w:r>
              <w:rPr>
                <w:i/>
                <w:sz w:val="20"/>
                <w:szCs w:val="20"/>
              </w:rPr>
              <w:t>Ősi et al. (in review, ds 1, ch. 325)</w:t>
            </w:r>
            <w:r>
              <w:rPr>
                <w:bCs/>
                <w:i/>
                <w:sz w:val="20"/>
                <w:lang w:eastAsia="en-US"/>
              </w:rPr>
              <w:t>.</w:t>
            </w:r>
          </w:p>
          <w:p w14:paraId="672E581C" w14:textId="77777777" w:rsidR="00D67975" w:rsidRDefault="00D67975" w:rsidP="00D67975">
            <w:pPr>
              <w:autoSpaceDE w:val="0"/>
              <w:autoSpaceDN w:val="0"/>
              <w:adjustRightInd w:val="0"/>
              <w:rPr>
                <w:i/>
                <w:iCs/>
                <w:sz w:val="20"/>
                <w:szCs w:val="20"/>
                <w:lang w:eastAsia="en-US"/>
              </w:rPr>
            </w:pPr>
            <w:r>
              <w:rPr>
                <w:i/>
                <w:iCs/>
                <w:sz w:val="20"/>
                <w:szCs w:val="20"/>
                <w:lang w:eastAsia="en-US"/>
              </w:rPr>
              <w:t>This character samples presence of true denticles only, not all serrated carinae or ziphomorph denticles.</w:t>
            </w:r>
          </w:p>
          <w:p w14:paraId="77F716AA"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(1) is putative apomorphy of Notosuchidae + Sphagesauridae (but note that </w:t>
            </w:r>
            <w:r>
              <w:rPr>
                <w:sz w:val="20"/>
                <w:szCs w:val="20"/>
                <w:lang w:eastAsia="en-US"/>
              </w:rPr>
              <w:t xml:space="preserve">Adamantinasuchus </w:t>
            </w:r>
            <w:r>
              <w:rPr>
                <w:i/>
                <w:iCs/>
                <w:sz w:val="20"/>
                <w:szCs w:val="20"/>
                <w:lang w:eastAsia="en-US"/>
              </w:rPr>
              <w:t xml:space="preserve">and </w:t>
            </w:r>
            <w:r>
              <w:rPr>
                <w:sz w:val="20"/>
                <w:szCs w:val="20"/>
                <w:lang w:eastAsia="en-US"/>
              </w:rPr>
              <w:t>Mariliasuchu</w:t>
            </w:r>
            <w:r>
              <w:rPr>
                <w:i/>
                <w:iCs/>
                <w:sz w:val="20"/>
                <w:szCs w:val="20"/>
                <w:lang w:eastAsia="en-US"/>
              </w:rPr>
              <w:t>s do not share the character).</w:t>
            </w:r>
          </w:p>
          <w:p w14:paraId="5D2D788F" w14:textId="77777777" w:rsidR="00D67975" w:rsidRDefault="00D67975" w:rsidP="00D67975">
            <w:pPr>
              <w:autoSpaceDE w:val="0"/>
              <w:autoSpaceDN w:val="0"/>
              <w:adjustRightInd w:val="0"/>
              <w:rPr>
                <w:sz w:val="20"/>
                <w:szCs w:val="20"/>
                <w:lang w:eastAsia="en-US"/>
              </w:rPr>
            </w:pPr>
            <w:r>
              <w:rPr>
                <w:sz w:val="20"/>
                <w:szCs w:val="20"/>
                <w:lang w:eastAsia="en-US"/>
              </w:rPr>
              <w:t>0. mesial and distal crown edges with the same morphology, either with or without true denticles</w:t>
            </w:r>
          </w:p>
          <w:p w14:paraId="3476E915" w14:textId="77777777" w:rsidR="00D67975" w:rsidRDefault="00D67975" w:rsidP="00D67975">
            <w:pPr>
              <w:rPr>
                <w:b/>
                <w:color w:val="000000"/>
                <w:sz w:val="20"/>
                <w:szCs w:val="20"/>
                <w:lang w:eastAsia="en-US"/>
              </w:rPr>
            </w:pPr>
            <w:r>
              <w:rPr>
                <w:sz w:val="20"/>
                <w:szCs w:val="20"/>
                <w:lang w:eastAsia="en-US"/>
              </w:rPr>
              <w:t>1. mesial carina absent and distal carina present</w:t>
            </w:r>
          </w:p>
        </w:tc>
      </w:tr>
      <w:tr w:rsidR="00D67975" w14:paraId="49D94165" w14:textId="77777777" w:rsidTr="00D67975">
        <w:tc>
          <w:tcPr>
            <w:tcW w:w="0" w:type="auto"/>
            <w:tcBorders>
              <w:top w:val="single" w:sz="4" w:space="0" w:color="auto"/>
              <w:left w:val="single" w:sz="4" w:space="0" w:color="auto"/>
              <w:bottom w:val="single" w:sz="4" w:space="0" w:color="auto"/>
              <w:right w:val="single" w:sz="4" w:space="0" w:color="auto"/>
            </w:tcBorders>
          </w:tcPr>
          <w:p w14:paraId="1E33AEEC" w14:textId="75B8EF45" w:rsidR="00D67975" w:rsidRDefault="009E2821" w:rsidP="00D67975">
            <w:pPr>
              <w:rPr>
                <w:color w:val="000000"/>
                <w:sz w:val="20"/>
                <w:szCs w:val="20"/>
                <w:lang w:eastAsia="en-US"/>
              </w:rPr>
            </w:pPr>
            <w:r>
              <w:rPr>
                <w:color w:val="000000"/>
                <w:sz w:val="20"/>
                <w:szCs w:val="20"/>
                <w:lang w:eastAsia="en-US"/>
              </w:rPr>
              <w:t>329</w:t>
            </w:r>
          </w:p>
        </w:tc>
        <w:tc>
          <w:tcPr>
            <w:tcW w:w="0" w:type="auto"/>
            <w:tcBorders>
              <w:top w:val="single" w:sz="4" w:space="0" w:color="auto"/>
              <w:left w:val="single" w:sz="4" w:space="0" w:color="auto"/>
              <w:bottom w:val="single" w:sz="4" w:space="0" w:color="auto"/>
              <w:right w:val="single" w:sz="4" w:space="0" w:color="auto"/>
            </w:tcBorders>
            <w:vAlign w:val="bottom"/>
            <w:hideMark/>
          </w:tcPr>
          <w:p w14:paraId="3FCA43B0" w14:textId="77777777" w:rsidR="00D67975" w:rsidRDefault="00D67975" w:rsidP="00D67975">
            <w:pPr>
              <w:autoSpaceDE w:val="0"/>
              <w:autoSpaceDN w:val="0"/>
              <w:adjustRightInd w:val="0"/>
              <w:rPr>
                <w:b/>
                <w:bCs/>
                <w:sz w:val="20"/>
                <w:szCs w:val="20"/>
                <w:lang w:eastAsia="en-US"/>
              </w:rPr>
            </w:pPr>
            <w:r>
              <w:rPr>
                <w:b/>
                <w:bCs/>
                <w:sz w:val="20"/>
                <w:szCs w:val="20"/>
                <w:lang w:eastAsia="en-US"/>
              </w:rPr>
              <w:t>Carinae (mid-posterior mandible), distribution of denticles at crown edges:</w:t>
            </w:r>
          </w:p>
          <w:p w14:paraId="4D939A5E" w14:textId="3A2E61F5" w:rsidR="00D67975" w:rsidRDefault="00D67975" w:rsidP="00D67975">
            <w:pPr>
              <w:autoSpaceDE w:val="0"/>
              <w:autoSpaceDN w:val="0"/>
              <w:adjustRightInd w:val="0"/>
              <w:rPr>
                <w:b/>
                <w:bCs/>
                <w:sz w:val="20"/>
                <w:szCs w:val="20"/>
                <w:lang w:eastAsia="en-US"/>
              </w:rPr>
            </w:pPr>
            <w:r>
              <w:rPr>
                <w:bCs/>
                <w:i/>
                <w:sz w:val="20"/>
                <w:szCs w:val="20"/>
                <w:lang w:eastAsia="en-US"/>
              </w:rPr>
              <w:t>Andrade &amp; Bertini (2008a, ch. 132 modified);</w:t>
            </w:r>
            <w:r>
              <w:rPr>
                <w:b/>
                <w:bCs/>
                <w:sz w:val="20"/>
                <w:szCs w:val="20"/>
                <w:lang w:eastAsia="en-US"/>
              </w:rPr>
              <w:t xml:space="preserve"> </w:t>
            </w:r>
            <w:r>
              <w:rPr>
                <w:bCs/>
                <w:i/>
                <w:sz w:val="20"/>
                <w:lang w:eastAsia="en-US"/>
              </w:rPr>
              <w:t>Andrade et al. (2011, ch. 381);</w:t>
            </w:r>
            <w:r>
              <w:rPr>
                <w:i/>
                <w:sz w:val="20"/>
                <w:szCs w:val="20"/>
                <w:lang w:eastAsia="en-US"/>
              </w:rPr>
              <w:t xml:space="preserve"> Ristevski et al. (2018, ds 1, ch. 381); Smith et al. (in review, ds 2, ch. 381); </w:t>
            </w:r>
            <w:r>
              <w:rPr>
                <w:i/>
                <w:sz w:val="20"/>
                <w:szCs w:val="20"/>
              </w:rPr>
              <w:t>Ősi et al. (in review, ds 1, ch. 326)</w:t>
            </w:r>
            <w:r>
              <w:rPr>
                <w:bCs/>
                <w:i/>
                <w:sz w:val="20"/>
                <w:lang w:eastAsia="en-US"/>
              </w:rPr>
              <w:t>.</w:t>
            </w:r>
          </w:p>
          <w:p w14:paraId="3295E36A" w14:textId="77777777" w:rsidR="00D67975" w:rsidRDefault="00D67975" w:rsidP="00D67975">
            <w:pPr>
              <w:autoSpaceDE w:val="0"/>
              <w:autoSpaceDN w:val="0"/>
              <w:adjustRightInd w:val="0"/>
              <w:rPr>
                <w:i/>
                <w:iCs/>
                <w:sz w:val="20"/>
                <w:szCs w:val="20"/>
                <w:lang w:eastAsia="en-US"/>
              </w:rPr>
            </w:pPr>
            <w:r>
              <w:rPr>
                <w:i/>
                <w:iCs/>
                <w:sz w:val="20"/>
                <w:szCs w:val="20"/>
                <w:lang w:eastAsia="en-US"/>
              </w:rPr>
              <w:t xml:space="preserve">State (1) is putative apomorphy of Sphagesaurus, but unknown in </w:t>
            </w:r>
            <w:r>
              <w:rPr>
                <w:sz w:val="20"/>
                <w:szCs w:val="20"/>
                <w:lang w:eastAsia="en-US"/>
              </w:rPr>
              <w:t>Armadillosuchus</w:t>
            </w:r>
            <w:r>
              <w:rPr>
                <w:i/>
                <w:iCs/>
                <w:sz w:val="20"/>
                <w:szCs w:val="20"/>
                <w:lang w:eastAsia="en-US"/>
              </w:rPr>
              <w:t>.</w:t>
            </w:r>
          </w:p>
          <w:p w14:paraId="3B421620" w14:textId="77777777" w:rsidR="00D67975" w:rsidRDefault="00D67975" w:rsidP="00D67975">
            <w:pPr>
              <w:autoSpaceDE w:val="0"/>
              <w:autoSpaceDN w:val="0"/>
              <w:adjustRightInd w:val="0"/>
              <w:rPr>
                <w:sz w:val="20"/>
                <w:szCs w:val="20"/>
                <w:lang w:eastAsia="en-US"/>
              </w:rPr>
            </w:pPr>
            <w:r>
              <w:rPr>
                <w:sz w:val="20"/>
                <w:szCs w:val="20"/>
                <w:lang w:eastAsia="en-US"/>
              </w:rPr>
              <w:t>0. mesial and distal crown edges with the same morphology, either with or without true denticles</w:t>
            </w:r>
          </w:p>
          <w:p w14:paraId="7157A170" w14:textId="77777777" w:rsidR="00D67975" w:rsidRDefault="00D67975" w:rsidP="00D67975">
            <w:pPr>
              <w:rPr>
                <w:b/>
                <w:color w:val="000000"/>
                <w:sz w:val="20"/>
                <w:szCs w:val="20"/>
                <w:lang w:eastAsia="en-US"/>
              </w:rPr>
            </w:pPr>
            <w:r>
              <w:rPr>
                <w:sz w:val="20"/>
                <w:szCs w:val="20"/>
                <w:lang w:eastAsia="en-US"/>
              </w:rPr>
              <w:t>1. mesial carina present and distal carina absent, with mid-posterior teeth ocluding as opposing blades</w:t>
            </w:r>
          </w:p>
        </w:tc>
      </w:tr>
      <w:tr w:rsidR="00D67975" w14:paraId="481A9EE9" w14:textId="77777777" w:rsidTr="00D67975">
        <w:tc>
          <w:tcPr>
            <w:tcW w:w="0" w:type="auto"/>
            <w:tcBorders>
              <w:top w:val="single" w:sz="4" w:space="0" w:color="auto"/>
              <w:left w:val="single" w:sz="4" w:space="0" w:color="auto"/>
              <w:bottom w:val="single" w:sz="4" w:space="0" w:color="auto"/>
              <w:right w:val="single" w:sz="4" w:space="0" w:color="auto"/>
            </w:tcBorders>
          </w:tcPr>
          <w:p w14:paraId="2EAE9556" w14:textId="10C6CAD2" w:rsidR="00D67975" w:rsidRDefault="009E2821" w:rsidP="00D67975">
            <w:pPr>
              <w:rPr>
                <w:color w:val="000000"/>
                <w:sz w:val="20"/>
                <w:szCs w:val="20"/>
                <w:lang w:eastAsia="en-US"/>
              </w:rPr>
            </w:pPr>
            <w:r>
              <w:rPr>
                <w:color w:val="000000"/>
                <w:sz w:val="20"/>
                <w:szCs w:val="20"/>
                <w:lang w:eastAsia="en-US"/>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14:paraId="7AA3CF51" w14:textId="77777777" w:rsidR="00D67975" w:rsidRDefault="00D67975" w:rsidP="00D67975">
            <w:pPr>
              <w:rPr>
                <w:b/>
                <w:color w:val="000000"/>
                <w:sz w:val="20"/>
                <w:szCs w:val="20"/>
                <w:lang w:eastAsia="en-US"/>
              </w:rPr>
            </w:pPr>
            <w:r>
              <w:rPr>
                <w:b/>
                <w:color w:val="000000"/>
                <w:sz w:val="20"/>
                <w:szCs w:val="20"/>
                <w:lang w:eastAsia="en-US"/>
              </w:rPr>
              <w:t>Occlusion, relation between maxillary and dentary series:</w:t>
            </w:r>
          </w:p>
          <w:p w14:paraId="795556C6" w14:textId="107A989C"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173); Young et al. (2013a, ch. 146); </w:t>
            </w:r>
            <w:r>
              <w:rPr>
                <w:i/>
                <w:sz w:val="20"/>
                <w:szCs w:val="20"/>
                <w:lang w:eastAsia="en-US"/>
              </w:rPr>
              <w:t xml:space="preserve">Young et al. (2012, ch. 173); Young (2014, ch. 181); Young et al. (2016, ds 2, ch. 219); Ristevski et al. (2018, ds 2, ch. 285); Smith et al. (in review, ds 1, ch. 290); </w:t>
            </w:r>
            <w:r>
              <w:rPr>
                <w:i/>
                <w:sz w:val="20"/>
                <w:szCs w:val="20"/>
              </w:rPr>
              <w:t>Ősi et al. (in review, ds 1, ch. 327)</w:t>
            </w:r>
            <w:r>
              <w:rPr>
                <w:i/>
                <w:sz w:val="20"/>
                <w:szCs w:val="20"/>
                <w:lang w:eastAsia="en-US"/>
              </w:rPr>
              <w:t>.</w:t>
            </w:r>
          </w:p>
          <w:p w14:paraId="59EEEFFA" w14:textId="77777777" w:rsidR="00D67975" w:rsidRDefault="00D67975" w:rsidP="00D67975">
            <w:pPr>
              <w:rPr>
                <w:color w:val="000000"/>
                <w:sz w:val="20"/>
                <w:szCs w:val="20"/>
                <w:lang w:eastAsia="en-US"/>
              </w:rPr>
            </w:pPr>
            <w:r>
              <w:rPr>
                <w:color w:val="000000"/>
                <w:sz w:val="20"/>
                <w:szCs w:val="20"/>
                <w:lang w:eastAsia="en-US"/>
              </w:rPr>
              <w:t>0. in-line or interlocked</w:t>
            </w:r>
          </w:p>
          <w:p w14:paraId="3E792203" w14:textId="77777777" w:rsidR="00D67975" w:rsidRDefault="00D67975" w:rsidP="00D67975">
            <w:pPr>
              <w:rPr>
                <w:color w:val="000000"/>
                <w:sz w:val="20"/>
                <w:szCs w:val="20"/>
                <w:lang w:eastAsia="en-US"/>
              </w:rPr>
            </w:pPr>
            <w:r>
              <w:rPr>
                <w:color w:val="000000"/>
                <w:sz w:val="20"/>
                <w:szCs w:val="20"/>
                <w:lang w:eastAsia="en-US"/>
              </w:rPr>
              <w:t>1. maxillary dentition overbites dentary dentition</w:t>
            </w:r>
          </w:p>
        </w:tc>
      </w:tr>
      <w:tr w:rsidR="00D67975" w14:paraId="6B9FD70D" w14:textId="77777777" w:rsidTr="00D67975">
        <w:tc>
          <w:tcPr>
            <w:tcW w:w="0" w:type="auto"/>
            <w:tcBorders>
              <w:top w:val="single" w:sz="4" w:space="0" w:color="auto"/>
              <w:left w:val="single" w:sz="4" w:space="0" w:color="auto"/>
              <w:bottom w:val="single" w:sz="4" w:space="0" w:color="auto"/>
              <w:right w:val="single" w:sz="4" w:space="0" w:color="auto"/>
            </w:tcBorders>
          </w:tcPr>
          <w:p w14:paraId="404F37F9" w14:textId="2E74F8A8" w:rsidR="00D67975" w:rsidRDefault="009E2821" w:rsidP="00D67975">
            <w:pPr>
              <w:rPr>
                <w:color w:val="000000"/>
                <w:sz w:val="20"/>
                <w:szCs w:val="20"/>
                <w:lang w:eastAsia="en-US"/>
              </w:rPr>
            </w:pPr>
            <w:r>
              <w:rPr>
                <w:color w:val="000000"/>
                <w:sz w:val="20"/>
                <w:szCs w:val="20"/>
                <w:lang w:eastAsia="en-US"/>
              </w:rPr>
              <w:t>331</w:t>
            </w:r>
          </w:p>
        </w:tc>
        <w:tc>
          <w:tcPr>
            <w:tcW w:w="0" w:type="auto"/>
            <w:tcBorders>
              <w:top w:val="single" w:sz="4" w:space="0" w:color="auto"/>
              <w:left w:val="single" w:sz="4" w:space="0" w:color="auto"/>
              <w:bottom w:val="single" w:sz="4" w:space="0" w:color="auto"/>
              <w:right w:val="single" w:sz="4" w:space="0" w:color="auto"/>
            </w:tcBorders>
            <w:vAlign w:val="bottom"/>
            <w:hideMark/>
          </w:tcPr>
          <w:p w14:paraId="3A231171" w14:textId="77777777" w:rsidR="00D67975" w:rsidRDefault="00D67975" w:rsidP="00D67975">
            <w:pPr>
              <w:rPr>
                <w:b/>
                <w:color w:val="000000"/>
                <w:sz w:val="20"/>
                <w:szCs w:val="20"/>
                <w:lang w:eastAsia="en-US"/>
              </w:rPr>
            </w:pPr>
            <w:r>
              <w:rPr>
                <w:b/>
                <w:color w:val="000000"/>
                <w:sz w:val="20"/>
                <w:szCs w:val="20"/>
                <w:lang w:eastAsia="en-US"/>
              </w:rPr>
              <w:t>Morphology of enamel surface ornamentation, apicobasal ridges:</w:t>
            </w:r>
          </w:p>
          <w:p w14:paraId="6E60E88D" w14:textId="42048687" w:rsidR="00D67975" w:rsidRDefault="00D67975" w:rsidP="00D67975">
            <w:pPr>
              <w:autoSpaceDE w:val="0"/>
              <w:autoSpaceDN w:val="0"/>
              <w:adjustRightInd w:val="0"/>
              <w:rPr>
                <w:i/>
                <w:sz w:val="20"/>
                <w:szCs w:val="20"/>
                <w:lang w:eastAsia="en-US"/>
              </w:rPr>
            </w:pPr>
            <w:r>
              <w:rPr>
                <w:bCs/>
                <w:i/>
                <w:color w:val="000000"/>
                <w:sz w:val="20"/>
                <w:szCs w:val="20"/>
                <w:lang w:eastAsia="en-US"/>
              </w:rPr>
              <w:t xml:space="preserve">Young et al. (2011, ch. 174); Young et al. (2013a, ch. 147); </w:t>
            </w:r>
            <w:r>
              <w:rPr>
                <w:i/>
                <w:sz w:val="20"/>
                <w:szCs w:val="20"/>
                <w:lang w:eastAsia="en-US"/>
              </w:rPr>
              <w:t xml:space="preserve">Young et al. (2012, ch. 174 modified); Young (2014, ch. 182 modified); Young et al. (2016, ds 2, ch. 220 modified); Ristevski et al. (2018, ds 2, ch. 286 modified); Smith et al. (in review, ds 1, ch. 291 modified); </w:t>
            </w:r>
            <w:r>
              <w:rPr>
                <w:i/>
                <w:sz w:val="20"/>
                <w:szCs w:val="20"/>
              </w:rPr>
              <w:t>Ősi et al. (in review, ds 1, ch. 328)</w:t>
            </w:r>
            <w:r>
              <w:rPr>
                <w:i/>
                <w:sz w:val="20"/>
                <w:szCs w:val="20"/>
                <w:lang w:eastAsia="en-US"/>
              </w:rPr>
              <w:t>.</w:t>
            </w:r>
          </w:p>
          <w:p w14:paraId="16C65486" w14:textId="77777777" w:rsidR="00D67975" w:rsidRDefault="00D67975" w:rsidP="00D67975">
            <w:pPr>
              <w:rPr>
                <w:i/>
                <w:color w:val="000000"/>
                <w:sz w:val="20"/>
                <w:szCs w:val="20"/>
                <w:highlight w:val="yellow"/>
                <w:lang w:eastAsia="en-US"/>
              </w:rPr>
            </w:pPr>
            <w:r>
              <w:rPr>
                <w:i/>
                <w:color w:val="000000"/>
                <w:sz w:val="20"/>
                <w:szCs w:val="20"/>
                <w:lang w:eastAsia="en-US"/>
              </w:rPr>
              <w:t xml:space="preserve">In Thalattosuchia, </w:t>
            </w:r>
            <w:r>
              <w:rPr>
                <w:color w:val="000000"/>
                <w:sz w:val="20"/>
                <w:szCs w:val="20"/>
                <w:lang w:eastAsia="en-US"/>
              </w:rPr>
              <w:t>Geosaurus</w:t>
            </w:r>
            <w:r>
              <w:rPr>
                <w:i/>
                <w:color w:val="000000"/>
                <w:sz w:val="20"/>
                <w:szCs w:val="20"/>
                <w:lang w:eastAsia="en-US"/>
              </w:rPr>
              <w:t xml:space="preserve">, </w:t>
            </w:r>
            <w:r>
              <w:rPr>
                <w:color w:val="000000"/>
                <w:sz w:val="20"/>
                <w:szCs w:val="20"/>
                <w:lang w:eastAsia="en-US"/>
              </w:rPr>
              <w:t xml:space="preserve">Dakosaurus, Rhacheosaurus </w:t>
            </w:r>
            <w:r>
              <w:rPr>
                <w:i/>
                <w:color w:val="000000"/>
                <w:sz w:val="20"/>
                <w:szCs w:val="20"/>
                <w:lang w:eastAsia="en-US"/>
              </w:rPr>
              <w:t>and</w:t>
            </w:r>
            <w:r>
              <w:rPr>
                <w:color w:val="000000"/>
                <w:sz w:val="20"/>
                <w:szCs w:val="20"/>
                <w:lang w:eastAsia="en-US"/>
              </w:rPr>
              <w:t xml:space="preserve"> Cricosaurus</w:t>
            </w:r>
            <w:r>
              <w:rPr>
                <w:i/>
                <w:color w:val="000000"/>
                <w:sz w:val="20"/>
                <w:szCs w:val="20"/>
                <w:lang w:eastAsia="en-US"/>
              </w:rPr>
              <w:t xml:space="preserve"> score as state (0).</w:t>
            </w:r>
          </w:p>
          <w:p w14:paraId="51A5505A" w14:textId="77777777" w:rsidR="00D67975" w:rsidRDefault="00D67975" w:rsidP="00D67975">
            <w:pPr>
              <w:rPr>
                <w:i/>
                <w:color w:val="000000"/>
                <w:sz w:val="20"/>
                <w:szCs w:val="20"/>
                <w:lang w:eastAsia="en-US"/>
              </w:rPr>
            </w:pPr>
            <w:r>
              <w:rPr>
                <w:i/>
                <w:color w:val="000000"/>
                <w:sz w:val="20"/>
                <w:szCs w:val="20"/>
                <w:lang w:eastAsia="en-US"/>
              </w:rPr>
              <w:lastRenderedPageBreak/>
              <w:t xml:space="preserve">State (1) occurs in </w:t>
            </w:r>
            <w:r>
              <w:rPr>
                <w:color w:val="000000"/>
                <w:sz w:val="20"/>
                <w:szCs w:val="20"/>
                <w:lang w:eastAsia="en-US"/>
              </w:rPr>
              <w:t>Ieldraan melkshamensis</w:t>
            </w:r>
            <w:r>
              <w:rPr>
                <w:i/>
                <w:color w:val="000000"/>
                <w:sz w:val="20"/>
                <w:szCs w:val="20"/>
                <w:lang w:eastAsia="en-US"/>
              </w:rPr>
              <w:t>.</w:t>
            </w:r>
          </w:p>
          <w:p w14:paraId="4E0864F6" w14:textId="77777777" w:rsidR="00D67975" w:rsidRDefault="00D67975" w:rsidP="00D67975">
            <w:pPr>
              <w:rPr>
                <w:i/>
                <w:color w:val="000000"/>
                <w:sz w:val="20"/>
                <w:szCs w:val="20"/>
                <w:lang w:eastAsia="en-US"/>
              </w:rPr>
            </w:pPr>
            <w:r>
              <w:rPr>
                <w:i/>
                <w:color w:val="000000"/>
                <w:sz w:val="20"/>
                <w:szCs w:val="20"/>
                <w:lang w:eastAsia="en-US"/>
              </w:rPr>
              <w:t xml:space="preserve">State (2) occurs in </w:t>
            </w:r>
            <w:r>
              <w:rPr>
                <w:color w:val="000000"/>
                <w:sz w:val="20"/>
                <w:szCs w:val="20"/>
                <w:lang w:eastAsia="en-US"/>
              </w:rPr>
              <w:t>Tyrannoneustes</w:t>
            </w:r>
            <w:r>
              <w:rPr>
                <w:i/>
                <w:color w:val="000000"/>
                <w:sz w:val="20"/>
                <w:szCs w:val="20"/>
                <w:lang w:eastAsia="en-US"/>
              </w:rPr>
              <w:t xml:space="preserve">. </w:t>
            </w:r>
          </w:p>
          <w:p w14:paraId="33160A29" w14:textId="77777777" w:rsidR="00D67975" w:rsidRDefault="00D67975" w:rsidP="00D67975">
            <w:pPr>
              <w:rPr>
                <w:i/>
                <w:color w:val="000000"/>
                <w:sz w:val="20"/>
                <w:szCs w:val="20"/>
                <w:lang w:eastAsia="en-US"/>
              </w:rPr>
            </w:pPr>
            <w:r>
              <w:rPr>
                <w:i/>
                <w:color w:val="000000"/>
                <w:sz w:val="20"/>
                <w:szCs w:val="20"/>
                <w:lang w:eastAsia="en-US"/>
              </w:rPr>
              <w:t xml:space="preserve">State (3) occurs in Mr Leeds dakosaur, </w:t>
            </w:r>
            <w:r>
              <w:rPr>
                <w:color w:val="000000"/>
                <w:sz w:val="20"/>
                <w:szCs w:val="20"/>
                <w:lang w:eastAsia="en-US"/>
              </w:rPr>
              <w:t>Suchodus, Plesiosuchus manselii</w:t>
            </w:r>
            <w:r>
              <w:rPr>
                <w:i/>
                <w:color w:val="000000"/>
                <w:sz w:val="20"/>
                <w:szCs w:val="20"/>
                <w:lang w:eastAsia="en-US"/>
              </w:rPr>
              <w:t>.</w:t>
            </w:r>
          </w:p>
          <w:p w14:paraId="6F9083BC" w14:textId="77777777" w:rsidR="00D67975" w:rsidRDefault="00D67975" w:rsidP="00D67975">
            <w:pPr>
              <w:rPr>
                <w:i/>
                <w:color w:val="000000"/>
                <w:sz w:val="20"/>
                <w:szCs w:val="20"/>
                <w:lang w:eastAsia="en-US"/>
              </w:rPr>
            </w:pPr>
            <w:r>
              <w:rPr>
                <w:i/>
                <w:color w:val="000000"/>
                <w:sz w:val="20"/>
                <w:szCs w:val="20"/>
                <w:lang w:eastAsia="en-US"/>
              </w:rPr>
              <w:t>State (4) is the standard, ridged crocodylomorph morphotype.</w:t>
            </w:r>
          </w:p>
          <w:p w14:paraId="161AB005" w14:textId="77777777" w:rsidR="00D67975" w:rsidRDefault="00D67975" w:rsidP="00D67975">
            <w:pPr>
              <w:rPr>
                <w:i/>
                <w:color w:val="000000"/>
                <w:sz w:val="20"/>
                <w:szCs w:val="20"/>
                <w:lang w:eastAsia="en-US"/>
              </w:rPr>
            </w:pPr>
            <w:r>
              <w:rPr>
                <w:i/>
                <w:color w:val="000000"/>
                <w:sz w:val="20"/>
                <w:szCs w:val="20"/>
                <w:lang w:eastAsia="en-US"/>
              </w:rPr>
              <w:t>State (5) occurs in Mr Passmore’s specimen.</w:t>
            </w:r>
          </w:p>
          <w:p w14:paraId="18DF78E0" w14:textId="77777777" w:rsidR="00D67975" w:rsidRDefault="00D67975" w:rsidP="00D67975">
            <w:pPr>
              <w:rPr>
                <w:color w:val="000000"/>
                <w:sz w:val="20"/>
                <w:szCs w:val="20"/>
                <w:lang w:eastAsia="en-US"/>
              </w:rPr>
            </w:pPr>
            <w:r>
              <w:rPr>
                <w:color w:val="000000"/>
                <w:sz w:val="20"/>
                <w:szCs w:val="20"/>
                <w:lang w:eastAsia="en-US"/>
              </w:rPr>
              <w:t>0. enamel ornamentation absent macroscopically (although under SEM microscopic ripples may be present)</w:t>
            </w:r>
          </w:p>
          <w:p w14:paraId="502CE0AC" w14:textId="77777777" w:rsidR="00D67975" w:rsidRDefault="00D67975" w:rsidP="00D67975">
            <w:pPr>
              <w:rPr>
                <w:color w:val="000000"/>
                <w:sz w:val="20"/>
                <w:szCs w:val="20"/>
                <w:lang w:eastAsia="en-US"/>
              </w:rPr>
            </w:pPr>
            <w:r>
              <w:rPr>
                <w:color w:val="000000"/>
                <w:sz w:val="20"/>
                <w:szCs w:val="20"/>
                <w:lang w:eastAsia="en-US"/>
              </w:rPr>
              <w:t>1. enamel ornamentation present macroscopically, but largely looks like an enlarged version of the ‘rippled’ morphology seen under the SEM in ‘smooth specimens’. There may also be the occasional poorly defined apicobasal ridge</w:t>
            </w:r>
          </w:p>
          <w:p w14:paraId="64B40245" w14:textId="77777777" w:rsidR="00D67975" w:rsidRDefault="00D67975" w:rsidP="00D67975">
            <w:pPr>
              <w:rPr>
                <w:color w:val="000000"/>
                <w:sz w:val="20"/>
                <w:szCs w:val="20"/>
                <w:lang w:eastAsia="en-US"/>
              </w:rPr>
            </w:pPr>
            <w:r>
              <w:rPr>
                <w:color w:val="000000"/>
                <w:sz w:val="20"/>
                <w:szCs w:val="20"/>
                <w:lang w:eastAsia="en-US"/>
              </w:rPr>
              <w:t>2. enamel ornamentation largely inconspicuous, being composed of short, well-spaced, well-defined apicobasally aligned ridges on at least the basal half of the crown</w:t>
            </w:r>
          </w:p>
          <w:p w14:paraId="68C7FE76" w14:textId="77777777" w:rsidR="00D67975" w:rsidRDefault="00D67975" w:rsidP="00D67975">
            <w:pPr>
              <w:rPr>
                <w:color w:val="000000"/>
                <w:sz w:val="20"/>
                <w:szCs w:val="20"/>
                <w:lang w:eastAsia="en-US"/>
              </w:rPr>
            </w:pPr>
            <w:r>
              <w:rPr>
                <w:color w:val="000000"/>
                <w:sz w:val="20"/>
                <w:szCs w:val="20"/>
                <w:lang w:eastAsia="en-US"/>
              </w:rPr>
              <w:t>3. enamel ornamentation composed of numerous apicobasally aligned ridges that are of low-relief (can only be properly viewed with visual aids), set close to each other, but become shorter and well-spaced towards the carinae</w:t>
            </w:r>
          </w:p>
          <w:p w14:paraId="5B79D633" w14:textId="77777777" w:rsidR="00D67975" w:rsidRDefault="00D67975" w:rsidP="00D67975">
            <w:pPr>
              <w:rPr>
                <w:color w:val="000000"/>
                <w:sz w:val="20"/>
                <w:szCs w:val="20"/>
                <w:lang w:eastAsia="en-US"/>
              </w:rPr>
            </w:pPr>
            <w:r>
              <w:rPr>
                <w:color w:val="000000"/>
                <w:sz w:val="20"/>
                <w:szCs w:val="20"/>
                <w:lang w:eastAsia="en-US"/>
              </w:rPr>
              <w:t>4. enamel ornamentation composed of well-defined apicobasally aligned ridges that are conspicuous and are elongate; being continuous, or having long discontinuous ridges</w:t>
            </w:r>
          </w:p>
          <w:p w14:paraId="6C1B3A7E" w14:textId="77777777" w:rsidR="00D67975" w:rsidRDefault="00D67975" w:rsidP="00D67975">
            <w:pPr>
              <w:rPr>
                <w:color w:val="000000"/>
                <w:sz w:val="20"/>
                <w:szCs w:val="20"/>
                <w:lang w:eastAsia="en-US"/>
              </w:rPr>
            </w:pPr>
            <w:r>
              <w:rPr>
                <w:color w:val="000000"/>
                <w:sz w:val="20"/>
                <w:szCs w:val="20"/>
                <w:lang w:eastAsia="en-US"/>
              </w:rPr>
              <w:t>5. noticeable disparity between the labial and lingual surfaces: lingual surface changes from the standard apicobasal ridge morphology basally, to having shorter ridges which create almost reticulating pattern in the mid-crown region on the lingual surface; on the labial surface, basally the crown is largely smooth, and nearer the mid-crown and up towards the apex the crown is ornamented with numerous short ridges that similarly can make a reticulating pattern</w:t>
            </w:r>
          </w:p>
        </w:tc>
      </w:tr>
      <w:tr w:rsidR="00D67975" w14:paraId="2DD27507" w14:textId="77777777" w:rsidTr="00D67975">
        <w:tc>
          <w:tcPr>
            <w:tcW w:w="0" w:type="auto"/>
            <w:tcBorders>
              <w:top w:val="single" w:sz="4" w:space="0" w:color="auto"/>
              <w:left w:val="single" w:sz="4" w:space="0" w:color="auto"/>
              <w:bottom w:val="single" w:sz="4" w:space="0" w:color="auto"/>
              <w:right w:val="single" w:sz="4" w:space="0" w:color="auto"/>
            </w:tcBorders>
          </w:tcPr>
          <w:p w14:paraId="6E0A017C" w14:textId="019AB58E" w:rsidR="00D67975" w:rsidRDefault="009E2821" w:rsidP="00D67975">
            <w:pPr>
              <w:rPr>
                <w:color w:val="000000"/>
                <w:sz w:val="20"/>
                <w:szCs w:val="20"/>
                <w:lang w:eastAsia="en-US"/>
              </w:rPr>
            </w:pPr>
            <w:r>
              <w:rPr>
                <w:color w:val="000000"/>
                <w:sz w:val="20"/>
                <w:szCs w:val="20"/>
                <w:lang w:eastAsia="en-US"/>
              </w:rPr>
              <w:lastRenderedPageBreak/>
              <w:t>332</w:t>
            </w:r>
          </w:p>
        </w:tc>
        <w:tc>
          <w:tcPr>
            <w:tcW w:w="0" w:type="auto"/>
            <w:tcBorders>
              <w:top w:val="single" w:sz="4" w:space="0" w:color="auto"/>
              <w:left w:val="single" w:sz="4" w:space="0" w:color="auto"/>
              <w:bottom w:val="single" w:sz="4" w:space="0" w:color="auto"/>
              <w:right w:val="single" w:sz="4" w:space="0" w:color="auto"/>
            </w:tcBorders>
            <w:vAlign w:val="bottom"/>
            <w:hideMark/>
          </w:tcPr>
          <w:p w14:paraId="10E7E451" w14:textId="77777777" w:rsidR="00D67975" w:rsidRDefault="00D67975" w:rsidP="00D67975">
            <w:pPr>
              <w:rPr>
                <w:b/>
                <w:color w:val="000000"/>
                <w:sz w:val="20"/>
                <w:szCs w:val="20"/>
                <w:lang w:eastAsia="en-US"/>
              </w:rPr>
            </w:pPr>
            <w:r>
              <w:rPr>
                <w:b/>
                <w:color w:val="000000"/>
                <w:sz w:val="20"/>
                <w:szCs w:val="20"/>
                <w:lang w:eastAsia="en-US"/>
              </w:rPr>
              <w:t>Morphology of apical enamel surface ornamentation, macroscopic anastomosed pattern:</w:t>
            </w:r>
          </w:p>
          <w:p w14:paraId="2B2EAB0E" w14:textId="2249FE1A" w:rsidR="00D67975" w:rsidRDefault="00D67975" w:rsidP="00D67975">
            <w:pPr>
              <w:autoSpaceDE w:val="0"/>
              <w:autoSpaceDN w:val="0"/>
              <w:adjustRightInd w:val="0"/>
              <w:rPr>
                <w:i/>
                <w:sz w:val="20"/>
                <w:szCs w:val="20"/>
                <w:lang w:eastAsia="en-US"/>
              </w:rPr>
            </w:pPr>
            <w:r>
              <w:rPr>
                <w:i/>
                <w:sz w:val="20"/>
                <w:szCs w:val="20"/>
                <w:lang w:eastAsia="en-US"/>
              </w:rPr>
              <w:t xml:space="preserve">Young et al. (2012, ch. 175); Young (2014, ch. 183); Young et al. (2016, ds 2, ch. 221); Ristevski et al. (2018, ds 2, ch. 287); Smith et al. (in review, ds 1, ch. 292); </w:t>
            </w:r>
            <w:r>
              <w:rPr>
                <w:i/>
                <w:sz w:val="20"/>
                <w:szCs w:val="20"/>
              </w:rPr>
              <w:t>Ősi et al. (in review, ds 1, ch. 329)</w:t>
            </w:r>
            <w:r>
              <w:rPr>
                <w:i/>
                <w:sz w:val="20"/>
                <w:szCs w:val="20"/>
                <w:lang w:eastAsia="en-US"/>
              </w:rPr>
              <w:t>.</w:t>
            </w:r>
          </w:p>
          <w:p w14:paraId="3864F155" w14:textId="056808EB" w:rsidR="00D67975" w:rsidRDefault="00D67975" w:rsidP="00D67975">
            <w:pPr>
              <w:rPr>
                <w:color w:val="000000"/>
                <w:sz w:val="20"/>
                <w:szCs w:val="20"/>
                <w:lang w:eastAsia="en-US"/>
              </w:rPr>
            </w:pPr>
            <w:r>
              <w:rPr>
                <w:i/>
                <w:color w:val="000000"/>
                <w:sz w:val="20"/>
                <w:szCs w:val="20"/>
                <w:lang w:eastAsia="en-US"/>
              </w:rPr>
              <w:t>State (1) occurs in Machimosaurini</w:t>
            </w:r>
            <w:r>
              <w:rPr>
                <w:color w:val="000000"/>
                <w:sz w:val="20"/>
                <w:szCs w:val="20"/>
                <w:lang w:eastAsia="en-US"/>
              </w:rPr>
              <w:t xml:space="preserve"> (</w:t>
            </w:r>
            <w:r>
              <w:rPr>
                <w:i/>
                <w:color w:val="000000"/>
                <w:sz w:val="20"/>
                <w:szCs w:val="20"/>
                <w:lang w:eastAsia="en-US"/>
              </w:rPr>
              <w:t xml:space="preserve">e.g. </w:t>
            </w:r>
            <w:r>
              <w:rPr>
                <w:color w:val="000000"/>
                <w:sz w:val="20"/>
                <w:szCs w:val="20"/>
                <w:lang w:eastAsia="en-US"/>
              </w:rPr>
              <w:t xml:space="preserve">Machimosaurus, Lemmysuchus), Torvoneustes, </w:t>
            </w:r>
            <w:r>
              <w:rPr>
                <w:i/>
                <w:color w:val="000000"/>
                <w:sz w:val="20"/>
                <w:szCs w:val="20"/>
                <w:lang w:eastAsia="en-US"/>
              </w:rPr>
              <w:t xml:space="preserve">and Goniopholididae (e.g. </w:t>
            </w:r>
            <w:r>
              <w:rPr>
                <w:color w:val="000000"/>
                <w:sz w:val="20"/>
                <w:szCs w:val="20"/>
                <w:lang w:eastAsia="en-US"/>
              </w:rPr>
              <w:t xml:space="preserve">Anteophthalmosuchus </w:t>
            </w:r>
            <w:r>
              <w:rPr>
                <w:i/>
                <w:color w:val="000000"/>
                <w:sz w:val="20"/>
                <w:szCs w:val="20"/>
                <w:lang w:eastAsia="en-US"/>
              </w:rPr>
              <w:t>and</w:t>
            </w:r>
            <w:r>
              <w:rPr>
                <w:color w:val="000000"/>
                <w:sz w:val="20"/>
                <w:szCs w:val="20"/>
                <w:lang w:eastAsia="en-US"/>
              </w:rPr>
              <w:t xml:space="preserve"> Goniopholis</w:t>
            </w:r>
            <w:r>
              <w:rPr>
                <w:i/>
                <w:color w:val="000000"/>
                <w:sz w:val="20"/>
                <w:szCs w:val="20"/>
                <w:lang w:eastAsia="en-US"/>
              </w:rPr>
              <w:t>).</w:t>
            </w:r>
          </w:p>
          <w:p w14:paraId="138B1B07" w14:textId="77777777" w:rsidR="00D67975" w:rsidRDefault="00D67975" w:rsidP="00D67975">
            <w:pPr>
              <w:rPr>
                <w:color w:val="000000"/>
                <w:sz w:val="20"/>
                <w:szCs w:val="20"/>
                <w:lang w:eastAsia="en-US"/>
              </w:rPr>
            </w:pPr>
            <w:r>
              <w:rPr>
                <w:color w:val="000000"/>
                <w:sz w:val="20"/>
                <w:szCs w:val="20"/>
                <w:lang w:eastAsia="en-US"/>
              </w:rPr>
              <w:t>0. absent</w:t>
            </w:r>
          </w:p>
          <w:p w14:paraId="5A98AA84" w14:textId="77777777" w:rsidR="00D67975" w:rsidRDefault="00D67975" w:rsidP="00D67975">
            <w:pPr>
              <w:rPr>
                <w:color w:val="000000"/>
                <w:sz w:val="20"/>
                <w:szCs w:val="20"/>
                <w:lang w:eastAsia="en-US"/>
              </w:rPr>
            </w:pPr>
            <w:r>
              <w:rPr>
                <w:color w:val="000000"/>
                <w:sz w:val="20"/>
                <w:szCs w:val="20"/>
                <w:lang w:eastAsia="en-US"/>
              </w:rPr>
              <w:t>1. present and strongly developed, but only in the apical region of the crown</w:t>
            </w:r>
          </w:p>
        </w:tc>
      </w:tr>
      <w:tr w:rsidR="00D67975" w14:paraId="00A10C4D" w14:textId="77777777" w:rsidTr="00D67975">
        <w:tc>
          <w:tcPr>
            <w:tcW w:w="0" w:type="auto"/>
            <w:tcBorders>
              <w:top w:val="single" w:sz="4" w:space="0" w:color="auto"/>
              <w:left w:val="single" w:sz="4" w:space="0" w:color="auto"/>
              <w:bottom w:val="single" w:sz="4" w:space="0" w:color="auto"/>
              <w:right w:val="single" w:sz="4" w:space="0" w:color="auto"/>
            </w:tcBorders>
          </w:tcPr>
          <w:p w14:paraId="7DE056AB" w14:textId="69482A88" w:rsidR="00D67975" w:rsidRDefault="009E2821" w:rsidP="00D67975">
            <w:pPr>
              <w:rPr>
                <w:color w:val="000000"/>
                <w:sz w:val="20"/>
                <w:szCs w:val="20"/>
                <w:lang w:eastAsia="en-US"/>
              </w:rPr>
            </w:pPr>
            <w:r>
              <w:rPr>
                <w:color w:val="000000"/>
                <w:sz w:val="20"/>
                <w:szCs w:val="20"/>
                <w:lang w:eastAsia="en-US"/>
              </w:rPr>
              <w:t>333</w:t>
            </w:r>
          </w:p>
        </w:tc>
        <w:tc>
          <w:tcPr>
            <w:tcW w:w="0" w:type="auto"/>
            <w:tcBorders>
              <w:top w:val="single" w:sz="4" w:space="0" w:color="auto"/>
              <w:left w:val="single" w:sz="4" w:space="0" w:color="auto"/>
              <w:bottom w:val="single" w:sz="4" w:space="0" w:color="auto"/>
              <w:right w:val="single" w:sz="4" w:space="0" w:color="auto"/>
            </w:tcBorders>
            <w:hideMark/>
          </w:tcPr>
          <w:p w14:paraId="2269E91D" w14:textId="77777777" w:rsidR="00D67975" w:rsidRDefault="00D67975" w:rsidP="00D67975">
            <w:pPr>
              <w:autoSpaceDE w:val="0"/>
              <w:autoSpaceDN w:val="0"/>
              <w:adjustRightInd w:val="0"/>
              <w:rPr>
                <w:b/>
                <w:bCs/>
                <w:sz w:val="20"/>
                <w:szCs w:val="20"/>
                <w:lang w:eastAsia="en-US"/>
              </w:rPr>
            </w:pPr>
            <w:r>
              <w:rPr>
                <w:b/>
                <w:bCs/>
                <w:sz w:val="20"/>
                <w:szCs w:val="20"/>
                <w:lang w:eastAsia="en-US"/>
              </w:rPr>
              <w:t>Maxillary teeth, occurrence of bilateral paramesial rotation: (ORDERED)</w:t>
            </w:r>
          </w:p>
          <w:p w14:paraId="5420D546" w14:textId="0549F543" w:rsidR="00D67975" w:rsidRDefault="00D67975" w:rsidP="00D67975">
            <w:pPr>
              <w:autoSpaceDE w:val="0"/>
              <w:autoSpaceDN w:val="0"/>
              <w:adjustRightInd w:val="0"/>
              <w:rPr>
                <w:bCs/>
                <w:i/>
                <w:sz w:val="20"/>
                <w:lang w:eastAsia="en-US"/>
              </w:rPr>
            </w:pPr>
            <w:r>
              <w:rPr>
                <w:bCs/>
                <w:i/>
                <w:sz w:val="20"/>
                <w:szCs w:val="20"/>
                <w:lang w:eastAsia="en-US"/>
              </w:rPr>
              <w:t>Pol (2003, ch. 137 modified); Andrade &amp; Bertini (2008a, ch. 133);</w:t>
            </w:r>
            <w:r>
              <w:rPr>
                <w:b/>
                <w:bCs/>
                <w:sz w:val="20"/>
                <w:szCs w:val="20"/>
                <w:lang w:eastAsia="en-US"/>
              </w:rPr>
              <w:t xml:space="preserve"> </w:t>
            </w:r>
            <w:r>
              <w:rPr>
                <w:bCs/>
                <w:i/>
                <w:sz w:val="20"/>
                <w:lang w:eastAsia="en-US"/>
              </w:rPr>
              <w:t>Andrade et al. (2011, ch. 414);</w:t>
            </w:r>
            <w:r>
              <w:rPr>
                <w:i/>
                <w:sz w:val="20"/>
                <w:szCs w:val="20"/>
                <w:lang w:eastAsia="en-US"/>
              </w:rPr>
              <w:t xml:space="preserve"> Ristevski et al. (2018, ds 1, ch. 414); Smith et al. (in review, ds 2, ch. 414); </w:t>
            </w:r>
            <w:r>
              <w:rPr>
                <w:i/>
                <w:sz w:val="20"/>
                <w:szCs w:val="20"/>
              </w:rPr>
              <w:t>Ősi et al. (in review, ds 1, ch. 330)</w:t>
            </w:r>
            <w:r>
              <w:rPr>
                <w:bCs/>
                <w:i/>
                <w:sz w:val="20"/>
                <w:lang w:eastAsia="en-US"/>
              </w:rPr>
              <w:t>.</w:t>
            </w:r>
          </w:p>
          <w:p w14:paraId="0AA2D32C" w14:textId="77777777" w:rsidR="00D67975" w:rsidRDefault="00D67975" w:rsidP="00D67975">
            <w:pPr>
              <w:autoSpaceDE w:val="0"/>
              <w:autoSpaceDN w:val="0"/>
              <w:adjustRightInd w:val="0"/>
              <w:rPr>
                <w:bCs/>
                <w:i/>
                <w:sz w:val="20"/>
                <w:lang w:eastAsia="en-US"/>
              </w:rPr>
            </w:pPr>
            <w:r>
              <w:rPr>
                <w:bCs/>
                <w:i/>
                <w:sz w:val="20"/>
                <w:lang w:eastAsia="en-US"/>
              </w:rPr>
              <w:t xml:space="preserve">State (1) occurs in </w:t>
            </w:r>
            <w:r>
              <w:rPr>
                <w:bCs/>
                <w:sz w:val="20"/>
                <w:lang w:eastAsia="en-US"/>
              </w:rPr>
              <w:t xml:space="preserve">Mariliasuchus </w:t>
            </w:r>
            <w:r>
              <w:rPr>
                <w:bCs/>
                <w:i/>
                <w:sz w:val="20"/>
                <w:lang w:eastAsia="en-US"/>
              </w:rPr>
              <w:t xml:space="preserve">and </w:t>
            </w:r>
            <w:r>
              <w:rPr>
                <w:bCs/>
                <w:sz w:val="20"/>
                <w:lang w:eastAsia="en-US"/>
              </w:rPr>
              <w:t>Notosuchus</w:t>
            </w:r>
            <w:r>
              <w:rPr>
                <w:bCs/>
                <w:i/>
                <w:sz w:val="20"/>
                <w:lang w:eastAsia="en-US"/>
              </w:rPr>
              <w:t>.</w:t>
            </w:r>
          </w:p>
          <w:p w14:paraId="238BF250" w14:textId="77777777" w:rsidR="00D67975" w:rsidRDefault="00D67975" w:rsidP="00D67975">
            <w:pPr>
              <w:autoSpaceDE w:val="0"/>
              <w:autoSpaceDN w:val="0"/>
              <w:adjustRightInd w:val="0"/>
              <w:rPr>
                <w:b/>
                <w:bCs/>
                <w:sz w:val="20"/>
                <w:szCs w:val="20"/>
                <w:lang w:eastAsia="en-US"/>
              </w:rPr>
            </w:pPr>
            <w:r>
              <w:rPr>
                <w:bCs/>
                <w:i/>
                <w:sz w:val="20"/>
                <w:lang w:eastAsia="en-US"/>
              </w:rPr>
              <w:t>State (2) is a putative apomorphy of Sphagesauridae.</w:t>
            </w:r>
          </w:p>
          <w:p w14:paraId="4ADBAACC" w14:textId="77777777" w:rsidR="00D67975" w:rsidRDefault="00D67975" w:rsidP="00D67975">
            <w:pPr>
              <w:autoSpaceDE w:val="0"/>
              <w:autoSpaceDN w:val="0"/>
              <w:adjustRightInd w:val="0"/>
              <w:rPr>
                <w:sz w:val="20"/>
                <w:szCs w:val="20"/>
                <w:lang w:eastAsia="en-US"/>
              </w:rPr>
            </w:pPr>
            <w:r>
              <w:rPr>
                <w:sz w:val="20"/>
                <w:szCs w:val="20"/>
                <w:lang w:eastAsia="en-US"/>
              </w:rPr>
              <w:t>0. absent</w:t>
            </w:r>
          </w:p>
          <w:p w14:paraId="683435BD" w14:textId="77777777" w:rsidR="00D67975" w:rsidRDefault="00D67975" w:rsidP="00D67975">
            <w:pPr>
              <w:autoSpaceDE w:val="0"/>
              <w:autoSpaceDN w:val="0"/>
              <w:adjustRightInd w:val="0"/>
              <w:rPr>
                <w:sz w:val="20"/>
                <w:szCs w:val="20"/>
                <w:lang w:eastAsia="en-US"/>
              </w:rPr>
            </w:pPr>
            <w:r>
              <w:rPr>
                <w:sz w:val="20"/>
                <w:szCs w:val="20"/>
                <w:lang w:eastAsia="en-US"/>
              </w:rPr>
              <w:t>1. bilateral paramesial rotation up to 30 degrees from the original plane</w:t>
            </w:r>
          </w:p>
          <w:p w14:paraId="35FE8780" w14:textId="77777777" w:rsidR="00D67975" w:rsidRDefault="00D67975" w:rsidP="00D67975">
            <w:pPr>
              <w:rPr>
                <w:b/>
                <w:color w:val="000000"/>
                <w:sz w:val="20"/>
                <w:szCs w:val="20"/>
                <w:lang w:eastAsia="en-US"/>
              </w:rPr>
            </w:pPr>
            <w:r>
              <w:rPr>
                <w:sz w:val="20"/>
                <w:szCs w:val="20"/>
                <w:lang w:eastAsia="en-US"/>
              </w:rPr>
              <w:t>2. bilateral paramesial rotation clearly over 30 degrees from the original plane</w:t>
            </w:r>
          </w:p>
        </w:tc>
      </w:tr>
      <w:tr w:rsidR="00D67975" w14:paraId="798AA901" w14:textId="77777777" w:rsidTr="00D67975">
        <w:tc>
          <w:tcPr>
            <w:tcW w:w="0" w:type="auto"/>
            <w:tcBorders>
              <w:top w:val="single" w:sz="4" w:space="0" w:color="auto"/>
              <w:left w:val="single" w:sz="4" w:space="0" w:color="auto"/>
              <w:bottom w:val="single" w:sz="4" w:space="0" w:color="auto"/>
              <w:right w:val="single" w:sz="4" w:space="0" w:color="auto"/>
            </w:tcBorders>
          </w:tcPr>
          <w:p w14:paraId="3D618E6F" w14:textId="7C4736F2" w:rsidR="00D67975" w:rsidRDefault="009E2821" w:rsidP="00D67975">
            <w:pPr>
              <w:rPr>
                <w:color w:val="000000"/>
                <w:sz w:val="20"/>
                <w:szCs w:val="20"/>
                <w:lang w:eastAsia="en-US"/>
              </w:rPr>
            </w:pPr>
            <w:r>
              <w:rPr>
                <w:color w:val="000000"/>
                <w:sz w:val="20"/>
                <w:szCs w:val="20"/>
                <w:lang w:eastAsia="en-US"/>
              </w:rPr>
              <w:t>334</w:t>
            </w:r>
          </w:p>
        </w:tc>
        <w:tc>
          <w:tcPr>
            <w:tcW w:w="0" w:type="auto"/>
            <w:tcBorders>
              <w:top w:val="single" w:sz="4" w:space="0" w:color="auto"/>
              <w:left w:val="single" w:sz="4" w:space="0" w:color="auto"/>
              <w:bottom w:val="single" w:sz="4" w:space="0" w:color="auto"/>
              <w:right w:val="single" w:sz="4" w:space="0" w:color="auto"/>
            </w:tcBorders>
            <w:hideMark/>
          </w:tcPr>
          <w:p w14:paraId="62A21576" w14:textId="77777777" w:rsidR="00D67975" w:rsidRDefault="00D67975" w:rsidP="00D67975">
            <w:pPr>
              <w:autoSpaceDE w:val="0"/>
              <w:autoSpaceDN w:val="0"/>
              <w:adjustRightInd w:val="0"/>
              <w:rPr>
                <w:b/>
                <w:bCs/>
                <w:sz w:val="20"/>
                <w:szCs w:val="20"/>
                <w:lang w:eastAsia="en-US"/>
              </w:rPr>
            </w:pPr>
            <w:r>
              <w:rPr>
                <w:b/>
                <w:bCs/>
                <w:sz w:val="20"/>
                <w:szCs w:val="20"/>
                <w:lang w:eastAsia="en-US"/>
              </w:rPr>
              <w:t>Middle and posterior mandibular teeth, occurrence of bilateral paramesial rotation:</w:t>
            </w:r>
          </w:p>
          <w:p w14:paraId="7F1E2CB3" w14:textId="58A561C6" w:rsidR="00D67975" w:rsidRDefault="00D67975" w:rsidP="00D67975">
            <w:pPr>
              <w:autoSpaceDE w:val="0"/>
              <w:autoSpaceDN w:val="0"/>
              <w:adjustRightInd w:val="0"/>
              <w:rPr>
                <w:bCs/>
                <w:i/>
                <w:sz w:val="20"/>
                <w:lang w:eastAsia="en-US"/>
              </w:rPr>
            </w:pPr>
            <w:r>
              <w:rPr>
                <w:bCs/>
                <w:i/>
                <w:sz w:val="20"/>
                <w:szCs w:val="20"/>
                <w:lang w:eastAsia="en-US"/>
              </w:rPr>
              <w:t>Andrade &amp; Bertini (2008a, ch. 144);</w:t>
            </w:r>
            <w:r>
              <w:rPr>
                <w:b/>
                <w:bCs/>
                <w:sz w:val="20"/>
                <w:szCs w:val="20"/>
                <w:lang w:eastAsia="en-US"/>
              </w:rPr>
              <w:t xml:space="preserve"> </w:t>
            </w:r>
            <w:r>
              <w:rPr>
                <w:bCs/>
                <w:i/>
                <w:sz w:val="20"/>
                <w:lang w:eastAsia="en-US"/>
              </w:rPr>
              <w:t>Andrade et al. (2011, ch. 415);</w:t>
            </w:r>
            <w:r>
              <w:rPr>
                <w:i/>
                <w:sz w:val="20"/>
                <w:szCs w:val="20"/>
                <w:lang w:eastAsia="en-US"/>
              </w:rPr>
              <w:t xml:space="preserve"> Ristevski et al. (2018, ds 1, ch. 415); Smith et al. (in review, ds 2, ch. 415); </w:t>
            </w:r>
            <w:r>
              <w:rPr>
                <w:i/>
                <w:sz w:val="20"/>
                <w:szCs w:val="20"/>
              </w:rPr>
              <w:t>Ősi et al. (in review, ds 1, ch. 331)</w:t>
            </w:r>
            <w:r>
              <w:rPr>
                <w:bCs/>
                <w:i/>
                <w:sz w:val="20"/>
                <w:lang w:eastAsia="en-US"/>
              </w:rPr>
              <w:t>.</w:t>
            </w:r>
          </w:p>
          <w:p w14:paraId="43A5D141" w14:textId="77777777" w:rsidR="00D67975" w:rsidRDefault="00D67975" w:rsidP="00D67975">
            <w:pPr>
              <w:autoSpaceDE w:val="0"/>
              <w:autoSpaceDN w:val="0"/>
              <w:adjustRightInd w:val="0"/>
              <w:rPr>
                <w:b/>
                <w:bCs/>
                <w:sz w:val="20"/>
                <w:szCs w:val="20"/>
                <w:lang w:eastAsia="en-US"/>
              </w:rPr>
            </w:pPr>
            <w:r>
              <w:rPr>
                <w:bCs/>
                <w:i/>
                <w:sz w:val="20"/>
                <w:lang w:eastAsia="en-US"/>
              </w:rPr>
              <w:t>State (2) is a putative apomorphy of Sphagesauridae.</w:t>
            </w:r>
          </w:p>
          <w:p w14:paraId="4B5978C3" w14:textId="77777777" w:rsidR="00D67975" w:rsidRDefault="00D67975" w:rsidP="00D67975">
            <w:pPr>
              <w:autoSpaceDE w:val="0"/>
              <w:autoSpaceDN w:val="0"/>
              <w:adjustRightInd w:val="0"/>
              <w:rPr>
                <w:sz w:val="20"/>
                <w:szCs w:val="20"/>
                <w:lang w:eastAsia="en-US"/>
              </w:rPr>
            </w:pPr>
            <w:r>
              <w:rPr>
                <w:sz w:val="20"/>
                <w:szCs w:val="20"/>
                <w:lang w:eastAsia="en-US"/>
              </w:rPr>
              <w:t>0. not oblique or slightly altered</w:t>
            </w:r>
          </w:p>
          <w:p w14:paraId="427ABBFD" w14:textId="77777777" w:rsidR="00D67975" w:rsidRDefault="00D67975" w:rsidP="00D67975">
            <w:pPr>
              <w:rPr>
                <w:b/>
                <w:color w:val="000000"/>
                <w:sz w:val="20"/>
                <w:szCs w:val="20"/>
                <w:lang w:eastAsia="en-US"/>
              </w:rPr>
            </w:pPr>
            <w:r>
              <w:rPr>
                <w:sz w:val="20"/>
                <w:szCs w:val="20"/>
                <w:lang w:eastAsia="en-US"/>
              </w:rPr>
              <w:t>1. oblique (more than 30 degrees).</w:t>
            </w:r>
          </w:p>
        </w:tc>
      </w:tr>
      <w:tr w:rsidR="00D67975" w14:paraId="21845E28" w14:textId="77777777" w:rsidTr="00D67975">
        <w:tc>
          <w:tcPr>
            <w:tcW w:w="0" w:type="auto"/>
            <w:tcBorders>
              <w:top w:val="single" w:sz="4" w:space="0" w:color="auto"/>
              <w:left w:val="single" w:sz="4" w:space="0" w:color="auto"/>
              <w:bottom w:val="single" w:sz="4" w:space="0" w:color="auto"/>
              <w:right w:val="single" w:sz="4" w:space="0" w:color="auto"/>
            </w:tcBorders>
          </w:tcPr>
          <w:p w14:paraId="5782923C" w14:textId="6F6E1610" w:rsidR="00D67975" w:rsidRDefault="009E2821" w:rsidP="00D67975">
            <w:pPr>
              <w:rPr>
                <w:color w:val="000000"/>
                <w:sz w:val="20"/>
                <w:szCs w:val="20"/>
                <w:lang w:eastAsia="en-US"/>
              </w:rPr>
            </w:pPr>
            <w:r>
              <w:rPr>
                <w:color w:val="000000"/>
                <w:sz w:val="20"/>
                <w:szCs w:val="20"/>
                <w:lang w:eastAsia="en-US"/>
              </w:rPr>
              <w:t>335</w:t>
            </w:r>
          </w:p>
        </w:tc>
        <w:tc>
          <w:tcPr>
            <w:tcW w:w="0" w:type="auto"/>
            <w:tcBorders>
              <w:top w:val="single" w:sz="4" w:space="0" w:color="auto"/>
              <w:left w:val="single" w:sz="4" w:space="0" w:color="auto"/>
              <w:bottom w:val="single" w:sz="4" w:space="0" w:color="auto"/>
              <w:right w:val="single" w:sz="4" w:space="0" w:color="auto"/>
            </w:tcBorders>
            <w:vAlign w:val="bottom"/>
            <w:hideMark/>
          </w:tcPr>
          <w:p w14:paraId="4730DFD6" w14:textId="77777777" w:rsidR="00D67975" w:rsidRDefault="00D67975" w:rsidP="00D67975">
            <w:pPr>
              <w:autoSpaceDE w:val="0"/>
              <w:autoSpaceDN w:val="0"/>
              <w:adjustRightInd w:val="0"/>
              <w:rPr>
                <w:b/>
                <w:bCs/>
                <w:sz w:val="20"/>
                <w:szCs w:val="20"/>
                <w:lang w:eastAsia="en-US"/>
              </w:rPr>
            </w:pPr>
            <w:r>
              <w:rPr>
                <w:b/>
                <w:bCs/>
                <w:sz w:val="20"/>
                <w:szCs w:val="20"/>
                <w:lang w:eastAsia="en-US"/>
              </w:rPr>
              <w:t>Middle and posterior teeth, presence of cingula with accessory cusps:</w:t>
            </w:r>
          </w:p>
          <w:p w14:paraId="3907FEFE" w14:textId="6E5FF161" w:rsidR="00D67975" w:rsidRDefault="00D67975" w:rsidP="00D67975">
            <w:pPr>
              <w:autoSpaceDE w:val="0"/>
              <w:autoSpaceDN w:val="0"/>
              <w:adjustRightInd w:val="0"/>
              <w:rPr>
                <w:b/>
                <w:bCs/>
                <w:sz w:val="20"/>
                <w:szCs w:val="20"/>
                <w:lang w:eastAsia="en-US"/>
              </w:rPr>
            </w:pPr>
            <w:r>
              <w:rPr>
                <w:bCs/>
                <w:i/>
                <w:sz w:val="20"/>
                <w:szCs w:val="20"/>
                <w:lang w:eastAsia="en-US"/>
              </w:rPr>
              <w:t>Andrade &amp; Bertini (2008a, ch. 149 modified);</w:t>
            </w:r>
            <w:r>
              <w:rPr>
                <w:b/>
                <w:bCs/>
                <w:sz w:val="20"/>
                <w:szCs w:val="20"/>
                <w:lang w:eastAsia="en-US"/>
              </w:rPr>
              <w:t xml:space="preserve"> </w:t>
            </w:r>
            <w:r>
              <w:rPr>
                <w:bCs/>
                <w:i/>
                <w:sz w:val="20"/>
                <w:lang w:eastAsia="en-US"/>
              </w:rPr>
              <w:t>Andrade et al. (2011, ch. 417);</w:t>
            </w:r>
            <w:r>
              <w:rPr>
                <w:i/>
                <w:sz w:val="20"/>
                <w:szCs w:val="20"/>
                <w:lang w:eastAsia="en-US"/>
              </w:rPr>
              <w:t xml:space="preserve"> Ristevski et al. (2018, ds 1, ch. 417); Smith et al. (in review, ds 2, ch. 417); </w:t>
            </w:r>
            <w:r>
              <w:rPr>
                <w:i/>
                <w:sz w:val="20"/>
                <w:szCs w:val="20"/>
              </w:rPr>
              <w:t>Ősi et al. (in review, ds 1, ch. 332)</w:t>
            </w:r>
            <w:r>
              <w:rPr>
                <w:bCs/>
                <w:i/>
                <w:sz w:val="20"/>
                <w:lang w:eastAsia="en-US"/>
              </w:rPr>
              <w:t>.</w:t>
            </w:r>
          </w:p>
          <w:p w14:paraId="02CE1F7C" w14:textId="77777777" w:rsidR="00D67975" w:rsidRDefault="00D67975" w:rsidP="00D67975">
            <w:pPr>
              <w:autoSpaceDE w:val="0"/>
              <w:autoSpaceDN w:val="0"/>
              <w:adjustRightInd w:val="0"/>
              <w:rPr>
                <w:b/>
                <w:bCs/>
                <w:sz w:val="20"/>
                <w:szCs w:val="20"/>
                <w:lang w:eastAsia="en-US"/>
              </w:rPr>
            </w:pPr>
            <w:r>
              <w:rPr>
                <w:bCs/>
                <w:i/>
                <w:sz w:val="20"/>
                <w:lang w:eastAsia="en-US"/>
              </w:rPr>
              <w:t xml:space="preserve">State (1) occurs in </w:t>
            </w:r>
            <w:r>
              <w:rPr>
                <w:bCs/>
                <w:sz w:val="20"/>
                <w:lang w:eastAsia="en-US"/>
              </w:rPr>
              <w:t xml:space="preserve">Candidodon </w:t>
            </w:r>
            <w:r>
              <w:rPr>
                <w:bCs/>
                <w:i/>
                <w:sz w:val="20"/>
                <w:lang w:eastAsia="en-US"/>
              </w:rPr>
              <w:t xml:space="preserve">and </w:t>
            </w:r>
            <w:r>
              <w:rPr>
                <w:bCs/>
                <w:sz w:val="20"/>
                <w:lang w:eastAsia="en-US"/>
              </w:rPr>
              <w:t>Malawisuchus</w:t>
            </w:r>
            <w:r>
              <w:rPr>
                <w:bCs/>
                <w:i/>
                <w:sz w:val="20"/>
                <w:lang w:eastAsia="en-US"/>
              </w:rPr>
              <w:t>.</w:t>
            </w:r>
          </w:p>
          <w:p w14:paraId="389A76EB" w14:textId="77777777" w:rsidR="00D67975" w:rsidRDefault="00D67975" w:rsidP="00D67975">
            <w:pPr>
              <w:autoSpaceDE w:val="0"/>
              <w:autoSpaceDN w:val="0"/>
              <w:adjustRightInd w:val="0"/>
              <w:rPr>
                <w:sz w:val="20"/>
                <w:szCs w:val="20"/>
                <w:lang w:eastAsia="en-US"/>
              </w:rPr>
            </w:pPr>
            <w:r>
              <w:rPr>
                <w:sz w:val="20"/>
                <w:szCs w:val="20"/>
                <w:lang w:eastAsia="en-US"/>
              </w:rPr>
              <w:t>0. absent</w:t>
            </w:r>
          </w:p>
          <w:p w14:paraId="18D0E8EC" w14:textId="77777777" w:rsidR="00D67975" w:rsidRDefault="00D67975" w:rsidP="00D67975">
            <w:pPr>
              <w:rPr>
                <w:b/>
                <w:color w:val="000000"/>
                <w:sz w:val="20"/>
                <w:szCs w:val="20"/>
                <w:lang w:eastAsia="en-US"/>
              </w:rPr>
            </w:pPr>
            <w:r>
              <w:rPr>
                <w:sz w:val="20"/>
                <w:szCs w:val="20"/>
                <w:lang w:eastAsia="en-US"/>
              </w:rPr>
              <w:t>1. present, cingulum bearing a series small of cusps, set labial/lingual to the main body of crown</w:t>
            </w:r>
          </w:p>
        </w:tc>
      </w:tr>
      <w:tr w:rsidR="00D67975" w14:paraId="12FE9522" w14:textId="77777777" w:rsidTr="00D67975">
        <w:tc>
          <w:tcPr>
            <w:tcW w:w="0" w:type="auto"/>
            <w:tcBorders>
              <w:top w:val="single" w:sz="4" w:space="0" w:color="auto"/>
              <w:left w:val="single" w:sz="4" w:space="0" w:color="auto"/>
              <w:bottom w:val="single" w:sz="4" w:space="0" w:color="auto"/>
              <w:right w:val="single" w:sz="4" w:space="0" w:color="auto"/>
            </w:tcBorders>
          </w:tcPr>
          <w:p w14:paraId="6E1CF5C0" w14:textId="3E19D31A" w:rsidR="00D67975" w:rsidRDefault="009E2821" w:rsidP="00D67975">
            <w:pPr>
              <w:rPr>
                <w:color w:val="000000"/>
                <w:sz w:val="20"/>
                <w:szCs w:val="20"/>
                <w:lang w:eastAsia="en-US"/>
              </w:rPr>
            </w:pPr>
            <w:r>
              <w:rPr>
                <w:color w:val="000000"/>
                <w:sz w:val="20"/>
                <w:szCs w:val="20"/>
                <w:lang w:eastAsia="en-US"/>
              </w:rPr>
              <w:t>336</w:t>
            </w:r>
          </w:p>
        </w:tc>
        <w:tc>
          <w:tcPr>
            <w:tcW w:w="0" w:type="auto"/>
            <w:tcBorders>
              <w:top w:val="single" w:sz="4" w:space="0" w:color="auto"/>
              <w:left w:val="single" w:sz="4" w:space="0" w:color="auto"/>
              <w:bottom w:val="single" w:sz="4" w:space="0" w:color="auto"/>
              <w:right w:val="single" w:sz="4" w:space="0" w:color="auto"/>
            </w:tcBorders>
            <w:vAlign w:val="bottom"/>
            <w:hideMark/>
          </w:tcPr>
          <w:p w14:paraId="680CC30E" w14:textId="77777777" w:rsidR="00D67975" w:rsidRDefault="00D67975" w:rsidP="00D67975">
            <w:pPr>
              <w:rPr>
                <w:b/>
                <w:color w:val="000000"/>
                <w:sz w:val="20"/>
                <w:szCs w:val="20"/>
                <w:lang w:eastAsia="en-US"/>
              </w:rPr>
            </w:pPr>
            <w:r>
              <w:rPr>
                <w:b/>
                <w:color w:val="000000"/>
                <w:sz w:val="20"/>
                <w:szCs w:val="20"/>
                <w:lang w:eastAsia="en-US"/>
              </w:rPr>
              <w:t xml:space="preserve">Morphology of enamel surface ornamentation, ‘pseudodenticles’: </w:t>
            </w:r>
          </w:p>
          <w:p w14:paraId="4CA3D71D" w14:textId="63841780" w:rsidR="00D67975" w:rsidRDefault="00D67975" w:rsidP="00D67975">
            <w:pPr>
              <w:rPr>
                <w:i/>
                <w:color w:val="000000"/>
                <w:sz w:val="20"/>
                <w:szCs w:val="20"/>
                <w:lang w:eastAsia="en-US"/>
              </w:rPr>
            </w:pPr>
            <w:r>
              <w:rPr>
                <w:i/>
                <w:sz w:val="20"/>
                <w:szCs w:val="20"/>
                <w:lang w:eastAsia="en-US"/>
              </w:rPr>
              <w:t xml:space="preserve">Ristevski et al. (2018, ds 2, ch. 288); Smith et al. (in review, ds 1, ch. 293); </w:t>
            </w:r>
            <w:r>
              <w:rPr>
                <w:i/>
                <w:sz w:val="20"/>
                <w:szCs w:val="20"/>
              </w:rPr>
              <w:t>Ősi et al. (in review, ds 1, ch. 333)</w:t>
            </w:r>
            <w:r>
              <w:rPr>
                <w:i/>
                <w:sz w:val="20"/>
                <w:szCs w:val="20"/>
                <w:lang w:eastAsia="en-US"/>
              </w:rPr>
              <w:t>.</w:t>
            </w:r>
          </w:p>
          <w:p w14:paraId="44804402" w14:textId="77777777" w:rsidR="00D67975" w:rsidRDefault="00D67975" w:rsidP="00D67975">
            <w:pPr>
              <w:rPr>
                <w:i/>
                <w:color w:val="000000"/>
                <w:sz w:val="20"/>
                <w:szCs w:val="20"/>
                <w:lang w:eastAsia="en-US"/>
              </w:rPr>
            </w:pPr>
            <w:r>
              <w:rPr>
                <w:i/>
                <w:color w:val="000000"/>
                <w:sz w:val="20"/>
                <w:szCs w:val="20"/>
                <w:lang w:eastAsia="en-US"/>
              </w:rPr>
              <w:t xml:space="preserve">State (1) occurs in </w:t>
            </w:r>
            <w:r>
              <w:rPr>
                <w:color w:val="000000"/>
                <w:sz w:val="20"/>
                <w:szCs w:val="20"/>
                <w:lang w:eastAsia="en-US"/>
              </w:rPr>
              <w:t xml:space="preserve">Machimosaurus hugii </w:t>
            </w:r>
            <w:r>
              <w:rPr>
                <w:i/>
                <w:color w:val="000000"/>
                <w:sz w:val="20"/>
                <w:szCs w:val="20"/>
                <w:lang w:eastAsia="en-US"/>
              </w:rPr>
              <w:t>and</w:t>
            </w:r>
            <w:r>
              <w:rPr>
                <w:color w:val="000000"/>
                <w:sz w:val="20"/>
                <w:szCs w:val="20"/>
                <w:lang w:eastAsia="en-US"/>
              </w:rPr>
              <w:t xml:space="preserve"> M. rex</w:t>
            </w:r>
            <w:r>
              <w:rPr>
                <w:i/>
                <w:color w:val="000000"/>
                <w:sz w:val="20"/>
                <w:szCs w:val="20"/>
                <w:lang w:eastAsia="en-US"/>
              </w:rPr>
              <w:t>. The ‘pseudodenticles’ are denticle-like structures that occur on the enamel ridges, but not on the carinae.</w:t>
            </w:r>
          </w:p>
          <w:p w14:paraId="07BDDDB7" w14:textId="77777777" w:rsidR="00D67975" w:rsidRDefault="00D67975" w:rsidP="00D67975">
            <w:pPr>
              <w:rPr>
                <w:color w:val="000000"/>
                <w:sz w:val="20"/>
                <w:szCs w:val="20"/>
                <w:lang w:eastAsia="en-US"/>
              </w:rPr>
            </w:pPr>
            <w:r>
              <w:rPr>
                <w:color w:val="000000"/>
                <w:sz w:val="20"/>
                <w:szCs w:val="20"/>
                <w:lang w:eastAsia="en-US"/>
              </w:rPr>
              <w:t>0. absent</w:t>
            </w:r>
          </w:p>
          <w:p w14:paraId="19EF78EB" w14:textId="77777777" w:rsidR="00D67975" w:rsidRDefault="00D67975" w:rsidP="00D67975">
            <w:pPr>
              <w:rPr>
                <w:color w:val="000000"/>
                <w:sz w:val="20"/>
                <w:szCs w:val="20"/>
                <w:lang w:eastAsia="en-US"/>
              </w:rPr>
            </w:pPr>
            <w:r>
              <w:rPr>
                <w:color w:val="000000"/>
                <w:sz w:val="20"/>
                <w:szCs w:val="20"/>
                <w:lang w:eastAsia="en-US"/>
              </w:rPr>
              <w:t>1. present</w:t>
            </w:r>
          </w:p>
        </w:tc>
      </w:tr>
    </w:tbl>
    <w:p w14:paraId="4BABF0F3" w14:textId="77777777" w:rsidR="004C76BC" w:rsidRDefault="004C76BC" w:rsidP="004C76BC">
      <w:pPr>
        <w:rPr>
          <w:sz w:val="20"/>
          <w:szCs w:val="20"/>
        </w:rPr>
      </w:pPr>
    </w:p>
    <w:p w14:paraId="1E476B94" w14:textId="11E349B8" w:rsidR="004C76BC" w:rsidRDefault="004C76BC" w:rsidP="004C76BC">
      <w:r>
        <w:rPr>
          <w:b/>
        </w:rPr>
        <w:t xml:space="preserve">Axial post-cranial skeleton </w:t>
      </w:r>
      <w:r>
        <w:t>(Ch. 33</w:t>
      </w:r>
      <w:r w:rsidR="00D67975">
        <w:t>5</w:t>
      </w:r>
      <w:r>
        <w:t xml:space="preserve"> – 36</w:t>
      </w:r>
      <w:r w:rsidR="00D67975">
        <w:t>5</w:t>
      </w:r>
      <w:r>
        <w:t>; 6.828% of characters)</w:t>
      </w:r>
    </w:p>
    <w:p w14:paraId="34F6C350" w14:textId="77777777" w:rsidR="004C76BC" w:rsidRDefault="004C76BC" w:rsidP="004C76BC">
      <w:pPr>
        <w:rPr>
          <w:rFonts w:eastAsiaTheme="minorHAnsi"/>
        </w:rPr>
      </w:pPr>
      <w:bookmarkStart w:id="62" w:name="_Hlk479757576"/>
      <w:r>
        <w:lastRenderedPageBreak/>
        <w:t>[</w:t>
      </w:r>
      <w:r>
        <w:rPr>
          <w:i/>
        </w:rPr>
        <w:t>Vertebrae (= cervicale, thoracicae, lumbales, sacrales and caudal), costae (= cervicales, thoracicae, sacrales and arcus hæmales)</w:t>
      </w:r>
      <w:r>
        <w:t>]</w:t>
      </w:r>
      <w:bookmarkEnd w:id="62"/>
    </w:p>
    <w:p w14:paraId="79AFB6E4"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2BA87130"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65083912"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7824547" w14:textId="77777777" w:rsidR="004C76BC" w:rsidRDefault="004C76BC" w:rsidP="00AF438E">
            <w:pPr>
              <w:rPr>
                <w:sz w:val="20"/>
                <w:szCs w:val="20"/>
                <w:lang w:eastAsia="en-US"/>
              </w:rPr>
            </w:pPr>
            <w:r>
              <w:rPr>
                <w:sz w:val="20"/>
                <w:szCs w:val="20"/>
                <w:lang w:eastAsia="en-US"/>
              </w:rPr>
              <w:t>Description</w:t>
            </w:r>
          </w:p>
        </w:tc>
      </w:tr>
      <w:tr w:rsidR="004E1607" w14:paraId="2281591C"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780B0158" w14:textId="20CC13DA" w:rsidR="004E1607" w:rsidRDefault="009E2821" w:rsidP="004E1607">
            <w:pPr>
              <w:rPr>
                <w:color w:val="000000"/>
                <w:sz w:val="20"/>
                <w:szCs w:val="20"/>
                <w:lang w:eastAsia="en-US"/>
              </w:rPr>
            </w:pPr>
            <w:r>
              <w:rPr>
                <w:color w:val="000000"/>
                <w:sz w:val="20"/>
                <w:szCs w:val="20"/>
                <w:lang w:eastAsia="en-US"/>
              </w:rPr>
              <w:t>337</w:t>
            </w:r>
          </w:p>
        </w:tc>
        <w:tc>
          <w:tcPr>
            <w:tcW w:w="0" w:type="auto"/>
            <w:tcBorders>
              <w:top w:val="single" w:sz="4" w:space="0" w:color="auto"/>
              <w:left w:val="single" w:sz="4" w:space="0" w:color="auto"/>
              <w:bottom w:val="single" w:sz="4" w:space="0" w:color="auto"/>
              <w:right w:val="single" w:sz="4" w:space="0" w:color="auto"/>
            </w:tcBorders>
            <w:vAlign w:val="bottom"/>
            <w:hideMark/>
          </w:tcPr>
          <w:p w14:paraId="593F950A" w14:textId="77777777" w:rsidR="004E1607" w:rsidRDefault="004E1607" w:rsidP="004E1607">
            <w:pPr>
              <w:rPr>
                <w:b/>
                <w:color w:val="000000"/>
                <w:sz w:val="20"/>
                <w:szCs w:val="20"/>
                <w:lang w:eastAsia="en-US"/>
              </w:rPr>
            </w:pPr>
            <w:r>
              <w:rPr>
                <w:b/>
                <w:color w:val="000000"/>
                <w:sz w:val="20"/>
                <w:szCs w:val="20"/>
                <w:lang w:eastAsia="en-US"/>
              </w:rPr>
              <w:t>Atlas, hypocentrum length:</w:t>
            </w:r>
          </w:p>
          <w:p w14:paraId="77457513" w14:textId="571A3314"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122); </w:t>
            </w:r>
            <w:r>
              <w:rPr>
                <w:bCs/>
                <w:i/>
                <w:color w:val="000000"/>
                <w:sz w:val="20"/>
                <w:szCs w:val="20"/>
                <w:lang w:eastAsia="en-US"/>
              </w:rPr>
              <w:t xml:space="preserve">Young et al. (2011, ch. 122); Young et al. (2013a, ch. 148); </w:t>
            </w:r>
            <w:r>
              <w:rPr>
                <w:i/>
                <w:sz w:val="20"/>
                <w:szCs w:val="20"/>
                <w:lang w:eastAsia="en-US"/>
              </w:rPr>
              <w:t xml:space="preserve">Young et al. (2012, ch. 176); Young (2014, ch. 184); Young et al. (2016, ds 2, ch. 222); Ristevski et al. (2018, ds 2, ch. 289); Smith et al. (in review, ds 1, ch. 294); </w:t>
            </w:r>
            <w:r>
              <w:rPr>
                <w:i/>
                <w:sz w:val="20"/>
                <w:szCs w:val="20"/>
              </w:rPr>
              <w:t>Ősi et al. (in review, ds 1, ch. 334)</w:t>
            </w:r>
            <w:r>
              <w:rPr>
                <w:i/>
                <w:sz w:val="20"/>
                <w:szCs w:val="20"/>
                <w:lang w:eastAsia="en-US"/>
              </w:rPr>
              <w:t>.</w:t>
            </w:r>
          </w:p>
          <w:p w14:paraId="3EA94EF1" w14:textId="581915C8" w:rsidR="004E1607" w:rsidRDefault="004E1607" w:rsidP="004E1607">
            <w:pPr>
              <w:rPr>
                <w:color w:val="000000"/>
                <w:sz w:val="20"/>
                <w:szCs w:val="20"/>
                <w:lang w:eastAsia="en-US"/>
              </w:rPr>
            </w:pPr>
            <w:r>
              <w:rPr>
                <w:color w:val="000000"/>
                <w:sz w:val="20"/>
                <w:szCs w:val="20"/>
                <w:lang w:eastAsia="en-US"/>
              </w:rPr>
              <w:t>0. long: greater than 15% of odontoid process length</w:t>
            </w:r>
          </w:p>
          <w:p w14:paraId="004642E7" w14:textId="5D867146" w:rsidR="004E1607" w:rsidRDefault="004E1607" w:rsidP="004E1607">
            <w:pPr>
              <w:rPr>
                <w:color w:val="000000"/>
                <w:sz w:val="20"/>
                <w:szCs w:val="20"/>
                <w:lang w:eastAsia="en-US"/>
              </w:rPr>
            </w:pPr>
            <w:r>
              <w:rPr>
                <w:color w:val="000000"/>
                <w:sz w:val="20"/>
                <w:szCs w:val="20"/>
                <w:lang w:eastAsia="en-US"/>
              </w:rPr>
              <w:t>1. short: subequal to odontoid process length (± 5%)</w:t>
            </w:r>
          </w:p>
        </w:tc>
      </w:tr>
      <w:tr w:rsidR="004E1607" w14:paraId="21EBC21D" w14:textId="77777777" w:rsidTr="004E1607">
        <w:tc>
          <w:tcPr>
            <w:tcW w:w="0" w:type="auto"/>
            <w:tcBorders>
              <w:top w:val="single" w:sz="4" w:space="0" w:color="auto"/>
              <w:left w:val="single" w:sz="4" w:space="0" w:color="auto"/>
              <w:bottom w:val="single" w:sz="4" w:space="0" w:color="auto"/>
              <w:right w:val="single" w:sz="4" w:space="0" w:color="auto"/>
            </w:tcBorders>
          </w:tcPr>
          <w:p w14:paraId="57443BB2" w14:textId="53896C99" w:rsidR="004E1607" w:rsidRDefault="009E2821" w:rsidP="004E1607">
            <w:pPr>
              <w:rPr>
                <w:color w:val="000000"/>
                <w:sz w:val="20"/>
                <w:szCs w:val="20"/>
                <w:lang w:eastAsia="en-US"/>
              </w:rPr>
            </w:pPr>
            <w:r>
              <w:rPr>
                <w:color w:val="000000"/>
                <w:sz w:val="20"/>
                <w:szCs w:val="20"/>
                <w:lang w:eastAsia="en-US"/>
              </w:rPr>
              <w:t>338</w:t>
            </w:r>
          </w:p>
        </w:tc>
        <w:tc>
          <w:tcPr>
            <w:tcW w:w="0" w:type="auto"/>
            <w:tcBorders>
              <w:top w:val="single" w:sz="4" w:space="0" w:color="auto"/>
              <w:left w:val="single" w:sz="4" w:space="0" w:color="auto"/>
              <w:bottom w:val="single" w:sz="4" w:space="0" w:color="auto"/>
              <w:right w:val="single" w:sz="4" w:space="0" w:color="auto"/>
            </w:tcBorders>
            <w:vAlign w:val="bottom"/>
            <w:hideMark/>
          </w:tcPr>
          <w:p w14:paraId="6FB3108D" w14:textId="77777777" w:rsidR="004E1607" w:rsidRDefault="004E1607" w:rsidP="004E1607">
            <w:pPr>
              <w:rPr>
                <w:b/>
                <w:color w:val="000000"/>
                <w:sz w:val="20"/>
                <w:szCs w:val="20"/>
                <w:lang w:eastAsia="en-US"/>
              </w:rPr>
            </w:pPr>
            <w:r>
              <w:rPr>
                <w:b/>
                <w:color w:val="000000"/>
                <w:sz w:val="20"/>
                <w:szCs w:val="20"/>
                <w:lang w:eastAsia="en-US"/>
              </w:rPr>
              <w:t>Axis, neural arch diapophysis:</w:t>
            </w:r>
          </w:p>
          <w:p w14:paraId="438ED8D9" w14:textId="0FB74B67"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104); </w:t>
            </w:r>
            <w:r>
              <w:rPr>
                <w:bCs/>
                <w:i/>
                <w:color w:val="000000"/>
                <w:sz w:val="20"/>
                <w:szCs w:val="20"/>
                <w:lang w:eastAsia="en-US"/>
              </w:rPr>
              <w:t xml:space="preserve">Young et al. (2011, ch. 104); Young et al. (2013a, ch. 149); </w:t>
            </w:r>
            <w:r>
              <w:rPr>
                <w:i/>
                <w:sz w:val="20"/>
                <w:szCs w:val="20"/>
                <w:lang w:eastAsia="en-US"/>
              </w:rPr>
              <w:t xml:space="preserve">Young et al. (2012, ch. 177); Young (2014, ch. 185); Young et al. (2016, ds 2, ch. 223); Ristevski et al. (2018, ds 2, ch. 290); Smith et al. (in review, ds 1, ch. 295); </w:t>
            </w:r>
            <w:r>
              <w:rPr>
                <w:i/>
                <w:sz w:val="20"/>
                <w:szCs w:val="20"/>
              </w:rPr>
              <w:t>Ősi et al. (in review, ds 1, ch. 335)</w:t>
            </w:r>
            <w:r>
              <w:rPr>
                <w:i/>
                <w:sz w:val="20"/>
                <w:szCs w:val="20"/>
                <w:lang w:eastAsia="en-US"/>
              </w:rPr>
              <w:t>.</w:t>
            </w:r>
          </w:p>
          <w:p w14:paraId="5A21DEC3" w14:textId="77777777" w:rsidR="004E1607" w:rsidRDefault="004E1607" w:rsidP="004E1607">
            <w:pPr>
              <w:rPr>
                <w:color w:val="000000"/>
                <w:sz w:val="20"/>
                <w:szCs w:val="20"/>
                <w:lang w:eastAsia="en-US"/>
              </w:rPr>
            </w:pPr>
            <w:r>
              <w:rPr>
                <w:color w:val="000000"/>
                <w:sz w:val="20"/>
                <w:szCs w:val="20"/>
                <w:lang w:eastAsia="en-US"/>
              </w:rPr>
              <w:t>0. absent</w:t>
            </w:r>
          </w:p>
          <w:p w14:paraId="606BC830" w14:textId="77777777" w:rsidR="004E1607" w:rsidRDefault="004E1607" w:rsidP="004E1607">
            <w:pPr>
              <w:rPr>
                <w:color w:val="000000"/>
                <w:sz w:val="20"/>
                <w:szCs w:val="20"/>
                <w:lang w:eastAsia="en-US"/>
              </w:rPr>
            </w:pPr>
            <w:r>
              <w:rPr>
                <w:color w:val="000000"/>
                <w:sz w:val="20"/>
                <w:szCs w:val="20"/>
                <w:lang w:eastAsia="en-US"/>
              </w:rPr>
              <w:t>1. present</w:t>
            </w:r>
          </w:p>
        </w:tc>
      </w:tr>
      <w:tr w:rsidR="004E1607" w14:paraId="6ABD2909" w14:textId="77777777" w:rsidTr="004E1607">
        <w:tc>
          <w:tcPr>
            <w:tcW w:w="0" w:type="auto"/>
            <w:tcBorders>
              <w:top w:val="single" w:sz="4" w:space="0" w:color="auto"/>
              <w:left w:val="single" w:sz="4" w:space="0" w:color="auto"/>
              <w:bottom w:val="single" w:sz="4" w:space="0" w:color="auto"/>
              <w:right w:val="single" w:sz="4" w:space="0" w:color="auto"/>
            </w:tcBorders>
          </w:tcPr>
          <w:p w14:paraId="6C82A2DB" w14:textId="4B7D01FB" w:rsidR="004E1607" w:rsidRDefault="009E2821" w:rsidP="004E1607">
            <w:pPr>
              <w:rPr>
                <w:color w:val="000000"/>
                <w:sz w:val="20"/>
                <w:szCs w:val="20"/>
                <w:lang w:eastAsia="en-US"/>
              </w:rPr>
            </w:pPr>
            <w:r>
              <w:rPr>
                <w:color w:val="000000"/>
                <w:sz w:val="20"/>
                <w:szCs w:val="20"/>
                <w:lang w:eastAsia="en-US"/>
              </w:rPr>
              <w:t>339</w:t>
            </w:r>
          </w:p>
        </w:tc>
        <w:tc>
          <w:tcPr>
            <w:tcW w:w="0" w:type="auto"/>
            <w:tcBorders>
              <w:top w:val="single" w:sz="4" w:space="0" w:color="auto"/>
              <w:left w:val="single" w:sz="4" w:space="0" w:color="auto"/>
              <w:bottom w:val="single" w:sz="4" w:space="0" w:color="auto"/>
              <w:right w:val="single" w:sz="4" w:space="0" w:color="auto"/>
            </w:tcBorders>
            <w:vAlign w:val="bottom"/>
            <w:hideMark/>
          </w:tcPr>
          <w:p w14:paraId="6AAEA0F8" w14:textId="77777777" w:rsidR="004E1607" w:rsidRDefault="004E1607" w:rsidP="004E1607">
            <w:pPr>
              <w:rPr>
                <w:b/>
                <w:color w:val="000000"/>
                <w:sz w:val="20"/>
                <w:szCs w:val="20"/>
                <w:lang w:eastAsia="en-US"/>
              </w:rPr>
            </w:pPr>
            <w:r>
              <w:rPr>
                <w:b/>
                <w:color w:val="000000"/>
                <w:sz w:val="20"/>
                <w:szCs w:val="20"/>
                <w:lang w:eastAsia="en-US"/>
              </w:rPr>
              <w:t>Presacral vertebrae number:</w:t>
            </w:r>
          </w:p>
          <w:p w14:paraId="48623C36" w14:textId="4450DF94"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156); </w:t>
            </w:r>
            <w:r>
              <w:rPr>
                <w:bCs/>
                <w:i/>
                <w:color w:val="000000"/>
                <w:sz w:val="20"/>
                <w:szCs w:val="20"/>
                <w:lang w:eastAsia="en-US"/>
              </w:rPr>
              <w:t xml:space="preserve">Young et al. (2011, ch. 156); Young et al. (2013a, ch. 150); </w:t>
            </w:r>
            <w:r>
              <w:rPr>
                <w:i/>
                <w:sz w:val="20"/>
                <w:szCs w:val="20"/>
                <w:lang w:eastAsia="en-US"/>
              </w:rPr>
              <w:t xml:space="preserve">Young et al. (2012, ch. 178); Young (2014, ch. 186); Young et al. (2016, ds 2, ch. 224); Ristevski et al. (2018, ds 2, ch. 291); Smith et al. (in review, ds 1, ch. 296); </w:t>
            </w:r>
            <w:r>
              <w:rPr>
                <w:i/>
                <w:sz w:val="20"/>
                <w:szCs w:val="20"/>
              </w:rPr>
              <w:t>Ősi et al. (in review, ds 1, ch. 336)</w:t>
            </w:r>
            <w:r>
              <w:rPr>
                <w:i/>
                <w:sz w:val="20"/>
                <w:szCs w:val="20"/>
                <w:lang w:eastAsia="en-US"/>
              </w:rPr>
              <w:t>.</w:t>
            </w:r>
          </w:p>
          <w:p w14:paraId="7BACAF97" w14:textId="77777777" w:rsidR="004E1607" w:rsidRDefault="004E1607" w:rsidP="004E1607">
            <w:pPr>
              <w:rPr>
                <w:color w:val="000000"/>
                <w:sz w:val="20"/>
                <w:szCs w:val="20"/>
                <w:lang w:eastAsia="en-US"/>
              </w:rPr>
            </w:pPr>
            <w:r>
              <w:rPr>
                <w:color w:val="000000"/>
                <w:sz w:val="20"/>
                <w:szCs w:val="20"/>
                <w:lang w:eastAsia="en-US"/>
              </w:rPr>
              <w:t>0. 24</w:t>
            </w:r>
          </w:p>
          <w:p w14:paraId="2AD93B1A" w14:textId="77777777" w:rsidR="004E1607" w:rsidRDefault="004E1607" w:rsidP="004E1607">
            <w:pPr>
              <w:rPr>
                <w:color w:val="000000"/>
                <w:sz w:val="20"/>
                <w:szCs w:val="20"/>
                <w:lang w:eastAsia="en-US"/>
              </w:rPr>
            </w:pPr>
            <w:r>
              <w:rPr>
                <w:color w:val="000000"/>
                <w:sz w:val="20"/>
                <w:szCs w:val="20"/>
                <w:lang w:eastAsia="en-US"/>
              </w:rPr>
              <w:t>1. 25</w:t>
            </w:r>
          </w:p>
        </w:tc>
      </w:tr>
      <w:tr w:rsidR="004E1607" w14:paraId="52950F25" w14:textId="77777777" w:rsidTr="004E1607">
        <w:tc>
          <w:tcPr>
            <w:tcW w:w="0" w:type="auto"/>
            <w:tcBorders>
              <w:top w:val="single" w:sz="4" w:space="0" w:color="auto"/>
              <w:left w:val="single" w:sz="4" w:space="0" w:color="auto"/>
              <w:bottom w:val="single" w:sz="4" w:space="0" w:color="auto"/>
              <w:right w:val="single" w:sz="4" w:space="0" w:color="auto"/>
            </w:tcBorders>
          </w:tcPr>
          <w:p w14:paraId="75DC413E" w14:textId="243AAE31" w:rsidR="004E1607" w:rsidRDefault="009E2821" w:rsidP="004E1607">
            <w:pPr>
              <w:rPr>
                <w:color w:val="000000"/>
                <w:sz w:val="20"/>
                <w:szCs w:val="20"/>
                <w:lang w:eastAsia="en-US"/>
              </w:rPr>
            </w:pPr>
            <w:r>
              <w:rPr>
                <w:color w:val="000000"/>
                <w:sz w:val="20"/>
                <w:szCs w:val="20"/>
                <w:lang w:eastAsia="en-US"/>
              </w:rPr>
              <w:t>340</w:t>
            </w:r>
          </w:p>
        </w:tc>
        <w:tc>
          <w:tcPr>
            <w:tcW w:w="0" w:type="auto"/>
            <w:tcBorders>
              <w:top w:val="single" w:sz="4" w:space="0" w:color="auto"/>
              <w:left w:val="single" w:sz="4" w:space="0" w:color="auto"/>
              <w:bottom w:val="single" w:sz="4" w:space="0" w:color="auto"/>
              <w:right w:val="single" w:sz="4" w:space="0" w:color="auto"/>
            </w:tcBorders>
            <w:vAlign w:val="bottom"/>
            <w:hideMark/>
          </w:tcPr>
          <w:p w14:paraId="1DBFD4D9" w14:textId="77777777" w:rsidR="004E1607" w:rsidRDefault="004E1607" w:rsidP="004E1607">
            <w:pPr>
              <w:rPr>
                <w:b/>
                <w:color w:val="000000"/>
                <w:sz w:val="20"/>
                <w:szCs w:val="20"/>
                <w:lang w:eastAsia="en-US"/>
              </w:rPr>
            </w:pPr>
            <w:r>
              <w:rPr>
                <w:b/>
                <w:color w:val="000000"/>
                <w:sz w:val="20"/>
                <w:szCs w:val="20"/>
                <w:lang w:eastAsia="en-US"/>
              </w:rPr>
              <w:t>Number of cervico-dorsal vertebrae where the parapophyses are borne on the centrum (‘cervical vertebrae’), including the atlas-axis:</w:t>
            </w:r>
          </w:p>
          <w:p w14:paraId="63553CE8" w14:textId="06C52858" w:rsidR="004E1607" w:rsidRDefault="004E1607" w:rsidP="004E1607">
            <w:pPr>
              <w:autoSpaceDE w:val="0"/>
              <w:autoSpaceDN w:val="0"/>
              <w:adjustRightInd w:val="0"/>
              <w:rPr>
                <w:i/>
                <w:sz w:val="20"/>
                <w:szCs w:val="20"/>
                <w:lang w:eastAsia="en-US"/>
              </w:rPr>
            </w:pPr>
            <w:r>
              <w:rPr>
                <w:i/>
                <w:sz w:val="20"/>
                <w:szCs w:val="20"/>
                <w:lang w:eastAsia="en-US"/>
              </w:rPr>
              <w:t xml:space="preserve">Young (2006, ch. 35 modified); Wilkinson et al. (2008, ch. 63 modified); Young &amp; Andrade (2009, ch. 63 modified); </w:t>
            </w:r>
            <w:r>
              <w:rPr>
                <w:bCs/>
                <w:i/>
                <w:color w:val="000000"/>
                <w:sz w:val="20"/>
                <w:szCs w:val="20"/>
                <w:lang w:eastAsia="en-US"/>
              </w:rPr>
              <w:t xml:space="preserve">Young et al. (2011, ch. 63 modified); Young et al. (2013a, ch. 151); </w:t>
            </w:r>
            <w:r>
              <w:rPr>
                <w:i/>
                <w:sz w:val="20"/>
                <w:szCs w:val="20"/>
                <w:lang w:eastAsia="en-US"/>
              </w:rPr>
              <w:t xml:space="preserve">Young et al. (2012, ch. 179); Young (2014, ch. 187); Young et al. (2016, ds 2, ch. 225); Ristevski et al. (2018, ds 2, ch. 292); Smith et al. (in review, ds 1, ch. 297); </w:t>
            </w:r>
            <w:r>
              <w:rPr>
                <w:i/>
                <w:sz w:val="20"/>
                <w:szCs w:val="20"/>
              </w:rPr>
              <w:t>Ősi et al. (in review, ds 1, ch. 337)</w:t>
            </w:r>
            <w:r>
              <w:rPr>
                <w:i/>
                <w:sz w:val="20"/>
                <w:szCs w:val="20"/>
                <w:lang w:eastAsia="en-US"/>
              </w:rPr>
              <w:t>.</w:t>
            </w:r>
          </w:p>
          <w:p w14:paraId="580E7356" w14:textId="77777777" w:rsidR="004E1607" w:rsidRDefault="004E1607" w:rsidP="004E1607">
            <w:pPr>
              <w:rPr>
                <w:color w:val="000000"/>
                <w:sz w:val="20"/>
                <w:szCs w:val="20"/>
                <w:lang w:eastAsia="en-US"/>
              </w:rPr>
            </w:pPr>
            <w:r>
              <w:rPr>
                <w:color w:val="000000"/>
                <w:sz w:val="20"/>
                <w:szCs w:val="20"/>
                <w:lang w:eastAsia="en-US"/>
              </w:rPr>
              <w:t>0. 9 or 10</w:t>
            </w:r>
          </w:p>
          <w:p w14:paraId="3D6B8907" w14:textId="77777777" w:rsidR="004E1607" w:rsidRDefault="004E1607" w:rsidP="004E1607">
            <w:pPr>
              <w:rPr>
                <w:color w:val="000000"/>
                <w:sz w:val="20"/>
                <w:szCs w:val="20"/>
                <w:lang w:eastAsia="en-US"/>
              </w:rPr>
            </w:pPr>
            <w:r>
              <w:rPr>
                <w:color w:val="000000"/>
                <w:sz w:val="20"/>
                <w:szCs w:val="20"/>
                <w:lang w:eastAsia="en-US"/>
              </w:rPr>
              <w:t xml:space="preserve">1. 8 </w:t>
            </w:r>
          </w:p>
          <w:p w14:paraId="6174A2C3" w14:textId="77777777" w:rsidR="004E1607" w:rsidRDefault="004E1607" w:rsidP="004E1607">
            <w:pPr>
              <w:rPr>
                <w:color w:val="000000"/>
                <w:sz w:val="20"/>
                <w:szCs w:val="20"/>
                <w:lang w:eastAsia="en-US"/>
              </w:rPr>
            </w:pPr>
            <w:r>
              <w:rPr>
                <w:color w:val="000000"/>
                <w:sz w:val="20"/>
                <w:szCs w:val="20"/>
                <w:lang w:eastAsia="en-US"/>
              </w:rPr>
              <w:t>2. 7</w:t>
            </w:r>
          </w:p>
        </w:tc>
      </w:tr>
      <w:tr w:rsidR="004E1607" w14:paraId="2A1DA90F" w14:textId="77777777" w:rsidTr="004E1607">
        <w:tc>
          <w:tcPr>
            <w:tcW w:w="0" w:type="auto"/>
            <w:tcBorders>
              <w:top w:val="single" w:sz="4" w:space="0" w:color="auto"/>
              <w:left w:val="single" w:sz="4" w:space="0" w:color="auto"/>
              <w:bottom w:val="single" w:sz="4" w:space="0" w:color="auto"/>
              <w:right w:val="single" w:sz="4" w:space="0" w:color="auto"/>
            </w:tcBorders>
          </w:tcPr>
          <w:p w14:paraId="3B72E565" w14:textId="50F58F95" w:rsidR="004E1607" w:rsidRDefault="009E2821" w:rsidP="004E1607">
            <w:pPr>
              <w:rPr>
                <w:color w:val="000000"/>
                <w:sz w:val="20"/>
                <w:szCs w:val="20"/>
                <w:lang w:eastAsia="en-US"/>
              </w:rPr>
            </w:pPr>
            <w:r>
              <w:rPr>
                <w:color w:val="000000"/>
                <w:sz w:val="20"/>
                <w:szCs w:val="20"/>
                <w:lang w:eastAsia="en-US"/>
              </w:rPr>
              <w:t>341</w:t>
            </w:r>
          </w:p>
        </w:tc>
        <w:tc>
          <w:tcPr>
            <w:tcW w:w="0" w:type="auto"/>
            <w:tcBorders>
              <w:top w:val="single" w:sz="4" w:space="0" w:color="auto"/>
              <w:left w:val="single" w:sz="4" w:space="0" w:color="auto"/>
              <w:bottom w:val="single" w:sz="4" w:space="0" w:color="auto"/>
              <w:right w:val="single" w:sz="4" w:space="0" w:color="auto"/>
            </w:tcBorders>
            <w:vAlign w:val="bottom"/>
            <w:hideMark/>
          </w:tcPr>
          <w:p w14:paraId="41D71D32" w14:textId="77777777" w:rsidR="004E1607" w:rsidRDefault="004E1607" w:rsidP="004E1607">
            <w:pPr>
              <w:rPr>
                <w:b/>
                <w:color w:val="000000"/>
                <w:sz w:val="20"/>
                <w:szCs w:val="20"/>
                <w:lang w:eastAsia="en-US"/>
              </w:rPr>
            </w:pPr>
            <w:r>
              <w:rPr>
                <w:b/>
                <w:color w:val="000000"/>
                <w:sz w:val="20"/>
                <w:szCs w:val="20"/>
                <w:lang w:eastAsia="en-US"/>
              </w:rPr>
              <w:t xml:space="preserve">Cervical vertebrae, hypapophyses: </w:t>
            </w:r>
          </w:p>
          <w:p w14:paraId="7487E845" w14:textId="5ABFDD11" w:rsidR="004E1607" w:rsidRDefault="004E1607" w:rsidP="004E1607">
            <w:pPr>
              <w:rPr>
                <w:i/>
                <w:color w:val="000000"/>
                <w:sz w:val="20"/>
                <w:szCs w:val="20"/>
                <w:lang w:eastAsia="en-US"/>
              </w:rPr>
            </w:pPr>
            <w:r>
              <w:rPr>
                <w:i/>
                <w:sz w:val="20"/>
                <w:szCs w:val="20"/>
                <w:lang w:eastAsia="en-US"/>
              </w:rPr>
              <w:t xml:space="preserve">Ristevski et al. (2018, ds 2, ch. 293 modified); Smith et al. (in review, ds 1, ch. 298 modfied); </w:t>
            </w:r>
            <w:r>
              <w:rPr>
                <w:i/>
                <w:sz w:val="20"/>
                <w:szCs w:val="20"/>
              </w:rPr>
              <w:t>Ősi et al. (in review, ds 1, ch. 338)</w:t>
            </w:r>
            <w:r>
              <w:rPr>
                <w:i/>
                <w:sz w:val="20"/>
                <w:szCs w:val="20"/>
                <w:lang w:eastAsia="en-US"/>
              </w:rPr>
              <w:t>.</w:t>
            </w:r>
          </w:p>
          <w:p w14:paraId="1CE6887E" w14:textId="77777777" w:rsidR="004E1607" w:rsidRDefault="004E1607" w:rsidP="004E1607">
            <w:pPr>
              <w:rPr>
                <w:i/>
                <w:color w:val="000000"/>
                <w:sz w:val="20"/>
                <w:szCs w:val="20"/>
                <w:lang w:eastAsia="en-US"/>
              </w:rPr>
            </w:pPr>
            <w:r>
              <w:rPr>
                <w:i/>
                <w:color w:val="000000"/>
                <w:sz w:val="20"/>
                <w:szCs w:val="20"/>
                <w:lang w:eastAsia="en-US"/>
              </w:rPr>
              <w:t>This character scores the presence of distinct hypapophyses on the ventral surface of the cervical centra.</w:t>
            </w:r>
          </w:p>
          <w:p w14:paraId="530F1321" w14:textId="77777777" w:rsidR="004E1607" w:rsidRDefault="004E1607" w:rsidP="004E1607">
            <w:pPr>
              <w:rPr>
                <w:i/>
                <w:color w:val="000000"/>
                <w:sz w:val="20"/>
                <w:szCs w:val="20"/>
                <w:lang w:eastAsia="en-US"/>
              </w:rPr>
            </w:pPr>
            <w:r>
              <w:rPr>
                <w:i/>
                <w:color w:val="000000"/>
                <w:sz w:val="20"/>
                <w:szCs w:val="20"/>
                <w:lang w:eastAsia="en-US"/>
              </w:rPr>
              <w:t>State (1) is a putative apomorphy of Thalattosuchia.</w:t>
            </w:r>
          </w:p>
          <w:p w14:paraId="045DAC2A" w14:textId="77777777" w:rsidR="004E1607" w:rsidRDefault="004E1607" w:rsidP="004E1607">
            <w:pPr>
              <w:rPr>
                <w:color w:val="000000"/>
                <w:sz w:val="20"/>
                <w:szCs w:val="20"/>
                <w:lang w:eastAsia="en-US"/>
              </w:rPr>
            </w:pPr>
            <w:r>
              <w:rPr>
                <w:color w:val="000000"/>
                <w:sz w:val="20"/>
                <w:szCs w:val="20"/>
                <w:lang w:eastAsia="en-US"/>
              </w:rPr>
              <w:t>0. present</w:t>
            </w:r>
          </w:p>
          <w:p w14:paraId="18A26C33" w14:textId="77777777" w:rsidR="004E1607" w:rsidRDefault="004E1607" w:rsidP="004E1607">
            <w:pPr>
              <w:rPr>
                <w:color w:val="000000"/>
                <w:sz w:val="20"/>
                <w:szCs w:val="20"/>
                <w:lang w:eastAsia="en-US"/>
              </w:rPr>
            </w:pPr>
            <w:r>
              <w:rPr>
                <w:color w:val="000000"/>
                <w:sz w:val="20"/>
                <w:szCs w:val="20"/>
                <w:lang w:eastAsia="en-US"/>
              </w:rPr>
              <w:t>1. reduced, distinct ventral processes are absent, but a reduced anteroposterior keel is still present</w:t>
            </w:r>
          </w:p>
        </w:tc>
      </w:tr>
      <w:tr w:rsidR="004E1607" w14:paraId="407EA2C1" w14:textId="77777777" w:rsidTr="004E1607">
        <w:tc>
          <w:tcPr>
            <w:tcW w:w="0" w:type="auto"/>
            <w:tcBorders>
              <w:top w:val="single" w:sz="4" w:space="0" w:color="auto"/>
              <w:left w:val="single" w:sz="4" w:space="0" w:color="auto"/>
              <w:bottom w:val="single" w:sz="4" w:space="0" w:color="auto"/>
              <w:right w:val="single" w:sz="4" w:space="0" w:color="auto"/>
            </w:tcBorders>
          </w:tcPr>
          <w:p w14:paraId="4EEB77B2" w14:textId="464D6A9D" w:rsidR="004E1607" w:rsidRDefault="009E2821" w:rsidP="004E1607">
            <w:pPr>
              <w:rPr>
                <w:color w:val="000000"/>
                <w:sz w:val="20"/>
                <w:szCs w:val="20"/>
                <w:lang w:eastAsia="en-US"/>
              </w:rPr>
            </w:pPr>
            <w:r>
              <w:rPr>
                <w:color w:val="000000"/>
                <w:sz w:val="20"/>
                <w:szCs w:val="20"/>
                <w:lang w:eastAsia="en-US"/>
              </w:rPr>
              <w:t>342</w:t>
            </w:r>
          </w:p>
        </w:tc>
        <w:tc>
          <w:tcPr>
            <w:tcW w:w="0" w:type="auto"/>
            <w:tcBorders>
              <w:top w:val="single" w:sz="4" w:space="0" w:color="auto"/>
              <w:left w:val="single" w:sz="4" w:space="0" w:color="auto"/>
              <w:bottom w:val="single" w:sz="4" w:space="0" w:color="auto"/>
              <w:right w:val="single" w:sz="4" w:space="0" w:color="auto"/>
            </w:tcBorders>
            <w:vAlign w:val="bottom"/>
            <w:hideMark/>
          </w:tcPr>
          <w:p w14:paraId="3A5BB9F0" w14:textId="77777777" w:rsidR="004E1607" w:rsidRDefault="004E1607" w:rsidP="004E1607">
            <w:pPr>
              <w:rPr>
                <w:b/>
                <w:color w:val="000000"/>
                <w:sz w:val="20"/>
                <w:szCs w:val="20"/>
                <w:lang w:eastAsia="en-US"/>
              </w:rPr>
            </w:pPr>
            <w:r>
              <w:rPr>
                <w:b/>
                <w:color w:val="000000"/>
                <w:sz w:val="20"/>
                <w:szCs w:val="20"/>
                <w:lang w:eastAsia="en-US"/>
              </w:rPr>
              <w:t>Cervical vertebrae, shape:</w:t>
            </w:r>
          </w:p>
          <w:p w14:paraId="6BF8F098" w14:textId="67D6741F" w:rsidR="004E1607" w:rsidRDefault="004E1607" w:rsidP="004E1607">
            <w:pPr>
              <w:rPr>
                <w:i/>
                <w:color w:val="000000"/>
                <w:sz w:val="20"/>
                <w:szCs w:val="20"/>
                <w:lang w:eastAsia="en-US"/>
              </w:rPr>
            </w:pPr>
            <w:r>
              <w:rPr>
                <w:i/>
                <w:color w:val="000000"/>
                <w:sz w:val="20"/>
                <w:szCs w:val="20"/>
                <w:lang w:eastAsia="en-US"/>
              </w:rPr>
              <w:t xml:space="preserve">Clark (1994, ch. 92 modified); </w:t>
            </w:r>
            <w:r>
              <w:rPr>
                <w:i/>
                <w:sz w:val="20"/>
                <w:szCs w:val="20"/>
                <w:lang w:eastAsia="en-US"/>
              </w:rPr>
              <w:t xml:space="preserve">Young &amp; Andrade (2009, ch. 145 modified); </w:t>
            </w:r>
            <w:r>
              <w:rPr>
                <w:bCs/>
                <w:i/>
                <w:color w:val="000000"/>
                <w:sz w:val="20"/>
                <w:szCs w:val="20"/>
                <w:lang w:eastAsia="en-US"/>
              </w:rPr>
              <w:t xml:space="preserve">Young et al. (2011, ch. 145 modified); Young et al. (2013a, ch. 152 modified); </w:t>
            </w:r>
            <w:r>
              <w:rPr>
                <w:i/>
                <w:color w:val="000000"/>
                <w:sz w:val="20"/>
                <w:szCs w:val="20"/>
                <w:lang w:eastAsia="en-US"/>
              </w:rPr>
              <w:t xml:space="preserve">Young et al. (2012, ch. 180 modified); Young (2014, ch. 188 modified); Young et al. (2016, ds 2, ch. 226); </w:t>
            </w:r>
            <w:r>
              <w:rPr>
                <w:i/>
                <w:sz w:val="20"/>
                <w:szCs w:val="20"/>
                <w:lang w:eastAsia="en-US"/>
              </w:rPr>
              <w:t xml:space="preserve">Ristevski et al. (2018, ds 2, ch. 294); Smith et al. (in review, ds 1, ch. 299); </w:t>
            </w:r>
            <w:r>
              <w:rPr>
                <w:i/>
                <w:sz w:val="20"/>
                <w:szCs w:val="20"/>
              </w:rPr>
              <w:t>Ősi et al. (in review, ds 1, ch. 339)</w:t>
            </w:r>
            <w:r>
              <w:rPr>
                <w:i/>
                <w:color w:val="000000"/>
                <w:sz w:val="20"/>
                <w:szCs w:val="20"/>
                <w:lang w:eastAsia="en-US"/>
              </w:rPr>
              <w:t>.</w:t>
            </w:r>
          </w:p>
          <w:p w14:paraId="4832F134" w14:textId="77777777" w:rsidR="004E1607" w:rsidRDefault="004E1607" w:rsidP="004E1607">
            <w:pPr>
              <w:rPr>
                <w:i/>
                <w:color w:val="000000"/>
                <w:sz w:val="20"/>
                <w:szCs w:val="20"/>
                <w:lang w:eastAsia="en-US"/>
              </w:rPr>
            </w:pPr>
            <w:r>
              <w:rPr>
                <w:i/>
                <w:color w:val="000000"/>
                <w:sz w:val="20"/>
                <w:szCs w:val="20"/>
                <w:lang w:eastAsia="en-US"/>
              </w:rPr>
              <w:t>Designed to test the homology of repeated procoely evolution in Crocodylomorpha.</w:t>
            </w:r>
          </w:p>
          <w:p w14:paraId="655C26A3" w14:textId="77777777" w:rsidR="004E1607" w:rsidRDefault="004E1607" w:rsidP="004E1607">
            <w:pPr>
              <w:rPr>
                <w:i/>
                <w:color w:val="000000"/>
                <w:sz w:val="20"/>
                <w:szCs w:val="20"/>
                <w:lang w:eastAsia="en-US"/>
              </w:rPr>
            </w:pPr>
            <w:r>
              <w:rPr>
                <w:i/>
                <w:color w:val="000000"/>
                <w:sz w:val="20"/>
                <w:szCs w:val="20"/>
                <w:lang w:eastAsia="en-US"/>
              </w:rPr>
              <w:t>State (2) is occurs in Eusuchia.</w:t>
            </w:r>
          </w:p>
          <w:p w14:paraId="1B4337C0" w14:textId="77777777" w:rsidR="004E1607" w:rsidRDefault="004E1607" w:rsidP="004E1607">
            <w:pPr>
              <w:rPr>
                <w:color w:val="000000"/>
                <w:sz w:val="20"/>
                <w:szCs w:val="20"/>
                <w:lang w:eastAsia="en-US"/>
              </w:rPr>
            </w:pPr>
            <w:r>
              <w:rPr>
                <w:color w:val="000000"/>
                <w:sz w:val="20"/>
                <w:szCs w:val="20"/>
                <w:lang w:eastAsia="en-US"/>
              </w:rPr>
              <w:t>0. amphicoelous or amphyplatian</w:t>
            </w:r>
          </w:p>
          <w:p w14:paraId="7CBE6FE0" w14:textId="77777777" w:rsidR="004E1607" w:rsidRDefault="004E1607" w:rsidP="004E1607">
            <w:pPr>
              <w:rPr>
                <w:color w:val="000000"/>
                <w:sz w:val="20"/>
                <w:szCs w:val="20"/>
                <w:lang w:eastAsia="en-US"/>
              </w:rPr>
            </w:pPr>
            <w:r>
              <w:rPr>
                <w:color w:val="000000"/>
                <w:sz w:val="20"/>
                <w:szCs w:val="20"/>
                <w:lang w:eastAsia="en-US"/>
              </w:rPr>
              <w:t xml:space="preserve">1. weakly procoelous (i.e. the </w:t>
            </w:r>
            <w:r>
              <w:rPr>
                <w:i/>
                <w:color w:val="000000"/>
                <w:sz w:val="20"/>
                <w:szCs w:val="20"/>
                <w:lang w:eastAsia="en-US"/>
              </w:rPr>
              <w:t>Isisfordia</w:t>
            </w:r>
            <w:r>
              <w:rPr>
                <w:color w:val="000000"/>
                <w:sz w:val="20"/>
                <w:szCs w:val="20"/>
                <w:lang w:eastAsia="en-US"/>
              </w:rPr>
              <w:t xml:space="preserve"> and </w:t>
            </w:r>
            <w:r>
              <w:rPr>
                <w:i/>
                <w:color w:val="000000"/>
                <w:sz w:val="20"/>
                <w:szCs w:val="20"/>
                <w:lang w:eastAsia="en-US"/>
              </w:rPr>
              <w:t xml:space="preserve">Junggarsuchus </w:t>
            </w:r>
            <w:r>
              <w:rPr>
                <w:color w:val="000000"/>
                <w:sz w:val="20"/>
                <w:szCs w:val="20"/>
                <w:lang w:eastAsia="en-US"/>
              </w:rPr>
              <w:t>morphotype – posterior condyle is poorly developed, with the rim of the posterior face of the centrum still distinct from the convexity of the condyle)</w:t>
            </w:r>
          </w:p>
          <w:p w14:paraId="30D6EE3F" w14:textId="77777777" w:rsidR="004E1607" w:rsidRDefault="004E1607" w:rsidP="004E1607">
            <w:pPr>
              <w:rPr>
                <w:color w:val="000000"/>
                <w:sz w:val="20"/>
                <w:szCs w:val="20"/>
                <w:lang w:eastAsia="en-US"/>
              </w:rPr>
            </w:pPr>
            <w:r>
              <w:rPr>
                <w:color w:val="000000"/>
                <w:sz w:val="20"/>
                <w:szCs w:val="20"/>
                <w:lang w:eastAsia="en-US"/>
              </w:rPr>
              <w:t>2. strongly procoelous (i.e. the eusuchian morphotype – well-developed posterior condyle, which is formed by the entire posterior face of the centrum)</w:t>
            </w:r>
          </w:p>
        </w:tc>
      </w:tr>
      <w:tr w:rsidR="004E1607" w14:paraId="2051316D" w14:textId="77777777" w:rsidTr="004E1607">
        <w:tc>
          <w:tcPr>
            <w:tcW w:w="0" w:type="auto"/>
            <w:tcBorders>
              <w:top w:val="single" w:sz="4" w:space="0" w:color="auto"/>
              <w:left w:val="single" w:sz="4" w:space="0" w:color="auto"/>
              <w:bottom w:val="single" w:sz="4" w:space="0" w:color="auto"/>
              <w:right w:val="single" w:sz="4" w:space="0" w:color="auto"/>
            </w:tcBorders>
          </w:tcPr>
          <w:p w14:paraId="5536A4F9" w14:textId="6DCC684D" w:rsidR="004E1607" w:rsidRDefault="009E2821" w:rsidP="004E1607">
            <w:pPr>
              <w:rPr>
                <w:color w:val="000000"/>
                <w:sz w:val="20"/>
                <w:szCs w:val="20"/>
                <w:lang w:eastAsia="en-US"/>
              </w:rPr>
            </w:pPr>
            <w:r>
              <w:rPr>
                <w:color w:val="000000"/>
                <w:sz w:val="20"/>
                <w:szCs w:val="20"/>
                <w:lang w:eastAsia="en-US"/>
              </w:rPr>
              <w:t>343</w:t>
            </w:r>
          </w:p>
        </w:tc>
        <w:tc>
          <w:tcPr>
            <w:tcW w:w="0" w:type="auto"/>
            <w:tcBorders>
              <w:top w:val="single" w:sz="4" w:space="0" w:color="auto"/>
              <w:left w:val="single" w:sz="4" w:space="0" w:color="auto"/>
              <w:bottom w:val="single" w:sz="4" w:space="0" w:color="auto"/>
              <w:right w:val="single" w:sz="4" w:space="0" w:color="auto"/>
            </w:tcBorders>
            <w:vAlign w:val="bottom"/>
            <w:hideMark/>
          </w:tcPr>
          <w:p w14:paraId="2C63BCA6" w14:textId="556579A3" w:rsidR="004E1607" w:rsidRDefault="004E1607" w:rsidP="004E1607">
            <w:pPr>
              <w:rPr>
                <w:b/>
                <w:color w:val="000000"/>
                <w:sz w:val="20"/>
                <w:szCs w:val="20"/>
                <w:lang w:eastAsia="en-US"/>
              </w:rPr>
            </w:pPr>
            <w:r>
              <w:rPr>
                <w:b/>
                <w:color w:val="000000"/>
                <w:sz w:val="20"/>
                <w:szCs w:val="20"/>
                <w:lang w:eastAsia="en-US"/>
              </w:rPr>
              <w:t>Posterior cervical vertebrae, centrum length vs centrum width:</w:t>
            </w:r>
          </w:p>
          <w:p w14:paraId="0948FE21" w14:textId="4A9892C2" w:rsidR="004E1607" w:rsidRDefault="004E1607" w:rsidP="004E1607">
            <w:pPr>
              <w:autoSpaceDE w:val="0"/>
              <w:autoSpaceDN w:val="0"/>
              <w:adjustRightInd w:val="0"/>
              <w:rPr>
                <w:i/>
                <w:sz w:val="20"/>
                <w:szCs w:val="20"/>
                <w:lang w:eastAsia="en-US"/>
              </w:rPr>
            </w:pPr>
            <w:r>
              <w:rPr>
                <w:i/>
                <w:sz w:val="20"/>
                <w:szCs w:val="20"/>
                <w:lang w:eastAsia="en-US"/>
              </w:rPr>
              <w:t xml:space="preserve">Young (2006, ch. 34); Wilkinson et al. (2008, ch. 62); Young &amp; Andrade (2009, ch. 62); </w:t>
            </w:r>
            <w:r>
              <w:rPr>
                <w:bCs/>
                <w:i/>
                <w:color w:val="000000"/>
                <w:sz w:val="20"/>
                <w:szCs w:val="20"/>
                <w:lang w:eastAsia="en-US"/>
              </w:rPr>
              <w:t xml:space="preserve">Young et al. (2011, ch. 62); Young et al. (2013a, ch. 153); </w:t>
            </w:r>
            <w:r>
              <w:rPr>
                <w:i/>
                <w:sz w:val="20"/>
                <w:szCs w:val="20"/>
                <w:lang w:eastAsia="en-US"/>
              </w:rPr>
              <w:t xml:space="preserve">Young et al. (2012, ch. 181); Young (2014, ch. 189); Young et al. (2016, ds 2, ch. 227); Ristevski et al. (2018, ds 2, ch. 295); Smith et al. (in review, ds 1, ch. 300); </w:t>
            </w:r>
            <w:r>
              <w:rPr>
                <w:i/>
                <w:sz w:val="20"/>
                <w:szCs w:val="20"/>
              </w:rPr>
              <w:t>Ősi et al. (in review, ds 1, ch. 340)</w:t>
            </w:r>
            <w:r>
              <w:rPr>
                <w:i/>
                <w:sz w:val="20"/>
                <w:szCs w:val="20"/>
                <w:lang w:eastAsia="en-US"/>
              </w:rPr>
              <w:t>.</w:t>
            </w:r>
          </w:p>
          <w:p w14:paraId="42550461" w14:textId="5131F234" w:rsidR="004E1607" w:rsidRDefault="004E1607" w:rsidP="004E1607">
            <w:pPr>
              <w:autoSpaceDE w:val="0"/>
              <w:autoSpaceDN w:val="0"/>
              <w:adjustRightInd w:val="0"/>
              <w:rPr>
                <w:i/>
                <w:sz w:val="20"/>
                <w:szCs w:val="20"/>
                <w:lang w:eastAsia="en-US"/>
              </w:rPr>
            </w:pPr>
            <w:r>
              <w:rPr>
                <w:i/>
                <w:sz w:val="20"/>
                <w:szCs w:val="20"/>
                <w:lang w:eastAsia="en-US"/>
              </w:rPr>
              <w:t>State (1) occurs in Geosaurinae.</w:t>
            </w:r>
          </w:p>
          <w:p w14:paraId="5A42F903" w14:textId="68849BAC" w:rsidR="004E1607" w:rsidRDefault="004E1607" w:rsidP="004E1607">
            <w:pPr>
              <w:autoSpaceDE w:val="0"/>
              <w:autoSpaceDN w:val="0"/>
              <w:adjustRightInd w:val="0"/>
              <w:rPr>
                <w:i/>
                <w:sz w:val="20"/>
                <w:szCs w:val="20"/>
                <w:lang w:eastAsia="en-US"/>
              </w:rPr>
            </w:pPr>
            <w:r>
              <w:rPr>
                <w:i/>
                <w:sz w:val="20"/>
                <w:szCs w:val="20"/>
                <w:lang w:eastAsia="en-US"/>
              </w:rPr>
              <w:t>State (2) is a putative apomorphy of Metriorhynchidae.</w:t>
            </w:r>
          </w:p>
          <w:p w14:paraId="5049F8F3" w14:textId="77777777" w:rsidR="004E1607" w:rsidRDefault="004E1607" w:rsidP="004E1607">
            <w:pPr>
              <w:rPr>
                <w:color w:val="000000"/>
                <w:sz w:val="20"/>
                <w:szCs w:val="20"/>
                <w:lang w:eastAsia="en-US"/>
              </w:rPr>
            </w:pPr>
            <w:r>
              <w:rPr>
                <w:color w:val="000000"/>
                <w:sz w:val="20"/>
                <w:szCs w:val="20"/>
                <w:lang w:eastAsia="en-US"/>
              </w:rPr>
              <w:lastRenderedPageBreak/>
              <w:t>0. long (centrum length more than 1.5 times the centrum width)</w:t>
            </w:r>
          </w:p>
          <w:p w14:paraId="40E06EA0" w14:textId="32A92992" w:rsidR="004E1607" w:rsidRDefault="004E1607" w:rsidP="004E1607">
            <w:pPr>
              <w:rPr>
                <w:color w:val="000000"/>
                <w:sz w:val="20"/>
                <w:szCs w:val="20"/>
                <w:lang w:eastAsia="en-US"/>
              </w:rPr>
            </w:pPr>
            <w:r>
              <w:rPr>
                <w:color w:val="000000"/>
                <w:sz w:val="20"/>
                <w:szCs w:val="20"/>
                <w:lang w:eastAsia="en-US"/>
              </w:rPr>
              <w:t>1. moderate (centrum length to width subequal, ± 5%)</w:t>
            </w:r>
          </w:p>
          <w:p w14:paraId="7D00BCA0" w14:textId="77777777" w:rsidR="004E1607" w:rsidRDefault="004E1607" w:rsidP="004E1607">
            <w:pPr>
              <w:rPr>
                <w:color w:val="000000"/>
                <w:sz w:val="20"/>
                <w:szCs w:val="20"/>
                <w:lang w:eastAsia="en-US"/>
              </w:rPr>
            </w:pPr>
            <w:r>
              <w:rPr>
                <w:color w:val="000000"/>
                <w:sz w:val="20"/>
                <w:szCs w:val="20"/>
                <w:lang w:eastAsia="en-US"/>
              </w:rPr>
              <w:t>2. short (centrum length less than 95% of the centrum width)</w:t>
            </w:r>
          </w:p>
        </w:tc>
      </w:tr>
      <w:tr w:rsidR="004E1607" w14:paraId="66746DA8" w14:textId="77777777" w:rsidTr="004E1607">
        <w:tc>
          <w:tcPr>
            <w:tcW w:w="0" w:type="auto"/>
            <w:tcBorders>
              <w:top w:val="single" w:sz="4" w:space="0" w:color="auto"/>
              <w:left w:val="single" w:sz="4" w:space="0" w:color="auto"/>
              <w:bottom w:val="single" w:sz="4" w:space="0" w:color="auto"/>
              <w:right w:val="single" w:sz="4" w:space="0" w:color="auto"/>
            </w:tcBorders>
          </w:tcPr>
          <w:p w14:paraId="65E1DA44" w14:textId="25D33DC2" w:rsidR="004E1607" w:rsidRDefault="009E2821" w:rsidP="004E1607">
            <w:pPr>
              <w:rPr>
                <w:color w:val="000000"/>
                <w:sz w:val="20"/>
                <w:szCs w:val="20"/>
                <w:lang w:eastAsia="en-US"/>
              </w:rPr>
            </w:pPr>
            <w:r>
              <w:rPr>
                <w:color w:val="000000"/>
                <w:sz w:val="20"/>
                <w:szCs w:val="20"/>
                <w:lang w:eastAsia="en-US"/>
              </w:rPr>
              <w:lastRenderedPageBreak/>
              <w:t>344</w:t>
            </w:r>
          </w:p>
        </w:tc>
        <w:tc>
          <w:tcPr>
            <w:tcW w:w="0" w:type="auto"/>
            <w:tcBorders>
              <w:top w:val="single" w:sz="4" w:space="0" w:color="auto"/>
              <w:left w:val="single" w:sz="4" w:space="0" w:color="auto"/>
              <w:bottom w:val="single" w:sz="4" w:space="0" w:color="auto"/>
              <w:right w:val="single" w:sz="4" w:space="0" w:color="auto"/>
            </w:tcBorders>
            <w:vAlign w:val="bottom"/>
            <w:hideMark/>
          </w:tcPr>
          <w:p w14:paraId="247F6155" w14:textId="77777777" w:rsidR="004E1607" w:rsidRDefault="004E1607" w:rsidP="004E1607">
            <w:pPr>
              <w:rPr>
                <w:b/>
                <w:color w:val="000000"/>
                <w:sz w:val="20"/>
                <w:szCs w:val="20"/>
                <w:lang w:eastAsia="en-US"/>
              </w:rPr>
            </w:pPr>
            <w:r>
              <w:rPr>
                <w:b/>
                <w:color w:val="000000"/>
                <w:sz w:val="20"/>
                <w:szCs w:val="20"/>
                <w:lang w:eastAsia="en-US"/>
              </w:rPr>
              <w:t>Middle cervical vertebrae, neural spine height relative to centrum height:</w:t>
            </w:r>
          </w:p>
          <w:p w14:paraId="45C5D2AB" w14:textId="41A74F43" w:rsidR="004E1607" w:rsidRDefault="004E1607" w:rsidP="004E1607">
            <w:pPr>
              <w:autoSpaceDE w:val="0"/>
              <w:autoSpaceDN w:val="0"/>
              <w:adjustRightInd w:val="0"/>
              <w:rPr>
                <w:i/>
                <w:sz w:val="20"/>
                <w:szCs w:val="20"/>
                <w:lang w:eastAsia="en-US"/>
              </w:rPr>
            </w:pPr>
            <w:r>
              <w:rPr>
                <w:i/>
                <w:sz w:val="20"/>
                <w:szCs w:val="20"/>
                <w:lang w:eastAsia="en-US"/>
              </w:rPr>
              <w:t xml:space="preserve">Young et al. (2012, ch. 182); Young (2014, ch. 190); Young et al. (2016, ds 2, ch. 228); Ristevski et al. (2018, ds 2, ch. 296); Smith et al. (in review, ds 1, ch. 301); </w:t>
            </w:r>
            <w:r>
              <w:rPr>
                <w:i/>
                <w:sz w:val="20"/>
                <w:szCs w:val="20"/>
              </w:rPr>
              <w:t>Ősi et al. (in review, ds 1, ch. 341)</w:t>
            </w:r>
            <w:r>
              <w:rPr>
                <w:i/>
                <w:sz w:val="20"/>
                <w:szCs w:val="20"/>
                <w:lang w:eastAsia="en-US"/>
              </w:rPr>
              <w:t>.</w:t>
            </w:r>
          </w:p>
          <w:p w14:paraId="512FCD53" w14:textId="77777777" w:rsidR="004E1607" w:rsidRDefault="004E1607" w:rsidP="004E1607">
            <w:pPr>
              <w:rPr>
                <w:i/>
                <w:color w:val="000000"/>
                <w:sz w:val="20"/>
                <w:szCs w:val="20"/>
                <w:lang w:eastAsia="en-US"/>
              </w:rPr>
            </w:pPr>
            <w:r>
              <w:rPr>
                <w:i/>
                <w:color w:val="000000"/>
                <w:sz w:val="20"/>
                <w:szCs w:val="20"/>
                <w:lang w:eastAsia="en-US"/>
              </w:rPr>
              <w:t xml:space="preserve">Currently, there is not the information needed to score for most crocodylomorphs. Within Thalattosuchia </w:t>
            </w:r>
            <w:r>
              <w:rPr>
                <w:color w:val="000000"/>
                <w:sz w:val="20"/>
                <w:szCs w:val="20"/>
                <w:lang w:eastAsia="en-US"/>
              </w:rPr>
              <w:t>Steneosaurus edwardsi</w:t>
            </w:r>
            <w:r>
              <w:rPr>
                <w:i/>
                <w:color w:val="000000"/>
                <w:sz w:val="20"/>
                <w:szCs w:val="20"/>
                <w:lang w:eastAsia="en-US"/>
              </w:rPr>
              <w:t xml:space="preserve"> is (0), </w:t>
            </w:r>
            <w:r>
              <w:rPr>
                <w:color w:val="000000"/>
                <w:sz w:val="20"/>
                <w:szCs w:val="20"/>
                <w:lang w:eastAsia="en-US"/>
              </w:rPr>
              <w:t>St. leedsi</w:t>
            </w:r>
            <w:r>
              <w:rPr>
                <w:i/>
                <w:color w:val="000000"/>
                <w:sz w:val="20"/>
                <w:szCs w:val="20"/>
                <w:lang w:eastAsia="en-US"/>
              </w:rPr>
              <w:t xml:space="preserve"> is (1), and metriorhynchids are state (2).</w:t>
            </w:r>
          </w:p>
          <w:p w14:paraId="31E4D5E0" w14:textId="77777777" w:rsidR="004E1607" w:rsidRDefault="004E1607" w:rsidP="004E1607">
            <w:pPr>
              <w:rPr>
                <w:color w:val="000000"/>
                <w:sz w:val="20"/>
                <w:szCs w:val="20"/>
                <w:lang w:eastAsia="en-US"/>
              </w:rPr>
            </w:pPr>
            <w:r>
              <w:rPr>
                <w:color w:val="000000"/>
                <w:sz w:val="20"/>
                <w:szCs w:val="20"/>
                <w:lang w:eastAsia="en-US"/>
              </w:rPr>
              <w:t>0. neural spine height is greater than centrum height</w:t>
            </w:r>
          </w:p>
          <w:p w14:paraId="32EDBB5B" w14:textId="77777777" w:rsidR="004E1607" w:rsidRDefault="004E1607" w:rsidP="004E1607">
            <w:pPr>
              <w:rPr>
                <w:color w:val="000000"/>
                <w:sz w:val="20"/>
                <w:szCs w:val="20"/>
                <w:lang w:eastAsia="en-US"/>
              </w:rPr>
            </w:pPr>
            <w:r>
              <w:rPr>
                <w:color w:val="000000"/>
                <w:sz w:val="20"/>
                <w:szCs w:val="20"/>
                <w:lang w:eastAsia="en-US"/>
              </w:rPr>
              <w:t>1. neural spine and centrum heights are approximately equal</w:t>
            </w:r>
          </w:p>
          <w:p w14:paraId="653968C0" w14:textId="77777777" w:rsidR="004E1607" w:rsidRDefault="004E1607" w:rsidP="004E1607">
            <w:pPr>
              <w:rPr>
                <w:color w:val="000000"/>
                <w:sz w:val="20"/>
                <w:szCs w:val="20"/>
                <w:lang w:eastAsia="en-US"/>
              </w:rPr>
            </w:pPr>
            <w:r>
              <w:rPr>
                <w:color w:val="000000"/>
                <w:sz w:val="20"/>
                <w:szCs w:val="20"/>
                <w:lang w:eastAsia="en-US"/>
              </w:rPr>
              <w:t>2. neural spine height is less than centrum height</w:t>
            </w:r>
          </w:p>
        </w:tc>
      </w:tr>
      <w:tr w:rsidR="004E1607" w14:paraId="6EBF43E9" w14:textId="77777777" w:rsidTr="004E1607">
        <w:tc>
          <w:tcPr>
            <w:tcW w:w="0" w:type="auto"/>
            <w:tcBorders>
              <w:top w:val="single" w:sz="4" w:space="0" w:color="auto"/>
              <w:left w:val="single" w:sz="4" w:space="0" w:color="auto"/>
              <w:bottom w:val="single" w:sz="4" w:space="0" w:color="auto"/>
              <w:right w:val="single" w:sz="4" w:space="0" w:color="auto"/>
            </w:tcBorders>
          </w:tcPr>
          <w:p w14:paraId="1B9FB30E" w14:textId="2AC226DD" w:rsidR="004E1607" w:rsidRDefault="009E2821" w:rsidP="004E1607">
            <w:pPr>
              <w:rPr>
                <w:color w:val="000000"/>
                <w:sz w:val="20"/>
                <w:szCs w:val="20"/>
                <w:lang w:eastAsia="en-US"/>
              </w:rPr>
            </w:pPr>
            <w:r>
              <w:rPr>
                <w:color w:val="000000"/>
                <w:sz w:val="20"/>
                <w:szCs w:val="20"/>
                <w:lang w:eastAsia="en-US"/>
              </w:rPr>
              <w:t>345</w:t>
            </w:r>
          </w:p>
        </w:tc>
        <w:tc>
          <w:tcPr>
            <w:tcW w:w="0" w:type="auto"/>
            <w:tcBorders>
              <w:top w:val="single" w:sz="4" w:space="0" w:color="auto"/>
              <w:left w:val="single" w:sz="4" w:space="0" w:color="auto"/>
              <w:bottom w:val="single" w:sz="4" w:space="0" w:color="auto"/>
              <w:right w:val="single" w:sz="4" w:space="0" w:color="auto"/>
            </w:tcBorders>
            <w:vAlign w:val="bottom"/>
            <w:hideMark/>
          </w:tcPr>
          <w:p w14:paraId="58A4DE93" w14:textId="77777777" w:rsidR="004E1607" w:rsidRDefault="004E1607" w:rsidP="004E1607">
            <w:pPr>
              <w:rPr>
                <w:b/>
                <w:color w:val="000000"/>
                <w:sz w:val="20"/>
                <w:szCs w:val="20"/>
                <w:lang w:eastAsia="en-US"/>
              </w:rPr>
            </w:pPr>
            <w:r>
              <w:rPr>
                <w:b/>
                <w:color w:val="000000"/>
                <w:sz w:val="20"/>
                <w:szCs w:val="20"/>
                <w:lang w:eastAsia="en-US"/>
              </w:rPr>
              <w:t>Number of cervico-dorsal vertebrae where the parapophyses are borne partially, or solely, on the neural arch (‘thoracic vertebrae’):</w:t>
            </w:r>
          </w:p>
          <w:p w14:paraId="47FB99F9" w14:textId="71C36A3E" w:rsidR="004E1607" w:rsidRDefault="004E1607" w:rsidP="004E1607">
            <w:pPr>
              <w:autoSpaceDE w:val="0"/>
              <w:autoSpaceDN w:val="0"/>
              <w:adjustRightInd w:val="0"/>
              <w:rPr>
                <w:i/>
                <w:sz w:val="20"/>
                <w:szCs w:val="20"/>
                <w:lang w:eastAsia="en-US"/>
              </w:rPr>
            </w:pPr>
            <w:r>
              <w:rPr>
                <w:bCs/>
                <w:i/>
                <w:color w:val="000000"/>
                <w:sz w:val="20"/>
                <w:szCs w:val="20"/>
                <w:lang w:eastAsia="en-US"/>
              </w:rPr>
              <w:t xml:space="preserve">Young et al. (2011, ch. 175); Young et al. (2013a, ch. 154); </w:t>
            </w:r>
            <w:r>
              <w:rPr>
                <w:i/>
                <w:sz w:val="20"/>
                <w:szCs w:val="20"/>
                <w:lang w:eastAsia="en-US"/>
              </w:rPr>
              <w:t xml:space="preserve">Young et al. (2012, ch. 183); Young (2014, ch. 191); Young et al. (2016, ds 2, ch. 229); Ristevski et al. (2018, ds 2. ch. 297); Smith et al. (in review, ds 1, ch. 302); </w:t>
            </w:r>
            <w:r>
              <w:rPr>
                <w:i/>
                <w:sz w:val="20"/>
                <w:szCs w:val="20"/>
              </w:rPr>
              <w:t>Ősi et al. (in review, ds 1, ch. 342)</w:t>
            </w:r>
            <w:r>
              <w:rPr>
                <w:i/>
                <w:sz w:val="20"/>
                <w:szCs w:val="20"/>
                <w:lang w:eastAsia="en-US"/>
              </w:rPr>
              <w:t>.</w:t>
            </w:r>
          </w:p>
          <w:p w14:paraId="1A4EC6DE" w14:textId="77777777" w:rsidR="004E1607" w:rsidRDefault="004E1607" w:rsidP="004E1607">
            <w:pPr>
              <w:rPr>
                <w:i/>
                <w:color w:val="000000"/>
                <w:sz w:val="20"/>
                <w:szCs w:val="20"/>
                <w:lang w:eastAsia="en-US"/>
              </w:rPr>
            </w:pPr>
            <w:r>
              <w:rPr>
                <w:i/>
                <w:color w:val="000000"/>
                <w:sz w:val="20"/>
                <w:szCs w:val="20"/>
                <w:lang w:eastAsia="en-US"/>
              </w:rPr>
              <w:t>This character, (along with the character categorising lumbar vertebrae) was formulated to help understand the regionalisation of the presacral column. Currently, there is not the information needed to score for most crocodylomorphs.</w:t>
            </w:r>
          </w:p>
          <w:p w14:paraId="5B2FEB38" w14:textId="77777777" w:rsidR="004E1607" w:rsidRDefault="004E1607" w:rsidP="004E1607">
            <w:pPr>
              <w:rPr>
                <w:color w:val="000000"/>
                <w:sz w:val="20"/>
                <w:szCs w:val="20"/>
                <w:lang w:eastAsia="en-US"/>
              </w:rPr>
            </w:pPr>
            <w:r>
              <w:rPr>
                <w:color w:val="000000"/>
                <w:sz w:val="20"/>
                <w:szCs w:val="20"/>
                <w:lang w:eastAsia="en-US"/>
              </w:rPr>
              <w:t>0. 12</w:t>
            </w:r>
          </w:p>
          <w:p w14:paraId="585FA280" w14:textId="77777777" w:rsidR="004E1607" w:rsidRDefault="004E1607" w:rsidP="004E1607">
            <w:pPr>
              <w:rPr>
                <w:color w:val="000000"/>
                <w:sz w:val="20"/>
                <w:szCs w:val="20"/>
                <w:lang w:eastAsia="en-US"/>
              </w:rPr>
            </w:pPr>
            <w:r>
              <w:rPr>
                <w:color w:val="000000"/>
                <w:sz w:val="20"/>
                <w:szCs w:val="20"/>
                <w:lang w:eastAsia="en-US"/>
              </w:rPr>
              <w:t>1. 13</w:t>
            </w:r>
          </w:p>
          <w:p w14:paraId="67E9FC90" w14:textId="77777777" w:rsidR="004E1607" w:rsidRDefault="004E1607" w:rsidP="004E1607">
            <w:pPr>
              <w:rPr>
                <w:color w:val="000000"/>
                <w:sz w:val="20"/>
                <w:szCs w:val="20"/>
                <w:lang w:eastAsia="en-US"/>
              </w:rPr>
            </w:pPr>
            <w:r>
              <w:rPr>
                <w:color w:val="000000"/>
                <w:sz w:val="20"/>
                <w:szCs w:val="20"/>
                <w:lang w:eastAsia="en-US"/>
              </w:rPr>
              <w:t>2. 14</w:t>
            </w:r>
          </w:p>
          <w:p w14:paraId="168B0804" w14:textId="77777777" w:rsidR="004E1607" w:rsidRDefault="004E1607" w:rsidP="004E1607">
            <w:pPr>
              <w:rPr>
                <w:color w:val="000000"/>
                <w:sz w:val="20"/>
                <w:szCs w:val="20"/>
                <w:lang w:eastAsia="en-US"/>
              </w:rPr>
            </w:pPr>
            <w:r>
              <w:rPr>
                <w:color w:val="000000"/>
                <w:sz w:val="20"/>
                <w:szCs w:val="20"/>
                <w:lang w:eastAsia="en-US"/>
              </w:rPr>
              <w:t>3. 15</w:t>
            </w:r>
          </w:p>
        </w:tc>
      </w:tr>
      <w:tr w:rsidR="004E1607" w14:paraId="206EE5FB" w14:textId="77777777" w:rsidTr="004E1607">
        <w:tc>
          <w:tcPr>
            <w:tcW w:w="0" w:type="auto"/>
            <w:tcBorders>
              <w:top w:val="single" w:sz="4" w:space="0" w:color="auto"/>
              <w:left w:val="single" w:sz="4" w:space="0" w:color="auto"/>
              <w:bottom w:val="single" w:sz="4" w:space="0" w:color="auto"/>
              <w:right w:val="single" w:sz="4" w:space="0" w:color="auto"/>
            </w:tcBorders>
          </w:tcPr>
          <w:p w14:paraId="3A9D4645" w14:textId="2EC8110E" w:rsidR="004E1607" w:rsidRDefault="009E2821" w:rsidP="004E1607">
            <w:pPr>
              <w:rPr>
                <w:color w:val="000000"/>
                <w:sz w:val="20"/>
                <w:szCs w:val="20"/>
                <w:lang w:eastAsia="en-US"/>
              </w:rPr>
            </w:pPr>
            <w:r>
              <w:rPr>
                <w:sz w:val="20"/>
                <w:szCs w:val="20"/>
                <w:lang w:eastAsia="en-US"/>
              </w:rPr>
              <w:t>346</w:t>
            </w:r>
          </w:p>
        </w:tc>
        <w:tc>
          <w:tcPr>
            <w:tcW w:w="0" w:type="auto"/>
            <w:tcBorders>
              <w:top w:val="single" w:sz="4" w:space="0" w:color="auto"/>
              <w:left w:val="single" w:sz="4" w:space="0" w:color="auto"/>
              <w:bottom w:val="single" w:sz="4" w:space="0" w:color="auto"/>
              <w:right w:val="single" w:sz="4" w:space="0" w:color="auto"/>
            </w:tcBorders>
            <w:vAlign w:val="bottom"/>
            <w:hideMark/>
          </w:tcPr>
          <w:p w14:paraId="3E9D8C06" w14:textId="77777777" w:rsidR="004E1607" w:rsidRDefault="004E1607" w:rsidP="004E1607">
            <w:pPr>
              <w:rPr>
                <w:b/>
                <w:color w:val="000000"/>
                <w:sz w:val="20"/>
                <w:szCs w:val="20"/>
                <w:lang w:eastAsia="en-US"/>
              </w:rPr>
            </w:pPr>
            <w:r>
              <w:rPr>
                <w:b/>
                <w:color w:val="000000"/>
                <w:sz w:val="20"/>
                <w:szCs w:val="20"/>
                <w:lang w:eastAsia="en-US"/>
              </w:rPr>
              <w:t>Number of cervico-dorsal vertebrae posterior to the “thoracic vertebrae” and anterior to the sacral vertebrae where the parapophyses are no longer borne on the neural arch (‘lumbar vertebrae’):</w:t>
            </w:r>
          </w:p>
          <w:p w14:paraId="3D119C8B" w14:textId="034A0566" w:rsidR="004E1607" w:rsidRDefault="004E1607" w:rsidP="004E1607">
            <w:pPr>
              <w:autoSpaceDE w:val="0"/>
              <w:autoSpaceDN w:val="0"/>
              <w:adjustRightInd w:val="0"/>
              <w:rPr>
                <w:i/>
                <w:sz w:val="20"/>
                <w:szCs w:val="20"/>
                <w:lang w:eastAsia="en-US"/>
              </w:rPr>
            </w:pPr>
            <w:r>
              <w:rPr>
                <w:bCs/>
                <w:i/>
                <w:color w:val="000000"/>
                <w:sz w:val="20"/>
                <w:szCs w:val="20"/>
                <w:lang w:eastAsia="en-US"/>
              </w:rPr>
              <w:t xml:space="preserve">Young et al. (2011, ch. 176); Young et al. (2013a, ch. 155); </w:t>
            </w:r>
            <w:r>
              <w:rPr>
                <w:i/>
                <w:sz w:val="20"/>
                <w:szCs w:val="20"/>
                <w:lang w:eastAsia="en-US"/>
              </w:rPr>
              <w:t xml:space="preserve">Young et al. (2012, ch. 184); Young (2014, ch. 192); Young et al. (2016, ds 2, ch. 230); Ristevski et al. (2018, ds 2, ch. 298); Smith et al. (in review, ds 1, ch. 303); </w:t>
            </w:r>
            <w:r>
              <w:rPr>
                <w:i/>
                <w:sz w:val="20"/>
                <w:szCs w:val="20"/>
              </w:rPr>
              <w:t>Ősi et al. (in review, ds 1, ch. 343)</w:t>
            </w:r>
            <w:r>
              <w:rPr>
                <w:i/>
                <w:sz w:val="20"/>
                <w:szCs w:val="20"/>
                <w:lang w:eastAsia="en-US"/>
              </w:rPr>
              <w:t>.</w:t>
            </w:r>
          </w:p>
          <w:p w14:paraId="67AF5C95" w14:textId="77777777" w:rsidR="004E1607" w:rsidRDefault="004E1607" w:rsidP="004E1607">
            <w:pPr>
              <w:rPr>
                <w:i/>
                <w:color w:val="000000"/>
                <w:sz w:val="20"/>
                <w:szCs w:val="20"/>
                <w:lang w:eastAsia="en-US"/>
              </w:rPr>
            </w:pPr>
            <w:r>
              <w:rPr>
                <w:i/>
                <w:color w:val="000000"/>
                <w:sz w:val="20"/>
                <w:szCs w:val="20"/>
                <w:lang w:eastAsia="en-US"/>
              </w:rPr>
              <w:t>This character, (along with the character categorising thoracic vertebrae) was formulated to help understand the regionalisation of the presacral column. Currently, there is not the needed information to score for most crocodylomorphs.</w:t>
            </w:r>
          </w:p>
          <w:p w14:paraId="4D7FA309" w14:textId="77777777" w:rsidR="004E1607" w:rsidRDefault="004E1607" w:rsidP="004E1607">
            <w:pPr>
              <w:rPr>
                <w:color w:val="000000"/>
                <w:sz w:val="20"/>
                <w:szCs w:val="20"/>
                <w:lang w:eastAsia="en-US"/>
              </w:rPr>
            </w:pPr>
            <w:r>
              <w:rPr>
                <w:color w:val="000000"/>
                <w:sz w:val="20"/>
                <w:szCs w:val="20"/>
                <w:lang w:eastAsia="en-US"/>
              </w:rPr>
              <w:t>0. 2</w:t>
            </w:r>
          </w:p>
          <w:p w14:paraId="349E611E" w14:textId="77777777" w:rsidR="004E1607" w:rsidRDefault="004E1607" w:rsidP="004E1607">
            <w:pPr>
              <w:rPr>
                <w:color w:val="000000"/>
                <w:sz w:val="20"/>
                <w:szCs w:val="20"/>
                <w:lang w:eastAsia="en-US"/>
              </w:rPr>
            </w:pPr>
            <w:r>
              <w:rPr>
                <w:color w:val="000000"/>
                <w:sz w:val="20"/>
                <w:szCs w:val="20"/>
                <w:lang w:eastAsia="en-US"/>
              </w:rPr>
              <w:t>1. 3</w:t>
            </w:r>
          </w:p>
          <w:p w14:paraId="3B00955D" w14:textId="77777777" w:rsidR="004E1607" w:rsidRDefault="004E1607" w:rsidP="004E1607">
            <w:pPr>
              <w:rPr>
                <w:color w:val="000000"/>
                <w:sz w:val="20"/>
                <w:szCs w:val="20"/>
                <w:lang w:eastAsia="en-US"/>
              </w:rPr>
            </w:pPr>
            <w:r>
              <w:rPr>
                <w:color w:val="000000"/>
                <w:sz w:val="20"/>
                <w:szCs w:val="20"/>
                <w:lang w:eastAsia="en-US"/>
              </w:rPr>
              <w:t>2. 4</w:t>
            </w:r>
          </w:p>
        </w:tc>
      </w:tr>
      <w:tr w:rsidR="004E1607" w14:paraId="74E3AB95" w14:textId="77777777" w:rsidTr="004E1607">
        <w:tc>
          <w:tcPr>
            <w:tcW w:w="0" w:type="auto"/>
            <w:tcBorders>
              <w:top w:val="single" w:sz="4" w:space="0" w:color="auto"/>
              <w:left w:val="single" w:sz="4" w:space="0" w:color="auto"/>
              <w:bottom w:val="single" w:sz="4" w:space="0" w:color="auto"/>
              <w:right w:val="single" w:sz="4" w:space="0" w:color="auto"/>
            </w:tcBorders>
          </w:tcPr>
          <w:p w14:paraId="597995D0" w14:textId="7D4A62A6" w:rsidR="004E1607" w:rsidRDefault="009E2821" w:rsidP="004E1607">
            <w:pPr>
              <w:rPr>
                <w:color w:val="000000"/>
                <w:sz w:val="20"/>
                <w:szCs w:val="20"/>
                <w:lang w:eastAsia="en-US"/>
              </w:rPr>
            </w:pPr>
            <w:r>
              <w:rPr>
                <w:color w:val="000000"/>
                <w:sz w:val="20"/>
                <w:szCs w:val="20"/>
                <w:lang w:eastAsia="en-US"/>
              </w:rPr>
              <w:t>347</w:t>
            </w:r>
          </w:p>
        </w:tc>
        <w:tc>
          <w:tcPr>
            <w:tcW w:w="0" w:type="auto"/>
            <w:tcBorders>
              <w:top w:val="single" w:sz="4" w:space="0" w:color="auto"/>
              <w:left w:val="single" w:sz="4" w:space="0" w:color="auto"/>
              <w:bottom w:val="single" w:sz="4" w:space="0" w:color="auto"/>
              <w:right w:val="single" w:sz="4" w:space="0" w:color="auto"/>
            </w:tcBorders>
            <w:vAlign w:val="bottom"/>
            <w:hideMark/>
          </w:tcPr>
          <w:p w14:paraId="28753F48" w14:textId="77777777" w:rsidR="004E1607" w:rsidRDefault="004E1607" w:rsidP="004E1607">
            <w:pPr>
              <w:rPr>
                <w:b/>
                <w:color w:val="000000"/>
                <w:sz w:val="20"/>
                <w:szCs w:val="20"/>
                <w:lang w:eastAsia="en-US"/>
              </w:rPr>
            </w:pPr>
            <w:r>
              <w:rPr>
                <w:b/>
                <w:color w:val="000000"/>
                <w:sz w:val="20"/>
                <w:szCs w:val="20"/>
                <w:lang w:eastAsia="en-US"/>
              </w:rPr>
              <w:t>Thoracic and lumbar vertebrae, shape:</w:t>
            </w:r>
          </w:p>
          <w:p w14:paraId="35096428" w14:textId="251589D6" w:rsidR="004E1607" w:rsidRDefault="004E1607" w:rsidP="004E1607">
            <w:pPr>
              <w:rPr>
                <w:i/>
                <w:color w:val="000000"/>
                <w:sz w:val="20"/>
                <w:szCs w:val="20"/>
                <w:lang w:eastAsia="en-US"/>
              </w:rPr>
            </w:pPr>
            <w:r>
              <w:rPr>
                <w:i/>
                <w:color w:val="000000"/>
                <w:sz w:val="20"/>
                <w:szCs w:val="20"/>
                <w:lang w:eastAsia="en-US"/>
              </w:rPr>
              <w:t xml:space="preserve">Clark (1994, ch. 93 modified); </w:t>
            </w:r>
            <w:r>
              <w:rPr>
                <w:i/>
                <w:sz w:val="20"/>
                <w:szCs w:val="20"/>
                <w:lang w:eastAsia="en-US"/>
              </w:rPr>
              <w:t xml:space="preserve">Young &amp; Andrade (2009, ch. 146 modified); </w:t>
            </w:r>
            <w:r>
              <w:rPr>
                <w:bCs/>
                <w:i/>
                <w:color w:val="000000"/>
                <w:sz w:val="20"/>
                <w:szCs w:val="20"/>
                <w:lang w:eastAsia="en-US"/>
              </w:rPr>
              <w:t xml:space="preserve">Young et al. (2011, ch. 146 modified); Young et al. (2013a, ch. 156 modified); </w:t>
            </w:r>
            <w:r>
              <w:rPr>
                <w:i/>
                <w:color w:val="000000"/>
                <w:sz w:val="20"/>
                <w:szCs w:val="20"/>
                <w:lang w:eastAsia="en-US"/>
              </w:rPr>
              <w:t xml:space="preserve">Young et al. (2012, ch. 185 modified); Young (2014, ch. 193 modified); Young et al. (2016, ds 2, ch. 231); </w:t>
            </w:r>
            <w:r>
              <w:rPr>
                <w:i/>
                <w:sz w:val="20"/>
                <w:szCs w:val="20"/>
                <w:lang w:eastAsia="en-US"/>
              </w:rPr>
              <w:t xml:space="preserve">Ristevski et al. (2018, ds 2, ch. 299); Smith et al. (in review, ds 1, ch. 304); </w:t>
            </w:r>
            <w:r>
              <w:rPr>
                <w:i/>
                <w:sz w:val="20"/>
                <w:szCs w:val="20"/>
              </w:rPr>
              <w:t>Ősi et al. (in review, ds 1, ch. 344)</w:t>
            </w:r>
            <w:r>
              <w:rPr>
                <w:i/>
                <w:color w:val="000000"/>
                <w:sz w:val="20"/>
                <w:szCs w:val="20"/>
                <w:lang w:eastAsia="en-US"/>
              </w:rPr>
              <w:t>.</w:t>
            </w:r>
          </w:p>
          <w:p w14:paraId="44541272" w14:textId="77777777" w:rsidR="004E1607" w:rsidRDefault="004E1607" w:rsidP="004E1607">
            <w:pPr>
              <w:rPr>
                <w:i/>
                <w:color w:val="000000"/>
                <w:sz w:val="20"/>
                <w:szCs w:val="20"/>
                <w:lang w:eastAsia="en-US"/>
              </w:rPr>
            </w:pPr>
            <w:r>
              <w:rPr>
                <w:i/>
                <w:color w:val="000000"/>
                <w:sz w:val="20"/>
                <w:szCs w:val="20"/>
                <w:lang w:eastAsia="en-US"/>
              </w:rPr>
              <w:t>State (2) is a putative apomorphy of Eusuchia.</w:t>
            </w:r>
          </w:p>
          <w:p w14:paraId="685476EE" w14:textId="77777777" w:rsidR="004E1607" w:rsidRDefault="004E1607" w:rsidP="004E1607">
            <w:pPr>
              <w:rPr>
                <w:color w:val="000000"/>
                <w:sz w:val="20"/>
                <w:szCs w:val="20"/>
                <w:lang w:eastAsia="en-US"/>
              </w:rPr>
            </w:pPr>
            <w:r>
              <w:rPr>
                <w:color w:val="000000"/>
                <w:sz w:val="20"/>
                <w:szCs w:val="20"/>
                <w:lang w:eastAsia="en-US"/>
              </w:rPr>
              <w:t>0. amphicoelous or amphyplatian</w:t>
            </w:r>
          </w:p>
          <w:p w14:paraId="0B63684C" w14:textId="77777777" w:rsidR="004E1607" w:rsidRDefault="004E1607" w:rsidP="004E1607">
            <w:pPr>
              <w:rPr>
                <w:color w:val="000000"/>
                <w:sz w:val="20"/>
                <w:szCs w:val="20"/>
                <w:lang w:eastAsia="en-US"/>
              </w:rPr>
            </w:pPr>
            <w:r>
              <w:rPr>
                <w:color w:val="000000"/>
                <w:sz w:val="20"/>
                <w:szCs w:val="20"/>
                <w:lang w:eastAsia="en-US"/>
              </w:rPr>
              <w:t xml:space="preserve">1. weakly procoelous (i.e. the </w:t>
            </w:r>
            <w:r>
              <w:rPr>
                <w:i/>
                <w:color w:val="000000"/>
                <w:sz w:val="20"/>
                <w:szCs w:val="20"/>
                <w:lang w:eastAsia="en-US"/>
              </w:rPr>
              <w:t>Isisfordia</w:t>
            </w:r>
            <w:r>
              <w:rPr>
                <w:color w:val="000000"/>
                <w:sz w:val="20"/>
                <w:szCs w:val="20"/>
                <w:lang w:eastAsia="en-US"/>
              </w:rPr>
              <w:t xml:space="preserve"> and </w:t>
            </w:r>
            <w:r>
              <w:rPr>
                <w:i/>
                <w:color w:val="000000"/>
                <w:sz w:val="20"/>
                <w:szCs w:val="20"/>
                <w:lang w:eastAsia="en-US"/>
              </w:rPr>
              <w:t xml:space="preserve">Junggarsuchus </w:t>
            </w:r>
            <w:r>
              <w:rPr>
                <w:color w:val="000000"/>
                <w:sz w:val="20"/>
                <w:szCs w:val="20"/>
                <w:lang w:eastAsia="en-US"/>
              </w:rPr>
              <w:t>morphotype – posterior condyle is poorly developed, with the rim of the posterior face of the centrum still distinct from the convexity of the condyle)</w:t>
            </w:r>
          </w:p>
          <w:p w14:paraId="7FA4EB4B" w14:textId="77777777" w:rsidR="004E1607" w:rsidRDefault="004E1607" w:rsidP="004E1607">
            <w:pPr>
              <w:rPr>
                <w:color w:val="000000"/>
                <w:sz w:val="20"/>
                <w:szCs w:val="20"/>
                <w:lang w:eastAsia="en-US"/>
              </w:rPr>
            </w:pPr>
            <w:r>
              <w:rPr>
                <w:color w:val="000000"/>
                <w:sz w:val="20"/>
                <w:szCs w:val="20"/>
                <w:lang w:eastAsia="en-US"/>
              </w:rPr>
              <w:t>2. strongly procoelous (i.e. the eusuchian morphotype – well-developed posterior condyle, which is formed by the entire posterior face of the centrum)</w:t>
            </w:r>
          </w:p>
        </w:tc>
      </w:tr>
      <w:tr w:rsidR="004E1607" w14:paraId="503CF571" w14:textId="77777777" w:rsidTr="004E1607">
        <w:tc>
          <w:tcPr>
            <w:tcW w:w="0" w:type="auto"/>
            <w:tcBorders>
              <w:top w:val="single" w:sz="4" w:space="0" w:color="auto"/>
              <w:left w:val="single" w:sz="4" w:space="0" w:color="auto"/>
              <w:bottom w:val="single" w:sz="4" w:space="0" w:color="auto"/>
              <w:right w:val="single" w:sz="4" w:space="0" w:color="auto"/>
            </w:tcBorders>
          </w:tcPr>
          <w:p w14:paraId="5D3A5F66" w14:textId="2D2C0446" w:rsidR="004E1607" w:rsidRDefault="009E2821" w:rsidP="004E1607">
            <w:pPr>
              <w:rPr>
                <w:color w:val="000000"/>
                <w:sz w:val="20"/>
                <w:szCs w:val="20"/>
                <w:lang w:eastAsia="en-US"/>
              </w:rPr>
            </w:pPr>
            <w:r>
              <w:rPr>
                <w:color w:val="000000"/>
                <w:sz w:val="20"/>
                <w:szCs w:val="20"/>
                <w:lang w:eastAsia="en-US"/>
              </w:rPr>
              <w:t>348</w:t>
            </w:r>
          </w:p>
        </w:tc>
        <w:tc>
          <w:tcPr>
            <w:tcW w:w="0" w:type="auto"/>
            <w:tcBorders>
              <w:top w:val="single" w:sz="4" w:space="0" w:color="auto"/>
              <w:left w:val="single" w:sz="4" w:space="0" w:color="auto"/>
              <w:bottom w:val="single" w:sz="4" w:space="0" w:color="auto"/>
              <w:right w:val="single" w:sz="4" w:space="0" w:color="auto"/>
            </w:tcBorders>
            <w:vAlign w:val="bottom"/>
            <w:hideMark/>
          </w:tcPr>
          <w:p w14:paraId="236AB807" w14:textId="77777777" w:rsidR="004E1607" w:rsidRDefault="004E1607" w:rsidP="004E1607">
            <w:pPr>
              <w:rPr>
                <w:b/>
                <w:color w:val="000000"/>
                <w:sz w:val="20"/>
                <w:szCs w:val="20"/>
                <w:lang w:eastAsia="en-US"/>
              </w:rPr>
            </w:pPr>
            <w:r>
              <w:rPr>
                <w:b/>
                <w:color w:val="000000"/>
                <w:sz w:val="20"/>
                <w:szCs w:val="20"/>
                <w:lang w:eastAsia="en-US"/>
              </w:rPr>
              <w:t>Thoracic vertebrae, shallow fossa on the anterior margin of the diapophysis immediately lateral to the parapophysis:</w:t>
            </w:r>
          </w:p>
          <w:p w14:paraId="5022B491" w14:textId="611FBCFB"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165); </w:t>
            </w:r>
            <w:r>
              <w:rPr>
                <w:bCs/>
                <w:i/>
                <w:color w:val="000000"/>
                <w:sz w:val="20"/>
                <w:szCs w:val="20"/>
                <w:lang w:eastAsia="en-US"/>
              </w:rPr>
              <w:t xml:space="preserve">Young et al. (2011, ch. 165); Young et al. (2013a, ch. 157); </w:t>
            </w:r>
            <w:r>
              <w:rPr>
                <w:i/>
                <w:sz w:val="20"/>
                <w:szCs w:val="20"/>
                <w:lang w:eastAsia="en-US"/>
              </w:rPr>
              <w:t xml:space="preserve">Young et al. (2012, ch. 186 modified); Young (2014, ch. 194); Young et al. (2016, ds 2, ch. 232); Ristevski et al. (2018, ds 2, ch. 300); Smith et al. (in review, ds 1, ch. 305); </w:t>
            </w:r>
            <w:r>
              <w:rPr>
                <w:i/>
                <w:sz w:val="20"/>
                <w:szCs w:val="20"/>
              </w:rPr>
              <w:t>Ősi et al. (in review, ds 1, ch. 345)</w:t>
            </w:r>
            <w:r>
              <w:rPr>
                <w:i/>
                <w:sz w:val="20"/>
                <w:szCs w:val="20"/>
                <w:lang w:eastAsia="en-US"/>
              </w:rPr>
              <w:t>.</w:t>
            </w:r>
          </w:p>
          <w:p w14:paraId="5E75F837" w14:textId="77777777" w:rsidR="004E1607" w:rsidRDefault="004E1607" w:rsidP="004E1607">
            <w:pPr>
              <w:rPr>
                <w:i/>
                <w:color w:val="000000"/>
                <w:sz w:val="20"/>
                <w:szCs w:val="20"/>
                <w:lang w:eastAsia="en-US"/>
              </w:rPr>
            </w:pPr>
            <w:r>
              <w:rPr>
                <w:i/>
                <w:color w:val="000000"/>
                <w:sz w:val="20"/>
                <w:szCs w:val="20"/>
                <w:lang w:eastAsia="en-US"/>
              </w:rPr>
              <w:t>State (1) is a putative apomorphy of Metriorhynchidae, best observed in thoracic vertebrae mid-to-late in the series.</w:t>
            </w:r>
          </w:p>
          <w:p w14:paraId="6EC03224" w14:textId="77777777" w:rsidR="004E1607" w:rsidRDefault="004E1607" w:rsidP="004E1607">
            <w:pPr>
              <w:rPr>
                <w:color w:val="000000"/>
                <w:sz w:val="20"/>
                <w:szCs w:val="20"/>
                <w:lang w:eastAsia="en-US"/>
              </w:rPr>
            </w:pPr>
            <w:r>
              <w:rPr>
                <w:color w:val="000000"/>
                <w:sz w:val="20"/>
                <w:szCs w:val="20"/>
                <w:lang w:eastAsia="en-US"/>
              </w:rPr>
              <w:t>0. present</w:t>
            </w:r>
          </w:p>
          <w:p w14:paraId="5E5078F3" w14:textId="77777777" w:rsidR="004E1607" w:rsidRDefault="004E1607" w:rsidP="004E1607">
            <w:pPr>
              <w:rPr>
                <w:color w:val="000000"/>
                <w:sz w:val="20"/>
                <w:szCs w:val="20"/>
                <w:lang w:eastAsia="en-US"/>
              </w:rPr>
            </w:pPr>
            <w:r>
              <w:rPr>
                <w:color w:val="000000"/>
                <w:sz w:val="20"/>
                <w:szCs w:val="20"/>
                <w:lang w:eastAsia="en-US"/>
              </w:rPr>
              <w:t>1. absent</w:t>
            </w:r>
          </w:p>
        </w:tc>
      </w:tr>
      <w:tr w:rsidR="004E1607" w14:paraId="2E8DCDE1" w14:textId="77777777" w:rsidTr="004E1607">
        <w:tc>
          <w:tcPr>
            <w:tcW w:w="0" w:type="auto"/>
            <w:tcBorders>
              <w:top w:val="single" w:sz="4" w:space="0" w:color="auto"/>
              <w:left w:val="single" w:sz="4" w:space="0" w:color="auto"/>
              <w:bottom w:val="single" w:sz="4" w:space="0" w:color="auto"/>
              <w:right w:val="single" w:sz="4" w:space="0" w:color="auto"/>
            </w:tcBorders>
          </w:tcPr>
          <w:p w14:paraId="4DA0D0DC" w14:textId="7CF0B55A" w:rsidR="004E1607" w:rsidRDefault="009E2821" w:rsidP="004E1607">
            <w:pPr>
              <w:rPr>
                <w:color w:val="000000"/>
                <w:sz w:val="20"/>
                <w:szCs w:val="20"/>
                <w:lang w:eastAsia="en-US"/>
              </w:rPr>
            </w:pPr>
            <w:r>
              <w:rPr>
                <w:color w:val="000000"/>
                <w:sz w:val="20"/>
                <w:szCs w:val="20"/>
                <w:lang w:eastAsia="en-US"/>
              </w:rPr>
              <w:t>349</w:t>
            </w:r>
          </w:p>
        </w:tc>
        <w:tc>
          <w:tcPr>
            <w:tcW w:w="0" w:type="auto"/>
            <w:tcBorders>
              <w:top w:val="single" w:sz="4" w:space="0" w:color="auto"/>
              <w:left w:val="single" w:sz="4" w:space="0" w:color="auto"/>
              <w:bottom w:val="single" w:sz="4" w:space="0" w:color="auto"/>
              <w:right w:val="single" w:sz="4" w:space="0" w:color="auto"/>
            </w:tcBorders>
            <w:vAlign w:val="bottom"/>
            <w:hideMark/>
          </w:tcPr>
          <w:p w14:paraId="2D795579" w14:textId="77777777" w:rsidR="004E1607" w:rsidRDefault="004E1607" w:rsidP="004E1607">
            <w:pPr>
              <w:rPr>
                <w:b/>
                <w:color w:val="000000"/>
                <w:sz w:val="20"/>
                <w:szCs w:val="20"/>
                <w:lang w:eastAsia="en-US"/>
              </w:rPr>
            </w:pPr>
            <w:r>
              <w:rPr>
                <w:b/>
                <w:color w:val="000000"/>
                <w:sz w:val="20"/>
                <w:szCs w:val="20"/>
                <w:lang w:eastAsia="en-US"/>
              </w:rPr>
              <w:t>Thoracic vertebrae, orientation of parapophysis:</w:t>
            </w:r>
          </w:p>
          <w:p w14:paraId="22D0DCB9" w14:textId="7B58EE45"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166); </w:t>
            </w:r>
            <w:r>
              <w:rPr>
                <w:bCs/>
                <w:i/>
                <w:color w:val="000000"/>
                <w:sz w:val="20"/>
                <w:szCs w:val="20"/>
                <w:lang w:eastAsia="en-US"/>
              </w:rPr>
              <w:t xml:space="preserve">Young et al. (2011, ch. 166); Young et al. (2013a, ch. 158); </w:t>
            </w:r>
            <w:r>
              <w:rPr>
                <w:i/>
                <w:sz w:val="20"/>
                <w:szCs w:val="20"/>
                <w:lang w:eastAsia="en-US"/>
              </w:rPr>
              <w:t xml:space="preserve">Young et al. (2012, ch. 187); Young (2014, ch. 195); Young et al. (2016, ds 2, ch. 233); Ristevski et al. (2018, ds 2, ch. 301); Smith et al. (in review, ds 1, ch. 306); </w:t>
            </w:r>
            <w:r>
              <w:rPr>
                <w:i/>
                <w:sz w:val="20"/>
                <w:szCs w:val="20"/>
              </w:rPr>
              <w:t>Ősi et al. (in review, ds 1, ch. 346)</w:t>
            </w:r>
            <w:r>
              <w:rPr>
                <w:i/>
                <w:sz w:val="20"/>
                <w:szCs w:val="20"/>
                <w:lang w:eastAsia="en-US"/>
              </w:rPr>
              <w:t>.</w:t>
            </w:r>
          </w:p>
          <w:p w14:paraId="41B06FE9" w14:textId="77777777" w:rsidR="004E1607" w:rsidRDefault="004E1607" w:rsidP="004E1607">
            <w:pPr>
              <w:rPr>
                <w:i/>
                <w:sz w:val="20"/>
                <w:szCs w:val="20"/>
                <w:lang w:eastAsia="en-US"/>
              </w:rPr>
            </w:pPr>
            <w:r>
              <w:rPr>
                <w:i/>
                <w:sz w:val="20"/>
                <w:szCs w:val="20"/>
                <w:lang w:eastAsia="en-US"/>
              </w:rPr>
              <w:lastRenderedPageBreak/>
              <w:t>State (1) is a putative apomorphy of Metriorhynchidae.</w:t>
            </w:r>
          </w:p>
          <w:p w14:paraId="28C21B28" w14:textId="77777777" w:rsidR="004E1607" w:rsidRDefault="004E1607" w:rsidP="004E1607">
            <w:pPr>
              <w:rPr>
                <w:color w:val="000000"/>
                <w:sz w:val="20"/>
                <w:szCs w:val="20"/>
                <w:lang w:eastAsia="en-US"/>
              </w:rPr>
            </w:pPr>
            <w:r>
              <w:rPr>
                <w:color w:val="000000"/>
                <w:sz w:val="20"/>
                <w:szCs w:val="20"/>
                <w:lang w:eastAsia="en-US"/>
              </w:rPr>
              <w:t>0. posteriorly or horizontally</w:t>
            </w:r>
          </w:p>
          <w:p w14:paraId="39989B62" w14:textId="77777777" w:rsidR="004E1607" w:rsidRDefault="004E1607" w:rsidP="004E1607">
            <w:pPr>
              <w:rPr>
                <w:color w:val="000000"/>
                <w:sz w:val="20"/>
                <w:szCs w:val="20"/>
                <w:lang w:eastAsia="en-US"/>
              </w:rPr>
            </w:pPr>
            <w:r>
              <w:rPr>
                <w:color w:val="000000"/>
                <w:sz w:val="20"/>
                <w:szCs w:val="20"/>
                <w:lang w:eastAsia="en-US"/>
              </w:rPr>
              <w:t>1. anteriorly</w:t>
            </w:r>
          </w:p>
        </w:tc>
      </w:tr>
      <w:tr w:rsidR="004E1607" w14:paraId="5BDCB44B" w14:textId="77777777" w:rsidTr="004E1607">
        <w:tc>
          <w:tcPr>
            <w:tcW w:w="0" w:type="auto"/>
            <w:tcBorders>
              <w:top w:val="single" w:sz="4" w:space="0" w:color="auto"/>
              <w:left w:val="single" w:sz="4" w:space="0" w:color="auto"/>
              <w:bottom w:val="single" w:sz="4" w:space="0" w:color="auto"/>
              <w:right w:val="single" w:sz="4" w:space="0" w:color="auto"/>
            </w:tcBorders>
          </w:tcPr>
          <w:p w14:paraId="111FEAF6" w14:textId="15D958D5" w:rsidR="004E1607" w:rsidRDefault="009E2821" w:rsidP="004E1607">
            <w:pPr>
              <w:rPr>
                <w:color w:val="000000"/>
                <w:sz w:val="20"/>
                <w:szCs w:val="20"/>
                <w:lang w:eastAsia="en-US"/>
              </w:rPr>
            </w:pPr>
            <w:r>
              <w:rPr>
                <w:color w:val="000000"/>
                <w:sz w:val="20"/>
                <w:szCs w:val="20"/>
                <w:lang w:eastAsia="en-US"/>
              </w:rPr>
              <w:lastRenderedPageBreak/>
              <w:t>350</w:t>
            </w:r>
          </w:p>
        </w:tc>
        <w:tc>
          <w:tcPr>
            <w:tcW w:w="0" w:type="auto"/>
            <w:tcBorders>
              <w:top w:val="single" w:sz="4" w:space="0" w:color="auto"/>
              <w:left w:val="single" w:sz="4" w:space="0" w:color="auto"/>
              <w:bottom w:val="single" w:sz="4" w:space="0" w:color="auto"/>
              <w:right w:val="single" w:sz="4" w:space="0" w:color="auto"/>
            </w:tcBorders>
            <w:vAlign w:val="bottom"/>
            <w:hideMark/>
          </w:tcPr>
          <w:p w14:paraId="10859804" w14:textId="77777777" w:rsidR="004E1607" w:rsidRDefault="004E1607" w:rsidP="004E1607">
            <w:pPr>
              <w:rPr>
                <w:b/>
                <w:color w:val="000000"/>
                <w:sz w:val="20"/>
                <w:szCs w:val="20"/>
                <w:lang w:eastAsia="en-US"/>
              </w:rPr>
            </w:pPr>
            <w:r>
              <w:rPr>
                <w:b/>
                <w:color w:val="000000"/>
                <w:sz w:val="20"/>
                <w:szCs w:val="20"/>
                <w:lang w:eastAsia="en-US"/>
              </w:rPr>
              <w:t>Anterior thoracic vertebrae, parapophysis in relation to the diapophysis:</w:t>
            </w:r>
          </w:p>
          <w:p w14:paraId="70259137" w14:textId="02F90796" w:rsidR="004E1607" w:rsidRDefault="004E1607" w:rsidP="004E1607">
            <w:pPr>
              <w:autoSpaceDE w:val="0"/>
              <w:autoSpaceDN w:val="0"/>
              <w:adjustRightInd w:val="0"/>
              <w:rPr>
                <w:i/>
                <w:sz w:val="20"/>
                <w:szCs w:val="20"/>
                <w:lang w:eastAsia="en-US"/>
              </w:rPr>
            </w:pPr>
            <w:r>
              <w:rPr>
                <w:i/>
                <w:sz w:val="20"/>
                <w:szCs w:val="20"/>
                <w:lang w:eastAsia="en-US"/>
              </w:rPr>
              <w:t xml:space="preserve">Young et al. (2012, ch. 188); Young (2014, ch. 196); Young et al. (2016, ds 2, ch. 234); Ristevski et al. (2018, ds 2, ch. 302); Smith et al. (in review, ds 1, ch. 307); </w:t>
            </w:r>
            <w:r>
              <w:rPr>
                <w:i/>
                <w:sz w:val="20"/>
                <w:szCs w:val="20"/>
              </w:rPr>
              <w:t>Ősi et al. (in review, ds 1, ch. 347)</w:t>
            </w:r>
            <w:r>
              <w:rPr>
                <w:i/>
                <w:sz w:val="20"/>
                <w:szCs w:val="20"/>
                <w:lang w:eastAsia="en-US"/>
              </w:rPr>
              <w:t>.</w:t>
            </w:r>
          </w:p>
          <w:p w14:paraId="6C40DAEC" w14:textId="77777777" w:rsidR="004E1607" w:rsidRDefault="004E1607" w:rsidP="004E1607">
            <w:pPr>
              <w:rPr>
                <w:i/>
                <w:color w:val="000000"/>
                <w:sz w:val="20"/>
                <w:szCs w:val="20"/>
                <w:lang w:eastAsia="en-US"/>
              </w:rPr>
            </w:pPr>
            <w:r>
              <w:rPr>
                <w:i/>
                <w:color w:val="000000"/>
                <w:sz w:val="20"/>
                <w:szCs w:val="20"/>
                <w:lang w:eastAsia="en-US"/>
              </w:rPr>
              <w:t xml:space="preserve">Currently, there is not the information needed to score for most crocodylomorphs. </w:t>
            </w:r>
          </w:p>
          <w:p w14:paraId="0F1B77F7" w14:textId="77777777" w:rsidR="004E1607" w:rsidRDefault="004E1607" w:rsidP="004E1607">
            <w:pPr>
              <w:rPr>
                <w:i/>
                <w:color w:val="000000"/>
                <w:sz w:val="20"/>
                <w:szCs w:val="20"/>
                <w:lang w:eastAsia="en-US"/>
              </w:rPr>
            </w:pPr>
            <w:r>
              <w:rPr>
                <w:i/>
                <w:color w:val="000000"/>
                <w:sz w:val="20"/>
                <w:szCs w:val="20"/>
                <w:lang w:eastAsia="en-US"/>
              </w:rPr>
              <w:t xml:space="preserve">Within Thalattosuchia, </w:t>
            </w:r>
            <w:r>
              <w:rPr>
                <w:color w:val="000000"/>
                <w:sz w:val="20"/>
                <w:szCs w:val="20"/>
                <w:lang w:eastAsia="en-US"/>
              </w:rPr>
              <w:t>Steneosaurus edwardsi</w:t>
            </w:r>
            <w:r>
              <w:rPr>
                <w:i/>
                <w:color w:val="000000"/>
                <w:sz w:val="20"/>
                <w:szCs w:val="20"/>
                <w:lang w:eastAsia="en-US"/>
              </w:rPr>
              <w:t xml:space="preserve"> and </w:t>
            </w:r>
            <w:r>
              <w:rPr>
                <w:color w:val="000000"/>
                <w:sz w:val="20"/>
                <w:szCs w:val="20"/>
                <w:lang w:eastAsia="en-US"/>
              </w:rPr>
              <w:t>St. leedsi</w:t>
            </w:r>
            <w:r>
              <w:rPr>
                <w:i/>
                <w:color w:val="000000"/>
                <w:sz w:val="20"/>
                <w:szCs w:val="20"/>
                <w:lang w:eastAsia="en-US"/>
              </w:rPr>
              <w:t xml:space="preserve"> are state (0), and metriorhynchids score as state (1).</w:t>
            </w:r>
          </w:p>
          <w:p w14:paraId="2BD5E552" w14:textId="77777777" w:rsidR="004E1607" w:rsidRDefault="004E1607" w:rsidP="004E1607">
            <w:pPr>
              <w:rPr>
                <w:color w:val="000000"/>
                <w:sz w:val="20"/>
                <w:szCs w:val="20"/>
                <w:lang w:eastAsia="en-US"/>
              </w:rPr>
            </w:pPr>
            <w:r>
              <w:rPr>
                <w:color w:val="000000"/>
                <w:sz w:val="20"/>
                <w:szCs w:val="20"/>
                <w:lang w:eastAsia="en-US"/>
              </w:rPr>
              <w:t>0. parapophysis ventral to, or level with, diapophysis (when observed in lateral view)</w:t>
            </w:r>
          </w:p>
          <w:p w14:paraId="47CB432B" w14:textId="77777777" w:rsidR="004E1607" w:rsidRDefault="004E1607" w:rsidP="004E1607">
            <w:pPr>
              <w:rPr>
                <w:color w:val="000000"/>
                <w:sz w:val="20"/>
                <w:szCs w:val="20"/>
                <w:lang w:eastAsia="en-US"/>
              </w:rPr>
            </w:pPr>
            <w:r>
              <w:rPr>
                <w:color w:val="000000"/>
                <w:sz w:val="20"/>
                <w:szCs w:val="20"/>
                <w:lang w:eastAsia="en-US"/>
              </w:rPr>
              <w:t>1. parapophysis dorsal to diapophysis (when observed in lateral view)</w:t>
            </w:r>
          </w:p>
        </w:tc>
      </w:tr>
      <w:tr w:rsidR="004E1607" w14:paraId="677CA2B2" w14:textId="77777777" w:rsidTr="004E1607">
        <w:tc>
          <w:tcPr>
            <w:tcW w:w="0" w:type="auto"/>
            <w:tcBorders>
              <w:top w:val="single" w:sz="4" w:space="0" w:color="auto"/>
              <w:left w:val="single" w:sz="4" w:space="0" w:color="auto"/>
              <w:bottom w:val="single" w:sz="4" w:space="0" w:color="auto"/>
              <w:right w:val="single" w:sz="4" w:space="0" w:color="auto"/>
            </w:tcBorders>
          </w:tcPr>
          <w:p w14:paraId="3CFD7BC3" w14:textId="38E1C51A" w:rsidR="004E1607" w:rsidRDefault="009E2821" w:rsidP="004E1607">
            <w:pPr>
              <w:rPr>
                <w:color w:val="000000"/>
                <w:sz w:val="20"/>
                <w:szCs w:val="20"/>
                <w:lang w:eastAsia="en-US"/>
              </w:rPr>
            </w:pPr>
            <w:r>
              <w:rPr>
                <w:color w:val="000000"/>
                <w:sz w:val="20"/>
                <w:szCs w:val="20"/>
                <w:lang w:eastAsia="en-US"/>
              </w:rPr>
              <w:t>351</w:t>
            </w:r>
          </w:p>
        </w:tc>
        <w:tc>
          <w:tcPr>
            <w:tcW w:w="0" w:type="auto"/>
            <w:tcBorders>
              <w:top w:val="single" w:sz="4" w:space="0" w:color="auto"/>
              <w:left w:val="single" w:sz="4" w:space="0" w:color="auto"/>
              <w:bottom w:val="single" w:sz="4" w:space="0" w:color="auto"/>
              <w:right w:val="single" w:sz="4" w:space="0" w:color="auto"/>
            </w:tcBorders>
            <w:vAlign w:val="bottom"/>
            <w:hideMark/>
          </w:tcPr>
          <w:p w14:paraId="6381AB80" w14:textId="77777777" w:rsidR="004E1607" w:rsidRDefault="004E1607" w:rsidP="004E1607">
            <w:pPr>
              <w:rPr>
                <w:b/>
                <w:color w:val="000000"/>
                <w:sz w:val="20"/>
                <w:szCs w:val="20"/>
                <w:lang w:eastAsia="en-US"/>
              </w:rPr>
            </w:pPr>
            <w:r>
              <w:rPr>
                <w:b/>
                <w:color w:val="000000"/>
                <w:sz w:val="20"/>
                <w:szCs w:val="20"/>
                <w:lang w:eastAsia="en-US"/>
              </w:rPr>
              <w:t>Anterior thoracic vertebrae, neural spine height relative to centrum height:</w:t>
            </w:r>
          </w:p>
          <w:p w14:paraId="009D282B" w14:textId="032A04CD" w:rsidR="004E1607" w:rsidRDefault="004E1607" w:rsidP="004E1607">
            <w:pPr>
              <w:autoSpaceDE w:val="0"/>
              <w:autoSpaceDN w:val="0"/>
              <w:adjustRightInd w:val="0"/>
              <w:rPr>
                <w:i/>
                <w:sz w:val="20"/>
                <w:szCs w:val="20"/>
                <w:lang w:eastAsia="en-US"/>
              </w:rPr>
            </w:pPr>
            <w:r>
              <w:rPr>
                <w:i/>
                <w:sz w:val="20"/>
                <w:szCs w:val="20"/>
                <w:lang w:eastAsia="en-US"/>
              </w:rPr>
              <w:t xml:space="preserve">Young et al. (2012, ch. 189); Young (2014, ch. 197); Young et al. (2016, ds 2, ch. 235); Ristevski et al. (2018, ds 2, ch. 303); Smith et al. (in review, ds 1, ch. 308); </w:t>
            </w:r>
            <w:r>
              <w:rPr>
                <w:i/>
                <w:sz w:val="20"/>
                <w:szCs w:val="20"/>
              </w:rPr>
              <w:t>Ősi et al. (in review, ds 1, ch. 348)</w:t>
            </w:r>
            <w:r>
              <w:rPr>
                <w:i/>
                <w:sz w:val="20"/>
                <w:szCs w:val="20"/>
                <w:lang w:eastAsia="en-US"/>
              </w:rPr>
              <w:t>.</w:t>
            </w:r>
          </w:p>
          <w:p w14:paraId="281AA4DB" w14:textId="77777777" w:rsidR="004E1607" w:rsidRDefault="004E1607" w:rsidP="004E1607">
            <w:pPr>
              <w:rPr>
                <w:i/>
                <w:color w:val="000000"/>
                <w:sz w:val="20"/>
                <w:szCs w:val="20"/>
                <w:lang w:eastAsia="en-US"/>
              </w:rPr>
            </w:pPr>
            <w:r>
              <w:rPr>
                <w:i/>
                <w:color w:val="000000"/>
                <w:sz w:val="20"/>
                <w:szCs w:val="20"/>
                <w:lang w:eastAsia="en-US"/>
              </w:rPr>
              <w:t xml:space="preserve">Currently, there is not the needed information to score for most crocodylomorphs. </w:t>
            </w:r>
          </w:p>
          <w:p w14:paraId="213337FC" w14:textId="77777777" w:rsidR="004E1607" w:rsidRDefault="004E1607" w:rsidP="004E1607">
            <w:pPr>
              <w:rPr>
                <w:i/>
                <w:color w:val="000000"/>
                <w:sz w:val="20"/>
                <w:szCs w:val="20"/>
                <w:lang w:eastAsia="en-US"/>
              </w:rPr>
            </w:pPr>
            <w:r>
              <w:rPr>
                <w:i/>
                <w:color w:val="000000"/>
                <w:sz w:val="20"/>
                <w:szCs w:val="20"/>
                <w:lang w:eastAsia="en-US"/>
              </w:rPr>
              <w:t xml:space="preserve">Within Thalattosuchia, </w:t>
            </w:r>
            <w:r>
              <w:rPr>
                <w:color w:val="000000"/>
                <w:sz w:val="20"/>
                <w:szCs w:val="20"/>
                <w:lang w:eastAsia="en-US"/>
              </w:rPr>
              <w:t xml:space="preserve">Machimosaurus mosae </w:t>
            </w:r>
            <w:r>
              <w:rPr>
                <w:i/>
                <w:color w:val="000000"/>
                <w:sz w:val="20"/>
                <w:szCs w:val="20"/>
                <w:lang w:eastAsia="en-US"/>
              </w:rPr>
              <w:t>and</w:t>
            </w:r>
            <w:r>
              <w:rPr>
                <w:color w:val="000000"/>
                <w:sz w:val="20"/>
                <w:szCs w:val="20"/>
                <w:lang w:eastAsia="en-US"/>
              </w:rPr>
              <w:t xml:space="preserve"> Steneosaurus edwardsi</w:t>
            </w:r>
            <w:r>
              <w:rPr>
                <w:i/>
                <w:color w:val="000000"/>
                <w:sz w:val="20"/>
                <w:szCs w:val="20"/>
                <w:lang w:eastAsia="en-US"/>
              </w:rPr>
              <w:t xml:space="preserve"> are state (0), and </w:t>
            </w:r>
            <w:r>
              <w:rPr>
                <w:color w:val="000000"/>
                <w:sz w:val="20"/>
                <w:szCs w:val="20"/>
                <w:lang w:eastAsia="en-US"/>
              </w:rPr>
              <w:t>St. leedsi</w:t>
            </w:r>
            <w:r>
              <w:rPr>
                <w:i/>
                <w:color w:val="000000"/>
                <w:sz w:val="20"/>
                <w:szCs w:val="20"/>
                <w:lang w:eastAsia="en-US"/>
              </w:rPr>
              <w:t xml:space="preserve"> and metriorhynchids score as state (1).</w:t>
            </w:r>
          </w:p>
          <w:p w14:paraId="44F77608" w14:textId="77777777" w:rsidR="004E1607" w:rsidRDefault="004E1607" w:rsidP="004E1607">
            <w:pPr>
              <w:rPr>
                <w:color w:val="000000"/>
                <w:sz w:val="20"/>
                <w:szCs w:val="20"/>
                <w:lang w:eastAsia="en-US"/>
              </w:rPr>
            </w:pPr>
            <w:r>
              <w:rPr>
                <w:color w:val="000000"/>
                <w:sz w:val="20"/>
                <w:szCs w:val="20"/>
                <w:lang w:eastAsia="en-US"/>
              </w:rPr>
              <w:t>0. neural spine and centrum heights are approximately equal</w:t>
            </w:r>
          </w:p>
          <w:p w14:paraId="6477EAEE" w14:textId="77777777" w:rsidR="004E1607" w:rsidRDefault="004E1607" w:rsidP="004E1607">
            <w:pPr>
              <w:rPr>
                <w:b/>
                <w:color w:val="000000"/>
                <w:sz w:val="20"/>
                <w:szCs w:val="20"/>
                <w:lang w:eastAsia="en-US"/>
              </w:rPr>
            </w:pPr>
            <w:r>
              <w:rPr>
                <w:color w:val="000000"/>
                <w:sz w:val="20"/>
                <w:szCs w:val="20"/>
                <w:lang w:eastAsia="en-US"/>
              </w:rPr>
              <w:t>1. neural spine height is less than centrum height</w:t>
            </w:r>
          </w:p>
        </w:tc>
      </w:tr>
      <w:tr w:rsidR="004E1607" w14:paraId="4F02FCE6" w14:textId="77777777" w:rsidTr="004E1607">
        <w:tc>
          <w:tcPr>
            <w:tcW w:w="0" w:type="auto"/>
            <w:tcBorders>
              <w:top w:val="single" w:sz="4" w:space="0" w:color="auto"/>
              <w:left w:val="single" w:sz="4" w:space="0" w:color="auto"/>
              <w:bottom w:val="single" w:sz="4" w:space="0" w:color="auto"/>
              <w:right w:val="single" w:sz="4" w:space="0" w:color="auto"/>
            </w:tcBorders>
          </w:tcPr>
          <w:p w14:paraId="337A78A2" w14:textId="22ABCA5F" w:rsidR="004E1607" w:rsidRDefault="009E2821" w:rsidP="004E1607">
            <w:pPr>
              <w:rPr>
                <w:color w:val="000000"/>
                <w:sz w:val="20"/>
                <w:szCs w:val="20"/>
                <w:lang w:eastAsia="en-US"/>
              </w:rPr>
            </w:pPr>
            <w:r>
              <w:rPr>
                <w:color w:val="000000"/>
                <w:sz w:val="20"/>
                <w:szCs w:val="20"/>
                <w:lang w:eastAsia="en-US"/>
              </w:rPr>
              <w:t>352</w:t>
            </w:r>
          </w:p>
        </w:tc>
        <w:tc>
          <w:tcPr>
            <w:tcW w:w="0" w:type="auto"/>
            <w:tcBorders>
              <w:top w:val="single" w:sz="4" w:space="0" w:color="auto"/>
              <w:left w:val="single" w:sz="4" w:space="0" w:color="auto"/>
              <w:bottom w:val="single" w:sz="4" w:space="0" w:color="auto"/>
              <w:right w:val="single" w:sz="4" w:space="0" w:color="auto"/>
            </w:tcBorders>
            <w:hideMark/>
          </w:tcPr>
          <w:p w14:paraId="7C729CE4" w14:textId="77777777" w:rsidR="004E1607" w:rsidRDefault="004E1607" w:rsidP="004E1607">
            <w:pPr>
              <w:rPr>
                <w:b/>
                <w:sz w:val="20"/>
                <w:szCs w:val="20"/>
                <w:lang w:eastAsia="en-US"/>
              </w:rPr>
            </w:pPr>
            <w:r>
              <w:rPr>
                <w:b/>
                <w:sz w:val="20"/>
                <w:szCs w:val="20"/>
                <w:lang w:eastAsia="en-US"/>
              </w:rPr>
              <w:t>Sacral vertebra, number (= sacralisation of the first caudal vertebra):</w:t>
            </w:r>
          </w:p>
          <w:p w14:paraId="53F9BFF4" w14:textId="30F85635" w:rsidR="004E1607" w:rsidRDefault="004E1607" w:rsidP="004E1607">
            <w:pPr>
              <w:rPr>
                <w:b/>
                <w:sz w:val="20"/>
                <w:szCs w:val="20"/>
                <w:lang w:eastAsia="en-US"/>
              </w:rPr>
            </w:pPr>
            <w:r>
              <w:rPr>
                <w:bCs/>
                <w:i/>
                <w:sz w:val="20"/>
                <w:szCs w:val="20"/>
                <w:lang w:eastAsia="en-US"/>
              </w:rPr>
              <w:t>Buscalioni &amp; Sanz (1988, ch. 44 modified); Pol &amp; Apesteguia (2005, ch. 115 modified);</w:t>
            </w:r>
            <w:r>
              <w:rPr>
                <w:b/>
                <w:bCs/>
                <w:sz w:val="20"/>
                <w:szCs w:val="20"/>
                <w:lang w:eastAsia="en-US"/>
              </w:rPr>
              <w:t xml:space="preserve"> </w:t>
            </w:r>
            <w:r>
              <w:rPr>
                <w:i/>
                <w:color w:val="000000"/>
                <w:sz w:val="20"/>
                <w:szCs w:val="20"/>
                <w:lang w:eastAsia="en-US"/>
              </w:rPr>
              <w:t xml:space="preserve">Andrade et al. (2011, ch. 432); </w:t>
            </w:r>
            <w:r>
              <w:rPr>
                <w:i/>
                <w:sz w:val="20"/>
                <w:szCs w:val="20"/>
                <w:lang w:eastAsia="en-US"/>
              </w:rPr>
              <w:t xml:space="preserve">Ristevski et al. (2018, ds 2, ch. 304); Smith et al. (in review, ds 1, ch. 309); </w:t>
            </w:r>
            <w:r>
              <w:rPr>
                <w:i/>
                <w:sz w:val="20"/>
                <w:szCs w:val="20"/>
              </w:rPr>
              <w:t>Ősi et al. (in review, ds 1, ch. 349)</w:t>
            </w:r>
            <w:r>
              <w:rPr>
                <w:i/>
                <w:color w:val="000000"/>
                <w:sz w:val="20"/>
                <w:szCs w:val="20"/>
                <w:lang w:eastAsia="en-US"/>
              </w:rPr>
              <w:t>.</w:t>
            </w:r>
          </w:p>
          <w:p w14:paraId="2F45C77D" w14:textId="420FE9A0" w:rsidR="004E1607" w:rsidRDefault="004E1607" w:rsidP="004E1607">
            <w:pPr>
              <w:autoSpaceDE w:val="0"/>
              <w:autoSpaceDN w:val="0"/>
              <w:adjustRightInd w:val="0"/>
              <w:rPr>
                <w:i/>
                <w:iCs/>
                <w:sz w:val="20"/>
                <w:szCs w:val="20"/>
                <w:lang w:eastAsia="en-US"/>
              </w:rPr>
            </w:pPr>
            <w:r>
              <w:rPr>
                <w:i/>
                <w:iCs/>
                <w:sz w:val="20"/>
                <w:szCs w:val="20"/>
                <w:lang w:eastAsia="en-US"/>
              </w:rPr>
              <w:t xml:space="preserve">The number of sacral vertebrae can be increased by the addition of last dorsal/lumbar or the first caudal, which constitute two divergent conditions, both leading to the total number of three sacral vertebrae (R. M. Santucci, pers. comm. 2004). Andrade et al. (2011) modified this character from the original to reflect this problem, although only the latter condition (addition of first caudal) has been reported so far (see for example, description in Pol 2005: p. 7-8). Note that the fusion of sacrals observed in </w:t>
            </w:r>
            <w:r>
              <w:rPr>
                <w:sz w:val="20"/>
                <w:szCs w:val="20"/>
                <w:lang w:eastAsia="en-US"/>
              </w:rPr>
              <w:t xml:space="preserve">Alligatorellus </w:t>
            </w:r>
            <w:r>
              <w:rPr>
                <w:i/>
                <w:iCs/>
                <w:sz w:val="20"/>
                <w:szCs w:val="20"/>
                <w:lang w:eastAsia="en-US"/>
              </w:rPr>
              <w:t xml:space="preserve">and </w:t>
            </w:r>
            <w:r>
              <w:rPr>
                <w:sz w:val="20"/>
                <w:szCs w:val="20"/>
                <w:lang w:eastAsia="en-US"/>
              </w:rPr>
              <w:t xml:space="preserve">Montsecosuchus </w:t>
            </w:r>
            <w:r>
              <w:rPr>
                <w:i/>
                <w:iCs/>
                <w:sz w:val="20"/>
                <w:szCs w:val="20"/>
                <w:lang w:eastAsia="en-US"/>
              </w:rPr>
              <w:t xml:space="preserve">(1st+2nd sacrals) is not homologous to the one reported by Pol (2005) for </w:t>
            </w:r>
            <w:r>
              <w:rPr>
                <w:sz w:val="20"/>
                <w:szCs w:val="20"/>
                <w:lang w:eastAsia="en-US"/>
              </w:rPr>
              <w:t xml:space="preserve">Notosuchus </w:t>
            </w:r>
            <w:r>
              <w:rPr>
                <w:i/>
                <w:iCs/>
                <w:sz w:val="20"/>
                <w:szCs w:val="20"/>
                <w:lang w:eastAsia="en-US"/>
              </w:rPr>
              <w:t>(2nd sacral+1st caudal).</w:t>
            </w:r>
          </w:p>
          <w:p w14:paraId="2302C3B4" w14:textId="77777777" w:rsidR="004E1607" w:rsidRDefault="004E1607" w:rsidP="004E1607">
            <w:pPr>
              <w:rPr>
                <w:i/>
                <w:sz w:val="20"/>
                <w:szCs w:val="20"/>
                <w:lang w:eastAsia="en-US"/>
              </w:rPr>
            </w:pPr>
            <w:r>
              <w:rPr>
                <w:i/>
                <w:sz w:val="20"/>
                <w:szCs w:val="20"/>
                <w:lang w:eastAsia="en-US"/>
              </w:rPr>
              <w:t>This character scores for a similar character as: Nesbitt (2011, ch. 207); Young et al. (2013a, ch. 159); Young et al. (2012, ch. 190); Young (2014, ch. 198); Young et al. (2016, ds 2, ch. 236). However, those characters referred to an “insertion” of a sacral vertebra between the first and second primordial sacral vertebrae.</w:t>
            </w:r>
          </w:p>
          <w:p w14:paraId="3C1A9A32" w14:textId="77777777" w:rsidR="004E1607" w:rsidRDefault="004E1607" w:rsidP="004E1607">
            <w:pPr>
              <w:rPr>
                <w:i/>
                <w:sz w:val="20"/>
                <w:szCs w:val="20"/>
                <w:lang w:eastAsia="en-US"/>
              </w:rPr>
            </w:pPr>
            <w:r>
              <w:rPr>
                <w:i/>
                <w:sz w:val="20"/>
                <w:szCs w:val="20"/>
                <w:lang w:eastAsia="en-US"/>
              </w:rPr>
              <w:t xml:space="preserve">This character scores for the “third” sacral found in certain taxa (e.g. </w:t>
            </w:r>
            <w:r>
              <w:rPr>
                <w:sz w:val="20"/>
                <w:szCs w:val="20"/>
                <w:lang w:eastAsia="en-US"/>
              </w:rPr>
              <w:t xml:space="preserve">Machimosaurus, Notosuchus, Mariliasuchus </w:t>
            </w:r>
            <w:r>
              <w:rPr>
                <w:i/>
                <w:sz w:val="20"/>
                <w:szCs w:val="20"/>
                <w:lang w:eastAsia="en-US"/>
              </w:rPr>
              <w:t>and</w:t>
            </w:r>
            <w:r>
              <w:rPr>
                <w:sz w:val="20"/>
                <w:szCs w:val="20"/>
                <w:lang w:eastAsia="en-US"/>
              </w:rPr>
              <w:t xml:space="preserve"> Baurusuchus</w:t>
            </w:r>
            <w:r>
              <w:rPr>
                <w:i/>
                <w:sz w:val="20"/>
                <w:szCs w:val="20"/>
                <w:lang w:eastAsia="en-US"/>
              </w:rPr>
              <w:t>).</w:t>
            </w:r>
          </w:p>
          <w:p w14:paraId="639A46C8" w14:textId="77777777" w:rsidR="004E1607" w:rsidRDefault="004E1607" w:rsidP="004E1607">
            <w:pPr>
              <w:rPr>
                <w:i/>
                <w:sz w:val="20"/>
                <w:szCs w:val="20"/>
                <w:lang w:eastAsia="en-US"/>
              </w:rPr>
            </w:pPr>
            <w:r>
              <w:rPr>
                <w:i/>
                <w:sz w:val="20"/>
                <w:szCs w:val="20"/>
                <w:lang w:eastAsia="en-US"/>
              </w:rPr>
              <w:t>Within Thalattosuchia, evidence for three sacral vertebrae is found in Machimosaurini (</w:t>
            </w:r>
            <w:r>
              <w:rPr>
                <w:sz w:val="20"/>
                <w:szCs w:val="20"/>
                <w:lang w:eastAsia="en-US"/>
              </w:rPr>
              <w:t xml:space="preserve">Lemmysuchus </w:t>
            </w:r>
            <w:r>
              <w:rPr>
                <w:i/>
                <w:sz w:val="20"/>
                <w:szCs w:val="20"/>
                <w:lang w:eastAsia="en-US"/>
              </w:rPr>
              <w:t xml:space="preserve">and </w:t>
            </w:r>
            <w:r>
              <w:rPr>
                <w:sz w:val="20"/>
                <w:szCs w:val="20"/>
                <w:lang w:eastAsia="en-US"/>
              </w:rPr>
              <w:t>Machimosaurus</w:t>
            </w:r>
            <w:r>
              <w:rPr>
                <w:i/>
                <w:sz w:val="20"/>
                <w:szCs w:val="20"/>
                <w:lang w:eastAsia="en-US"/>
              </w:rPr>
              <w:t>).</w:t>
            </w:r>
          </w:p>
          <w:p w14:paraId="309A3F99" w14:textId="778265B4" w:rsidR="004E1607" w:rsidRDefault="004E1607" w:rsidP="004E1607">
            <w:pPr>
              <w:rPr>
                <w:sz w:val="20"/>
                <w:szCs w:val="20"/>
                <w:lang w:eastAsia="en-US"/>
              </w:rPr>
            </w:pPr>
            <w:r>
              <w:rPr>
                <w:sz w:val="20"/>
                <w:szCs w:val="20"/>
                <w:lang w:eastAsia="en-US"/>
              </w:rPr>
              <w:t>0. two</w:t>
            </w:r>
          </w:p>
          <w:p w14:paraId="28869B5D" w14:textId="77777777" w:rsidR="004E1607" w:rsidRDefault="004E1607" w:rsidP="004E1607">
            <w:pPr>
              <w:rPr>
                <w:sz w:val="20"/>
                <w:szCs w:val="20"/>
                <w:lang w:eastAsia="en-US"/>
              </w:rPr>
            </w:pPr>
            <w:r>
              <w:rPr>
                <w:sz w:val="20"/>
                <w:szCs w:val="20"/>
                <w:lang w:eastAsia="en-US"/>
              </w:rPr>
              <w:t>1. three, with the third being the first caudal vertebra</w:t>
            </w:r>
          </w:p>
        </w:tc>
      </w:tr>
      <w:tr w:rsidR="004E1607" w14:paraId="752036DA" w14:textId="77777777" w:rsidTr="004E1607">
        <w:tc>
          <w:tcPr>
            <w:tcW w:w="0" w:type="auto"/>
            <w:tcBorders>
              <w:top w:val="single" w:sz="4" w:space="0" w:color="auto"/>
              <w:left w:val="single" w:sz="4" w:space="0" w:color="auto"/>
              <w:bottom w:val="single" w:sz="4" w:space="0" w:color="auto"/>
              <w:right w:val="single" w:sz="4" w:space="0" w:color="auto"/>
            </w:tcBorders>
          </w:tcPr>
          <w:p w14:paraId="40ACF3A6" w14:textId="27617C6C" w:rsidR="004E1607" w:rsidRDefault="009E2821" w:rsidP="004E1607">
            <w:pPr>
              <w:rPr>
                <w:color w:val="000000"/>
                <w:sz w:val="20"/>
                <w:szCs w:val="20"/>
                <w:lang w:eastAsia="en-US"/>
              </w:rPr>
            </w:pPr>
            <w:r>
              <w:rPr>
                <w:color w:val="000000"/>
                <w:sz w:val="20"/>
                <w:szCs w:val="20"/>
                <w:lang w:eastAsia="en-US"/>
              </w:rPr>
              <w:t>353</w:t>
            </w:r>
          </w:p>
        </w:tc>
        <w:tc>
          <w:tcPr>
            <w:tcW w:w="0" w:type="auto"/>
            <w:tcBorders>
              <w:top w:val="single" w:sz="4" w:space="0" w:color="auto"/>
              <w:left w:val="single" w:sz="4" w:space="0" w:color="auto"/>
              <w:bottom w:val="single" w:sz="4" w:space="0" w:color="auto"/>
              <w:right w:val="single" w:sz="4" w:space="0" w:color="auto"/>
            </w:tcBorders>
            <w:hideMark/>
          </w:tcPr>
          <w:p w14:paraId="460BF6F4" w14:textId="77777777" w:rsidR="004E1607" w:rsidRDefault="004E1607" w:rsidP="004E1607">
            <w:pPr>
              <w:rPr>
                <w:b/>
                <w:sz w:val="20"/>
                <w:szCs w:val="20"/>
                <w:lang w:eastAsia="en-US"/>
              </w:rPr>
            </w:pPr>
            <w:r>
              <w:rPr>
                <w:b/>
                <w:sz w:val="20"/>
                <w:szCs w:val="20"/>
                <w:lang w:eastAsia="en-US"/>
              </w:rPr>
              <w:t>Sacral vertebrae, shape of centra posterior face:</w:t>
            </w:r>
          </w:p>
          <w:p w14:paraId="540DCBB3" w14:textId="45103676" w:rsidR="004E1607" w:rsidRDefault="004E1607" w:rsidP="004E1607">
            <w:pPr>
              <w:rPr>
                <w:i/>
                <w:color w:val="000000"/>
                <w:sz w:val="20"/>
                <w:szCs w:val="20"/>
                <w:lang w:eastAsia="en-US"/>
              </w:rPr>
            </w:pPr>
            <w:r>
              <w:rPr>
                <w:i/>
                <w:sz w:val="20"/>
                <w:szCs w:val="20"/>
                <w:lang w:eastAsia="en-US"/>
              </w:rPr>
              <w:t xml:space="preserve">Young (2014, ch. 199); Young et al. (2016, ds 2, ch. 237); Ristevski et al. (2018, ds 2, ch. 305); Smith et al. (in review, ds 1, ch. 310); </w:t>
            </w:r>
            <w:r>
              <w:rPr>
                <w:i/>
                <w:sz w:val="20"/>
                <w:szCs w:val="20"/>
              </w:rPr>
              <w:t>Ősi et al. (in review, ds 1, ch. 350)</w:t>
            </w:r>
            <w:r>
              <w:rPr>
                <w:i/>
                <w:sz w:val="20"/>
                <w:szCs w:val="20"/>
                <w:lang w:eastAsia="en-US"/>
              </w:rPr>
              <w:t>.</w:t>
            </w:r>
          </w:p>
          <w:p w14:paraId="304C82CC" w14:textId="77777777" w:rsidR="004E1607" w:rsidRDefault="004E1607" w:rsidP="004E1607">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Pelagosaurus</w:t>
            </w:r>
            <w:r>
              <w:rPr>
                <w:i/>
                <w:color w:val="000000"/>
                <w:sz w:val="20"/>
                <w:szCs w:val="20"/>
                <w:lang w:eastAsia="en-US"/>
              </w:rPr>
              <w:t xml:space="preserve"> + Metriorhynchidae. </w:t>
            </w:r>
          </w:p>
          <w:p w14:paraId="02428DC0" w14:textId="77777777" w:rsidR="004E1607" w:rsidRDefault="004E1607" w:rsidP="004E1607">
            <w:pPr>
              <w:rPr>
                <w:i/>
                <w:color w:val="000000"/>
                <w:sz w:val="20"/>
                <w:szCs w:val="20"/>
                <w:lang w:eastAsia="en-US"/>
              </w:rPr>
            </w:pPr>
            <w:r>
              <w:rPr>
                <w:i/>
                <w:color w:val="000000"/>
                <w:sz w:val="20"/>
                <w:szCs w:val="20"/>
                <w:lang w:eastAsia="en-US"/>
              </w:rPr>
              <w:t>Note that this character has a wider distribution than Young (2014) and Young et al. (2016, ds 2) thought (i.e. not restricted to Geosaurini).</w:t>
            </w:r>
          </w:p>
          <w:p w14:paraId="4E44B6B9" w14:textId="77777777" w:rsidR="004E1607" w:rsidRDefault="004E1607" w:rsidP="004E1607">
            <w:pPr>
              <w:rPr>
                <w:sz w:val="20"/>
                <w:szCs w:val="20"/>
                <w:lang w:eastAsia="en-US"/>
              </w:rPr>
            </w:pPr>
            <w:r>
              <w:rPr>
                <w:sz w:val="20"/>
                <w:szCs w:val="20"/>
                <w:lang w:eastAsia="en-US"/>
              </w:rPr>
              <w:t>0. circular to sub-circular, with- or without an equatorial bulge</w:t>
            </w:r>
          </w:p>
          <w:p w14:paraId="3D22A4FC" w14:textId="77777777" w:rsidR="004E1607" w:rsidRDefault="004E1607" w:rsidP="004E1607">
            <w:pPr>
              <w:rPr>
                <w:b/>
                <w:sz w:val="20"/>
                <w:szCs w:val="20"/>
                <w:lang w:eastAsia="en-US"/>
              </w:rPr>
            </w:pPr>
            <w:r>
              <w:rPr>
                <w:sz w:val="20"/>
                <w:szCs w:val="20"/>
                <w:lang w:eastAsia="en-US"/>
              </w:rPr>
              <w:t>1. distinctly oval, transverse width noticeably greater than dorsoventral height</w:t>
            </w:r>
          </w:p>
        </w:tc>
      </w:tr>
      <w:tr w:rsidR="004E1607" w14:paraId="307ED5AC" w14:textId="77777777" w:rsidTr="004E1607">
        <w:tc>
          <w:tcPr>
            <w:tcW w:w="0" w:type="auto"/>
            <w:tcBorders>
              <w:top w:val="single" w:sz="4" w:space="0" w:color="auto"/>
              <w:left w:val="single" w:sz="4" w:space="0" w:color="auto"/>
              <w:bottom w:val="single" w:sz="4" w:space="0" w:color="auto"/>
              <w:right w:val="single" w:sz="4" w:space="0" w:color="auto"/>
            </w:tcBorders>
          </w:tcPr>
          <w:p w14:paraId="6FE54B31" w14:textId="49A08D32" w:rsidR="004E1607" w:rsidRDefault="009E2821" w:rsidP="004E1607">
            <w:pPr>
              <w:rPr>
                <w:color w:val="000000"/>
                <w:sz w:val="20"/>
                <w:szCs w:val="20"/>
                <w:lang w:eastAsia="en-US"/>
              </w:rPr>
            </w:pPr>
            <w:r>
              <w:rPr>
                <w:color w:val="000000"/>
                <w:sz w:val="20"/>
                <w:szCs w:val="20"/>
                <w:lang w:eastAsia="en-US"/>
              </w:rPr>
              <w:t>354</w:t>
            </w:r>
          </w:p>
        </w:tc>
        <w:tc>
          <w:tcPr>
            <w:tcW w:w="0" w:type="auto"/>
            <w:tcBorders>
              <w:top w:val="single" w:sz="4" w:space="0" w:color="auto"/>
              <w:left w:val="single" w:sz="4" w:space="0" w:color="auto"/>
              <w:bottom w:val="single" w:sz="4" w:space="0" w:color="auto"/>
              <w:right w:val="single" w:sz="4" w:space="0" w:color="auto"/>
            </w:tcBorders>
            <w:hideMark/>
          </w:tcPr>
          <w:p w14:paraId="4A829CB3" w14:textId="77777777" w:rsidR="004E1607" w:rsidRDefault="004E1607" w:rsidP="004E1607">
            <w:pPr>
              <w:rPr>
                <w:b/>
                <w:color w:val="000000"/>
                <w:sz w:val="20"/>
                <w:szCs w:val="20"/>
                <w:lang w:eastAsia="en-US"/>
              </w:rPr>
            </w:pPr>
            <w:r>
              <w:rPr>
                <w:b/>
                <w:color w:val="000000"/>
                <w:sz w:val="20"/>
                <w:szCs w:val="20"/>
                <w:lang w:eastAsia="en-US"/>
              </w:rPr>
              <w:t>Caudal vertebra, shape of caudal vertebra 1:</w:t>
            </w:r>
            <w:r>
              <w:rPr>
                <w:sz w:val="20"/>
                <w:szCs w:val="20"/>
                <w:lang w:eastAsia="en-US"/>
              </w:rPr>
              <w:t xml:space="preserve"> </w:t>
            </w:r>
          </w:p>
          <w:p w14:paraId="0FC24949" w14:textId="100F4728" w:rsidR="004E1607" w:rsidRDefault="004E1607" w:rsidP="004E1607">
            <w:pPr>
              <w:rPr>
                <w:i/>
                <w:sz w:val="20"/>
                <w:szCs w:val="20"/>
                <w:lang w:eastAsia="en-US"/>
              </w:rPr>
            </w:pPr>
            <w:r>
              <w:rPr>
                <w:i/>
                <w:sz w:val="20"/>
                <w:szCs w:val="20"/>
                <w:lang w:eastAsia="en-US"/>
              </w:rPr>
              <w:t xml:space="preserve">Ristevski et al. (2018, ds 2, ch. 306); Smith et al. (in review, ds 1, ch. 311); </w:t>
            </w:r>
            <w:r>
              <w:rPr>
                <w:i/>
                <w:sz w:val="20"/>
                <w:szCs w:val="20"/>
              </w:rPr>
              <w:t>Ősi et al. (in review, ds 1, ch. 351)</w:t>
            </w:r>
            <w:r>
              <w:rPr>
                <w:i/>
                <w:sz w:val="20"/>
                <w:szCs w:val="20"/>
                <w:lang w:eastAsia="en-US"/>
              </w:rPr>
              <w:t>.</w:t>
            </w:r>
          </w:p>
          <w:p w14:paraId="2B822939" w14:textId="77777777" w:rsidR="004E1607" w:rsidRDefault="004E1607" w:rsidP="004E1607">
            <w:pPr>
              <w:rPr>
                <w:i/>
                <w:sz w:val="20"/>
                <w:szCs w:val="20"/>
                <w:lang w:eastAsia="en-US"/>
              </w:rPr>
            </w:pPr>
            <w:r>
              <w:rPr>
                <w:i/>
                <w:sz w:val="20"/>
                <w:szCs w:val="20"/>
                <w:lang w:eastAsia="en-US"/>
              </w:rPr>
              <w:t>Character based on Clark (1994, ch. 94).</w:t>
            </w:r>
          </w:p>
          <w:p w14:paraId="3B742FEC" w14:textId="77777777" w:rsidR="004E1607" w:rsidRDefault="004E1607" w:rsidP="004E1607">
            <w:pPr>
              <w:rPr>
                <w:i/>
                <w:sz w:val="20"/>
                <w:szCs w:val="20"/>
                <w:lang w:eastAsia="en-US"/>
              </w:rPr>
            </w:pPr>
            <w:r>
              <w:rPr>
                <w:i/>
                <w:sz w:val="20"/>
                <w:szCs w:val="20"/>
                <w:lang w:eastAsia="en-US"/>
              </w:rPr>
              <w:t xml:space="preserve">State (1) occurs in </w:t>
            </w:r>
            <w:r>
              <w:rPr>
                <w:sz w:val="20"/>
                <w:szCs w:val="20"/>
                <w:lang w:eastAsia="en-US"/>
              </w:rPr>
              <w:t xml:space="preserve">Theriosuchus, </w:t>
            </w:r>
            <w:r>
              <w:rPr>
                <w:i/>
                <w:sz w:val="20"/>
                <w:szCs w:val="20"/>
                <w:lang w:eastAsia="en-US"/>
              </w:rPr>
              <w:t>bernissartids and eusuchians.</w:t>
            </w:r>
          </w:p>
          <w:p w14:paraId="735F3DC2" w14:textId="77777777" w:rsidR="004E1607" w:rsidRDefault="004E1607" w:rsidP="004E1607">
            <w:pPr>
              <w:rPr>
                <w:sz w:val="20"/>
                <w:szCs w:val="20"/>
                <w:lang w:eastAsia="en-US"/>
              </w:rPr>
            </w:pPr>
            <w:r>
              <w:rPr>
                <w:sz w:val="20"/>
                <w:szCs w:val="20"/>
                <w:lang w:eastAsia="en-US"/>
              </w:rPr>
              <w:t>0. amphicoelous or amphyplatian</w:t>
            </w:r>
          </w:p>
          <w:p w14:paraId="27D13131" w14:textId="77777777" w:rsidR="004E1607" w:rsidRDefault="004E1607" w:rsidP="004E1607">
            <w:pPr>
              <w:rPr>
                <w:sz w:val="20"/>
                <w:szCs w:val="20"/>
                <w:lang w:eastAsia="en-US"/>
              </w:rPr>
            </w:pPr>
            <w:r>
              <w:rPr>
                <w:sz w:val="20"/>
                <w:szCs w:val="20"/>
                <w:lang w:eastAsia="en-US"/>
              </w:rPr>
              <w:t>1. biconvex</w:t>
            </w:r>
          </w:p>
          <w:p w14:paraId="1F58E611" w14:textId="77777777" w:rsidR="004E1607" w:rsidRDefault="004E1607" w:rsidP="004E1607">
            <w:pPr>
              <w:rPr>
                <w:sz w:val="20"/>
                <w:szCs w:val="20"/>
                <w:lang w:eastAsia="en-US"/>
              </w:rPr>
            </w:pPr>
            <w:r>
              <w:rPr>
                <w:sz w:val="20"/>
                <w:szCs w:val="20"/>
                <w:lang w:eastAsia="en-US"/>
              </w:rPr>
              <w:t>2. procoelous</w:t>
            </w:r>
          </w:p>
        </w:tc>
      </w:tr>
      <w:tr w:rsidR="004E1607" w14:paraId="52320ED2" w14:textId="77777777" w:rsidTr="004E1607">
        <w:tc>
          <w:tcPr>
            <w:tcW w:w="0" w:type="auto"/>
            <w:tcBorders>
              <w:top w:val="single" w:sz="4" w:space="0" w:color="auto"/>
              <w:left w:val="single" w:sz="4" w:space="0" w:color="auto"/>
              <w:bottom w:val="single" w:sz="4" w:space="0" w:color="auto"/>
              <w:right w:val="single" w:sz="4" w:space="0" w:color="auto"/>
            </w:tcBorders>
          </w:tcPr>
          <w:p w14:paraId="0CD7E381" w14:textId="6EBBF1A3" w:rsidR="004E1607" w:rsidRDefault="009E2821" w:rsidP="004E1607">
            <w:pPr>
              <w:rPr>
                <w:color w:val="000000"/>
                <w:sz w:val="20"/>
                <w:szCs w:val="20"/>
                <w:lang w:eastAsia="en-US"/>
              </w:rPr>
            </w:pPr>
            <w:r>
              <w:rPr>
                <w:color w:val="000000"/>
                <w:sz w:val="20"/>
                <w:szCs w:val="20"/>
                <w:lang w:eastAsia="en-US"/>
              </w:rPr>
              <w:t>355</w:t>
            </w:r>
          </w:p>
        </w:tc>
        <w:tc>
          <w:tcPr>
            <w:tcW w:w="0" w:type="auto"/>
            <w:tcBorders>
              <w:top w:val="single" w:sz="4" w:space="0" w:color="auto"/>
              <w:left w:val="single" w:sz="4" w:space="0" w:color="auto"/>
              <w:bottom w:val="single" w:sz="4" w:space="0" w:color="auto"/>
              <w:right w:val="single" w:sz="4" w:space="0" w:color="auto"/>
            </w:tcBorders>
            <w:hideMark/>
          </w:tcPr>
          <w:p w14:paraId="513F924C" w14:textId="77777777" w:rsidR="004E1607" w:rsidRDefault="004E1607" w:rsidP="004E1607">
            <w:pPr>
              <w:rPr>
                <w:b/>
                <w:color w:val="000000"/>
                <w:sz w:val="20"/>
                <w:szCs w:val="20"/>
                <w:lang w:eastAsia="en-US"/>
              </w:rPr>
            </w:pPr>
            <w:r>
              <w:rPr>
                <w:b/>
                <w:color w:val="000000"/>
                <w:sz w:val="20"/>
                <w:szCs w:val="20"/>
                <w:lang w:eastAsia="en-US"/>
              </w:rPr>
              <w:t>Caudal vertebra, shape of the caudal vertebrae posterior to the first caudal:</w:t>
            </w:r>
            <w:r>
              <w:rPr>
                <w:sz w:val="20"/>
                <w:szCs w:val="20"/>
                <w:lang w:eastAsia="en-US"/>
              </w:rPr>
              <w:t xml:space="preserve"> </w:t>
            </w:r>
          </w:p>
          <w:p w14:paraId="0EDC3D90" w14:textId="0FBC5180" w:rsidR="004E1607" w:rsidRDefault="004E1607" w:rsidP="004E1607">
            <w:pPr>
              <w:rPr>
                <w:i/>
                <w:sz w:val="20"/>
                <w:szCs w:val="20"/>
                <w:lang w:eastAsia="en-US"/>
              </w:rPr>
            </w:pPr>
            <w:r>
              <w:rPr>
                <w:i/>
                <w:sz w:val="20"/>
                <w:szCs w:val="20"/>
                <w:lang w:eastAsia="en-US"/>
              </w:rPr>
              <w:t xml:space="preserve">Ristevski et al. (2018, ds 2, ch. 307); Smith et al. (in review, ds 1, ch. 312); </w:t>
            </w:r>
            <w:r>
              <w:rPr>
                <w:i/>
                <w:sz w:val="20"/>
                <w:szCs w:val="20"/>
              </w:rPr>
              <w:t>Ősi et al. (in review, ds 1, ch. 352)</w:t>
            </w:r>
            <w:r>
              <w:rPr>
                <w:i/>
                <w:sz w:val="20"/>
                <w:szCs w:val="20"/>
                <w:lang w:eastAsia="en-US"/>
              </w:rPr>
              <w:t>.</w:t>
            </w:r>
          </w:p>
          <w:p w14:paraId="32326985" w14:textId="77777777" w:rsidR="004E1607" w:rsidRDefault="004E1607" w:rsidP="004E1607">
            <w:pPr>
              <w:rPr>
                <w:i/>
                <w:sz w:val="20"/>
                <w:szCs w:val="20"/>
                <w:lang w:eastAsia="en-US"/>
              </w:rPr>
            </w:pPr>
            <w:r>
              <w:rPr>
                <w:i/>
                <w:sz w:val="20"/>
                <w:szCs w:val="20"/>
                <w:lang w:eastAsia="en-US"/>
              </w:rPr>
              <w:t>Character based on Clark (1994, ch. 94).</w:t>
            </w:r>
          </w:p>
          <w:p w14:paraId="5306F399" w14:textId="77777777" w:rsidR="004E1607" w:rsidRDefault="004E1607" w:rsidP="004E1607">
            <w:pPr>
              <w:rPr>
                <w:b/>
                <w:color w:val="000000"/>
                <w:sz w:val="20"/>
                <w:szCs w:val="20"/>
                <w:lang w:eastAsia="en-US"/>
              </w:rPr>
            </w:pPr>
            <w:r>
              <w:rPr>
                <w:color w:val="000000"/>
                <w:sz w:val="20"/>
                <w:szCs w:val="20"/>
                <w:lang w:eastAsia="en-US"/>
              </w:rPr>
              <w:lastRenderedPageBreak/>
              <w:t>0.</w:t>
            </w:r>
            <w:r>
              <w:rPr>
                <w:b/>
                <w:color w:val="000000"/>
                <w:sz w:val="20"/>
                <w:szCs w:val="20"/>
                <w:lang w:eastAsia="en-US"/>
              </w:rPr>
              <w:t xml:space="preserve"> </w:t>
            </w:r>
            <w:r>
              <w:rPr>
                <w:sz w:val="20"/>
                <w:szCs w:val="20"/>
                <w:lang w:eastAsia="en-US"/>
              </w:rPr>
              <w:t>all are amphicoelous or amphyplatian</w:t>
            </w:r>
          </w:p>
          <w:p w14:paraId="4CBC1E15" w14:textId="77777777" w:rsidR="004E1607" w:rsidRDefault="004E1607" w:rsidP="004E1607">
            <w:pPr>
              <w:rPr>
                <w:color w:val="000000"/>
                <w:sz w:val="20"/>
                <w:szCs w:val="20"/>
                <w:lang w:eastAsia="en-US"/>
              </w:rPr>
            </w:pPr>
            <w:r>
              <w:rPr>
                <w:color w:val="000000"/>
                <w:sz w:val="20"/>
                <w:szCs w:val="20"/>
                <w:lang w:eastAsia="en-US"/>
              </w:rPr>
              <w:t xml:space="preserve">1. </w:t>
            </w:r>
            <w:r>
              <w:rPr>
                <w:sz w:val="20"/>
                <w:szCs w:val="20"/>
                <w:lang w:eastAsia="en-US"/>
              </w:rPr>
              <w:t>mixture of semi-procoelous, amphicoelous or amphyplatian</w:t>
            </w:r>
          </w:p>
          <w:p w14:paraId="67DADBE0" w14:textId="77777777" w:rsidR="004E1607" w:rsidRDefault="004E1607" w:rsidP="004E1607">
            <w:pPr>
              <w:rPr>
                <w:color w:val="000000"/>
                <w:sz w:val="20"/>
                <w:szCs w:val="20"/>
                <w:lang w:eastAsia="en-US"/>
              </w:rPr>
            </w:pPr>
            <w:r>
              <w:rPr>
                <w:color w:val="000000"/>
                <w:sz w:val="20"/>
                <w:szCs w:val="20"/>
                <w:lang w:eastAsia="en-US"/>
              </w:rPr>
              <w:t xml:space="preserve">2. </w:t>
            </w:r>
            <w:r>
              <w:rPr>
                <w:sz w:val="20"/>
                <w:szCs w:val="20"/>
                <w:lang w:eastAsia="en-US"/>
              </w:rPr>
              <w:t>all are procoelous</w:t>
            </w:r>
          </w:p>
        </w:tc>
      </w:tr>
      <w:tr w:rsidR="004E1607" w14:paraId="4624FC22" w14:textId="77777777" w:rsidTr="004E1607">
        <w:tc>
          <w:tcPr>
            <w:tcW w:w="0" w:type="auto"/>
            <w:tcBorders>
              <w:top w:val="single" w:sz="4" w:space="0" w:color="auto"/>
              <w:left w:val="single" w:sz="4" w:space="0" w:color="auto"/>
              <w:bottom w:val="single" w:sz="4" w:space="0" w:color="auto"/>
              <w:right w:val="single" w:sz="4" w:space="0" w:color="auto"/>
            </w:tcBorders>
          </w:tcPr>
          <w:p w14:paraId="656F5E16" w14:textId="3097BAA2" w:rsidR="004E1607" w:rsidRDefault="009E2821" w:rsidP="004E1607">
            <w:pPr>
              <w:rPr>
                <w:color w:val="000000"/>
                <w:sz w:val="20"/>
                <w:szCs w:val="20"/>
                <w:lang w:eastAsia="en-US"/>
              </w:rPr>
            </w:pPr>
            <w:r>
              <w:rPr>
                <w:color w:val="000000"/>
                <w:sz w:val="20"/>
                <w:szCs w:val="20"/>
                <w:lang w:eastAsia="en-US"/>
              </w:rPr>
              <w:lastRenderedPageBreak/>
              <w:t>356</w:t>
            </w:r>
          </w:p>
        </w:tc>
        <w:tc>
          <w:tcPr>
            <w:tcW w:w="0" w:type="auto"/>
            <w:tcBorders>
              <w:top w:val="single" w:sz="4" w:space="0" w:color="auto"/>
              <w:left w:val="single" w:sz="4" w:space="0" w:color="auto"/>
              <w:bottom w:val="single" w:sz="4" w:space="0" w:color="auto"/>
              <w:right w:val="single" w:sz="4" w:space="0" w:color="auto"/>
            </w:tcBorders>
            <w:vAlign w:val="bottom"/>
            <w:hideMark/>
          </w:tcPr>
          <w:p w14:paraId="7C795CFD" w14:textId="77777777" w:rsidR="004E1607" w:rsidRDefault="004E1607" w:rsidP="004E1607">
            <w:pPr>
              <w:rPr>
                <w:b/>
                <w:color w:val="000000"/>
                <w:sz w:val="20"/>
                <w:szCs w:val="20"/>
                <w:lang w:eastAsia="en-US"/>
              </w:rPr>
            </w:pPr>
            <w:r>
              <w:rPr>
                <w:b/>
                <w:color w:val="000000"/>
                <w:sz w:val="20"/>
                <w:szCs w:val="20"/>
                <w:lang w:eastAsia="en-US"/>
              </w:rPr>
              <w:t>Caudal vertebrae, number:</w:t>
            </w:r>
          </w:p>
          <w:p w14:paraId="56F13E6F" w14:textId="3179FEF7" w:rsidR="004E1607" w:rsidRDefault="004E1607" w:rsidP="004E1607">
            <w:pPr>
              <w:autoSpaceDE w:val="0"/>
              <w:autoSpaceDN w:val="0"/>
              <w:adjustRightInd w:val="0"/>
              <w:rPr>
                <w:i/>
                <w:sz w:val="20"/>
                <w:szCs w:val="20"/>
                <w:lang w:eastAsia="en-US"/>
              </w:rPr>
            </w:pPr>
            <w:r>
              <w:rPr>
                <w:i/>
                <w:sz w:val="20"/>
                <w:szCs w:val="20"/>
                <w:lang w:eastAsia="en-US"/>
              </w:rPr>
              <w:t xml:space="preserve">Young (2006, ch. 36 modified); Wilkinson et al. (2008, ch. 64); Young &amp; Andrade (2009, ch. 64); </w:t>
            </w:r>
            <w:r>
              <w:rPr>
                <w:bCs/>
                <w:i/>
                <w:color w:val="000000"/>
                <w:sz w:val="20"/>
                <w:szCs w:val="20"/>
                <w:lang w:eastAsia="en-US"/>
              </w:rPr>
              <w:t xml:space="preserve">Young et al. (2011, ch. 64); Young et al. (2013a, ch. 160); </w:t>
            </w:r>
            <w:r>
              <w:rPr>
                <w:i/>
                <w:sz w:val="20"/>
                <w:szCs w:val="20"/>
                <w:lang w:eastAsia="en-US"/>
              </w:rPr>
              <w:t xml:space="preserve">Young et al. (2012, ch. 191); Young (2014, ch. 200); Young et al. (2016, ds 2, ch. 239); Ristevski et al. (2018, ds 2, ch. 308); Smith et al. (in review, ds 1, ch. 313); </w:t>
            </w:r>
            <w:r>
              <w:rPr>
                <w:i/>
                <w:sz w:val="20"/>
                <w:szCs w:val="20"/>
              </w:rPr>
              <w:t>Ősi et al. (in review, ds 1, ch. 353)</w:t>
            </w:r>
            <w:r>
              <w:rPr>
                <w:i/>
                <w:sz w:val="20"/>
                <w:szCs w:val="20"/>
                <w:lang w:eastAsia="en-US"/>
              </w:rPr>
              <w:t>.</w:t>
            </w:r>
          </w:p>
          <w:p w14:paraId="7FF51125" w14:textId="77777777" w:rsidR="004E1607" w:rsidRDefault="004E1607" w:rsidP="004E1607">
            <w:pPr>
              <w:rPr>
                <w:color w:val="000000"/>
                <w:sz w:val="20"/>
                <w:szCs w:val="20"/>
                <w:lang w:eastAsia="en-US"/>
              </w:rPr>
            </w:pPr>
            <w:r>
              <w:rPr>
                <w:color w:val="000000"/>
                <w:sz w:val="20"/>
                <w:szCs w:val="20"/>
                <w:lang w:eastAsia="en-US"/>
              </w:rPr>
              <w:t xml:space="preserve">0. less than 46 </w:t>
            </w:r>
          </w:p>
          <w:p w14:paraId="779FBD10" w14:textId="77777777" w:rsidR="004E1607" w:rsidRDefault="004E1607" w:rsidP="004E1607">
            <w:pPr>
              <w:rPr>
                <w:color w:val="000000"/>
                <w:sz w:val="20"/>
                <w:szCs w:val="20"/>
                <w:lang w:eastAsia="en-US"/>
              </w:rPr>
            </w:pPr>
            <w:r>
              <w:rPr>
                <w:color w:val="000000"/>
                <w:sz w:val="20"/>
                <w:szCs w:val="20"/>
                <w:lang w:eastAsia="en-US"/>
              </w:rPr>
              <w:t>1. 50 or more</w:t>
            </w:r>
          </w:p>
        </w:tc>
      </w:tr>
      <w:tr w:rsidR="004E1607" w14:paraId="4B8F7C8B" w14:textId="77777777" w:rsidTr="004E1607">
        <w:tc>
          <w:tcPr>
            <w:tcW w:w="0" w:type="auto"/>
            <w:tcBorders>
              <w:top w:val="single" w:sz="4" w:space="0" w:color="auto"/>
              <w:left w:val="single" w:sz="4" w:space="0" w:color="auto"/>
              <w:bottom w:val="single" w:sz="4" w:space="0" w:color="auto"/>
              <w:right w:val="single" w:sz="4" w:space="0" w:color="auto"/>
            </w:tcBorders>
          </w:tcPr>
          <w:p w14:paraId="13E97ECB" w14:textId="01B01E2F" w:rsidR="004E1607" w:rsidRDefault="009E2821" w:rsidP="004E1607">
            <w:pPr>
              <w:rPr>
                <w:color w:val="000000"/>
                <w:sz w:val="20"/>
                <w:szCs w:val="20"/>
                <w:lang w:eastAsia="en-US"/>
              </w:rPr>
            </w:pPr>
            <w:r>
              <w:rPr>
                <w:color w:val="000000"/>
                <w:sz w:val="20"/>
                <w:szCs w:val="20"/>
                <w:lang w:eastAsia="en-US"/>
              </w:rPr>
              <w:t>357</w:t>
            </w:r>
          </w:p>
        </w:tc>
        <w:tc>
          <w:tcPr>
            <w:tcW w:w="0" w:type="auto"/>
            <w:tcBorders>
              <w:top w:val="single" w:sz="4" w:space="0" w:color="auto"/>
              <w:left w:val="single" w:sz="4" w:space="0" w:color="auto"/>
              <w:bottom w:val="single" w:sz="4" w:space="0" w:color="auto"/>
              <w:right w:val="single" w:sz="4" w:space="0" w:color="auto"/>
            </w:tcBorders>
            <w:vAlign w:val="bottom"/>
            <w:hideMark/>
          </w:tcPr>
          <w:p w14:paraId="7FB1EE6F" w14:textId="77777777" w:rsidR="004E1607" w:rsidRDefault="004E1607" w:rsidP="004E1607">
            <w:pPr>
              <w:autoSpaceDE w:val="0"/>
              <w:autoSpaceDN w:val="0"/>
              <w:adjustRightInd w:val="0"/>
              <w:rPr>
                <w:b/>
                <w:bCs/>
                <w:color w:val="000000"/>
                <w:sz w:val="20"/>
                <w:szCs w:val="20"/>
                <w:lang w:eastAsia="en-US"/>
              </w:rPr>
            </w:pPr>
            <w:r>
              <w:rPr>
                <w:b/>
                <w:bCs/>
                <w:color w:val="000000"/>
                <w:sz w:val="20"/>
                <w:szCs w:val="20"/>
                <w:lang w:eastAsia="en-US"/>
              </w:rPr>
              <w:t>Caudal vertebrae, relative height of neural spine:</w:t>
            </w:r>
          </w:p>
          <w:p w14:paraId="68151D78" w14:textId="56FAAC1E" w:rsidR="004E1607" w:rsidRDefault="004E1607" w:rsidP="004E1607">
            <w:pPr>
              <w:autoSpaceDE w:val="0"/>
              <w:autoSpaceDN w:val="0"/>
              <w:adjustRightInd w:val="0"/>
              <w:rPr>
                <w:i/>
                <w:iCs/>
                <w:color w:val="000000"/>
                <w:sz w:val="20"/>
                <w:szCs w:val="20"/>
                <w:lang w:eastAsia="en-US"/>
              </w:rPr>
            </w:pPr>
            <w:r>
              <w:rPr>
                <w:i/>
                <w:iCs/>
                <w:color w:val="000000"/>
                <w:sz w:val="20"/>
                <w:szCs w:val="20"/>
                <w:lang w:eastAsia="en-US"/>
              </w:rPr>
              <w:t xml:space="preserve">Andrade et al. (2011, ch. 435); </w:t>
            </w:r>
            <w:r>
              <w:rPr>
                <w:i/>
                <w:sz w:val="20"/>
                <w:szCs w:val="20"/>
                <w:lang w:eastAsia="en-US"/>
              </w:rPr>
              <w:t xml:space="preserve">Ristevski et al. (2018, ds 2, ch. 309); Smith et al. (in review, ds 1, ch. 314); </w:t>
            </w:r>
            <w:r>
              <w:rPr>
                <w:i/>
                <w:sz w:val="20"/>
                <w:szCs w:val="20"/>
              </w:rPr>
              <w:t>Ősi et al. (in review, ds 1, ch. 354)</w:t>
            </w:r>
            <w:r>
              <w:rPr>
                <w:i/>
                <w:iCs/>
                <w:color w:val="000000"/>
                <w:sz w:val="20"/>
                <w:szCs w:val="20"/>
                <w:lang w:eastAsia="en-US"/>
              </w:rPr>
              <w:t>.</w:t>
            </w:r>
          </w:p>
          <w:p w14:paraId="0D187C42" w14:textId="77777777" w:rsidR="004E1607" w:rsidRDefault="004E1607" w:rsidP="004E1607">
            <w:pPr>
              <w:autoSpaceDE w:val="0"/>
              <w:autoSpaceDN w:val="0"/>
              <w:adjustRightInd w:val="0"/>
              <w:rPr>
                <w:i/>
                <w:iCs/>
                <w:color w:val="000000"/>
                <w:sz w:val="20"/>
                <w:szCs w:val="20"/>
                <w:lang w:eastAsia="en-US"/>
              </w:rPr>
            </w:pPr>
            <w:r>
              <w:rPr>
                <w:i/>
                <w:iCs/>
                <w:color w:val="000000"/>
                <w:sz w:val="20"/>
                <w:szCs w:val="20"/>
                <w:lang w:eastAsia="en-US"/>
              </w:rPr>
              <w:t>State (1) occurs in Dyrosauridae.</w:t>
            </w:r>
          </w:p>
          <w:p w14:paraId="7F63A685" w14:textId="77777777" w:rsidR="004E1607" w:rsidRDefault="004E1607" w:rsidP="004E1607">
            <w:pPr>
              <w:autoSpaceDE w:val="0"/>
              <w:autoSpaceDN w:val="0"/>
              <w:adjustRightInd w:val="0"/>
              <w:rPr>
                <w:color w:val="000000"/>
                <w:sz w:val="20"/>
                <w:szCs w:val="20"/>
                <w:lang w:eastAsia="en-US"/>
              </w:rPr>
            </w:pPr>
            <w:r>
              <w:rPr>
                <w:color w:val="000000"/>
                <w:sz w:val="20"/>
                <w:szCs w:val="20"/>
                <w:lang w:eastAsia="en-US"/>
              </w:rPr>
              <w:t>0. larger spines are up to 2.5 times the height of vertebral body</w:t>
            </w:r>
          </w:p>
          <w:p w14:paraId="2CF84583" w14:textId="77777777" w:rsidR="004E1607" w:rsidRDefault="004E1607" w:rsidP="004E1607">
            <w:pPr>
              <w:autoSpaceDE w:val="0"/>
              <w:autoSpaceDN w:val="0"/>
              <w:adjustRightInd w:val="0"/>
              <w:rPr>
                <w:color w:val="000000"/>
                <w:lang w:eastAsia="en-US"/>
              </w:rPr>
            </w:pPr>
            <w:r>
              <w:rPr>
                <w:color w:val="000000"/>
                <w:sz w:val="20"/>
                <w:szCs w:val="20"/>
                <w:lang w:eastAsia="en-US"/>
              </w:rPr>
              <w:t>1. spines are typically 2.5–4 times the height of vertebral body</w:t>
            </w:r>
          </w:p>
        </w:tc>
      </w:tr>
      <w:tr w:rsidR="004E1607" w14:paraId="299A98A7" w14:textId="77777777" w:rsidTr="004E1607">
        <w:tc>
          <w:tcPr>
            <w:tcW w:w="0" w:type="auto"/>
            <w:tcBorders>
              <w:top w:val="single" w:sz="4" w:space="0" w:color="auto"/>
              <w:left w:val="single" w:sz="4" w:space="0" w:color="auto"/>
              <w:bottom w:val="single" w:sz="4" w:space="0" w:color="auto"/>
              <w:right w:val="single" w:sz="4" w:space="0" w:color="auto"/>
            </w:tcBorders>
          </w:tcPr>
          <w:p w14:paraId="5AA9C50C" w14:textId="601F1F42" w:rsidR="004E1607" w:rsidRDefault="009E2821" w:rsidP="004E1607">
            <w:pPr>
              <w:rPr>
                <w:color w:val="000000"/>
                <w:sz w:val="20"/>
                <w:szCs w:val="20"/>
                <w:lang w:eastAsia="en-US"/>
              </w:rPr>
            </w:pPr>
            <w:r>
              <w:rPr>
                <w:color w:val="000000"/>
                <w:sz w:val="20"/>
                <w:szCs w:val="20"/>
                <w:lang w:eastAsia="en-US"/>
              </w:rPr>
              <w:t>358</w:t>
            </w:r>
          </w:p>
        </w:tc>
        <w:tc>
          <w:tcPr>
            <w:tcW w:w="0" w:type="auto"/>
            <w:tcBorders>
              <w:top w:val="single" w:sz="4" w:space="0" w:color="auto"/>
              <w:left w:val="single" w:sz="4" w:space="0" w:color="auto"/>
              <w:bottom w:val="single" w:sz="4" w:space="0" w:color="auto"/>
              <w:right w:val="single" w:sz="4" w:space="0" w:color="auto"/>
            </w:tcBorders>
            <w:vAlign w:val="bottom"/>
            <w:hideMark/>
          </w:tcPr>
          <w:p w14:paraId="3DF9546C" w14:textId="77777777" w:rsidR="004E1607" w:rsidRDefault="004E1607" w:rsidP="004E1607">
            <w:pPr>
              <w:autoSpaceDE w:val="0"/>
              <w:autoSpaceDN w:val="0"/>
              <w:adjustRightInd w:val="0"/>
              <w:rPr>
                <w:b/>
                <w:bCs/>
                <w:color w:val="000000"/>
                <w:sz w:val="20"/>
                <w:szCs w:val="20"/>
                <w:lang w:eastAsia="en-US"/>
              </w:rPr>
            </w:pPr>
            <w:r>
              <w:rPr>
                <w:b/>
                <w:bCs/>
                <w:color w:val="000000"/>
                <w:sz w:val="20"/>
                <w:szCs w:val="20"/>
                <w:lang w:eastAsia="en-US"/>
              </w:rPr>
              <w:t>Caudal vertebrae, abrupt change in centrum shape at the distal end:</w:t>
            </w:r>
          </w:p>
          <w:p w14:paraId="21287EC4" w14:textId="69825B4B" w:rsidR="004E1607" w:rsidRDefault="004E1607" w:rsidP="004E1607">
            <w:pPr>
              <w:autoSpaceDE w:val="0"/>
              <w:autoSpaceDN w:val="0"/>
              <w:adjustRightInd w:val="0"/>
              <w:rPr>
                <w:i/>
                <w:sz w:val="20"/>
                <w:szCs w:val="20"/>
                <w:lang w:eastAsia="en-US"/>
              </w:rPr>
            </w:pPr>
            <w:r>
              <w:rPr>
                <w:i/>
                <w:sz w:val="20"/>
                <w:szCs w:val="20"/>
                <w:lang w:eastAsia="en-US"/>
              </w:rPr>
              <w:t xml:space="preserve">Andrade et al. (2011, ch. 436 part); Young et al. (2013a, ch. 161 part); Young et al. (2012, ch. 192 part); Young (2014, ch. 201 part); Young et al. (2016, ds 2, ch. 240 part); Ristevski et al. (2018, ds 2, ch. 310 part); Smith et al. (in review, ds 1, ch. 315 part); </w:t>
            </w:r>
            <w:r>
              <w:rPr>
                <w:i/>
                <w:sz w:val="20"/>
                <w:szCs w:val="20"/>
              </w:rPr>
              <w:t>Ősi et al. (in review, ds 1, ch. 355)</w:t>
            </w:r>
            <w:r>
              <w:rPr>
                <w:i/>
                <w:sz w:val="20"/>
                <w:szCs w:val="20"/>
                <w:lang w:eastAsia="en-US"/>
              </w:rPr>
              <w:t>.</w:t>
            </w:r>
          </w:p>
          <w:p w14:paraId="2993DC47"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State (1) is a putative apomorphy of Metriorhynchidae, but also occurs in </w:t>
            </w:r>
            <w:r>
              <w:rPr>
                <w:iCs/>
                <w:sz w:val="20"/>
                <w:szCs w:val="20"/>
                <w:lang w:eastAsia="en-US"/>
              </w:rPr>
              <w:t>Magyarosuchus fitosi</w:t>
            </w:r>
            <w:r>
              <w:rPr>
                <w:i/>
                <w:iCs/>
                <w:sz w:val="20"/>
                <w:szCs w:val="20"/>
                <w:lang w:eastAsia="en-US"/>
              </w:rPr>
              <w:t>. This suggests this character may have a wider distribution in Metriorhynchoidea.</w:t>
            </w:r>
          </w:p>
          <w:p w14:paraId="287656AD" w14:textId="77777777" w:rsidR="004E1607" w:rsidRDefault="004E1607" w:rsidP="004E1607">
            <w:pPr>
              <w:autoSpaceDE w:val="0"/>
              <w:autoSpaceDN w:val="0"/>
              <w:adjustRightInd w:val="0"/>
              <w:rPr>
                <w:bCs/>
                <w:i/>
                <w:color w:val="000000"/>
                <w:sz w:val="20"/>
                <w:szCs w:val="20"/>
                <w:lang w:eastAsia="en-US"/>
              </w:rPr>
            </w:pPr>
            <w:r>
              <w:rPr>
                <w:i/>
                <w:iCs/>
                <w:sz w:val="20"/>
                <w:szCs w:val="20"/>
                <w:lang w:eastAsia="en-US"/>
              </w:rPr>
              <w:t xml:space="preserve">This character is an osteological correlate relating to the increase in distal tail lateral surface area. In taxa with a tail fin, this shape change is seen in both </w:t>
            </w:r>
            <w:r>
              <w:rPr>
                <w:bCs/>
                <w:i/>
                <w:color w:val="000000"/>
                <w:sz w:val="20"/>
                <w:szCs w:val="20"/>
                <w:lang w:eastAsia="en-US"/>
              </w:rPr>
              <w:t>‘flexural’, and post-flexural caudal vertebrae.</w:t>
            </w:r>
          </w:p>
          <w:p w14:paraId="5EE7FE3E" w14:textId="77777777" w:rsidR="004E1607" w:rsidRDefault="004E1607" w:rsidP="004E160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051170BC"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091E9878" w14:textId="77777777" w:rsidR="004E1607" w:rsidRDefault="004E1607" w:rsidP="004E1607">
            <w:pPr>
              <w:autoSpaceDE w:val="0"/>
              <w:autoSpaceDN w:val="0"/>
              <w:adjustRightInd w:val="0"/>
              <w:rPr>
                <w:bCs/>
                <w:color w:val="000000"/>
                <w:sz w:val="20"/>
                <w:szCs w:val="20"/>
                <w:lang w:eastAsia="en-US"/>
              </w:rPr>
            </w:pPr>
            <w:r>
              <w:rPr>
                <w:bCs/>
                <w:color w:val="000000"/>
                <w:sz w:val="20"/>
                <w:szCs w:val="20"/>
                <w:lang w:eastAsia="en-US"/>
              </w:rPr>
              <w:t>0. centra retain a sub-circular to sub-oval cross-section the same as, or similar to, that seen in proximal caudal vertebrae (i.e. the caudal vertebrae are isomorphic or poorly heteromorphic)</w:t>
            </w:r>
          </w:p>
          <w:p w14:paraId="75CBE199" w14:textId="77777777" w:rsidR="004E1607" w:rsidRDefault="004E1607" w:rsidP="004E1607">
            <w:pPr>
              <w:autoSpaceDE w:val="0"/>
              <w:autoSpaceDN w:val="0"/>
              <w:adjustRightInd w:val="0"/>
              <w:rPr>
                <w:bCs/>
                <w:color w:val="000000"/>
                <w:sz w:val="20"/>
                <w:szCs w:val="20"/>
                <w:lang w:eastAsia="en-US"/>
              </w:rPr>
            </w:pPr>
            <w:r>
              <w:rPr>
                <w:bCs/>
                <w:color w:val="000000"/>
                <w:sz w:val="20"/>
                <w:szCs w:val="20"/>
                <w:lang w:eastAsia="en-US"/>
              </w:rPr>
              <w:t>1.</w:t>
            </w:r>
            <w:r>
              <w:rPr>
                <w:b/>
                <w:bCs/>
                <w:color w:val="000000"/>
                <w:sz w:val="20"/>
                <w:szCs w:val="20"/>
                <w:lang w:eastAsia="en-US"/>
              </w:rPr>
              <w:t xml:space="preserve"> </w:t>
            </w:r>
            <w:r>
              <w:rPr>
                <w:bCs/>
                <w:color w:val="000000"/>
                <w:sz w:val="20"/>
                <w:szCs w:val="20"/>
                <w:lang w:eastAsia="en-US"/>
              </w:rPr>
              <w:t>abrupt change in</w:t>
            </w:r>
            <w:r>
              <w:rPr>
                <w:b/>
                <w:bCs/>
                <w:color w:val="000000"/>
                <w:sz w:val="20"/>
                <w:szCs w:val="20"/>
                <w:lang w:eastAsia="en-US"/>
              </w:rPr>
              <w:t xml:space="preserve"> </w:t>
            </w:r>
            <w:r>
              <w:rPr>
                <w:bCs/>
                <w:color w:val="000000"/>
                <w:sz w:val="20"/>
                <w:szCs w:val="20"/>
                <w:lang w:eastAsia="en-US"/>
              </w:rPr>
              <w:t>centrum shape, with strong mediolateral compression (distal vertebrae are clearly heteromorphic)</w:t>
            </w:r>
          </w:p>
        </w:tc>
      </w:tr>
      <w:tr w:rsidR="004E1607" w14:paraId="7C8157EF" w14:textId="77777777" w:rsidTr="004E1607">
        <w:tc>
          <w:tcPr>
            <w:tcW w:w="0" w:type="auto"/>
            <w:tcBorders>
              <w:top w:val="single" w:sz="4" w:space="0" w:color="auto"/>
              <w:left w:val="single" w:sz="4" w:space="0" w:color="auto"/>
              <w:bottom w:val="single" w:sz="4" w:space="0" w:color="auto"/>
              <w:right w:val="single" w:sz="4" w:space="0" w:color="auto"/>
            </w:tcBorders>
          </w:tcPr>
          <w:p w14:paraId="2ADF1211" w14:textId="18D44289" w:rsidR="004E1607" w:rsidRDefault="009E2821" w:rsidP="004E1607">
            <w:pPr>
              <w:rPr>
                <w:color w:val="000000"/>
                <w:sz w:val="20"/>
                <w:szCs w:val="20"/>
                <w:lang w:eastAsia="en-US"/>
              </w:rPr>
            </w:pPr>
            <w:r>
              <w:rPr>
                <w:color w:val="000000"/>
                <w:sz w:val="20"/>
                <w:szCs w:val="20"/>
                <w:lang w:eastAsia="en-US"/>
              </w:rPr>
              <w:t>359</w:t>
            </w:r>
          </w:p>
        </w:tc>
        <w:tc>
          <w:tcPr>
            <w:tcW w:w="0" w:type="auto"/>
            <w:tcBorders>
              <w:top w:val="single" w:sz="4" w:space="0" w:color="auto"/>
              <w:left w:val="single" w:sz="4" w:space="0" w:color="auto"/>
              <w:bottom w:val="single" w:sz="4" w:space="0" w:color="auto"/>
              <w:right w:val="single" w:sz="4" w:space="0" w:color="auto"/>
            </w:tcBorders>
            <w:vAlign w:val="bottom"/>
            <w:hideMark/>
          </w:tcPr>
          <w:p w14:paraId="4AC4D005" w14:textId="77777777" w:rsidR="004E1607" w:rsidRDefault="004E1607" w:rsidP="004E1607">
            <w:pPr>
              <w:autoSpaceDE w:val="0"/>
              <w:autoSpaceDN w:val="0"/>
              <w:adjustRightInd w:val="0"/>
              <w:rPr>
                <w:b/>
                <w:bCs/>
                <w:color w:val="000000"/>
                <w:sz w:val="20"/>
                <w:szCs w:val="20"/>
                <w:lang w:eastAsia="en-US"/>
              </w:rPr>
            </w:pPr>
            <w:r>
              <w:rPr>
                <w:b/>
                <w:bCs/>
                <w:color w:val="000000"/>
                <w:sz w:val="20"/>
                <w:szCs w:val="20"/>
                <w:lang w:eastAsia="en-US"/>
              </w:rPr>
              <w:t>Caudal vertebrae, shift in neural spine inclination near distal end:</w:t>
            </w:r>
          </w:p>
          <w:p w14:paraId="7B6D3258" w14:textId="3CED9813" w:rsidR="004E1607" w:rsidRDefault="004E1607" w:rsidP="004E1607">
            <w:pPr>
              <w:autoSpaceDE w:val="0"/>
              <w:autoSpaceDN w:val="0"/>
              <w:adjustRightInd w:val="0"/>
              <w:rPr>
                <w:i/>
                <w:sz w:val="20"/>
                <w:szCs w:val="20"/>
                <w:lang w:eastAsia="en-US"/>
              </w:rPr>
            </w:pPr>
            <w:r>
              <w:rPr>
                <w:i/>
                <w:sz w:val="20"/>
                <w:szCs w:val="20"/>
                <w:lang w:eastAsia="en-US"/>
              </w:rPr>
              <w:t xml:space="preserve">Andrade et al. (2011, ch. 436 part); Young et al. (2013a, ch. 161 part); Young et al. (2012, ch. 192 part); Young (2014, ch. 201 part); Young et al. (2016, ds 2, ch. 240 part); Ristevski et al. (2018, ds 2, ch. 310 part); Smith et al. (in review, ds 1, ch. 315 part); </w:t>
            </w:r>
            <w:r>
              <w:rPr>
                <w:i/>
                <w:sz w:val="20"/>
                <w:szCs w:val="20"/>
              </w:rPr>
              <w:t>Ősi et al. (in review, ds 1, ch. 356)</w:t>
            </w:r>
            <w:r>
              <w:rPr>
                <w:i/>
                <w:sz w:val="20"/>
                <w:szCs w:val="20"/>
                <w:lang w:eastAsia="en-US"/>
              </w:rPr>
              <w:t>.</w:t>
            </w:r>
          </w:p>
          <w:p w14:paraId="273154B4"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State (1) is a putative apomorphy of Metriorhynchidae. </w:t>
            </w:r>
          </w:p>
          <w:p w14:paraId="2A8B4540"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The neural spines of the distal caudal vertebrae are unknown in </w:t>
            </w:r>
            <w:r>
              <w:rPr>
                <w:iCs/>
                <w:sz w:val="20"/>
                <w:szCs w:val="20"/>
                <w:lang w:eastAsia="en-US"/>
              </w:rPr>
              <w:t>Magyarosuchus fitosi</w:t>
            </w:r>
            <w:r>
              <w:rPr>
                <w:i/>
                <w:iCs/>
                <w:sz w:val="20"/>
                <w:szCs w:val="20"/>
                <w:lang w:eastAsia="en-US"/>
              </w:rPr>
              <w:t>.</w:t>
            </w:r>
          </w:p>
          <w:p w14:paraId="3BEC6325"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is an osteological correlate for a soft tissue structure along the dorsal margin of the distal tail, as the thickening and re-orientation of the neural spines support this structure. However, this structure need not be very large (i.e. a true upper lobe of a hypocercal tail).</w:t>
            </w:r>
          </w:p>
          <w:p w14:paraId="76A45370" w14:textId="77777777" w:rsidR="004E1607" w:rsidRDefault="004E1607" w:rsidP="004E160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1921D717"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42455A4F" w14:textId="77777777" w:rsidR="004E1607" w:rsidRDefault="004E1607" w:rsidP="004E1607">
            <w:pPr>
              <w:autoSpaceDE w:val="0"/>
              <w:autoSpaceDN w:val="0"/>
              <w:adjustRightInd w:val="0"/>
              <w:rPr>
                <w:bCs/>
                <w:color w:val="000000"/>
                <w:sz w:val="20"/>
                <w:szCs w:val="20"/>
                <w:lang w:eastAsia="en-US"/>
              </w:rPr>
            </w:pPr>
            <w:r>
              <w:rPr>
                <w:bCs/>
                <w:color w:val="000000"/>
                <w:sz w:val="20"/>
                <w:szCs w:val="20"/>
                <w:lang w:eastAsia="en-US"/>
              </w:rPr>
              <w:t>0. no, distal caudal vertebral neural spines do not have a shift in orientation (being sub-vertical and/or posteriorly inclinded)</w:t>
            </w:r>
          </w:p>
          <w:p w14:paraId="79A65114" w14:textId="77777777" w:rsidR="004E1607" w:rsidRDefault="004E1607" w:rsidP="004E1607">
            <w:pPr>
              <w:autoSpaceDE w:val="0"/>
              <w:autoSpaceDN w:val="0"/>
              <w:adjustRightInd w:val="0"/>
              <w:rPr>
                <w:bCs/>
                <w:color w:val="000000"/>
                <w:sz w:val="20"/>
                <w:szCs w:val="20"/>
                <w:lang w:eastAsia="en-US"/>
              </w:rPr>
            </w:pPr>
            <w:r>
              <w:rPr>
                <w:bCs/>
                <w:color w:val="000000"/>
                <w:sz w:val="20"/>
                <w:szCs w:val="20"/>
                <w:lang w:eastAsia="en-US"/>
              </w:rPr>
              <w:t>1. yes, there is a distinct region of the distal caudal vertebrae which have a shift in neural spine orientation, changing from: a posterior inclination, to being sub-vertical, to having an anterior inclination</w:t>
            </w:r>
          </w:p>
        </w:tc>
      </w:tr>
      <w:tr w:rsidR="004E1607" w14:paraId="67A47EF8" w14:textId="77777777" w:rsidTr="004E1607">
        <w:tc>
          <w:tcPr>
            <w:tcW w:w="0" w:type="auto"/>
            <w:tcBorders>
              <w:top w:val="single" w:sz="4" w:space="0" w:color="auto"/>
              <w:left w:val="single" w:sz="4" w:space="0" w:color="auto"/>
              <w:bottom w:val="single" w:sz="4" w:space="0" w:color="auto"/>
              <w:right w:val="single" w:sz="4" w:space="0" w:color="auto"/>
            </w:tcBorders>
          </w:tcPr>
          <w:p w14:paraId="09176CC8" w14:textId="15D0BF69" w:rsidR="004E1607" w:rsidRDefault="009E2821" w:rsidP="004E1607">
            <w:pPr>
              <w:rPr>
                <w:color w:val="000000"/>
                <w:sz w:val="20"/>
                <w:szCs w:val="20"/>
                <w:lang w:eastAsia="en-US"/>
              </w:rPr>
            </w:pPr>
            <w:r>
              <w:rPr>
                <w:color w:val="000000"/>
                <w:sz w:val="20"/>
                <w:szCs w:val="20"/>
                <w:lang w:eastAsia="en-US"/>
              </w:rPr>
              <w:t>360</w:t>
            </w:r>
          </w:p>
        </w:tc>
        <w:tc>
          <w:tcPr>
            <w:tcW w:w="0" w:type="auto"/>
            <w:tcBorders>
              <w:top w:val="single" w:sz="4" w:space="0" w:color="auto"/>
              <w:left w:val="single" w:sz="4" w:space="0" w:color="auto"/>
              <w:bottom w:val="single" w:sz="4" w:space="0" w:color="auto"/>
              <w:right w:val="single" w:sz="4" w:space="0" w:color="auto"/>
            </w:tcBorders>
            <w:vAlign w:val="bottom"/>
            <w:hideMark/>
          </w:tcPr>
          <w:p w14:paraId="62B4D8FF" w14:textId="77777777" w:rsidR="004E1607" w:rsidRDefault="004E1607" w:rsidP="004E1607">
            <w:pPr>
              <w:rPr>
                <w:b/>
                <w:sz w:val="20"/>
                <w:lang w:eastAsia="en-US"/>
              </w:rPr>
            </w:pPr>
            <w:r>
              <w:rPr>
                <w:b/>
                <w:sz w:val="20"/>
                <w:lang w:eastAsia="en-US"/>
              </w:rPr>
              <w:t>Caudal vertebrae, ventral deflection of the distal end: (ORDERED)</w:t>
            </w:r>
          </w:p>
          <w:p w14:paraId="4EF58C26" w14:textId="5C4C3A63" w:rsidR="004E1607" w:rsidRDefault="004E1607" w:rsidP="004E1607">
            <w:pPr>
              <w:autoSpaceDE w:val="0"/>
              <w:autoSpaceDN w:val="0"/>
              <w:adjustRightInd w:val="0"/>
              <w:rPr>
                <w:i/>
                <w:iCs/>
                <w:sz w:val="20"/>
                <w:szCs w:val="20"/>
                <w:lang w:eastAsia="en-US"/>
              </w:rPr>
            </w:pPr>
            <w:r>
              <w:rPr>
                <w:i/>
                <w:sz w:val="20"/>
                <w:szCs w:val="20"/>
                <w:lang w:eastAsia="en-US"/>
              </w:rPr>
              <w:t xml:space="preserve">Young (2006, ch. 33 part); Wilkinson et al. (2008, ch. 61 part); Young &amp; Andrade (2009, ch. 61 part); Young et al. (2011, ch. 61 part); </w:t>
            </w:r>
            <w:r>
              <w:rPr>
                <w:i/>
                <w:sz w:val="20"/>
                <w:szCs w:val="20"/>
              </w:rPr>
              <w:t>Ősi et al. (in review, ds 1, ch. 357)</w:t>
            </w:r>
            <w:r>
              <w:rPr>
                <w:i/>
                <w:sz w:val="20"/>
                <w:szCs w:val="20"/>
                <w:lang w:eastAsia="en-US"/>
              </w:rPr>
              <w:t>.</w:t>
            </w:r>
          </w:p>
          <w:p w14:paraId="3D0E5BA8" w14:textId="77777777" w:rsidR="004E1607" w:rsidRDefault="004E1607" w:rsidP="004E1607">
            <w:pPr>
              <w:autoSpaceDE w:val="0"/>
              <w:autoSpaceDN w:val="0"/>
              <w:adjustRightInd w:val="0"/>
              <w:rPr>
                <w:i/>
                <w:iCs/>
                <w:sz w:val="20"/>
                <w:szCs w:val="20"/>
                <w:lang w:eastAsia="en-US"/>
              </w:rPr>
            </w:pPr>
            <w:r>
              <w:rPr>
                <w:i/>
                <w:iCs/>
                <w:sz w:val="20"/>
                <w:szCs w:val="20"/>
                <w:lang w:eastAsia="en-US"/>
              </w:rPr>
              <w:t>State (2) is a putative apomorphy of Metriorhynchidae.</w:t>
            </w:r>
          </w:p>
          <w:p w14:paraId="6ADF0B4E"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The presence of a ventral deflection of the distal caudal vertebrae is unknown in </w:t>
            </w:r>
            <w:r>
              <w:rPr>
                <w:iCs/>
                <w:sz w:val="20"/>
                <w:szCs w:val="20"/>
                <w:lang w:eastAsia="en-US"/>
              </w:rPr>
              <w:t>Magyarosuchus fitosi</w:t>
            </w:r>
            <w:r>
              <w:rPr>
                <w:i/>
                <w:iCs/>
                <w:sz w:val="20"/>
                <w:szCs w:val="20"/>
                <w:lang w:eastAsia="en-US"/>
              </w:rPr>
              <w:t>.</w:t>
            </w:r>
          </w:p>
          <w:p w14:paraId="09C18FEC" w14:textId="77777777" w:rsidR="004E1607" w:rsidRDefault="004E1607" w:rsidP="004E1607">
            <w:pPr>
              <w:autoSpaceDE w:val="0"/>
              <w:autoSpaceDN w:val="0"/>
              <w:adjustRightInd w:val="0"/>
              <w:rPr>
                <w:i/>
                <w:iCs/>
                <w:sz w:val="20"/>
                <w:szCs w:val="20"/>
                <w:lang w:eastAsia="en-US"/>
              </w:rPr>
            </w:pPr>
            <w:r>
              <w:rPr>
                <w:i/>
                <w:iCs/>
                <w:sz w:val="20"/>
                <w:szCs w:val="20"/>
                <w:lang w:eastAsia="en-US"/>
              </w:rPr>
              <w:lastRenderedPageBreak/>
              <w:t>This character helps define the lower lobe of a hypocercal tail. Note that in ichthyosaurs (Motani, 2005), the presence of a ventral deflection does not always mean there would have been a true upper lobe.</w:t>
            </w:r>
          </w:p>
          <w:p w14:paraId="61BB0974" w14:textId="77777777" w:rsidR="004E1607" w:rsidRDefault="004E1607" w:rsidP="004E160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5F66943C"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7D51AD9E" w14:textId="77777777" w:rsidR="004E1607" w:rsidRDefault="004E1607" w:rsidP="004E1607">
            <w:pPr>
              <w:autoSpaceDE w:val="0"/>
              <w:autoSpaceDN w:val="0"/>
              <w:adjustRightInd w:val="0"/>
              <w:rPr>
                <w:i/>
                <w:iCs/>
                <w:sz w:val="20"/>
                <w:szCs w:val="20"/>
                <w:lang w:eastAsia="en-US"/>
              </w:rPr>
            </w:pPr>
            <w:r>
              <w:rPr>
                <w:i/>
                <w:iCs/>
                <w:sz w:val="20"/>
                <w:szCs w:val="20"/>
                <w:lang w:eastAsia="en-US"/>
              </w:rPr>
              <w:t>Note, most preserved metriorhynchid tails give an exaggerated angle, either due to how the vertebrae have been arranged (in disarticulated specimens) or the vertebrae are not fully in in vivo condition (for specimens preserved in limestone). The in vivo condition is shown by retaining the curvature of the post-flexural caudal vertebrae.</w:t>
            </w:r>
          </w:p>
          <w:p w14:paraId="417E6ED9"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Note that juvenile specimens cannot be used to score this character (e.g. </w:t>
            </w:r>
            <w:r>
              <w:rPr>
                <w:iCs/>
                <w:sz w:val="20"/>
                <w:szCs w:val="20"/>
                <w:lang w:eastAsia="en-US"/>
              </w:rPr>
              <w:t>Rhacheosaurus gracilis</w:t>
            </w:r>
            <w:r>
              <w:rPr>
                <w:i/>
                <w:iCs/>
                <w:sz w:val="20"/>
                <w:szCs w:val="20"/>
                <w:lang w:eastAsia="en-US"/>
              </w:rPr>
              <w:t>) as there may be an ontogenetic increase in the angle, such as in ichthyosaurs.</w:t>
            </w:r>
          </w:p>
          <w:p w14:paraId="2A6F5CC4" w14:textId="77777777" w:rsidR="004E1607" w:rsidRDefault="004E1607" w:rsidP="004E1607">
            <w:pPr>
              <w:rPr>
                <w:sz w:val="20"/>
                <w:lang w:eastAsia="en-US"/>
              </w:rPr>
            </w:pPr>
            <w:r>
              <w:rPr>
                <w:sz w:val="20"/>
                <w:lang w:eastAsia="en-US"/>
              </w:rPr>
              <w:t>0. absent</w:t>
            </w:r>
          </w:p>
          <w:p w14:paraId="0D468E31" w14:textId="77777777" w:rsidR="004E1607" w:rsidRDefault="004E1607" w:rsidP="004E1607">
            <w:pPr>
              <w:rPr>
                <w:sz w:val="20"/>
                <w:lang w:eastAsia="en-US"/>
              </w:rPr>
            </w:pPr>
            <w:r>
              <w:rPr>
                <w:sz w:val="20"/>
                <w:lang w:eastAsia="en-US"/>
              </w:rPr>
              <w:t>1. present, tail bend angle is less than 10 degrees</w:t>
            </w:r>
          </w:p>
          <w:p w14:paraId="66C9B01C" w14:textId="77777777" w:rsidR="004E1607" w:rsidRDefault="004E1607" w:rsidP="004E1607">
            <w:pPr>
              <w:rPr>
                <w:sz w:val="20"/>
                <w:lang w:eastAsia="en-US"/>
              </w:rPr>
            </w:pPr>
            <w:r>
              <w:rPr>
                <w:sz w:val="20"/>
                <w:lang w:eastAsia="en-US"/>
              </w:rPr>
              <w:t>2. present, tail bend angle is between 10-40 degrees</w:t>
            </w:r>
          </w:p>
          <w:p w14:paraId="627618DB" w14:textId="77777777" w:rsidR="004E1607" w:rsidRDefault="004E1607" w:rsidP="004E1607">
            <w:pPr>
              <w:rPr>
                <w:sz w:val="20"/>
                <w:lang w:eastAsia="en-US"/>
              </w:rPr>
            </w:pPr>
            <w:r>
              <w:rPr>
                <w:sz w:val="20"/>
                <w:lang w:eastAsia="en-US"/>
              </w:rPr>
              <w:t>3. present, tail bend angle is greater than 40 degrees</w:t>
            </w:r>
          </w:p>
        </w:tc>
      </w:tr>
      <w:tr w:rsidR="004E1607" w14:paraId="26D447ED" w14:textId="77777777" w:rsidTr="004E1607">
        <w:tc>
          <w:tcPr>
            <w:tcW w:w="0" w:type="auto"/>
            <w:tcBorders>
              <w:top w:val="single" w:sz="4" w:space="0" w:color="auto"/>
              <w:left w:val="single" w:sz="4" w:space="0" w:color="auto"/>
              <w:bottom w:val="single" w:sz="4" w:space="0" w:color="auto"/>
              <w:right w:val="single" w:sz="4" w:space="0" w:color="auto"/>
            </w:tcBorders>
          </w:tcPr>
          <w:p w14:paraId="2CA7E223" w14:textId="1756AD6D" w:rsidR="004E1607" w:rsidRDefault="009E2821" w:rsidP="004E1607">
            <w:pPr>
              <w:rPr>
                <w:color w:val="000000"/>
                <w:sz w:val="20"/>
                <w:szCs w:val="20"/>
                <w:lang w:eastAsia="en-US"/>
              </w:rPr>
            </w:pPr>
            <w:r>
              <w:rPr>
                <w:color w:val="000000"/>
                <w:sz w:val="20"/>
                <w:szCs w:val="20"/>
                <w:lang w:eastAsia="en-US"/>
              </w:rPr>
              <w:lastRenderedPageBreak/>
              <w:t>361</w:t>
            </w:r>
          </w:p>
        </w:tc>
        <w:tc>
          <w:tcPr>
            <w:tcW w:w="0" w:type="auto"/>
            <w:tcBorders>
              <w:top w:val="single" w:sz="4" w:space="0" w:color="auto"/>
              <w:left w:val="single" w:sz="4" w:space="0" w:color="auto"/>
              <w:bottom w:val="single" w:sz="4" w:space="0" w:color="auto"/>
              <w:right w:val="single" w:sz="4" w:space="0" w:color="auto"/>
            </w:tcBorders>
            <w:vAlign w:val="bottom"/>
            <w:hideMark/>
          </w:tcPr>
          <w:p w14:paraId="3F9B1DB9" w14:textId="5D2C93FB" w:rsidR="004E1607" w:rsidRDefault="004E1607" w:rsidP="004E1607">
            <w:pPr>
              <w:rPr>
                <w:b/>
                <w:sz w:val="20"/>
                <w:lang w:eastAsia="en-US"/>
              </w:rPr>
            </w:pPr>
            <w:r>
              <w:rPr>
                <w:b/>
                <w:sz w:val="20"/>
                <w:lang w:eastAsia="en-US"/>
              </w:rPr>
              <w:t>Caudal vertebrae, number of vertebrae involved in the tail deflection:</w:t>
            </w:r>
          </w:p>
          <w:p w14:paraId="138D32D9" w14:textId="2472F3C6" w:rsidR="004E1607" w:rsidRDefault="004E1607" w:rsidP="004E1607">
            <w:pPr>
              <w:autoSpaceDE w:val="0"/>
              <w:autoSpaceDN w:val="0"/>
              <w:adjustRightInd w:val="0"/>
              <w:rPr>
                <w:i/>
                <w:sz w:val="20"/>
                <w:szCs w:val="20"/>
              </w:rPr>
            </w:pPr>
            <w:r>
              <w:rPr>
                <w:i/>
                <w:sz w:val="20"/>
                <w:szCs w:val="20"/>
              </w:rPr>
              <w:t>Ősi et al. (in review, ds 1, ch. 358).</w:t>
            </w:r>
          </w:p>
          <w:p w14:paraId="3CD02736" w14:textId="18A881ED" w:rsidR="004E1607" w:rsidRDefault="004E1607" w:rsidP="004E1607">
            <w:pPr>
              <w:autoSpaceDE w:val="0"/>
              <w:autoSpaceDN w:val="0"/>
              <w:adjustRightInd w:val="0"/>
              <w:rPr>
                <w:i/>
                <w:iCs/>
                <w:sz w:val="20"/>
                <w:szCs w:val="20"/>
                <w:lang w:eastAsia="en-US"/>
              </w:rPr>
            </w:pPr>
            <w:r>
              <w:rPr>
                <w:i/>
                <w:iCs/>
                <w:sz w:val="20"/>
                <w:szCs w:val="20"/>
                <w:lang w:eastAsia="en-US"/>
              </w:rPr>
              <w:t>State (2) is a putative apomorphy of Metriorhynchidae.</w:t>
            </w:r>
          </w:p>
          <w:p w14:paraId="187D16C4"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The presence of a ventral deflection of the distal caudal vertebrae is unknown in </w:t>
            </w:r>
            <w:r>
              <w:rPr>
                <w:iCs/>
                <w:sz w:val="20"/>
                <w:szCs w:val="20"/>
                <w:lang w:eastAsia="en-US"/>
              </w:rPr>
              <w:t>Magyarosuchus fitosi</w:t>
            </w:r>
            <w:r>
              <w:rPr>
                <w:i/>
                <w:iCs/>
                <w:sz w:val="20"/>
                <w:szCs w:val="20"/>
                <w:lang w:eastAsia="en-US"/>
              </w:rPr>
              <w:t>.</w:t>
            </w:r>
          </w:p>
          <w:p w14:paraId="11DF1002"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helps define the lower lobe of a hypocercal tail. Note that in ichthyosaurs (Motani, 2005) the abruptness of the caudal series deflection varies between basal and derived clades, and in mosasaurids the tail bend is spread out across multiple vertebrae, similarly to basal ichthyosaurs (Lindgren et al. 2008, 2010). Therefore, a multi-state was created here to accommodate potential basal metriorhynchoids with a tail bend spread across a high number of caudal vertebrae.</w:t>
            </w:r>
          </w:p>
          <w:p w14:paraId="3575D60C"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helps score the modification of the distal caudal vertebrae into a hypocercal tail.</w:t>
            </w:r>
          </w:p>
          <w:p w14:paraId="04A1627B"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Note that juvenile specimens cannot be used to score this character (e.g. </w:t>
            </w:r>
            <w:r>
              <w:rPr>
                <w:iCs/>
                <w:sz w:val="20"/>
                <w:szCs w:val="20"/>
                <w:lang w:eastAsia="en-US"/>
              </w:rPr>
              <w:t>Rhacheosaurus gracilis</w:t>
            </w:r>
            <w:r>
              <w:rPr>
                <w:i/>
                <w:iCs/>
                <w:sz w:val="20"/>
                <w:szCs w:val="20"/>
                <w:lang w:eastAsia="en-US"/>
              </w:rPr>
              <w:t>) as there may be an ontogenetic increase in the angle, such as in ichthyosaurs.</w:t>
            </w:r>
          </w:p>
          <w:p w14:paraId="3E4BAD2D" w14:textId="77777777" w:rsidR="004E1607" w:rsidRDefault="004E1607" w:rsidP="004E1607">
            <w:pPr>
              <w:rPr>
                <w:sz w:val="20"/>
                <w:lang w:eastAsia="en-US"/>
              </w:rPr>
            </w:pPr>
            <w:r>
              <w:rPr>
                <w:sz w:val="20"/>
                <w:lang w:eastAsia="en-US"/>
              </w:rPr>
              <w:t>0. no ventral deflection of the distal caudal series</w:t>
            </w:r>
          </w:p>
          <w:p w14:paraId="783F5C6E" w14:textId="77777777" w:rsidR="004E1607" w:rsidRDefault="004E1607" w:rsidP="004E1607">
            <w:pPr>
              <w:rPr>
                <w:sz w:val="20"/>
                <w:lang w:eastAsia="en-US"/>
              </w:rPr>
            </w:pPr>
            <w:r>
              <w:rPr>
                <w:sz w:val="20"/>
                <w:lang w:eastAsia="en-US"/>
              </w:rPr>
              <w:t>1. deflection is large, occurring over 15 to 30 vertebrae</w:t>
            </w:r>
          </w:p>
          <w:p w14:paraId="31C9D3EF" w14:textId="77777777" w:rsidR="004E1607" w:rsidRDefault="004E1607" w:rsidP="004E1607">
            <w:pPr>
              <w:rPr>
                <w:sz w:val="20"/>
                <w:lang w:eastAsia="en-US"/>
              </w:rPr>
            </w:pPr>
            <w:r>
              <w:rPr>
                <w:sz w:val="20"/>
                <w:lang w:eastAsia="en-US"/>
              </w:rPr>
              <w:t>2. deflection is abrupt, occurring over 5 to 10 vertebrae</w:t>
            </w:r>
          </w:p>
        </w:tc>
      </w:tr>
      <w:tr w:rsidR="004E1607" w14:paraId="1966DEA0" w14:textId="77777777" w:rsidTr="004E1607">
        <w:tc>
          <w:tcPr>
            <w:tcW w:w="0" w:type="auto"/>
            <w:tcBorders>
              <w:top w:val="single" w:sz="4" w:space="0" w:color="auto"/>
              <w:left w:val="single" w:sz="4" w:space="0" w:color="auto"/>
              <w:bottom w:val="single" w:sz="4" w:space="0" w:color="auto"/>
              <w:right w:val="single" w:sz="4" w:space="0" w:color="auto"/>
            </w:tcBorders>
          </w:tcPr>
          <w:p w14:paraId="38D8093E" w14:textId="623D2644" w:rsidR="004E1607" w:rsidRDefault="009E2821" w:rsidP="004E1607">
            <w:pPr>
              <w:rPr>
                <w:color w:val="000000"/>
                <w:sz w:val="20"/>
                <w:szCs w:val="20"/>
                <w:lang w:eastAsia="en-US"/>
              </w:rPr>
            </w:pPr>
            <w:r>
              <w:rPr>
                <w:color w:val="000000"/>
                <w:sz w:val="20"/>
                <w:szCs w:val="20"/>
                <w:lang w:eastAsia="en-US"/>
              </w:rPr>
              <w:t>362</w:t>
            </w:r>
          </w:p>
        </w:tc>
        <w:tc>
          <w:tcPr>
            <w:tcW w:w="0" w:type="auto"/>
            <w:tcBorders>
              <w:top w:val="single" w:sz="4" w:space="0" w:color="auto"/>
              <w:left w:val="single" w:sz="4" w:space="0" w:color="auto"/>
              <w:bottom w:val="single" w:sz="4" w:space="0" w:color="auto"/>
              <w:right w:val="single" w:sz="4" w:space="0" w:color="auto"/>
            </w:tcBorders>
            <w:vAlign w:val="bottom"/>
            <w:hideMark/>
          </w:tcPr>
          <w:p w14:paraId="52E76790" w14:textId="77777777" w:rsidR="004E1607" w:rsidRDefault="004E1607" w:rsidP="004E1607">
            <w:pPr>
              <w:rPr>
                <w:b/>
                <w:color w:val="000000"/>
                <w:sz w:val="20"/>
                <w:szCs w:val="20"/>
                <w:lang w:eastAsia="en-US"/>
              </w:rPr>
            </w:pPr>
            <w:r>
              <w:rPr>
                <w:b/>
                <w:color w:val="000000"/>
                <w:sz w:val="20"/>
                <w:szCs w:val="20"/>
                <w:lang w:eastAsia="en-US"/>
              </w:rPr>
              <w:t>Axis rib:</w:t>
            </w:r>
          </w:p>
          <w:p w14:paraId="127CE990" w14:textId="275DA019" w:rsidR="004E1607" w:rsidRDefault="004E1607" w:rsidP="004E1607">
            <w:pPr>
              <w:autoSpaceDE w:val="0"/>
              <w:autoSpaceDN w:val="0"/>
              <w:adjustRightInd w:val="0"/>
              <w:rPr>
                <w:i/>
                <w:sz w:val="20"/>
                <w:szCs w:val="20"/>
                <w:lang w:eastAsia="en-US"/>
              </w:rPr>
            </w:pPr>
            <w:r>
              <w:rPr>
                <w:i/>
                <w:sz w:val="20"/>
                <w:szCs w:val="20"/>
                <w:lang w:eastAsia="en-US"/>
              </w:rPr>
              <w:t xml:space="preserve">Young et al. (2012, ch. 193); Young (2014, ch. 202); Young et al. (2016, ds 2, ch. 241); Ristevski et al. (2018, ds 2, ch. 311); Smith et al. (in review, ds 1, ch. 316); </w:t>
            </w:r>
            <w:r>
              <w:rPr>
                <w:i/>
                <w:sz w:val="20"/>
                <w:szCs w:val="20"/>
              </w:rPr>
              <w:t>Ősi et al. (in review, ds 1, ch. 359)</w:t>
            </w:r>
            <w:r>
              <w:rPr>
                <w:i/>
                <w:sz w:val="20"/>
                <w:szCs w:val="20"/>
                <w:lang w:eastAsia="en-US"/>
              </w:rPr>
              <w:t>.</w:t>
            </w:r>
          </w:p>
          <w:p w14:paraId="5D190284" w14:textId="77777777" w:rsidR="004E1607" w:rsidRDefault="004E1607" w:rsidP="004E1607">
            <w:pPr>
              <w:rPr>
                <w:i/>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Pelagosaurus</w:t>
            </w:r>
            <w:r>
              <w:rPr>
                <w:i/>
                <w:color w:val="000000"/>
                <w:sz w:val="20"/>
                <w:szCs w:val="20"/>
                <w:lang w:eastAsia="en-US"/>
              </w:rPr>
              <w:t xml:space="preserve"> + Metriorhynchidae. </w:t>
            </w:r>
          </w:p>
          <w:p w14:paraId="23826D8D" w14:textId="2B5F3EF9" w:rsidR="004E1607" w:rsidRDefault="004E1607" w:rsidP="004E1607">
            <w:pPr>
              <w:rPr>
                <w:i/>
                <w:color w:val="000000"/>
                <w:sz w:val="20"/>
                <w:szCs w:val="20"/>
                <w:lang w:eastAsia="en-US"/>
              </w:rPr>
            </w:pPr>
            <w:r>
              <w:rPr>
                <w:i/>
                <w:color w:val="000000"/>
                <w:sz w:val="20"/>
                <w:szCs w:val="20"/>
                <w:lang w:eastAsia="en-US"/>
              </w:rPr>
              <w:t>Callovian teleosaur</w:t>
            </w:r>
            <w:r w:rsidR="00007246">
              <w:rPr>
                <w:i/>
                <w:color w:val="000000"/>
                <w:sz w:val="20"/>
                <w:szCs w:val="20"/>
                <w:lang w:eastAsia="en-US"/>
              </w:rPr>
              <w:t>o</w:t>
            </w:r>
            <w:r>
              <w:rPr>
                <w:i/>
                <w:color w:val="000000"/>
                <w:sz w:val="20"/>
                <w:szCs w:val="20"/>
                <w:lang w:eastAsia="en-US"/>
              </w:rPr>
              <w:t>ids have a distinct ‘bump’ or ‘process’ where a second articular head would be (see Andrews, 1913). However, in no specimen is there a second articular head preserved.</w:t>
            </w:r>
          </w:p>
          <w:p w14:paraId="5DB18DC4" w14:textId="77777777" w:rsidR="004E1607" w:rsidRDefault="004E1607" w:rsidP="004E1607">
            <w:pPr>
              <w:rPr>
                <w:color w:val="000000"/>
                <w:sz w:val="20"/>
                <w:szCs w:val="20"/>
                <w:lang w:eastAsia="en-US"/>
              </w:rPr>
            </w:pPr>
            <w:r>
              <w:rPr>
                <w:color w:val="000000"/>
                <w:sz w:val="20"/>
                <w:szCs w:val="20"/>
                <w:lang w:eastAsia="en-US"/>
              </w:rPr>
              <w:t>0. holocephalous (rib elongate, with one articular head)</w:t>
            </w:r>
          </w:p>
          <w:p w14:paraId="7F988658" w14:textId="77777777" w:rsidR="004E1607" w:rsidRDefault="004E1607" w:rsidP="004E1607">
            <w:pPr>
              <w:autoSpaceDE w:val="0"/>
              <w:autoSpaceDN w:val="0"/>
              <w:adjustRightInd w:val="0"/>
              <w:rPr>
                <w:b/>
                <w:bCs/>
                <w:sz w:val="20"/>
                <w:szCs w:val="20"/>
                <w:lang w:eastAsia="en-US"/>
              </w:rPr>
            </w:pPr>
            <w:r>
              <w:rPr>
                <w:color w:val="000000"/>
                <w:sz w:val="20"/>
                <w:szCs w:val="20"/>
                <w:lang w:eastAsia="en-US"/>
              </w:rPr>
              <w:t>1. dichocephalous (rib triradiate, with two articular heads)</w:t>
            </w:r>
          </w:p>
        </w:tc>
      </w:tr>
      <w:tr w:rsidR="004E1607" w14:paraId="5167A844" w14:textId="77777777" w:rsidTr="004E1607">
        <w:tc>
          <w:tcPr>
            <w:tcW w:w="0" w:type="auto"/>
            <w:tcBorders>
              <w:top w:val="single" w:sz="4" w:space="0" w:color="auto"/>
              <w:left w:val="single" w:sz="4" w:space="0" w:color="auto"/>
              <w:bottom w:val="single" w:sz="4" w:space="0" w:color="auto"/>
              <w:right w:val="single" w:sz="4" w:space="0" w:color="auto"/>
            </w:tcBorders>
          </w:tcPr>
          <w:p w14:paraId="1A774EF5" w14:textId="020552C0" w:rsidR="004E1607" w:rsidRDefault="009E2821" w:rsidP="004E1607">
            <w:pPr>
              <w:rPr>
                <w:color w:val="000000"/>
                <w:sz w:val="20"/>
                <w:szCs w:val="20"/>
                <w:lang w:eastAsia="en-US"/>
              </w:rPr>
            </w:pPr>
            <w:r>
              <w:rPr>
                <w:color w:val="000000"/>
                <w:sz w:val="20"/>
                <w:szCs w:val="20"/>
                <w:lang w:eastAsia="en-US"/>
              </w:rPr>
              <w:t>363</w:t>
            </w:r>
          </w:p>
        </w:tc>
        <w:tc>
          <w:tcPr>
            <w:tcW w:w="0" w:type="auto"/>
            <w:tcBorders>
              <w:top w:val="single" w:sz="4" w:space="0" w:color="auto"/>
              <w:left w:val="single" w:sz="4" w:space="0" w:color="auto"/>
              <w:bottom w:val="single" w:sz="4" w:space="0" w:color="auto"/>
              <w:right w:val="single" w:sz="4" w:space="0" w:color="auto"/>
            </w:tcBorders>
            <w:vAlign w:val="bottom"/>
            <w:hideMark/>
          </w:tcPr>
          <w:p w14:paraId="6E1CD4A2" w14:textId="77777777" w:rsidR="004E1607" w:rsidRDefault="004E1607" w:rsidP="004E1607">
            <w:pPr>
              <w:rPr>
                <w:b/>
                <w:color w:val="000000"/>
                <w:sz w:val="20"/>
                <w:szCs w:val="20"/>
                <w:lang w:eastAsia="en-US"/>
              </w:rPr>
            </w:pPr>
            <w:r>
              <w:rPr>
                <w:b/>
                <w:color w:val="000000"/>
                <w:sz w:val="20"/>
                <w:szCs w:val="20"/>
                <w:lang w:eastAsia="en-US"/>
              </w:rPr>
              <w:t>Axis rib, tuberculum:</w:t>
            </w:r>
          </w:p>
          <w:p w14:paraId="63163D91" w14:textId="7BE1C561"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149); </w:t>
            </w:r>
            <w:r>
              <w:rPr>
                <w:bCs/>
                <w:i/>
                <w:color w:val="000000"/>
                <w:sz w:val="20"/>
                <w:szCs w:val="20"/>
                <w:lang w:eastAsia="en-US"/>
              </w:rPr>
              <w:t xml:space="preserve">Young et al. (2011, ch. 149); Young et al. (2013a, ch. 162); </w:t>
            </w:r>
            <w:r>
              <w:rPr>
                <w:i/>
                <w:sz w:val="20"/>
                <w:szCs w:val="20"/>
                <w:lang w:eastAsia="en-US"/>
              </w:rPr>
              <w:t xml:space="preserve">Young et al. (2012, ch. 194); Young (2014, ch. 203); Young et al. (2016, ds 2, ch. 242); Ristevski et al. (2018, ds 2, ch. 312); Smith et al. (in review, ds 1, ch. 317); </w:t>
            </w:r>
            <w:r>
              <w:rPr>
                <w:i/>
                <w:sz w:val="20"/>
                <w:szCs w:val="20"/>
              </w:rPr>
              <w:t>Ősi et al. (in review, ds 1, ch. 360)</w:t>
            </w:r>
            <w:r>
              <w:rPr>
                <w:i/>
                <w:sz w:val="20"/>
                <w:szCs w:val="20"/>
                <w:lang w:eastAsia="en-US"/>
              </w:rPr>
              <w:t>.</w:t>
            </w:r>
          </w:p>
          <w:p w14:paraId="6744C11C" w14:textId="1235EC30" w:rsidR="004E1607" w:rsidRDefault="004E1607" w:rsidP="004E1607">
            <w:pPr>
              <w:rPr>
                <w:color w:val="000000"/>
                <w:sz w:val="20"/>
                <w:szCs w:val="20"/>
                <w:lang w:eastAsia="en-US"/>
              </w:rPr>
            </w:pPr>
            <w:r>
              <w:rPr>
                <w:color w:val="000000"/>
                <w:sz w:val="20"/>
                <w:szCs w:val="20"/>
                <w:lang w:eastAsia="en-US"/>
              </w:rPr>
              <w:t>0. wide with broad dorsal tip</w:t>
            </w:r>
          </w:p>
          <w:p w14:paraId="53B13C6B" w14:textId="77777777" w:rsidR="004E1607" w:rsidRDefault="004E1607" w:rsidP="004E1607">
            <w:pPr>
              <w:rPr>
                <w:color w:val="000000"/>
                <w:sz w:val="20"/>
                <w:szCs w:val="20"/>
                <w:lang w:eastAsia="en-US"/>
              </w:rPr>
            </w:pPr>
            <w:r>
              <w:rPr>
                <w:color w:val="000000"/>
                <w:sz w:val="20"/>
                <w:szCs w:val="20"/>
                <w:lang w:eastAsia="en-US"/>
              </w:rPr>
              <w:t>1. narrow with acute dorsal tip</w:t>
            </w:r>
          </w:p>
        </w:tc>
      </w:tr>
      <w:tr w:rsidR="004E1607" w14:paraId="501794F3" w14:textId="77777777" w:rsidTr="004E1607">
        <w:tc>
          <w:tcPr>
            <w:tcW w:w="0" w:type="auto"/>
            <w:tcBorders>
              <w:top w:val="single" w:sz="4" w:space="0" w:color="auto"/>
              <w:left w:val="single" w:sz="4" w:space="0" w:color="auto"/>
              <w:bottom w:val="single" w:sz="4" w:space="0" w:color="auto"/>
              <w:right w:val="single" w:sz="4" w:space="0" w:color="auto"/>
            </w:tcBorders>
          </w:tcPr>
          <w:p w14:paraId="10AF18EA" w14:textId="5F55CA0A" w:rsidR="004E1607" w:rsidRDefault="009E2821" w:rsidP="004E1607">
            <w:pPr>
              <w:rPr>
                <w:color w:val="000000"/>
                <w:sz w:val="20"/>
                <w:szCs w:val="20"/>
                <w:lang w:eastAsia="en-US"/>
              </w:rPr>
            </w:pPr>
            <w:r>
              <w:rPr>
                <w:color w:val="000000"/>
                <w:sz w:val="20"/>
                <w:szCs w:val="20"/>
                <w:lang w:eastAsia="en-US"/>
              </w:rPr>
              <w:t>364</w:t>
            </w:r>
          </w:p>
        </w:tc>
        <w:tc>
          <w:tcPr>
            <w:tcW w:w="0" w:type="auto"/>
            <w:tcBorders>
              <w:top w:val="single" w:sz="4" w:space="0" w:color="auto"/>
              <w:left w:val="single" w:sz="4" w:space="0" w:color="auto"/>
              <w:bottom w:val="single" w:sz="4" w:space="0" w:color="auto"/>
              <w:right w:val="single" w:sz="4" w:space="0" w:color="auto"/>
            </w:tcBorders>
            <w:hideMark/>
          </w:tcPr>
          <w:p w14:paraId="285B852D" w14:textId="77777777" w:rsidR="004E1607" w:rsidRDefault="004E1607" w:rsidP="004E1607">
            <w:pPr>
              <w:autoSpaceDE w:val="0"/>
              <w:autoSpaceDN w:val="0"/>
              <w:adjustRightInd w:val="0"/>
              <w:rPr>
                <w:b/>
                <w:bCs/>
                <w:sz w:val="20"/>
                <w:szCs w:val="20"/>
                <w:lang w:eastAsia="en-US"/>
              </w:rPr>
            </w:pPr>
            <w:r>
              <w:rPr>
                <w:b/>
                <w:bCs/>
                <w:sz w:val="20"/>
                <w:szCs w:val="20"/>
                <w:lang w:eastAsia="en-US"/>
              </w:rPr>
              <w:t>Atlantal ribs, presence of very thin medial laminae at anterior end:</w:t>
            </w:r>
          </w:p>
          <w:p w14:paraId="5A10E3B7" w14:textId="7D125F0B" w:rsidR="004E1607" w:rsidRDefault="004E1607" w:rsidP="004E1607">
            <w:pPr>
              <w:autoSpaceDE w:val="0"/>
              <w:autoSpaceDN w:val="0"/>
              <w:adjustRightInd w:val="0"/>
              <w:rPr>
                <w:bCs/>
                <w:i/>
                <w:sz w:val="20"/>
                <w:lang w:eastAsia="en-US"/>
              </w:rPr>
            </w:pPr>
            <w:r>
              <w:rPr>
                <w:bCs/>
                <w:i/>
                <w:sz w:val="20"/>
                <w:szCs w:val="20"/>
                <w:lang w:eastAsia="en-US"/>
              </w:rPr>
              <w:t>Brochu (1999, ch. 16);</w:t>
            </w:r>
            <w:r>
              <w:rPr>
                <w:b/>
                <w:bCs/>
                <w:sz w:val="20"/>
                <w:szCs w:val="20"/>
                <w:lang w:eastAsia="en-US"/>
              </w:rPr>
              <w:t xml:space="preserve"> </w:t>
            </w:r>
            <w:r>
              <w:rPr>
                <w:bCs/>
                <w:i/>
                <w:sz w:val="20"/>
                <w:lang w:eastAsia="en-US"/>
              </w:rPr>
              <w:t>Andrade et al. (2011, ch. 437);</w:t>
            </w:r>
            <w:r>
              <w:rPr>
                <w:i/>
                <w:sz w:val="20"/>
                <w:szCs w:val="20"/>
                <w:lang w:eastAsia="en-US"/>
              </w:rPr>
              <w:t xml:space="preserve"> Ristevski et al. (2018, ds 1, ch. 437); Smith et al. (in review, ds 2, ch. 437); </w:t>
            </w:r>
            <w:r>
              <w:rPr>
                <w:i/>
                <w:sz w:val="20"/>
                <w:szCs w:val="20"/>
              </w:rPr>
              <w:t>Ősi et al. (in review, ds 1, ch. 361)</w:t>
            </w:r>
            <w:r>
              <w:rPr>
                <w:bCs/>
                <w:i/>
                <w:sz w:val="20"/>
                <w:lang w:eastAsia="en-US"/>
              </w:rPr>
              <w:t>.</w:t>
            </w:r>
          </w:p>
          <w:p w14:paraId="54FCD18D" w14:textId="77777777" w:rsidR="004E1607" w:rsidRDefault="004E1607" w:rsidP="004E1607">
            <w:pPr>
              <w:autoSpaceDE w:val="0"/>
              <w:autoSpaceDN w:val="0"/>
              <w:adjustRightInd w:val="0"/>
              <w:rPr>
                <w:b/>
                <w:bCs/>
                <w:sz w:val="20"/>
                <w:szCs w:val="20"/>
                <w:lang w:eastAsia="en-US"/>
              </w:rPr>
            </w:pPr>
            <w:r>
              <w:rPr>
                <w:bCs/>
                <w:i/>
                <w:sz w:val="20"/>
                <w:lang w:eastAsia="en-US"/>
              </w:rPr>
              <w:t>State (1) is a putative apomorphy of Caimaninae.</w:t>
            </w:r>
          </w:p>
          <w:p w14:paraId="01FFE18C" w14:textId="77777777" w:rsidR="004E1607" w:rsidRDefault="004E1607" w:rsidP="004E1607">
            <w:pPr>
              <w:autoSpaceDE w:val="0"/>
              <w:autoSpaceDN w:val="0"/>
              <w:adjustRightInd w:val="0"/>
              <w:rPr>
                <w:sz w:val="20"/>
                <w:szCs w:val="20"/>
                <w:lang w:eastAsia="en-US"/>
              </w:rPr>
            </w:pPr>
            <w:r>
              <w:rPr>
                <w:sz w:val="20"/>
                <w:szCs w:val="20"/>
                <w:lang w:eastAsia="en-US"/>
              </w:rPr>
              <w:t>0. absent</w:t>
            </w:r>
          </w:p>
          <w:p w14:paraId="507C6ABC" w14:textId="77777777" w:rsidR="004E1607" w:rsidRDefault="004E1607" w:rsidP="004E1607">
            <w:pPr>
              <w:rPr>
                <w:b/>
                <w:color w:val="000000"/>
                <w:sz w:val="20"/>
                <w:szCs w:val="20"/>
                <w:lang w:eastAsia="en-US"/>
              </w:rPr>
            </w:pPr>
            <w:r>
              <w:rPr>
                <w:sz w:val="20"/>
                <w:szCs w:val="20"/>
                <w:lang w:eastAsia="en-US"/>
              </w:rPr>
              <w:t>1. present</w:t>
            </w:r>
          </w:p>
        </w:tc>
      </w:tr>
      <w:tr w:rsidR="004E1607" w14:paraId="7E63CE8C" w14:textId="77777777" w:rsidTr="004E1607">
        <w:tc>
          <w:tcPr>
            <w:tcW w:w="0" w:type="auto"/>
            <w:tcBorders>
              <w:top w:val="single" w:sz="4" w:space="0" w:color="auto"/>
              <w:left w:val="single" w:sz="4" w:space="0" w:color="auto"/>
              <w:bottom w:val="single" w:sz="4" w:space="0" w:color="auto"/>
              <w:right w:val="single" w:sz="4" w:space="0" w:color="auto"/>
            </w:tcBorders>
          </w:tcPr>
          <w:p w14:paraId="33BA1947" w14:textId="7AD76C5A" w:rsidR="004E1607" w:rsidRDefault="009E2821" w:rsidP="004E1607">
            <w:pPr>
              <w:rPr>
                <w:color w:val="000000"/>
                <w:sz w:val="20"/>
                <w:szCs w:val="20"/>
                <w:lang w:eastAsia="en-US"/>
              </w:rPr>
            </w:pPr>
            <w:r>
              <w:rPr>
                <w:color w:val="000000"/>
                <w:sz w:val="20"/>
                <w:szCs w:val="20"/>
                <w:lang w:eastAsia="en-US"/>
              </w:rPr>
              <w:t>365</w:t>
            </w:r>
          </w:p>
        </w:tc>
        <w:tc>
          <w:tcPr>
            <w:tcW w:w="0" w:type="auto"/>
            <w:tcBorders>
              <w:top w:val="single" w:sz="4" w:space="0" w:color="auto"/>
              <w:left w:val="single" w:sz="4" w:space="0" w:color="auto"/>
              <w:bottom w:val="single" w:sz="4" w:space="0" w:color="auto"/>
              <w:right w:val="single" w:sz="4" w:space="0" w:color="auto"/>
            </w:tcBorders>
            <w:vAlign w:val="bottom"/>
            <w:hideMark/>
          </w:tcPr>
          <w:p w14:paraId="05687AF5" w14:textId="77777777" w:rsidR="004E1607" w:rsidRDefault="004E1607" w:rsidP="004E1607">
            <w:pPr>
              <w:rPr>
                <w:b/>
                <w:color w:val="000000"/>
                <w:sz w:val="20"/>
                <w:szCs w:val="20"/>
                <w:lang w:eastAsia="en-US"/>
              </w:rPr>
            </w:pPr>
            <w:r>
              <w:rPr>
                <w:b/>
                <w:color w:val="000000"/>
                <w:sz w:val="20"/>
                <w:szCs w:val="20"/>
                <w:lang w:eastAsia="en-US"/>
              </w:rPr>
              <w:t>Sacral vertebrae, relative position of lateral end of the transverse processes (= sacral ribs): (ORDERED)</w:t>
            </w:r>
          </w:p>
          <w:p w14:paraId="1441CB65" w14:textId="3AF65A82" w:rsidR="004E1607" w:rsidRDefault="004E1607" w:rsidP="004E1607">
            <w:pPr>
              <w:autoSpaceDE w:val="0"/>
              <w:autoSpaceDN w:val="0"/>
              <w:adjustRightInd w:val="0"/>
              <w:rPr>
                <w:i/>
                <w:sz w:val="20"/>
                <w:szCs w:val="20"/>
                <w:lang w:eastAsia="en-US"/>
              </w:rPr>
            </w:pPr>
            <w:r>
              <w:rPr>
                <w:i/>
                <w:sz w:val="20"/>
                <w:szCs w:val="20"/>
                <w:lang w:eastAsia="en-US"/>
              </w:rPr>
              <w:t xml:space="preserve">Young (2006, ch. 53 + 54); Wilkinson et al. (2008, ch. 81 + 82); Young &amp; Andrade (2009, ch. 81 + 82); Andrade et al. (2011, ch. 433 + 434); </w:t>
            </w:r>
            <w:r>
              <w:rPr>
                <w:bCs/>
                <w:i/>
                <w:color w:val="000000"/>
                <w:sz w:val="20"/>
                <w:szCs w:val="20"/>
                <w:lang w:eastAsia="en-US"/>
              </w:rPr>
              <w:t xml:space="preserve">Young et al. (2011, ch. 81 + 82); Young et al. (2013a, ch. 163 + 164); </w:t>
            </w:r>
            <w:r>
              <w:rPr>
                <w:i/>
                <w:sz w:val="20"/>
                <w:szCs w:val="20"/>
                <w:lang w:eastAsia="en-US"/>
              </w:rPr>
              <w:t xml:space="preserve">Young et al. (2012, ch. 195 + 196); Young (2014, ch. 204 + 205); Young et al. (2016, ds </w:t>
            </w:r>
            <w:r>
              <w:rPr>
                <w:i/>
                <w:sz w:val="20"/>
                <w:szCs w:val="20"/>
                <w:lang w:eastAsia="en-US"/>
              </w:rPr>
              <w:lastRenderedPageBreak/>
              <w:t xml:space="preserve">2, ch. 243 + 244); Ristevski et al. (2018, ds 2, ch. 313); Smith et al. (in review, ds 2, ch. 318); </w:t>
            </w:r>
            <w:r>
              <w:rPr>
                <w:i/>
                <w:sz w:val="20"/>
                <w:szCs w:val="20"/>
              </w:rPr>
              <w:t>Ősi et al. (in review, ds 1, ch. 362)</w:t>
            </w:r>
            <w:r>
              <w:rPr>
                <w:i/>
                <w:sz w:val="20"/>
                <w:szCs w:val="20"/>
                <w:lang w:eastAsia="en-US"/>
              </w:rPr>
              <w:t>.</w:t>
            </w:r>
          </w:p>
          <w:p w14:paraId="3B24929F" w14:textId="7FFF9CD0" w:rsidR="004E1607" w:rsidRDefault="004E1607" w:rsidP="004E1607">
            <w:pPr>
              <w:autoSpaceDE w:val="0"/>
              <w:autoSpaceDN w:val="0"/>
              <w:adjustRightInd w:val="0"/>
              <w:rPr>
                <w:i/>
                <w:iCs/>
                <w:sz w:val="20"/>
                <w:szCs w:val="20"/>
                <w:lang w:eastAsia="en-US"/>
              </w:rPr>
            </w:pPr>
            <w:r>
              <w:rPr>
                <w:i/>
                <w:iCs/>
                <w:sz w:val="20"/>
                <w:szCs w:val="20"/>
                <w:lang w:eastAsia="en-US"/>
              </w:rPr>
              <w:t xml:space="preserve">In Thalattosuchia the first sacral (as often the second) has its transverse processes at least poorly arched ventrally (see Andrews, 1913). In </w:t>
            </w:r>
            <w:r>
              <w:rPr>
                <w:sz w:val="20"/>
                <w:szCs w:val="20"/>
                <w:lang w:eastAsia="en-US"/>
              </w:rPr>
              <w:t xml:space="preserve">Pelagosaurus </w:t>
            </w:r>
            <w:r>
              <w:rPr>
                <w:i/>
                <w:iCs/>
                <w:sz w:val="20"/>
                <w:szCs w:val="20"/>
                <w:lang w:eastAsia="en-US"/>
              </w:rPr>
              <w:t>and metriorhynchids the transverse processes are strongly arched ventrally projecting the head for head contact with the ilium below the level of the cervical centrum (1), contrasting with teleosaur</w:t>
            </w:r>
            <w:r w:rsidR="00007246">
              <w:rPr>
                <w:i/>
                <w:iCs/>
                <w:sz w:val="20"/>
                <w:szCs w:val="20"/>
                <w:lang w:eastAsia="en-US"/>
              </w:rPr>
              <w:t>o</w:t>
            </w:r>
            <w:r>
              <w:rPr>
                <w:i/>
                <w:iCs/>
                <w:sz w:val="20"/>
                <w:szCs w:val="20"/>
                <w:lang w:eastAsia="en-US"/>
              </w:rPr>
              <w:t xml:space="preserve">ids (e.g., </w:t>
            </w:r>
            <w:r>
              <w:rPr>
                <w:sz w:val="20"/>
                <w:szCs w:val="20"/>
                <w:lang w:eastAsia="en-US"/>
              </w:rPr>
              <w:t>Steneosaurus</w:t>
            </w:r>
            <w:r>
              <w:rPr>
                <w:i/>
                <w:iCs/>
                <w:sz w:val="20"/>
                <w:szCs w:val="20"/>
                <w:lang w:eastAsia="en-US"/>
              </w:rPr>
              <w:t xml:space="preserve">). However, in </w:t>
            </w:r>
            <w:r>
              <w:rPr>
                <w:sz w:val="20"/>
                <w:szCs w:val="20"/>
                <w:lang w:eastAsia="en-US"/>
              </w:rPr>
              <w:t>Pelagosaurus</w:t>
            </w:r>
            <w:r>
              <w:rPr>
                <w:i/>
                <w:iCs/>
                <w:sz w:val="20"/>
                <w:szCs w:val="20"/>
                <w:lang w:eastAsia="en-US"/>
              </w:rPr>
              <w:t>, the transverse processes are not as slender and does not project as ventrally.</w:t>
            </w:r>
          </w:p>
          <w:p w14:paraId="0519A8B2" w14:textId="77777777" w:rsidR="004E1607" w:rsidRDefault="004E1607" w:rsidP="004E1607">
            <w:pPr>
              <w:rPr>
                <w:i/>
                <w:color w:val="000000"/>
                <w:sz w:val="20"/>
                <w:szCs w:val="20"/>
                <w:lang w:eastAsia="en-US"/>
              </w:rPr>
            </w:pPr>
            <w:r>
              <w:rPr>
                <w:i/>
                <w:color w:val="000000"/>
                <w:sz w:val="20"/>
                <w:szCs w:val="20"/>
                <w:lang w:eastAsia="en-US"/>
              </w:rPr>
              <w:t>States (1+2) occur in Thalattosuchia.</w:t>
            </w:r>
          </w:p>
          <w:p w14:paraId="44695A5A" w14:textId="77777777" w:rsidR="004E1607" w:rsidRDefault="004E1607" w:rsidP="004E1607">
            <w:pPr>
              <w:rPr>
                <w:i/>
                <w:color w:val="000000"/>
                <w:sz w:val="20"/>
                <w:szCs w:val="20"/>
                <w:lang w:eastAsia="en-US"/>
              </w:rPr>
            </w:pPr>
            <w:r>
              <w:rPr>
                <w:i/>
                <w:color w:val="000000"/>
                <w:sz w:val="20"/>
                <w:szCs w:val="20"/>
                <w:lang w:eastAsia="en-US"/>
              </w:rPr>
              <w:t>State (1) occurs in teleosauroids.</w:t>
            </w:r>
          </w:p>
          <w:p w14:paraId="18BC168C" w14:textId="77777777" w:rsidR="004E1607" w:rsidRDefault="004E1607" w:rsidP="004E1607">
            <w:pPr>
              <w:rPr>
                <w:i/>
                <w:color w:val="000000"/>
                <w:sz w:val="20"/>
                <w:szCs w:val="20"/>
                <w:lang w:eastAsia="en-US"/>
              </w:rPr>
            </w:pPr>
            <w:r>
              <w:rPr>
                <w:i/>
                <w:color w:val="000000"/>
                <w:sz w:val="20"/>
                <w:szCs w:val="20"/>
                <w:lang w:eastAsia="en-US"/>
              </w:rPr>
              <w:t xml:space="preserve">State (2) is a putative apomorphy of </w:t>
            </w:r>
            <w:r>
              <w:rPr>
                <w:color w:val="000000"/>
                <w:sz w:val="20"/>
                <w:szCs w:val="20"/>
                <w:lang w:eastAsia="en-US"/>
              </w:rPr>
              <w:t>Pelagosaurus</w:t>
            </w:r>
            <w:r>
              <w:rPr>
                <w:i/>
                <w:color w:val="000000"/>
                <w:sz w:val="20"/>
                <w:szCs w:val="20"/>
                <w:lang w:eastAsia="en-US"/>
              </w:rPr>
              <w:t xml:space="preserve"> + Metriorhynchidae.</w:t>
            </w:r>
          </w:p>
          <w:p w14:paraId="02B9C943" w14:textId="77777777" w:rsidR="004E1607" w:rsidRDefault="004E1607" w:rsidP="004E1607">
            <w:pPr>
              <w:autoSpaceDE w:val="0"/>
              <w:autoSpaceDN w:val="0"/>
              <w:adjustRightInd w:val="0"/>
              <w:rPr>
                <w:color w:val="000000"/>
                <w:sz w:val="20"/>
                <w:szCs w:val="20"/>
                <w:lang w:eastAsia="en-US"/>
              </w:rPr>
            </w:pPr>
            <w:r>
              <w:rPr>
                <w:color w:val="000000"/>
                <w:sz w:val="20"/>
                <w:szCs w:val="20"/>
                <w:lang w:eastAsia="en-US"/>
              </w:rPr>
              <w:t xml:space="preserve">0. level with the vertebral centrum </w:t>
            </w:r>
          </w:p>
          <w:p w14:paraId="2C6ABEFF" w14:textId="77777777" w:rsidR="004E1607" w:rsidRDefault="004E1607" w:rsidP="004E1607">
            <w:pPr>
              <w:autoSpaceDE w:val="0"/>
              <w:autoSpaceDN w:val="0"/>
              <w:adjustRightInd w:val="0"/>
              <w:rPr>
                <w:color w:val="000000"/>
                <w:sz w:val="20"/>
                <w:szCs w:val="20"/>
                <w:lang w:eastAsia="en-US"/>
              </w:rPr>
            </w:pPr>
            <w:r>
              <w:rPr>
                <w:color w:val="000000"/>
                <w:sz w:val="20"/>
                <w:szCs w:val="20"/>
                <w:lang w:eastAsia="en-US"/>
              </w:rPr>
              <w:t>1. transverse processes of sacral vertebra one lateroventrally directed, ventral relative to the vertebral centrum</w:t>
            </w:r>
          </w:p>
          <w:p w14:paraId="162E0433" w14:textId="77777777" w:rsidR="004E1607" w:rsidRDefault="004E1607" w:rsidP="004E1607">
            <w:pPr>
              <w:autoSpaceDE w:val="0"/>
              <w:autoSpaceDN w:val="0"/>
              <w:adjustRightInd w:val="0"/>
              <w:rPr>
                <w:color w:val="000000"/>
                <w:lang w:eastAsia="en-US"/>
              </w:rPr>
            </w:pPr>
            <w:r>
              <w:rPr>
                <w:color w:val="000000"/>
                <w:sz w:val="20"/>
                <w:szCs w:val="20"/>
                <w:lang w:eastAsia="en-US"/>
              </w:rPr>
              <w:t>2. transverse processes of both sacral vertebrae are lateroventrally directed, ventral relative to the vertebral centrum. In these taxa, the lateral ends of the transverse processes of both sacral vertebrae are typically significantly ventrally arched.</w:t>
            </w:r>
          </w:p>
        </w:tc>
      </w:tr>
      <w:tr w:rsidR="004E1607" w14:paraId="036A9F49" w14:textId="77777777" w:rsidTr="004E1607">
        <w:tc>
          <w:tcPr>
            <w:tcW w:w="0" w:type="auto"/>
            <w:tcBorders>
              <w:top w:val="single" w:sz="4" w:space="0" w:color="auto"/>
              <w:left w:val="single" w:sz="4" w:space="0" w:color="auto"/>
              <w:bottom w:val="single" w:sz="4" w:space="0" w:color="auto"/>
              <w:right w:val="single" w:sz="4" w:space="0" w:color="auto"/>
            </w:tcBorders>
          </w:tcPr>
          <w:p w14:paraId="55F7CFA3" w14:textId="35243D66" w:rsidR="004E1607" w:rsidRDefault="009E2821" w:rsidP="004E1607">
            <w:pPr>
              <w:rPr>
                <w:color w:val="000000"/>
                <w:sz w:val="20"/>
                <w:szCs w:val="20"/>
                <w:lang w:eastAsia="en-US"/>
              </w:rPr>
            </w:pPr>
            <w:r>
              <w:rPr>
                <w:color w:val="000000"/>
                <w:sz w:val="20"/>
                <w:szCs w:val="20"/>
                <w:lang w:eastAsia="en-US"/>
              </w:rPr>
              <w:lastRenderedPageBreak/>
              <w:t>366</w:t>
            </w:r>
          </w:p>
        </w:tc>
        <w:tc>
          <w:tcPr>
            <w:tcW w:w="0" w:type="auto"/>
            <w:tcBorders>
              <w:top w:val="single" w:sz="4" w:space="0" w:color="auto"/>
              <w:left w:val="single" w:sz="4" w:space="0" w:color="auto"/>
              <w:bottom w:val="single" w:sz="4" w:space="0" w:color="auto"/>
              <w:right w:val="single" w:sz="4" w:space="0" w:color="auto"/>
            </w:tcBorders>
            <w:vAlign w:val="bottom"/>
            <w:hideMark/>
          </w:tcPr>
          <w:p w14:paraId="1EE586F2" w14:textId="646A284C" w:rsidR="004E1607" w:rsidRDefault="004E1607" w:rsidP="004E1607">
            <w:pPr>
              <w:rPr>
                <w:b/>
                <w:color w:val="000000"/>
                <w:sz w:val="20"/>
                <w:szCs w:val="20"/>
                <w:lang w:eastAsia="en-US"/>
              </w:rPr>
            </w:pPr>
            <w:r>
              <w:rPr>
                <w:b/>
                <w:color w:val="000000"/>
                <w:sz w:val="20"/>
                <w:szCs w:val="20"/>
                <w:lang w:eastAsia="en-US"/>
              </w:rPr>
              <w:t>Chevrons (= haemal arches), shape near the distal end of the caudal series:</w:t>
            </w:r>
          </w:p>
          <w:p w14:paraId="6676A683" w14:textId="0AFF7772" w:rsidR="004E1607" w:rsidRDefault="004E1607" w:rsidP="004E1607">
            <w:pPr>
              <w:autoSpaceDE w:val="0"/>
              <w:autoSpaceDN w:val="0"/>
              <w:adjustRightInd w:val="0"/>
              <w:rPr>
                <w:i/>
                <w:sz w:val="20"/>
                <w:szCs w:val="20"/>
                <w:lang w:eastAsia="en-US"/>
              </w:rPr>
            </w:pPr>
            <w:r>
              <w:rPr>
                <w:i/>
                <w:sz w:val="20"/>
                <w:szCs w:val="20"/>
                <w:lang w:eastAsia="en-US"/>
              </w:rPr>
              <w:t xml:space="preserve">Young &amp; Andrade (2009, ch. 164 modified); </w:t>
            </w:r>
            <w:r>
              <w:rPr>
                <w:bCs/>
                <w:i/>
                <w:color w:val="000000"/>
                <w:sz w:val="20"/>
                <w:szCs w:val="20"/>
                <w:lang w:eastAsia="en-US"/>
              </w:rPr>
              <w:t xml:space="preserve">Young et al. (2011, ch. 164 modified); Young et al. (2013a, ch. 165 modified); </w:t>
            </w:r>
            <w:r>
              <w:rPr>
                <w:i/>
                <w:sz w:val="20"/>
                <w:szCs w:val="20"/>
                <w:lang w:eastAsia="en-US"/>
              </w:rPr>
              <w:t xml:space="preserve">Young et al. (2012, ch. 197 modified); Young (2014, ch. 206 modified); Young et al. (2016, ds 2, ch. 245 modified); Ristevski et al. (2018, ds 2, ch. 314 modified); Smith et al. (in review, ds 1, ch. 319 modified); </w:t>
            </w:r>
            <w:r>
              <w:rPr>
                <w:i/>
                <w:sz w:val="20"/>
                <w:szCs w:val="20"/>
              </w:rPr>
              <w:t>Ősi et al. (in review, ds 1, ch. 363)</w:t>
            </w:r>
            <w:r>
              <w:rPr>
                <w:i/>
                <w:sz w:val="20"/>
                <w:szCs w:val="20"/>
                <w:lang w:eastAsia="en-US"/>
              </w:rPr>
              <w:t>.</w:t>
            </w:r>
          </w:p>
          <w:p w14:paraId="70DEDD0F" w14:textId="77777777" w:rsidR="004E1607" w:rsidRDefault="004E1607" w:rsidP="004E1607">
            <w:pPr>
              <w:rPr>
                <w:i/>
                <w:color w:val="000000"/>
                <w:sz w:val="20"/>
                <w:szCs w:val="20"/>
                <w:lang w:eastAsia="en-US"/>
              </w:rPr>
            </w:pPr>
            <w:r>
              <w:rPr>
                <w:i/>
                <w:color w:val="000000"/>
                <w:sz w:val="20"/>
                <w:szCs w:val="20"/>
                <w:lang w:eastAsia="en-US"/>
              </w:rPr>
              <w:t>State (1) is a putative apomorphy of Metriorhynchidae.</w:t>
            </w:r>
          </w:p>
          <w:p w14:paraId="30D370C0" w14:textId="77777777" w:rsidR="004E1607" w:rsidRDefault="004E1607" w:rsidP="004E1607">
            <w:pPr>
              <w:autoSpaceDE w:val="0"/>
              <w:autoSpaceDN w:val="0"/>
              <w:adjustRightInd w:val="0"/>
              <w:rPr>
                <w:i/>
                <w:iCs/>
                <w:sz w:val="20"/>
                <w:szCs w:val="20"/>
                <w:lang w:eastAsia="en-US"/>
              </w:rPr>
            </w:pPr>
            <w:r>
              <w:rPr>
                <w:i/>
                <w:iCs/>
                <w:sz w:val="20"/>
                <w:szCs w:val="20"/>
                <w:lang w:eastAsia="en-US"/>
              </w:rPr>
              <w:t xml:space="preserve">The distal chevrons are unknown in </w:t>
            </w:r>
            <w:r>
              <w:rPr>
                <w:iCs/>
                <w:sz w:val="20"/>
                <w:szCs w:val="20"/>
                <w:lang w:eastAsia="en-US"/>
              </w:rPr>
              <w:t>Magyarosuchus fitosi</w:t>
            </w:r>
            <w:r>
              <w:rPr>
                <w:i/>
                <w:iCs/>
                <w:sz w:val="20"/>
                <w:szCs w:val="20"/>
                <w:lang w:eastAsia="en-US"/>
              </w:rPr>
              <w:t>.</w:t>
            </w:r>
          </w:p>
          <w:p w14:paraId="3A994998"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defines the change to the chevrons that stiffen the distal tail (seen ventral to ‘flexural’ and anterior post-flexural vertebrae).</w:t>
            </w:r>
          </w:p>
          <w:p w14:paraId="25A92FE0" w14:textId="77777777" w:rsidR="004E1607" w:rsidRDefault="004E1607" w:rsidP="004E1607">
            <w:pPr>
              <w:autoSpaceDE w:val="0"/>
              <w:autoSpaceDN w:val="0"/>
              <w:adjustRightInd w:val="0"/>
              <w:rPr>
                <w:bCs/>
                <w:i/>
                <w:color w:val="000000"/>
                <w:sz w:val="20"/>
                <w:szCs w:val="20"/>
                <w:lang w:eastAsia="en-US"/>
              </w:rPr>
            </w:pPr>
            <w:r>
              <w:rPr>
                <w:bCs/>
                <w:i/>
                <w:color w:val="000000"/>
                <w:sz w:val="20"/>
                <w:szCs w:val="20"/>
                <w:lang w:eastAsia="en-US"/>
              </w:rPr>
              <w:t>All the characters relating to the tail fin morphological complex are present in known metriorhynchids; however, in plesiosaurians the presence of these characters is variable between taxa, with no taxon having all the character states (Smith, 2013). Moreover, ichthyosaurs also show a gradual evolution of the tail bend and fin (see Motani, 2005). It is likely the morphological adaptations for a tail fin evolved in a mosaic manner in basal metriorhynchoids as well.</w:t>
            </w:r>
          </w:p>
          <w:p w14:paraId="669E6E2D" w14:textId="77777777" w:rsidR="004E1607" w:rsidRDefault="004E1607" w:rsidP="004E1607">
            <w:pPr>
              <w:autoSpaceDE w:val="0"/>
              <w:autoSpaceDN w:val="0"/>
              <w:adjustRightInd w:val="0"/>
              <w:rPr>
                <w:i/>
                <w:iCs/>
                <w:sz w:val="20"/>
                <w:szCs w:val="20"/>
                <w:lang w:eastAsia="en-US"/>
              </w:rPr>
            </w:pPr>
            <w:r>
              <w:rPr>
                <w:i/>
                <w:iCs/>
                <w:sz w:val="20"/>
                <w:szCs w:val="20"/>
                <w:lang w:eastAsia="en-US"/>
              </w:rPr>
              <w:t>This character helps score the modification of the distal tail into a tail fin.</w:t>
            </w:r>
          </w:p>
          <w:p w14:paraId="66F5B153" w14:textId="77777777" w:rsidR="004E1607" w:rsidRDefault="004E1607" w:rsidP="004E1607">
            <w:pPr>
              <w:rPr>
                <w:color w:val="000000"/>
                <w:sz w:val="20"/>
                <w:szCs w:val="20"/>
                <w:lang w:eastAsia="en-US"/>
              </w:rPr>
            </w:pPr>
            <w:r>
              <w:rPr>
                <w:color w:val="000000"/>
                <w:sz w:val="20"/>
                <w:szCs w:val="20"/>
                <w:lang w:eastAsia="en-US"/>
              </w:rPr>
              <w:t>0. in lateral view they are either sub-triangular in shape or rod-like, in anterior view they are either ‘V’ or ‘Y’ shaped</w:t>
            </w:r>
          </w:p>
          <w:p w14:paraId="7AA0BC74" w14:textId="77777777" w:rsidR="004E1607" w:rsidRDefault="004E1607" w:rsidP="004E1607">
            <w:pPr>
              <w:rPr>
                <w:color w:val="000000"/>
                <w:sz w:val="20"/>
                <w:szCs w:val="20"/>
                <w:lang w:eastAsia="en-US"/>
              </w:rPr>
            </w:pPr>
            <w:r>
              <w:rPr>
                <w:color w:val="000000"/>
                <w:sz w:val="20"/>
                <w:szCs w:val="20"/>
                <w:lang w:eastAsia="en-US"/>
              </w:rPr>
              <w:t>1. in lateral view the main body of the chevron is mediolaterally compressed, deepening it dorsoventrally. In anterior view, some chevrons will have a slight ‘W’ shape, created by the midline anterior process being oriented anterodorsally</w:t>
            </w:r>
          </w:p>
        </w:tc>
      </w:tr>
      <w:tr w:rsidR="004E1607" w14:paraId="5BA4ADAB" w14:textId="77777777" w:rsidTr="004E1607">
        <w:tc>
          <w:tcPr>
            <w:tcW w:w="0" w:type="auto"/>
            <w:tcBorders>
              <w:top w:val="single" w:sz="4" w:space="0" w:color="auto"/>
              <w:left w:val="single" w:sz="4" w:space="0" w:color="auto"/>
              <w:bottom w:val="single" w:sz="4" w:space="0" w:color="auto"/>
              <w:right w:val="single" w:sz="4" w:space="0" w:color="auto"/>
            </w:tcBorders>
          </w:tcPr>
          <w:p w14:paraId="2C6D71C9" w14:textId="1A6891BE" w:rsidR="004E1607" w:rsidRDefault="009E2821" w:rsidP="004E1607">
            <w:pPr>
              <w:rPr>
                <w:color w:val="000000"/>
                <w:sz w:val="20"/>
                <w:szCs w:val="20"/>
                <w:lang w:eastAsia="en-US"/>
              </w:rPr>
            </w:pPr>
            <w:r>
              <w:rPr>
                <w:color w:val="000000"/>
                <w:sz w:val="20"/>
                <w:szCs w:val="20"/>
                <w:lang w:eastAsia="en-US"/>
              </w:rPr>
              <w:t>367</w:t>
            </w:r>
          </w:p>
        </w:tc>
        <w:tc>
          <w:tcPr>
            <w:tcW w:w="0" w:type="auto"/>
            <w:tcBorders>
              <w:top w:val="single" w:sz="4" w:space="0" w:color="auto"/>
              <w:left w:val="single" w:sz="4" w:space="0" w:color="auto"/>
              <w:bottom w:val="single" w:sz="4" w:space="0" w:color="auto"/>
              <w:right w:val="single" w:sz="4" w:space="0" w:color="auto"/>
            </w:tcBorders>
            <w:vAlign w:val="bottom"/>
            <w:hideMark/>
          </w:tcPr>
          <w:p w14:paraId="7DB303AF" w14:textId="644D8203" w:rsidR="004E1607" w:rsidRDefault="004E1607" w:rsidP="004E1607">
            <w:pPr>
              <w:rPr>
                <w:b/>
                <w:color w:val="000000"/>
                <w:sz w:val="20"/>
                <w:szCs w:val="20"/>
                <w:lang w:eastAsia="en-US"/>
              </w:rPr>
            </w:pPr>
            <w:r>
              <w:rPr>
                <w:b/>
                <w:color w:val="000000"/>
                <w:sz w:val="20"/>
                <w:szCs w:val="20"/>
                <w:lang w:eastAsia="en-US"/>
              </w:rPr>
              <w:t>Chevrons (=haemal arches), presence of a notch on the ventral margin of the distal chevrons:</w:t>
            </w:r>
          </w:p>
          <w:p w14:paraId="538BAB3C" w14:textId="68446F69" w:rsidR="004E1607" w:rsidRDefault="004E1607" w:rsidP="004E1607">
            <w:pPr>
              <w:rPr>
                <w:i/>
                <w:sz w:val="20"/>
                <w:szCs w:val="20"/>
              </w:rPr>
            </w:pPr>
            <w:r>
              <w:rPr>
                <w:i/>
                <w:sz w:val="20"/>
                <w:szCs w:val="20"/>
              </w:rPr>
              <w:t>Ősi et al. (in review, ds 1, ch. 364).</w:t>
            </w:r>
          </w:p>
          <w:p w14:paraId="57A13E58" w14:textId="38CAB4ED" w:rsidR="004E1607" w:rsidRDefault="004E1607" w:rsidP="004E1607">
            <w:pPr>
              <w:rPr>
                <w:i/>
                <w:color w:val="000000"/>
                <w:sz w:val="20"/>
                <w:szCs w:val="20"/>
                <w:lang w:eastAsia="en-US"/>
              </w:rPr>
            </w:pPr>
            <w:r>
              <w:rPr>
                <w:i/>
                <w:color w:val="000000"/>
                <w:sz w:val="20"/>
                <w:szCs w:val="20"/>
                <w:lang w:eastAsia="en-US"/>
              </w:rPr>
              <w:t>State (1) is a putative apomorphy of</w:t>
            </w:r>
            <w:r>
              <w:rPr>
                <w:color w:val="000000"/>
                <w:sz w:val="20"/>
                <w:szCs w:val="20"/>
                <w:lang w:eastAsia="en-US"/>
              </w:rPr>
              <w:t xml:space="preserve"> Metriorhynchus superciliosus. </w:t>
            </w:r>
            <w:r>
              <w:rPr>
                <w:i/>
                <w:color w:val="000000"/>
                <w:sz w:val="20"/>
                <w:szCs w:val="20"/>
                <w:lang w:eastAsia="en-US"/>
              </w:rPr>
              <w:t>However, note few metriorhynchids are known to preserve all/most of the flexural and postflexural chevrons. All studied metriorhynchid specimens preserved in limestone from the Late Jurassic of Germany lack these notches.</w:t>
            </w:r>
          </w:p>
          <w:p w14:paraId="5FE193DA" w14:textId="77777777" w:rsidR="004E1607" w:rsidRDefault="004E1607" w:rsidP="004E1607">
            <w:pPr>
              <w:rPr>
                <w:color w:val="000000"/>
                <w:sz w:val="20"/>
                <w:szCs w:val="20"/>
                <w:lang w:eastAsia="en-US"/>
              </w:rPr>
            </w:pPr>
            <w:r>
              <w:rPr>
                <w:i/>
                <w:color w:val="000000"/>
                <w:sz w:val="20"/>
                <w:szCs w:val="20"/>
                <w:lang w:eastAsia="en-US"/>
              </w:rPr>
              <w:t>This character can only be scored if there are multiple distal chevrons preserved, and they have the complete ventral margin.</w:t>
            </w:r>
          </w:p>
          <w:p w14:paraId="6BF202E3" w14:textId="77777777" w:rsidR="004E1607" w:rsidRDefault="004E1607" w:rsidP="004E1607">
            <w:pPr>
              <w:rPr>
                <w:color w:val="000000"/>
                <w:sz w:val="20"/>
                <w:szCs w:val="20"/>
                <w:lang w:eastAsia="en-US"/>
              </w:rPr>
            </w:pPr>
            <w:r>
              <w:rPr>
                <w:color w:val="000000"/>
                <w:sz w:val="20"/>
                <w:szCs w:val="20"/>
                <w:lang w:eastAsia="en-US"/>
              </w:rPr>
              <w:t>0. absent</w:t>
            </w:r>
          </w:p>
          <w:p w14:paraId="3E659F7F" w14:textId="77777777" w:rsidR="004E1607" w:rsidRDefault="004E1607" w:rsidP="004E1607">
            <w:pPr>
              <w:rPr>
                <w:color w:val="000000"/>
                <w:sz w:val="20"/>
                <w:szCs w:val="20"/>
                <w:lang w:eastAsia="en-US"/>
              </w:rPr>
            </w:pPr>
            <w:r>
              <w:rPr>
                <w:color w:val="000000"/>
                <w:sz w:val="20"/>
                <w:szCs w:val="20"/>
                <w:lang w:eastAsia="en-US"/>
              </w:rPr>
              <w:t>1. present</w:t>
            </w:r>
          </w:p>
        </w:tc>
      </w:tr>
    </w:tbl>
    <w:p w14:paraId="57A74D7D" w14:textId="77777777" w:rsidR="004C76BC" w:rsidRDefault="004C76BC" w:rsidP="004C76BC">
      <w:pPr>
        <w:autoSpaceDE w:val="0"/>
        <w:autoSpaceDN w:val="0"/>
        <w:adjustRightInd w:val="0"/>
        <w:rPr>
          <w:color w:val="000000"/>
        </w:rPr>
      </w:pPr>
    </w:p>
    <w:p w14:paraId="4854A27B" w14:textId="6EDEE295" w:rsidR="004C76BC" w:rsidRDefault="004C76BC" w:rsidP="004C76BC">
      <w:r>
        <w:rPr>
          <w:b/>
        </w:rPr>
        <w:t xml:space="preserve">Appendicular skeleton: </w:t>
      </w:r>
      <w:r>
        <w:rPr>
          <w:b/>
          <w:bCs/>
          <w:color w:val="000000"/>
        </w:rPr>
        <w:t>pectoral girdle and forelimbs</w:t>
      </w:r>
      <w:r>
        <w:rPr>
          <w:b/>
        </w:rPr>
        <w:t xml:space="preserve"> </w:t>
      </w:r>
      <w:r>
        <w:t>(Ch. 36</w:t>
      </w:r>
      <w:r w:rsidR="002820A5">
        <w:t>6</w:t>
      </w:r>
      <w:r>
        <w:t xml:space="preserve"> – 38</w:t>
      </w:r>
      <w:r w:rsidR="002820A5">
        <w:t>8</w:t>
      </w:r>
      <w:r>
        <w:t>; 5.066% of characters)</w:t>
      </w:r>
    </w:p>
    <w:p w14:paraId="71EA1C00" w14:textId="77777777" w:rsidR="004C76BC" w:rsidRDefault="004C76BC" w:rsidP="004C76BC">
      <w:pPr>
        <w:rPr>
          <w:rFonts w:eastAsiaTheme="minorHAnsi"/>
          <w:i/>
        </w:rPr>
      </w:pPr>
      <w:r>
        <w:rPr>
          <w:i/>
        </w:rPr>
        <w:t>[pectoral elements (ossa coracoidea &amp; ossa scapula); stylopodia (ossa humeri), zeugopodia (ossa radii &amp; ossa ulnae), autopodia (ossa radialia/ulnaria, ossa metacarpalia,</w:t>
      </w:r>
      <w:bookmarkStart w:id="63" w:name="_Hlk489361421"/>
      <w:r>
        <w:rPr>
          <w:i/>
        </w:rPr>
        <w:t xml:space="preserve"> &amp; ossa digitorum manus</w:t>
      </w:r>
      <w:bookmarkEnd w:id="63"/>
      <w:r>
        <w:rPr>
          <w:i/>
        </w:rPr>
        <w:t>)]</w:t>
      </w:r>
    </w:p>
    <w:p w14:paraId="3D412B9A"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25BBA0E3"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083299AD"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83E3673" w14:textId="77777777" w:rsidR="004C76BC" w:rsidRDefault="004C76BC" w:rsidP="00AF438E">
            <w:pPr>
              <w:rPr>
                <w:sz w:val="20"/>
                <w:szCs w:val="20"/>
                <w:lang w:eastAsia="en-US"/>
              </w:rPr>
            </w:pPr>
            <w:r>
              <w:rPr>
                <w:sz w:val="20"/>
                <w:szCs w:val="20"/>
                <w:lang w:eastAsia="en-US"/>
              </w:rPr>
              <w:t>Description</w:t>
            </w:r>
          </w:p>
        </w:tc>
      </w:tr>
      <w:tr w:rsidR="002820A5" w14:paraId="3C7C8727"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2A17E667" w14:textId="17BA86A8" w:rsidR="002820A5" w:rsidRDefault="009E2821" w:rsidP="002820A5">
            <w:pPr>
              <w:rPr>
                <w:color w:val="000000"/>
                <w:sz w:val="20"/>
                <w:szCs w:val="20"/>
                <w:lang w:eastAsia="en-US"/>
              </w:rPr>
            </w:pPr>
            <w:r>
              <w:rPr>
                <w:color w:val="000000"/>
                <w:sz w:val="20"/>
                <w:szCs w:val="20"/>
                <w:lang w:eastAsia="en-US"/>
              </w:rPr>
              <w:t>368</w:t>
            </w:r>
          </w:p>
        </w:tc>
        <w:tc>
          <w:tcPr>
            <w:tcW w:w="0" w:type="auto"/>
            <w:tcBorders>
              <w:top w:val="single" w:sz="4" w:space="0" w:color="auto"/>
              <w:left w:val="single" w:sz="4" w:space="0" w:color="auto"/>
              <w:bottom w:val="single" w:sz="4" w:space="0" w:color="auto"/>
              <w:right w:val="single" w:sz="4" w:space="0" w:color="auto"/>
            </w:tcBorders>
            <w:vAlign w:val="bottom"/>
            <w:hideMark/>
          </w:tcPr>
          <w:p w14:paraId="71EED143" w14:textId="77777777" w:rsidR="002820A5" w:rsidRDefault="002820A5" w:rsidP="002820A5">
            <w:pPr>
              <w:rPr>
                <w:b/>
                <w:color w:val="000000"/>
                <w:sz w:val="20"/>
                <w:szCs w:val="20"/>
                <w:lang w:eastAsia="en-US"/>
              </w:rPr>
            </w:pPr>
            <w:r>
              <w:rPr>
                <w:b/>
                <w:color w:val="000000"/>
                <w:sz w:val="20"/>
                <w:szCs w:val="20"/>
                <w:lang w:eastAsia="en-US"/>
              </w:rPr>
              <w:t>Coracoid, shape:</w:t>
            </w:r>
          </w:p>
          <w:p w14:paraId="71DEDAFE" w14:textId="06C12DCD" w:rsidR="002820A5" w:rsidRDefault="002820A5" w:rsidP="002820A5">
            <w:pPr>
              <w:autoSpaceDE w:val="0"/>
              <w:autoSpaceDN w:val="0"/>
              <w:adjustRightInd w:val="0"/>
              <w:rPr>
                <w:i/>
                <w:sz w:val="20"/>
                <w:szCs w:val="20"/>
                <w:lang w:eastAsia="en-US"/>
              </w:rPr>
            </w:pPr>
            <w:r>
              <w:rPr>
                <w:i/>
                <w:sz w:val="20"/>
                <w:szCs w:val="20"/>
                <w:lang w:eastAsia="en-US"/>
              </w:rPr>
              <w:t xml:space="preserve">Young (2006, ch. 40); Wilkinson et al. (2008, ch. 69); Young &amp; Andrade (2009, ch. 69); </w:t>
            </w:r>
            <w:r>
              <w:rPr>
                <w:bCs/>
                <w:i/>
                <w:color w:val="000000"/>
                <w:sz w:val="20"/>
                <w:szCs w:val="20"/>
                <w:lang w:eastAsia="en-US"/>
              </w:rPr>
              <w:t xml:space="preserve">Young et al. (2011, ch. 69); Young et al. (2013a, ch. 166); </w:t>
            </w:r>
            <w:r>
              <w:rPr>
                <w:i/>
                <w:sz w:val="20"/>
                <w:szCs w:val="20"/>
                <w:lang w:eastAsia="en-US"/>
              </w:rPr>
              <w:t xml:space="preserve">Young et al. (2012, ch. 198); Young (2014, ch. 207); Young et al. (2016, ds 2, ch. 246); Ristevski et al. (2018, ds 2, ch. 315); Smith et al. (in review, ds 1, ch. 320); </w:t>
            </w:r>
            <w:r>
              <w:rPr>
                <w:i/>
                <w:sz w:val="20"/>
                <w:szCs w:val="20"/>
              </w:rPr>
              <w:t>Ősi et al. (in review, ds 1, ch. 365)</w:t>
            </w:r>
            <w:r>
              <w:rPr>
                <w:i/>
                <w:sz w:val="20"/>
                <w:szCs w:val="20"/>
                <w:lang w:eastAsia="en-US"/>
              </w:rPr>
              <w:t>.</w:t>
            </w:r>
          </w:p>
          <w:p w14:paraId="0D843298" w14:textId="77777777" w:rsidR="002820A5" w:rsidRDefault="002820A5" w:rsidP="002820A5">
            <w:pPr>
              <w:rPr>
                <w:i/>
                <w:color w:val="000000"/>
                <w:sz w:val="20"/>
                <w:szCs w:val="20"/>
                <w:lang w:eastAsia="en-US"/>
              </w:rPr>
            </w:pPr>
            <w:r>
              <w:rPr>
                <w:i/>
                <w:color w:val="000000"/>
                <w:sz w:val="20"/>
                <w:szCs w:val="20"/>
                <w:lang w:eastAsia="en-US"/>
              </w:rPr>
              <w:lastRenderedPageBreak/>
              <w:t>State (1) occurs in teleosauroids.</w:t>
            </w:r>
          </w:p>
          <w:p w14:paraId="2395AF7C" w14:textId="77777777" w:rsidR="002820A5" w:rsidRDefault="002820A5" w:rsidP="002820A5">
            <w:pPr>
              <w:rPr>
                <w:i/>
                <w:color w:val="000000"/>
                <w:sz w:val="20"/>
                <w:szCs w:val="20"/>
                <w:lang w:eastAsia="en-US"/>
              </w:rPr>
            </w:pPr>
            <w:r>
              <w:rPr>
                <w:i/>
                <w:color w:val="000000"/>
                <w:sz w:val="20"/>
                <w:szCs w:val="20"/>
                <w:lang w:eastAsia="en-US"/>
              </w:rPr>
              <w:t>State (2) occurs in Metriorhynchoidea.</w:t>
            </w:r>
          </w:p>
          <w:p w14:paraId="4079FFB7" w14:textId="77777777" w:rsidR="002820A5" w:rsidRDefault="002820A5" w:rsidP="002820A5">
            <w:pPr>
              <w:rPr>
                <w:color w:val="000000"/>
                <w:sz w:val="20"/>
                <w:szCs w:val="20"/>
                <w:lang w:eastAsia="en-US"/>
              </w:rPr>
            </w:pPr>
            <w:r>
              <w:rPr>
                <w:color w:val="000000"/>
                <w:sz w:val="20"/>
                <w:szCs w:val="20"/>
                <w:lang w:eastAsia="en-US"/>
              </w:rPr>
              <w:t>0. neither proximal (i.e. glenoid region) nor distal (i.e. postglenoid process) ends are fan-shaped, having angular margins</w:t>
            </w:r>
          </w:p>
          <w:p w14:paraId="2353D6E4" w14:textId="77777777" w:rsidR="002820A5" w:rsidRDefault="002820A5" w:rsidP="002820A5">
            <w:pPr>
              <w:rPr>
                <w:color w:val="000000"/>
                <w:sz w:val="20"/>
                <w:szCs w:val="20"/>
                <w:lang w:eastAsia="en-US"/>
              </w:rPr>
            </w:pPr>
            <w:r>
              <w:rPr>
                <w:color w:val="000000"/>
                <w:sz w:val="20"/>
                <w:szCs w:val="20"/>
                <w:lang w:eastAsia="en-US"/>
              </w:rPr>
              <w:t xml:space="preserve">1. distal end convex, forming a gentle fan-shape while the proximal end is triangular in shape with blunt ends </w:t>
            </w:r>
          </w:p>
          <w:p w14:paraId="6267A046" w14:textId="77777777" w:rsidR="002820A5" w:rsidRDefault="002820A5" w:rsidP="002820A5">
            <w:pPr>
              <w:rPr>
                <w:color w:val="000000"/>
                <w:sz w:val="20"/>
                <w:szCs w:val="20"/>
                <w:lang w:eastAsia="en-US"/>
              </w:rPr>
            </w:pPr>
            <w:r>
              <w:rPr>
                <w:color w:val="000000"/>
                <w:sz w:val="20"/>
                <w:szCs w:val="20"/>
                <w:lang w:eastAsia="en-US"/>
              </w:rPr>
              <w:t>2. both proximal and distal ends are convex</w:t>
            </w:r>
          </w:p>
        </w:tc>
      </w:tr>
      <w:tr w:rsidR="002820A5" w14:paraId="6B646A96" w14:textId="77777777" w:rsidTr="002820A5">
        <w:trPr>
          <w:trHeight w:val="913"/>
        </w:trPr>
        <w:tc>
          <w:tcPr>
            <w:tcW w:w="0" w:type="auto"/>
            <w:tcBorders>
              <w:top w:val="single" w:sz="4" w:space="0" w:color="auto"/>
              <w:left w:val="single" w:sz="4" w:space="0" w:color="auto"/>
              <w:bottom w:val="single" w:sz="4" w:space="0" w:color="auto"/>
              <w:right w:val="single" w:sz="4" w:space="0" w:color="auto"/>
            </w:tcBorders>
          </w:tcPr>
          <w:p w14:paraId="1059C853" w14:textId="6EFE7B39" w:rsidR="002820A5" w:rsidRDefault="009E2821" w:rsidP="002820A5">
            <w:pPr>
              <w:rPr>
                <w:color w:val="000000"/>
                <w:sz w:val="20"/>
                <w:szCs w:val="20"/>
                <w:lang w:eastAsia="en-US"/>
              </w:rPr>
            </w:pPr>
            <w:r>
              <w:rPr>
                <w:color w:val="000000"/>
                <w:sz w:val="20"/>
                <w:szCs w:val="20"/>
                <w:lang w:eastAsia="en-US"/>
              </w:rPr>
              <w:lastRenderedPageBreak/>
              <w:t>369</w:t>
            </w:r>
          </w:p>
        </w:tc>
        <w:tc>
          <w:tcPr>
            <w:tcW w:w="0" w:type="auto"/>
            <w:tcBorders>
              <w:top w:val="single" w:sz="4" w:space="0" w:color="auto"/>
              <w:left w:val="single" w:sz="4" w:space="0" w:color="auto"/>
              <w:bottom w:val="single" w:sz="4" w:space="0" w:color="auto"/>
              <w:right w:val="single" w:sz="4" w:space="0" w:color="auto"/>
            </w:tcBorders>
            <w:vAlign w:val="bottom"/>
            <w:hideMark/>
          </w:tcPr>
          <w:p w14:paraId="5F66D3DE" w14:textId="77777777" w:rsidR="002820A5" w:rsidRDefault="002820A5" w:rsidP="002820A5">
            <w:pPr>
              <w:autoSpaceDE w:val="0"/>
              <w:autoSpaceDN w:val="0"/>
              <w:adjustRightInd w:val="0"/>
              <w:rPr>
                <w:b/>
                <w:sz w:val="20"/>
                <w:szCs w:val="20"/>
                <w:lang w:eastAsia="en-US"/>
              </w:rPr>
            </w:pPr>
            <w:r>
              <w:rPr>
                <w:b/>
                <w:sz w:val="20"/>
                <w:szCs w:val="20"/>
                <w:lang w:eastAsia="en-US"/>
              </w:rPr>
              <w:t xml:space="preserve">Coracoid, postglenoid process: </w:t>
            </w:r>
          </w:p>
          <w:p w14:paraId="06DAE2F0" w14:textId="770DC2A1"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Nesbitt (2011, ch. 223); Young et al. (2016, ds 2, ch. 247); </w:t>
            </w:r>
            <w:r>
              <w:rPr>
                <w:i/>
                <w:sz w:val="20"/>
                <w:szCs w:val="20"/>
                <w:lang w:eastAsia="en-US"/>
              </w:rPr>
              <w:t xml:space="preserve">Ristevski et al. (2018, ds 2, ch. 316); Smith et al. (in review, ds 1, ch. 321); </w:t>
            </w:r>
            <w:r>
              <w:rPr>
                <w:i/>
                <w:sz w:val="20"/>
                <w:szCs w:val="20"/>
              </w:rPr>
              <w:t>Ősi et al. (in review, ds 1, ch. 366)</w:t>
            </w:r>
            <w:r>
              <w:rPr>
                <w:i/>
                <w:iCs/>
                <w:color w:val="000000"/>
                <w:sz w:val="20"/>
                <w:szCs w:val="20"/>
                <w:lang w:eastAsia="en-US"/>
              </w:rPr>
              <w:t>.</w:t>
            </w:r>
          </w:p>
          <w:p w14:paraId="1640CB43"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(0) occurs in non-crocodylomorphs.</w:t>
            </w:r>
          </w:p>
          <w:p w14:paraId="4EC2740C"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(1) occurs in 'sphenosuchians'.</w:t>
            </w:r>
          </w:p>
          <w:p w14:paraId="14EADEBB" w14:textId="77777777" w:rsidR="002820A5" w:rsidRDefault="002820A5" w:rsidP="002820A5">
            <w:pPr>
              <w:autoSpaceDE w:val="0"/>
              <w:autoSpaceDN w:val="0"/>
              <w:adjustRightInd w:val="0"/>
              <w:rPr>
                <w:sz w:val="20"/>
                <w:szCs w:val="20"/>
                <w:lang w:eastAsia="en-US"/>
              </w:rPr>
            </w:pPr>
            <w:r>
              <w:rPr>
                <w:i/>
                <w:iCs/>
                <w:color w:val="000000"/>
                <w:sz w:val="20"/>
                <w:szCs w:val="20"/>
                <w:lang w:eastAsia="en-US"/>
              </w:rPr>
              <w:t>Sstate (2) is a putative apomorphy of Crocodyliformes.</w:t>
            </w:r>
          </w:p>
          <w:p w14:paraId="116F74C4" w14:textId="77777777" w:rsidR="002820A5" w:rsidRDefault="002820A5" w:rsidP="002820A5">
            <w:pPr>
              <w:autoSpaceDE w:val="0"/>
              <w:autoSpaceDN w:val="0"/>
              <w:adjustRightInd w:val="0"/>
              <w:rPr>
                <w:sz w:val="20"/>
                <w:szCs w:val="20"/>
                <w:lang w:eastAsia="en-US"/>
              </w:rPr>
            </w:pPr>
            <w:r>
              <w:rPr>
                <w:sz w:val="20"/>
                <w:szCs w:val="20"/>
                <w:lang w:eastAsia="en-US"/>
              </w:rPr>
              <w:t>0. short</w:t>
            </w:r>
          </w:p>
          <w:p w14:paraId="7BDF4BF5" w14:textId="77777777" w:rsidR="002820A5" w:rsidRDefault="002820A5" w:rsidP="002820A5">
            <w:pPr>
              <w:autoSpaceDE w:val="0"/>
              <w:autoSpaceDN w:val="0"/>
              <w:adjustRightInd w:val="0"/>
              <w:rPr>
                <w:sz w:val="20"/>
                <w:szCs w:val="20"/>
                <w:lang w:eastAsia="en-US"/>
              </w:rPr>
            </w:pPr>
            <w:r>
              <w:rPr>
                <w:sz w:val="20"/>
                <w:szCs w:val="20"/>
                <w:lang w:eastAsia="en-US"/>
              </w:rPr>
              <w:t>1. elongate and expanded posteriorly only</w:t>
            </w:r>
          </w:p>
          <w:p w14:paraId="4071DE28" w14:textId="77777777" w:rsidR="002820A5" w:rsidRDefault="002820A5" w:rsidP="002820A5">
            <w:pPr>
              <w:autoSpaceDE w:val="0"/>
              <w:autoSpaceDN w:val="0"/>
              <w:adjustRightInd w:val="0"/>
              <w:rPr>
                <w:sz w:val="20"/>
                <w:szCs w:val="20"/>
                <w:lang w:eastAsia="en-US"/>
              </w:rPr>
            </w:pPr>
            <w:r>
              <w:rPr>
                <w:sz w:val="20"/>
                <w:szCs w:val="20"/>
                <w:lang w:eastAsia="en-US"/>
              </w:rPr>
              <w:t>2. elongate and expanded anteriorly and posteriorly</w:t>
            </w:r>
          </w:p>
        </w:tc>
      </w:tr>
      <w:tr w:rsidR="002820A5" w14:paraId="3B500E63" w14:textId="77777777" w:rsidTr="002820A5">
        <w:tc>
          <w:tcPr>
            <w:tcW w:w="0" w:type="auto"/>
            <w:tcBorders>
              <w:top w:val="single" w:sz="4" w:space="0" w:color="auto"/>
              <w:left w:val="single" w:sz="4" w:space="0" w:color="auto"/>
              <w:bottom w:val="single" w:sz="4" w:space="0" w:color="auto"/>
              <w:right w:val="single" w:sz="4" w:space="0" w:color="auto"/>
            </w:tcBorders>
          </w:tcPr>
          <w:p w14:paraId="0659F654" w14:textId="3965539A" w:rsidR="002820A5" w:rsidRDefault="009E2821" w:rsidP="002820A5">
            <w:pPr>
              <w:rPr>
                <w:color w:val="000000"/>
                <w:sz w:val="20"/>
                <w:szCs w:val="20"/>
                <w:lang w:eastAsia="en-US"/>
              </w:rPr>
            </w:pPr>
            <w:r>
              <w:rPr>
                <w:color w:val="000000"/>
                <w:sz w:val="20"/>
                <w:szCs w:val="20"/>
                <w:lang w:eastAsia="en-US"/>
              </w:rPr>
              <w:t>370</w:t>
            </w:r>
          </w:p>
        </w:tc>
        <w:tc>
          <w:tcPr>
            <w:tcW w:w="0" w:type="auto"/>
            <w:tcBorders>
              <w:top w:val="single" w:sz="4" w:space="0" w:color="auto"/>
              <w:left w:val="single" w:sz="4" w:space="0" w:color="auto"/>
              <w:bottom w:val="single" w:sz="4" w:space="0" w:color="auto"/>
              <w:right w:val="single" w:sz="4" w:space="0" w:color="auto"/>
            </w:tcBorders>
            <w:vAlign w:val="bottom"/>
            <w:hideMark/>
          </w:tcPr>
          <w:p w14:paraId="444BB57B" w14:textId="77777777" w:rsidR="002820A5" w:rsidRDefault="002820A5" w:rsidP="002820A5">
            <w:pPr>
              <w:autoSpaceDE w:val="0"/>
              <w:autoSpaceDN w:val="0"/>
              <w:adjustRightInd w:val="0"/>
              <w:rPr>
                <w:b/>
                <w:sz w:val="20"/>
                <w:szCs w:val="20"/>
                <w:lang w:eastAsia="en-US"/>
              </w:rPr>
            </w:pPr>
            <w:r>
              <w:rPr>
                <w:b/>
                <w:sz w:val="20"/>
                <w:szCs w:val="20"/>
                <w:lang w:eastAsia="en-US"/>
              </w:rPr>
              <w:t xml:space="preserve">Coracoid, posteroventral edge, deep groove: </w:t>
            </w:r>
          </w:p>
          <w:p w14:paraId="277DF5AB" w14:textId="50CA1E50"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Nesbitt (2011, ch. 224); Young et al. (2016, ds 2, ch. 248); </w:t>
            </w:r>
            <w:r>
              <w:rPr>
                <w:i/>
                <w:sz w:val="20"/>
                <w:szCs w:val="20"/>
                <w:lang w:eastAsia="en-US"/>
              </w:rPr>
              <w:t xml:space="preserve">Ristevski et al. (2018, ds 2, ch. 317); Smith et al. (in review, ds 1, ch. 322); </w:t>
            </w:r>
            <w:r>
              <w:rPr>
                <w:i/>
                <w:sz w:val="20"/>
                <w:szCs w:val="20"/>
              </w:rPr>
              <w:t>Ősi et al. (in review, ds 1, ch. 367)</w:t>
            </w:r>
            <w:r>
              <w:rPr>
                <w:i/>
                <w:iCs/>
                <w:color w:val="000000"/>
                <w:sz w:val="20"/>
                <w:szCs w:val="20"/>
                <w:lang w:eastAsia="en-US"/>
              </w:rPr>
              <w:t>.</w:t>
            </w:r>
          </w:p>
          <w:p w14:paraId="26466DA0" w14:textId="27D01F87" w:rsidR="002820A5" w:rsidRDefault="002820A5" w:rsidP="002820A5">
            <w:pPr>
              <w:autoSpaceDE w:val="0"/>
              <w:autoSpaceDN w:val="0"/>
              <w:adjustRightInd w:val="0"/>
              <w:rPr>
                <w:sz w:val="20"/>
                <w:szCs w:val="20"/>
                <w:lang w:eastAsia="en-US"/>
              </w:rPr>
            </w:pPr>
            <w:r>
              <w:rPr>
                <w:i/>
                <w:iCs/>
                <w:color w:val="000000"/>
                <w:sz w:val="20"/>
                <w:szCs w:val="20"/>
                <w:lang w:eastAsia="en-US"/>
              </w:rPr>
              <w:t>State (1) occurs in Rauisuchiae and most ‘sphenosuchians’.</w:t>
            </w:r>
          </w:p>
          <w:p w14:paraId="76E8580E" w14:textId="77777777" w:rsidR="002820A5" w:rsidRDefault="002820A5" w:rsidP="002820A5">
            <w:pPr>
              <w:autoSpaceDE w:val="0"/>
              <w:autoSpaceDN w:val="0"/>
              <w:adjustRightInd w:val="0"/>
              <w:rPr>
                <w:sz w:val="20"/>
                <w:szCs w:val="20"/>
                <w:lang w:eastAsia="en-US"/>
              </w:rPr>
            </w:pPr>
            <w:r>
              <w:rPr>
                <w:sz w:val="20"/>
                <w:szCs w:val="20"/>
                <w:lang w:eastAsia="en-US"/>
              </w:rPr>
              <w:t>0. absent</w:t>
            </w:r>
          </w:p>
          <w:p w14:paraId="4A87157C" w14:textId="77777777" w:rsidR="002820A5" w:rsidRDefault="002820A5" w:rsidP="002820A5">
            <w:pPr>
              <w:autoSpaceDE w:val="0"/>
              <w:autoSpaceDN w:val="0"/>
              <w:adjustRightInd w:val="0"/>
              <w:rPr>
                <w:sz w:val="20"/>
                <w:szCs w:val="20"/>
                <w:lang w:eastAsia="en-US"/>
              </w:rPr>
            </w:pPr>
            <w:r>
              <w:rPr>
                <w:sz w:val="20"/>
                <w:szCs w:val="20"/>
                <w:lang w:eastAsia="en-US"/>
              </w:rPr>
              <w:t>1. present</w:t>
            </w:r>
          </w:p>
        </w:tc>
      </w:tr>
      <w:tr w:rsidR="002820A5" w14:paraId="0B12856B" w14:textId="77777777" w:rsidTr="002820A5">
        <w:tc>
          <w:tcPr>
            <w:tcW w:w="0" w:type="auto"/>
            <w:tcBorders>
              <w:top w:val="single" w:sz="4" w:space="0" w:color="auto"/>
              <w:left w:val="single" w:sz="4" w:space="0" w:color="auto"/>
              <w:bottom w:val="single" w:sz="4" w:space="0" w:color="auto"/>
              <w:right w:val="single" w:sz="4" w:space="0" w:color="auto"/>
            </w:tcBorders>
          </w:tcPr>
          <w:p w14:paraId="0944CBBA" w14:textId="17C63A7C" w:rsidR="002820A5" w:rsidRDefault="009E2821" w:rsidP="002820A5">
            <w:pPr>
              <w:rPr>
                <w:color w:val="000000"/>
                <w:sz w:val="20"/>
                <w:szCs w:val="20"/>
                <w:lang w:eastAsia="en-US"/>
              </w:rPr>
            </w:pPr>
            <w:r>
              <w:rPr>
                <w:color w:val="000000"/>
                <w:sz w:val="20"/>
                <w:szCs w:val="20"/>
                <w:lang w:eastAsia="en-US"/>
              </w:rPr>
              <w:t>371</w:t>
            </w:r>
          </w:p>
        </w:tc>
        <w:tc>
          <w:tcPr>
            <w:tcW w:w="0" w:type="auto"/>
            <w:tcBorders>
              <w:top w:val="single" w:sz="4" w:space="0" w:color="auto"/>
              <w:left w:val="single" w:sz="4" w:space="0" w:color="auto"/>
              <w:bottom w:val="single" w:sz="4" w:space="0" w:color="auto"/>
              <w:right w:val="single" w:sz="4" w:space="0" w:color="auto"/>
            </w:tcBorders>
            <w:vAlign w:val="bottom"/>
            <w:hideMark/>
          </w:tcPr>
          <w:p w14:paraId="2F48574B" w14:textId="77777777" w:rsidR="002820A5" w:rsidRDefault="002820A5" w:rsidP="002820A5">
            <w:pPr>
              <w:autoSpaceDE w:val="0"/>
              <w:autoSpaceDN w:val="0"/>
              <w:adjustRightInd w:val="0"/>
              <w:rPr>
                <w:b/>
                <w:sz w:val="20"/>
                <w:szCs w:val="20"/>
                <w:lang w:eastAsia="en-US"/>
              </w:rPr>
            </w:pPr>
            <w:r>
              <w:rPr>
                <w:b/>
                <w:sz w:val="20"/>
                <w:szCs w:val="20"/>
                <w:lang w:eastAsia="en-US"/>
              </w:rPr>
              <w:t>Scapula blade:</w:t>
            </w:r>
          </w:p>
          <w:p w14:paraId="05499EFB" w14:textId="3AAB8D74" w:rsidR="002820A5" w:rsidRDefault="002820A5" w:rsidP="002820A5">
            <w:pPr>
              <w:autoSpaceDE w:val="0"/>
              <w:autoSpaceDN w:val="0"/>
              <w:adjustRightInd w:val="0"/>
              <w:rPr>
                <w:i/>
                <w:sz w:val="20"/>
                <w:szCs w:val="20"/>
                <w:lang w:eastAsia="en-US"/>
              </w:rPr>
            </w:pPr>
            <w:r>
              <w:rPr>
                <w:i/>
                <w:sz w:val="20"/>
                <w:szCs w:val="20"/>
                <w:lang w:eastAsia="en-US"/>
              </w:rPr>
              <w:t xml:space="preserve">Young et al. (2012, ch. 199 modified); Young (2014, ch. 208, modified); Young et al. (2016, ds 2, ch. 249 modified); Ristevski et al. (2018, ds 2, ch. 318 modified); Smith et al. (in review, ds 1, ch. 323 modified); </w:t>
            </w:r>
            <w:r>
              <w:rPr>
                <w:i/>
                <w:sz w:val="20"/>
                <w:szCs w:val="20"/>
              </w:rPr>
              <w:t>Ősi et al. (in review, ds 1, ch. 368)</w:t>
            </w:r>
            <w:r>
              <w:rPr>
                <w:i/>
                <w:sz w:val="20"/>
                <w:szCs w:val="20"/>
                <w:lang w:eastAsia="en-US"/>
              </w:rPr>
              <w:t>.</w:t>
            </w:r>
          </w:p>
          <w:p w14:paraId="7464C8A4" w14:textId="77777777" w:rsidR="002820A5" w:rsidRDefault="002820A5" w:rsidP="002820A5">
            <w:pPr>
              <w:autoSpaceDE w:val="0"/>
              <w:autoSpaceDN w:val="0"/>
              <w:adjustRightInd w:val="0"/>
              <w:rPr>
                <w:i/>
                <w:sz w:val="20"/>
                <w:szCs w:val="20"/>
                <w:lang w:eastAsia="en-US"/>
              </w:rPr>
            </w:pPr>
            <w:r>
              <w:rPr>
                <w:i/>
                <w:sz w:val="20"/>
                <w:szCs w:val="20"/>
                <w:lang w:eastAsia="en-US"/>
              </w:rPr>
              <w:t>State (1) is a putative apomorphy of Teleosauroidea</w:t>
            </w:r>
            <w:r>
              <w:rPr>
                <w:sz w:val="20"/>
                <w:szCs w:val="20"/>
                <w:lang w:eastAsia="en-US"/>
              </w:rPr>
              <w:t>.</w:t>
            </w:r>
          </w:p>
          <w:p w14:paraId="59722407" w14:textId="77777777" w:rsidR="002820A5" w:rsidRDefault="002820A5" w:rsidP="002820A5">
            <w:pPr>
              <w:autoSpaceDE w:val="0"/>
              <w:autoSpaceDN w:val="0"/>
              <w:adjustRightInd w:val="0"/>
              <w:rPr>
                <w:i/>
                <w:sz w:val="20"/>
                <w:szCs w:val="20"/>
                <w:lang w:eastAsia="en-US"/>
              </w:rPr>
            </w:pPr>
            <w:r>
              <w:rPr>
                <w:i/>
                <w:sz w:val="20"/>
                <w:szCs w:val="20"/>
                <w:lang w:eastAsia="en-US"/>
              </w:rPr>
              <w:t>State (2) is a putative apomorphy of Metriorhynchidae.</w:t>
            </w:r>
          </w:p>
          <w:p w14:paraId="0ADD027A" w14:textId="77777777" w:rsidR="002820A5" w:rsidRDefault="002820A5" w:rsidP="002820A5">
            <w:pPr>
              <w:autoSpaceDE w:val="0"/>
              <w:autoSpaceDN w:val="0"/>
              <w:adjustRightInd w:val="0"/>
              <w:rPr>
                <w:sz w:val="20"/>
                <w:szCs w:val="20"/>
                <w:lang w:eastAsia="en-US"/>
              </w:rPr>
            </w:pPr>
            <w:r>
              <w:rPr>
                <w:sz w:val="20"/>
                <w:szCs w:val="20"/>
                <w:lang w:eastAsia="en-US"/>
              </w:rPr>
              <w:t>0. scapula blade large: approximately twice the width of the scapular shaft, and generally wider than the distal glenoid region</w:t>
            </w:r>
          </w:p>
          <w:p w14:paraId="5BB4C54E" w14:textId="77777777" w:rsidR="002820A5" w:rsidRDefault="002820A5" w:rsidP="002820A5">
            <w:pPr>
              <w:autoSpaceDE w:val="0"/>
              <w:autoSpaceDN w:val="0"/>
              <w:adjustRightInd w:val="0"/>
              <w:rPr>
                <w:sz w:val="20"/>
                <w:szCs w:val="20"/>
                <w:lang w:eastAsia="en-US"/>
              </w:rPr>
            </w:pPr>
            <w:r>
              <w:rPr>
                <w:sz w:val="20"/>
                <w:szCs w:val="20"/>
                <w:lang w:eastAsia="en-US"/>
              </w:rPr>
              <w:t>1. scapula blade reduced: being as wide as, or narrower than, the glenoid region; and the scapular blade is less than 1.5 times the width of the scapular shaft.</w:t>
            </w:r>
          </w:p>
          <w:p w14:paraId="41022A03" w14:textId="77777777" w:rsidR="002820A5" w:rsidRDefault="002820A5" w:rsidP="002820A5">
            <w:pPr>
              <w:autoSpaceDE w:val="0"/>
              <w:autoSpaceDN w:val="0"/>
              <w:adjustRightInd w:val="0"/>
              <w:rPr>
                <w:lang w:eastAsia="en-US"/>
              </w:rPr>
            </w:pPr>
            <w:r>
              <w:rPr>
                <w:sz w:val="20"/>
                <w:szCs w:val="20"/>
                <w:lang w:eastAsia="en-US"/>
              </w:rPr>
              <w:t xml:space="preserve">2. scapula blade reduced: blade broadens both anteriorly and posteriorly, but is still as wide as, or narrower than, the glenoid region. </w:t>
            </w:r>
          </w:p>
        </w:tc>
      </w:tr>
      <w:tr w:rsidR="002820A5" w14:paraId="54CD6F91" w14:textId="77777777" w:rsidTr="002820A5">
        <w:tc>
          <w:tcPr>
            <w:tcW w:w="0" w:type="auto"/>
            <w:tcBorders>
              <w:top w:val="single" w:sz="4" w:space="0" w:color="auto"/>
              <w:left w:val="single" w:sz="4" w:space="0" w:color="auto"/>
              <w:bottom w:val="single" w:sz="4" w:space="0" w:color="auto"/>
              <w:right w:val="single" w:sz="4" w:space="0" w:color="auto"/>
            </w:tcBorders>
          </w:tcPr>
          <w:p w14:paraId="6095028E" w14:textId="414667AB" w:rsidR="002820A5" w:rsidRDefault="009E2821" w:rsidP="002820A5">
            <w:pPr>
              <w:rPr>
                <w:color w:val="000000"/>
                <w:sz w:val="20"/>
                <w:szCs w:val="20"/>
                <w:lang w:eastAsia="en-US"/>
              </w:rPr>
            </w:pPr>
            <w:r>
              <w:rPr>
                <w:sz w:val="20"/>
                <w:szCs w:val="20"/>
                <w:lang w:eastAsia="en-US"/>
              </w:rPr>
              <w:t>372</w:t>
            </w:r>
          </w:p>
        </w:tc>
        <w:tc>
          <w:tcPr>
            <w:tcW w:w="0" w:type="auto"/>
            <w:tcBorders>
              <w:top w:val="single" w:sz="4" w:space="0" w:color="auto"/>
              <w:left w:val="single" w:sz="4" w:space="0" w:color="auto"/>
              <w:bottom w:val="single" w:sz="4" w:space="0" w:color="auto"/>
              <w:right w:val="single" w:sz="4" w:space="0" w:color="auto"/>
            </w:tcBorders>
            <w:vAlign w:val="bottom"/>
            <w:hideMark/>
          </w:tcPr>
          <w:p w14:paraId="4F8FF3A0" w14:textId="77777777" w:rsidR="002820A5" w:rsidRDefault="002820A5" w:rsidP="002820A5">
            <w:pPr>
              <w:rPr>
                <w:b/>
                <w:color w:val="000000"/>
                <w:sz w:val="20"/>
                <w:szCs w:val="20"/>
                <w:lang w:eastAsia="en-US"/>
              </w:rPr>
            </w:pPr>
            <w:r>
              <w:rPr>
                <w:b/>
                <w:color w:val="000000"/>
                <w:sz w:val="20"/>
                <w:szCs w:val="20"/>
                <w:lang w:eastAsia="en-US"/>
              </w:rPr>
              <w:t>Scapula, anterior and posterior margins in lateral aspect:</w:t>
            </w:r>
          </w:p>
          <w:p w14:paraId="60822C7F" w14:textId="225B2227" w:rsidR="002820A5" w:rsidRDefault="002820A5" w:rsidP="002820A5">
            <w:pPr>
              <w:autoSpaceDE w:val="0"/>
              <w:autoSpaceDN w:val="0"/>
              <w:adjustRightInd w:val="0"/>
              <w:rPr>
                <w:i/>
                <w:sz w:val="20"/>
                <w:szCs w:val="20"/>
                <w:lang w:eastAsia="en-US"/>
              </w:rPr>
            </w:pPr>
            <w:r>
              <w:rPr>
                <w:i/>
                <w:sz w:val="20"/>
                <w:szCs w:val="20"/>
                <w:lang w:eastAsia="en-US"/>
              </w:rPr>
              <w:t xml:space="preserve">Young &amp; Andrade (2009, ch. 105 modified); </w:t>
            </w:r>
            <w:r>
              <w:rPr>
                <w:bCs/>
                <w:i/>
                <w:color w:val="000000"/>
                <w:sz w:val="20"/>
                <w:szCs w:val="20"/>
                <w:lang w:eastAsia="en-US"/>
              </w:rPr>
              <w:t xml:space="preserve">Young et al. (2011, ch. 105 modified); Young et al. (2013a, ch. 167 modified); </w:t>
            </w:r>
            <w:r>
              <w:rPr>
                <w:i/>
                <w:sz w:val="20"/>
                <w:szCs w:val="20"/>
                <w:lang w:eastAsia="en-US"/>
              </w:rPr>
              <w:t xml:space="preserve">Young et al. (2012, ch. 200); Young (2014, ch. 209); Young et al. (2016, ds 2, ch. 250); Ristevski et al. (2018, ds 2, ch. 319); Smith et al. (in review, ds 1, ch. 324); </w:t>
            </w:r>
            <w:r>
              <w:rPr>
                <w:i/>
                <w:sz w:val="20"/>
                <w:szCs w:val="20"/>
              </w:rPr>
              <w:t>Ősi et al. (in review, ds 1, ch. 369)</w:t>
            </w:r>
            <w:r>
              <w:rPr>
                <w:i/>
                <w:sz w:val="20"/>
                <w:szCs w:val="20"/>
                <w:lang w:eastAsia="en-US"/>
              </w:rPr>
              <w:t>.</w:t>
            </w:r>
          </w:p>
          <w:p w14:paraId="7CF1E923" w14:textId="77777777" w:rsidR="002820A5" w:rsidRDefault="002820A5" w:rsidP="002820A5">
            <w:pPr>
              <w:rPr>
                <w:color w:val="000000"/>
                <w:sz w:val="20"/>
                <w:szCs w:val="20"/>
                <w:lang w:eastAsia="en-US"/>
              </w:rPr>
            </w:pPr>
            <w:r>
              <w:rPr>
                <w:color w:val="000000"/>
                <w:sz w:val="20"/>
                <w:szCs w:val="20"/>
                <w:lang w:eastAsia="en-US"/>
              </w:rPr>
              <w:t>0. symmetrically concave in lateral view</w:t>
            </w:r>
          </w:p>
          <w:p w14:paraId="6789DE38" w14:textId="77777777" w:rsidR="002820A5" w:rsidRDefault="002820A5" w:rsidP="002820A5">
            <w:pPr>
              <w:rPr>
                <w:color w:val="000000"/>
                <w:sz w:val="20"/>
                <w:szCs w:val="20"/>
                <w:lang w:eastAsia="en-US"/>
              </w:rPr>
            </w:pPr>
            <w:r>
              <w:rPr>
                <w:color w:val="000000"/>
                <w:sz w:val="20"/>
                <w:szCs w:val="20"/>
                <w:lang w:eastAsia="en-US"/>
              </w:rPr>
              <w:t>1. anterior edge more strongly concave than posterior edge</w:t>
            </w:r>
          </w:p>
          <w:p w14:paraId="2F1F09F3" w14:textId="77777777" w:rsidR="002820A5" w:rsidRDefault="002820A5" w:rsidP="002820A5">
            <w:pPr>
              <w:rPr>
                <w:color w:val="000000"/>
                <w:sz w:val="20"/>
                <w:szCs w:val="20"/>
                <w:lang w:eastAsia="en-US"/>
              </w:rPr>
            </w:pPr>
            <w:r>
              <w:rPr>
                <w:color w:val="000000"/>
                <w:sz w:val="20"/>
                <w:szCs w:val="20"/>
                <w:lang w:eastAsia="en-US"/>
              </w:rPr>
              <w:t>2. posterior edge more strongly concave than anterior edge</w:t>
            </w:r>
          </w:p>
        </w:tc>
      </w:tr>
      <w:tr w:rsidR="002820A5" w14:paraId="253FD782" w14:textId="77777777" w:rsidTr="002820A5">
        <w:tc>
          <w:tcPr>
            <w:tcW w:w="0" w:type="auto"/>
            <w:tcBorders>
              <w:top w:val="single" w:sz="4" w:space="0" w:color="auto"/>
              <w:left w:val="single" w:sz="4" w:space="0" w:color="auto"/>
              <w:bottom w:val="single" w:sz="4" w:space="0" w:color="auto"/>
              <w:right w:val="single" w:sz="4" w:space="0" w:color="auto"/>
            </w:tcBorders>
          </w:tcPr>
          <w:p w14:paraId="683DE1AB" w14:textId="0DE64ADC" w:rsidR="002820A5" w:rsidRDefault="009E2821" w:rsidP="002820A5">
            <w:pPr>
              <w:rPr>
                <w:color w:val="000000"/>
                <w:sz w:val="20"/>
                <w:szCs w:val="20"/>
                <w:lang w:eastAsia="en-US"/>
              </w:rPr>
            </w:pPr>
            <w:r>
              <w:rPr>
                <w:sz w:val="20"/>
                <w:szCs w:val="20"/>
                <w:lang w:eastAsia="en-US"/>
              </w:rPr>
              <w:t>373</w:t>
            </w:r>
          </w:p>
        </w:tc>
        <w:tc>
          <w:tcPr>
            <w:tcW w:w="0" w:type="auto"/>
            <w:tcBorders>
              <w:top w:val="single" w:sz="4" w:space="0" w:color="auto"/>
              <w:left w:val="single" w:sz="4" w:space="0" w:color="auto"/>
              <w:bottom w:val="single" w:sz="4" w:space="0" w:color="auto"/>
              <w:right w:val="single" w:sz="4" w:space="0" w:color="auto"/>
            </w:tcBorders>
            <w:vAlign w:val="bottom"/>
            <w:hideMark/>
          </w:tcPr>
          <w:p w14:paraId="29074EB7" w14:textId="77777777" w:rsidR="002820A5" w:rsidRDefault="002820A5" w:rsidP="002820A5">
            <w:pPr>
              <w:rPr>
                <w:b/>
                <w:color w:val="000000"/>
                <w:sz w:val="20"/>
                <w:szCs w:val="20"/>
                <w:lang w:eastAsia="en-US"/>
              </w:rPr>
            </w:pPr>
            <w:r>
              <w:rPr>
                <w:b/>
                <w:color w:val="000000"/>
                <w:sz w:val="20"/>
                <w:szCs w:val="20"/>
                <w:lang w:eastAsia="en-US"/>
              </w:rPr>
              <w:t>Scapula, deltoid crest:</w:t>
            </w:r>
          </w:p>
          <w:p w14:paraId="1863840C" w14:textId="7396F4B8" w:rsidR="002820A5" w:rsidRDefault="002820A5" w:rsidP="002820A5">
            <w:pPr>
              <w:autoSpaceDE w:val="0"/>
              <w:autoSpaceDN w:val="0"/>
              <w:adjustRightInd w:val="0"/>
              <w:rPr>
                <w:i/>
                <w:sz w:val="20"/>
                <w:szCs w:val="20"/>
                <w:lang w:eastAsia="en-US"/>
              </w:rPr>
            </w:pPr>
            <w:r>
              <w:rPr>
                <w:i/>
                <w:sz w:val="20"/>
                <w:szCs w:val="20"/>
                <w:lang w:eastAsia="en-US"/>
              </w:rPr>
              <w:t xml:space="preserve">Young &amp; Andrade (2009, ch. 106); </w:t>
            </w:r>
            <w:r>
              <w:rPr>
                <w:bCs/>
                <w:i/>
                <w:color w:val="000000"/>
                <w:sz w:val="20"/>
                <w:szCs w:val="20"/>
                <w:lang w:eastAsia="en-US"/>
              </w:rPr>
              <w:t xml:space="preserve">Young et al. (2011, ch. 106); Young et al. (2013a, ch. 168); </w:t>
            </w:r>
            <w:r>
              <w:rPr>
                <w:i/>
                <w:sz w:val="20"/>
                <w:szCs w:val="20"/>
                <w:lang w:eastAsia="en-US"/>
              </w:rPr>
              <w:t xml:space="preserve">Young et al. (2012, ch. 201); Young (2014, ch. 210); Young et al. (2016, ds 2, ch. 251); Ristevski et al. (2018, ds 2, ch. 320); Smith et al. (in review, ds 1, ch. 325); </w:t>
            </w:r>
            <w:r>
              <w:rPr>
                <w:i/>
                <w:sz w:val="20"/>
                <w:szCs w:val="20"/>
              </w:rPr>
              <w:t>Ősi et al. (in review, ds 1, ch. 370)</w:t>
            </w:r>
            <w:r>
              <w:rPr>
                <w:i/>
                <w:sz w:val="20"/>
                <w:szCs w:val="20"/>
                <w:lang w:eastAsia="en-US"/>
              </w:rPr>
              <w:t>.</w:t>
            </w:r>
          </w:p>
          <w:p w14:paraId="3CCD715D" w14:textId="77777777" w:rsidR="002820A5" w:rsidRDefault="002820A5" w:rsidP="002820A5">
            <w:pPr>
              <w:rPr>
                <w:color w:val="000000"/>
                <w:sz w:val="20"/>
                <w:szCs w:val="20"/>
                <w:lang w:eastAsia="en-US"/>
              </w:rPr>
            </w:pPr>
            <w:r>
              <w:rPr>
                <w:color w:val="000000"/>
                <w:sz w:val="20"/>
                <w:szCs w:val="20"/>
                <w:lang w:eastAsia="en-US"/>
              </w:rPr>
              <w:t>0. present</w:t>
            </w:r>
          </w:p>
          <w:p w14:paraId="3082CEAF" w14:textId="77777777" w:rsidR="002820A5" w:rsidRDefault="002820A5" w:rsidP="002820A5">
            <w:pPr>
              <w:rPr>
                <w:color w:val="000000"/>
                <w:sz w:val="20"/>
                <w:szCs w:val="20"/>
                <w:lang w:eastAsia="en-US"/>
              </w:rPr>
            </w:pPr>
            <w:r>
              <w:rPr>
                <w:color w:val="000000"/>
                <w:sz w:val="20"/>
                <w:szCs w:val="20"/>
                <w:lang w:eastAsia="en-US"/>
              </w:rPr>
              <w:t>1. absent</w:t>
            </w:r>
          </w:p>
        </w:tc>
      </w:tr>
      <w:tr w:rsidR="002820A5" w14:paraId="3C93987B" w14:textId="77777777" w:rsidTr="002820A5">
        <w:tc>
          <w:tcPr>
            <w:tcW w:w="0" w:type="auto"/>
            <w:tcBorders>
              <w:top w:val="single" w:sz="4" w:space="0" w:color="auto"/>
              <w:left w:val="single" w:sz="4" w:space="0" w:color="auto"/>
              <w:bottom w:val="single" w:sz="4" w:space="0" w:color="auto"/>
              <w:right w:val="single" w:sz="4" w:space="0" w:color="auto"/>
            </w:tcBorders>
          </w:tcPr>
          <w:p w14:paraId="1D3B5817" w14:textId="72A9E121" w:rsidR="002820A5" w:rsidRDefault="009E2821" w:rsidP="002820A5">
            <w:pPr>
              <w:rPr>
                <w:color w:val="000000"/>
                <w:sz w:val="20"/>
                <w:szCs w:val="20"/>
                <w:lang w:eastAsia="en-US"/>
              </w:rPr>
            </w:pPr>
            <w:r>
              <w:rPr>
                <w:color w:val="000000"/>
                <w:sz w:val="20"/>
                <w:szCs w:val="20"/>
                <w:lang w:eastAsia="en-US"/>
              </w:rPr>
              <w:t>374</w:t>
            </w:r>
          </w:p>
        </w:tc>
        <w:tc>
          <w:tcPr>
            <w:tcW w:w="0" w:type="auto"/>
            <w:tcBorders>
              <w:top w:val="single" w:sz="4" w:space="0" w:color="auto"/>
              <w:left w:val="single" w:sz="4" w:space="0" w:color="auto"/>
              <w:bottom w:val="single" w:sz="4" w:space="0" w:color="auto"/>
              <w:right w:val="single" w:sz="4" w:space="0" w:color="auto"/>
            </w:tcBorders>
            <w:vAlign w:val="bottom"/>
            <w:hideMark/>
          </w:tcPr>
          <w:p w14:paraId="08AF373C" w14:textId="77777777" w:rsidR="002820A5" w:rsidRDefault="002820A5" w:rsidP="002820A5">
            <w:pPr>
              <w:rPr>
                <w:b/>
                <w:color w:val="000000"/>
                <w:sz w:val="20"/>
                <w:szCs w:val="20"/>
                <w:lang w:eastAsia="en-US"/>
              </w:rPr>
            </w:pPr>
            <w:r>
              <w:rPr>
                <w:b/>
                <w:color w:val="000000"/>
                <w:sz w:val="20"/>
                <w:szCs w:val="20"/>
                <w:lang w:eastAsia="en-US"/>
              </w:rPr>
              <w:t>Scapula/Humerus, size:</w:t>
            </w:r>
          </w:p>
          <w:p w14:paraId="44E6BA36" w14:textId="420CA4C1" w:rsidR="002820A5" w:rsidRDefault="002820A5" w:rsidP="002820A5">
            <w:pPr>
              <w:autoSpaceDE w:val="0"/>
              <w:autoSpaceDN w:val="0"/>
              <w:adjustRightInd w:val="0"/>
              <w:rPr>
                <w:i/>
                <w:sz w:val="20"/>
                <w:szCs w:val="20"/>
                <w:lang w:eastAsia="en-US"/>
              </w:rPr>
            </w:pPr>
            <w:r>
              <w:rPr>
                <w:i/>
                <w:sz w:val="20"/>
                <w:szCs w:val="20"/>
                <w:lang w:eastAsia="en-US"/>
              </w:rPr>
              <w:t xml:space="preserve">Young (2006, ch. 39); Wilkinson et al. (2008, ch. 68); Young &amp; Andrade (2009, ch. 68); </w:t>
            </w:r>
            <w:r>
              <w:rPr>
                <w:bCs/>
                <w:i/>
                <w:color w:val="000000"/>
                <w:sz w:val="20"/>
                <w:szCs w:val="20"/>
                <w:lang w:eastAsia="en-US"/>
              </w:rPr>
              <w:t>Young et al. (2011, ch. 68); Young et al. (2013a, ch. 169);</w:t>
            </w:r>
            <w:r>
              <w:rPr>
                <w:i/>
                <w:sz w:val="20"/>
                <w:szCs w:val="20"/>
                <w:lang w:eastAsia="en-US"/>
              </w:rPr>
              <w:t xml:space="preserve"> Young et al. (2012, ch. 202); Young (2014, ch. 211); Young et al. (2016, ds 2, ch. 252); Ristevski et al. (2018, ds 2, ch. 321); Smith et al. (in review, ds 1, ch. 326); </w:t>
            </w:r>
            <w:r>
              <w:rPr>
                <w:i/>
                <w:sz w:val="20"/>
                <w:szCs w:val="20"/>
              </w:rPr>
              <w:t>Ősi et al. (in review, ds 1, ch. 371)</w:t>
            </w:r>
            <w:r>
              <w:rPr>
                <w:i/>
                <w:sz w:val="20"/>
                <w:szCs w:val="20"/>
                <w:lang w:eastAsia="en-US"/>
              </w:rPr>
              <w:t>.</w:t>
            </w:r>
          </w:p>
          <w:p w14:paraId="6282730C" w14:textId="39B2A569" w:rsidR="002820A5" w:rsidRDefault="002820A5" w:rsidP="002820A5">
            <w:pPr>
              <w:rPr>
                <w:color w:val="000000"/>
                <w:sz w:val="20"/>
                <w:szCs w:val="20"/>
                <w:lang w:eastAsia="en-US"/>
              </w:rPr>
            </w:pPr>
            <w:r>
              <w:rPr>
                <w:color w:val="000000"/>
                <w:sz w:val="20"/>
                <w:szCs w:val="20"/>
                <w:lang w:eastAsia="en-US"/>
              </w:rPr>
              <w:t>0. humerus longer than scapula (greater than 15%)</w:t>
            </w:r>
          </w:p>
          <w:p w14:paraId="41846D80" w14:textId="77777777" w:rsidR="002820A5" w:rsidRDefault="002820A5" w:rsidP="002820A5">
            <w:pPr>
              <w:rPr>
                <w:color w:val="000000"/>
                <w:sz w:val="20"/>
                <w:szCs w:val="20"/>
                <w:lang w:eastAsia="en-US"/>
              </w:rPr>
            </w:pPr>
            <w:r>
              <w:rPr>
                <w:color w:val="000000"/>
                <w:sz w:val="20"/>
                <w:szCs w:val="20"/>
                <w:lang w:eastAsia="en-US"/>
              </w:rPr>
              <w:t>1. humerus and scapula subequal in length (± 13%)</w:t>
            </w:r>
          </w:p>
          <w:p w14:paraId="10698EAF" w14:textId="15807AEC" w:rsidR="002820A5" w:rsidRDefault="002820A5" w:rsidP="002820A5">
            <w:pPr>
              <w:rPr>
                <w:color w:val="000000"/>
                <w:sz w:val="20"/>
                <w:szCs w:val="20"/>
                <w:lang w:eastAsia="en-US"/>
              </w:rPr>
            </w:pPr>
            <w:r>
              <w:rPr>
                <w:color w:val="000000"/>
                <w:sz w:val="20"/>
                <w:szCs w:val="20"/>
                <w:lang w:eastAsia="en-US"/>
              </w:rPr>
              <w:t>2. humerus shorter in length than scapula (less than 15%)</w:t>
            </w:r>
          </w:p>
        </w:tc>
      </w:tr>
      <w:tr w:rsidR="002820A5" w14:paraId="209ED1ED" w14:textId="77777777" w:rsidTr="002820A5">
        <w:tc>
          <w:tcPr>
            <w:tcW w:w="0" w:type="auto"/>
            <w:tcBorders>
              <w:top w:val="single" w:sz="4" w:space="0" w:color="auto"/>
              <w:left w:val="single" w:sz="4" w:space="0" w:color="auto"/>
              <w:bottom w:val="single" w:sz="4" w:space="0" w:color="auto"/>
              <w:right w:val="single" w:sz="4" w:space="0" w:color="auto"/>
            </w:tcBorders>
          </w:tcPr>
          <w:p w14:paraId="054D7669" w14:textId="2BE11018" w:rsidR="002820A5" w:rsidRDefault="009E2821" w:rsidP="002820A5">
            <w:pPr>
              <w:rPr>
                <w:color w:val="000000"/>
                <w:sz w:val="20"/>
                <w:szCs w:val="20"/>
                <w:lang w:eastAsia="en-US"/>
              </w:rPr>
            </w:pPr>
            <w:r>
              <w:rPr>
                <w:color w:val="000000"/>
                <w:sz w:val="20"/>
                <w:szCs w:val="20"/>
                <w:lang w:eastAsia="en-US"/>
              </w:rPr>
              <w:t>375</w:t>
            </w:r>
          </w:p>
        </w:tc>
        <w:tc>
          <w:tcPr>
            <w:tcW w:w="0" w:type="auto"/>
            <w:tcBorders>
              <w:top w:val="single" w:sz="4" w:space="0" w:color="auto"/>
              <w:left w:val="single" w:sz="4" w:space="0" w:color="auto"/>
              <w:bottom w:val="single" w:sz="4" w:space="0" w:color="auto"/>
              <w:right w:val="single" w:sz="4" w:space="0" w:color="auto"/>
            </w:tcBorders>
            <w:vAlign w:val="bottom"/>
            <w:hideMark/>
          </w:tcPr>
          <w:p w14:paraId="07C457D0"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Limb bones (forelimbs), proportional length of ulna relative to the humerus: (ORDERED)</w:t>
            </w:r>
          </w:p>
          <w:p w14:paraId="12698CD9" w14:textId="52ADBB63"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Andrade et al. (2011, ch. 452); </w:t>
            </w:r>
            <w:r>
              <w:rPr>
                <w:i/>
                <w:sz w:val="20"/>
                <w:szCs w:val="20"/>
                <w:lang w:eastAsia="en-US"/>
              </w:rPr>
              <w:t xml:space="preserve">Ristevski et al. (2018, ds 2, ch. 322); Smith et al. (in review, ds 1, ch. 327); </w:t>
            </w:r>
            <w:r>
              <w:rPr>
                <w:i/>
                <w:sz w:val="20"/>
                <w:szCs w:val="20"/>
              </w:rPr>
              <w:t>Ősi et al. (in review, ds 1, ch. 372)</w:t>
            </w:r>
            <w:r>
              <w:rPr>
                <w:i/>
                <w:iCs/>
                <w:color w:val="000000"/>
                <w:sz w:val="20"/>
                <w:szCs w:val="20"/>
                <w:lang w:eastAsia="en-US"/>
              </w:rPr>
              <w:t>.</w:t>
            </w:r>
          </w:p>
          <w:p w14:paraId="764D22D7" w14:textId="23744F12"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lastRenderedPageBreak/>
              <w:t xml:space="preserve">State (2) is a putative apomorphy of Thalattosuchia (not </w:t>
            </w:r>
            <w:r w:rsidR="00007246">
              <w:rPr>
                <w:i/>
                <w:iCs/>
                <w:color w:val="000000"/>
                <w:sz w:val="20"/>
                <w:szCs w:val="20"/>
                <w:lang w:eastAsia="en-US"/>
              </w:rPr>
              <w:t>Teleosauroidea</w:t>
            </w:r>
            <w:r>
              <w:rPr>
                <w:i/>
                <w:iCs/>
                <w:color w:val="000000"/>
                <w:sz w:val="20"/>
                <w:szCs w:val="20"/>
                <w:lang w:eastAsia="en-US"/>
              </w:rPr>
              <w:t xml:space="preserve"> as putatively put forward by Andrade et al., 2011).</w:t>
            </w:r>
          </w:p>
          <w:p w14:paraId="083E9349" w14:textId="6321FC56"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In Thalattosuchia the ulna is typically between 48%</w:t>
            </w:r>
            <w:r>
              <w:rPr>
                <w:color w:val="000000"/>
                <w:sz w:val="20"/>
                <w:szCs w:val="20"/>
                <w:lang w:eastAsia="en-US"/>
              </w:rPr>
              <w:t>–</w:t>
            </w:r>
            <w:r>
              <w:rPr>
                <w:i/>
                <w:iCs/>
                <w:color w:val="000000"/>
                <w:sz w:val="20"/>
                <w:szCs w:val="20"/>
                <w:lang w:eastAsia="en-US"/>
              </w:rPr>
              <w:t>72% of the length of the humerus (perhaps being longer in juvenile specimens).</w:t>
            </w:r>
          </w:p>
          <w:p w14:paraId="63A510B0"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State (2) also occurs in </w:t>
            </w:r>
            <w:r>
              <w:rPr>
                <w:i/>
                <w:iCs/>
                <w:color w:val="000000"/>
                <w:sz w:val="20"/>
                <w:lang w:eastAsia="en-US"/>
              </w:rPr>
              <w:t xml:space="preserve">the </w:t>
            </w:r>
            <w:r>
              <w:rPr>
                <w:iCs/>
                <w:color w:val="000000"/>
                <w:sz w:val="20"/>
                <w:lang w:eastAsia="en-US"/>
              </w:rPr>
              <w:t xml:space="preserve">Pachycheilosuchus </w:t>
            </w:r>
            <w:r>
              <w:rPr>
                <w:i/>
                <w:iCs/>
                <w:color w:val="000000"/>
                <w:sz w:val="20"/>
                <w:lang w:eastAsia="en-US"/>
              </w:rPr>
              <w:t xml:space="preserve">+ </w:t>
            </w:r>
            <w:r>
              <w:rPr>
                <w:iCs/>
                <w:color w:val="000000"/>
                <w:sz w:val="20"/>
                <w:lang w:eastAsia="en-US"/>
              </w:rPr>
              <w:t>Pietraroiasuchus</w:t>
            </w:r>
            <w:r>
              <w:rPr>
                <w:i/>
                <w:iCs/>
                <w:color w:val="000000"/>
                <w:sz w:val="20"/>
                <w:lang w:eastAsia="en-US"/>
              </w:rPr>
              <w:t xml:space="preserve"> clade</w:t>
            </w:r>
            <w:r>
              <w:rPr>
                <w:i/>
                <w:iCs/>
                <w:color w:val="000000"/>
                <w:sz w:val="20"/>
                <w:szCs w:val="20"/>
                <w:lang w:eastAsia="en-US"/>
              </w:rPr>
              <w:t>.</w:t>
            </w:r>
          </w:p>
          <w:p w14:paraId="4E7E207B"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ulna clearly longer than humerus</w:t>
            </w:r>
          </w:p>
          <w:p w14:paraId="57B0E1C7" w14:textId="29DA4DE1" w:rsidR="002820A5" w:rsidRDefault="002820A5" w:rsidP="002820A5">
            <w:pPr>
              <w:autoSpaceDE w:val="0"/>
              <w:autoSpaceDN w:val="0"/>
              <w:adjustRightInd w:val="0"/>
              <w:rPr>
                <w:color w:val="000000"/>
                <w:sz w:val="20"/>
                <w:szCs w:val="20"/>
                <w:lang w:eastAsia="en-US"/>
              </w:rPr>
            </w:pPr>
            <w:r>
              <w:rPr>
                <w:color w:val="000000"/>
                <w:sz w:val="20"/>
                <w:szCs w:val="20"/>
                <w:lang w:eastAsia="en-US"/>
              </w:rPr>
              <w:t>1. ulna subequal to humerus (distal/proximal = 75–125%)</w:t>
            </w:r>
          </w:p>
          <w:p w14:paraId="37D279FE"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2. ulna clearly shorter than the humerus</w:t>
            </w:r>
          </w:p>
        </w:tc>
      </w:tr>
      <w:tr w:rsidR="002820A5" w14:paraId="1853540F" w14:textId="77777777" w:rsidTr="002820A5">
        <w:tc>
          <w:tcPr>
            <w:tcW w:w="0" w:type="auto"/>
            <w:tcBorders>
              <w:top w:val="single" w:sz="4" w:space="0" w:color="auto"/>
              <w:left w:val="single" w:sz="4" w:space="0" w:color="auto"/>
              <w:bottom w:val="single" w:sz="4" w:space="0" w:color="auto"/>
              <w:right w:val="single" w:sz="4" w:space="0" w:color="auto"/>
            </w:tcBorders>
          </w:tcPr>
          <w:p w14:paraId="07E843F9" w14:textId="79A0E114" w:rsidR="002820A5" w:rsidRDefault="009E2821" w:rsidP="002820A5">
            <w:pPr>
              <w:rPr>
                <w:color w:val="000000"/>
                <w:sz w:val="20"/>
                <w:szCs w:val="20"/>
                <w:lang w:eastAsia="en-US"/>
              </w:rPr>
            </w:pPr>
            <w:r>
              <w:rPr>
                <w:color w:val="000000"/>
                <w:sz w:val="20"/>
                <w:szCs w:val="20"/>
                <w:lang w:eastAsia="en-US"/>
              </w:rPr>
              <w:lastRenderedPageBreak/>
              <w:t>376</w:t>
            </w:r>
          </w:p>
        </w:tc>
        <w:tc>
          <w:tcPr>
            <w:tcW w:w="0" w:type="auto"/>
            <w:tcBorders>
              <w:top w:val="single" w:sz="4" w:space="0" w:color="auto"/>
              <w:left w:val="single" w:sz="4" w:space="0" w:color="auto"/>
              <w:bottom w:val="single" w:sz="4" w:space="0" w:color="auto"/>
              <w:right w:val="single" w:sz="4" w:space="0" w:color="auto"/>
            </w:tcBorders>
            <w:hideMark/>
          </w:tcPr>
          <w:p w14:paraId="748456E2" w14:textId="77777777" w:rsidR="002820A5" w:rsidRDefault="002820A5" w:rsidP="002820A5">
            <w:pPr>
              <w:rPr>
                <w:b/>
                <w:sz w:val="20"/>
                <w:szCs w:val="20"/>
                <w:lang w:eastAsia="en-US"/>
              </w:rPr>
            </w:pPr>
            <w:r>
              <w:rPr>
                <w:b/>
                <w:sz w:val="20"/>
                <w:szCs w:val="20"/>
                <w:lang w:eastAsia="en-US"/>
              </w:rPr>
              <w:t>Humerus, proximal region:</w:t>
            </w:r>
          </w:p>
          <w:p w14:paraId="14061B7C" w14:textId="00B726FF" w:rsidR="002820A5" w:rsidRDefault="002820A5" w:rsidP="002820A5">
            <w:pPr>
              <w:rPr>
                <w:i/>
                <w:sz w:val="20"/>
                <w:szCs w:val="20"/>
                <w:lang w:eastAsia="en-US"/>
              </w:rPr>
            </w:pPr>
            <w:r>
              <w:rPr>
                <w:i/>
                <w:sz w:val="20"/>
                <w:szCs w:val="20"/>
                <w:lang w:eastAsia="en-US"/>
              </w:rPr>
              <w:t xml:space="preserve">Nesbitt (2011, ch. 232 modified); </w:t>
            </w:r>
            <w:r>
              <w:rPr>
                <w:bCs/>
                <w:i/>
                <w:color w:val="000000"/>
                <w:sz w:val="20"/>
                <w:szCs w:val="20"/>
                <w:lang w:eastAsia="en-US"/>
              </w:rPr>
              <w:t xml:space="preserve">Young et al. (2013a, ch. 170); </w:t>
            </w:r>
            <w:r>
              <w:rPr>
                <w:i/>
                <w:sz w:val="20"/>
                <w:szCs w:val="20"/>
                <w:lang w:eastAsia="en-US"/>
              </w:rPr>
              <w:t xml:space="preserve">Young et al. (2012, ch. 203 modified); Young (2014, ch. 212); Young et al. (2016, ds 2, ch. 253 - added state 2); Ristevski et al. (2018, ds 2, ch. 323); Smith et al. (in review, ds 1, ch. 328); </w:t>
            </w:r>
            <w:r>
              <w:rPr>
                <w:i/>
                <w:sz w:val="20"/>
                <w:szCs w:val="20"/>
              </w:rPr>
              <w:t>Ősi et al. (in review, ds 1, ch. 373)</w:t>
            </w:r>
            <w:r>
              <w:rPr>
                <w:i/>
                <w:sz w:val="20"/>
                <w:szCs w:val="20"/>
                <w:lang w:eastAsia="en-US"/>
              </w:rPr>
              <w:t>.</w:t>
            </w:r>
          </w:p>
          <w:p w14:paraId="49590F6E" w14:textId="02A23789" w:rsidR="002820A5" w:rsidRDefault="002820A5" w:rsidP="002820A5">
            <w:pPr>
              <w:rPr>
                <w:i/>
                <w:sz w:val="20"/>
                <w:szCs w:val="20"/>
                <w:lang w:eastAsia="en-US"/>
              </w:rPr>
            </w:pPr>
            <w:r>
              <w:rPr>
                <w:i/>
                <w:sz w:val="20"/>
                <w:szCs w:val="20"/>
                <w:lang w:eastAsia="en-US"/>
              </w:rPr>
              <w:t>In Thalattosuchia, derived teleosaur</w:t>
            </w:r>
            <w:r w:rsidR="00007246">
              <w:rPr>
                <w:i/>
                <w:sz w:val="20"/>
                <w:szCs w:val="20"/>
                <w:lang w:eastAsia="en-US"/>
              </w:rPr>
              <w:t>o</w:t>
            </w:r>
            <w:r>
              <w:rPr>
                <w:i/>
                <w:sz w:val="20"/>
                <w:szCs w:val="20"/>
                <w:lang w:eastAsia="en-US"/>
              </w:rPr>
              <w:t>ids (</w:t>
            </w:r>
            <w:r>
              <w:rPr>
                <w:sz w:val="20"/>
                <w:szCs w:val="20"/>
                <w:lang w:eastAsia="en-US"/>
              </w:rPr>
              <w:t>Aeolodon priscus, S. bollensis, S. leedsi, S. edwardsi</w:t>
            </w:r>
            <w:r>
              <w:rPr>
                <w:i/>
                <w:sz w:val="20"/>
                <w:szCs w:val="20"/>
                <w:lang w:eastAsia="en-US"/>
              </w:rPr>
              <w:t>) have state (2) - the posterior deflection being much more pronounced than in other thalattosuchians.</w:t>
            </w:r>
          </w:p>
          <w:p w14:paraId="78B1CF51" w14:textId="77777777" w:rsidR="002820A5" w:rsidRDefault="002820A5" w:rsidP="002820A5">
            <w:pPr>
              <w:rPr>
                <w:i/>
                <w:sz w:val="20"/>
                <w:szCs w:val="20"/>
                <w:lang w:eastAsia="en-US"/>
              </w:rPr>
            </w:pPr>
            <w:r>
              <w:rPr>
                <w:i/>
                <w:sz w:val="20"/>
                <w:szCs w:val="20"/>
                <w:lang w:eastAsia="en-US"/>
              </w:rPr>
              <w:t>In Geosaurini and Rhacheosaurini taxa change to state (0).</w:t>
            </w:r>
          </w:p>
          <w:p w14:paraId="586B46E4" w14:textId="77777777" w:rsidR="002820A5" w:rsidRDefault="002820A5" w:rsidP="002820A5">
            <w:pPr>
              <w:rPr>
                <w:sz w:val="20"/>
                <w:szCs w:val="20"/>
                <w:lang w:eastAsia="en-US"/>
              </w:rPr>
            </w:pPr>
            <w:r>
              <w:rPr>
                <w:sz w:val="20"/>
                <w:szCs w:val="20"/>
                <w:lang w:eastAsia="en-US"/>
              </w:rPr>
              <w:t xml:space="preserve">0. confined to the proximal surface </w:t>
            </w:r>
          </w:p>
          <w:p w14:paraId="268B8B65" w14:textId="77777777" w:rsidR="002820A5" w:rsidRDefault="002820A5" w:rsidP="002820A5">
            <w:pPr>
              <w:rPr>
                <w:sz w:val="20"/>
                <w:szCs w:val="20"/>
                <w:lang w:eastAsia="en-US"/>
              </w:rPr>
            </w:pPr>
            <w:r>
              <w:rPr>
                <w:sz w:val="20"/>
                <w:szCs w:val="20"/>
                <w:lang w:eastAsia="en-US"/>
              </w:rPr>
              <w:t>1. posteriorly expanded and hooked</w:t>
            </w:r>
          </w:p>
          <w:p w14:paraId="526F711D" w14:textId="77777777" w:rsidR="002820A5" w:rsidRDefault="002820A5" w:rsidP="002820A5">
            <w:pPr>
              <w:rPr>
                <w:sz w:val="20"/>
                <w:szCs w:val="20"/>
                <w:lang w:eastAsia="en-US"/>
              </w:rPr>
            </w:pPr>
            <w:r>
              <w:rPr>
                <w:sz w:val="20"/>
                <w:szCs w:val="20"/>
                <w:lang w:eastAsia="en-US"/>
              </w:rPr>
              <w:t>2. very strongly posteriorly deflected and hooked, with the proximal epiphysis noticeably posterior to the distal epiphysis</w:t>
            </w:r>
          </w:p>
        </w:tc>
      </w:tr>
      <w:tr w:rsidR="002820A5" w14:paraId="06396F10" w14:textId="77777777" w:rsidTr="002820A5">
        <w:tc>
          <w:tcPr>
            <w:tcW w:w="0" w:type="auto"/>
            <w:tcBorders>
              <w:top w:val="single" w:sz="4" w:space="0" w:color="auto"/>
              <w:left w:val="single" w:sz="4" w:space="0" w:color="auto"/>
              <w:bottom w:val="single" w:sz="4" w:space="0" w:color="auto"/>
              <w:right w:val="single" w:sz="4" w:space="0" w:color="auto"/>
            </w:tcBorders>
          </w:tcPr>
          <w:p w14:paraId="4FCC73DA" w14:textId="2B1E05EF" w:rsidR="002820A5" w:rsidRDefault="009E2821" w:rsidP="002820A5">
            <w:pPr>
              <w:rPr>
                <w:color w:val="000000"/>
                <w:sz w:val="20"/>
                <w:szCs w:val="20"/>
                <w:lang w:eastAsia="en-US"/>
              </w:rPr>
            </w:pPr>
            <w:r>
              <w:rPr>
                <w:color w:val="000000"/>
                <w:sz w:val="20"/>
                <w:szCs w:val="20"/>
                <w:lang w:eastAsia="en-US"/>
              </w:rPr>
              <w:t>377</w:t>
            </w:r>
          </w:p>
        </w:tc>
        <w:tc>
          <w:tcPr>
            <w:tcW w:w="0" w:type="auto"/>
            <w:tcBorders>
              <w:top w:val="single" w:sz="4" w:space="0" w:color="auto"/>
              <w:left w:val="single" w:sz="4" w:space="0" w:color="auto"/>
              <w:bottom w:val="single" w:sz="4" w:space="0" w:color="auto"/>
              <w:right w:val="single" w:sz="4" w:space="0" w:color="auto"/>
            </w:tcBorders>
            <w:vAlign w:val="bottom"/>
            <w:hideMark/>
          </w:tcPr>
          <w:p w14:paraId="71855912" w14:textId="77777777" w:rsidR="002820A5" w:rsidRDefault="002820A5" w:rsidP="002820A5">
            <w:pPr>
              <w:rPr>
                <w:b/>
                <w:color w:val="000000"/>
                <w:sz w:val="20"/>
                <w:szCs w:val="20"/>
                <w:lang w:eastAsia="en-US"/>
              </w:rPr>
            </w:pPr>
            <w:r>
              <w:rPr>
                <w:b/>
                <w:color w:val="000000"/>
                <w:sz w:val="20"/>
                <w:szCs w:val="20"/>
                <w:lang w:eastAsia="en-US"/>
              </w:rPr>
              <w:t>Humerus, proximomedial articular surface:</w:t>
            </w:r>
          </w:p>
          <w:p w14:paraId="23B6F071" w14:textId="46C87026" w:rsidR="002820A5" w:rsidRDefault="002820A5" w:rsidP="002820A5">
            <w:pPr>
              <w:autoSpaceDE w:val="0"/>
              <w:autoSpaceDN w:val="0"/>
              <w:adjustRightInd w:val="0"/>
              <w:rPr>
                <w:i/>
                <w:sz w:val="20"/>
                <w:szCs w:val="20"/>
                <w:lang w:eastAsia="en-US"/>
              </w:rPr>
            </w:pPr>
            <w:r>
              <w:rPr>
                <w:i/>
                <w:sz w:val="20"/>
                <w:szCs w:val="20"/>
                <w:lang w:eastAsia="en-US"/>
              </w:rPr>
              <w:t xml:space="preserve">Young &amp; Andrade (2009, ch. 107); </w:t>
            </w:r>
            <w:r>
              <w:rPr>
                <w:bCs/>
                <w:i/>
                <w:color w:val="000000"/>
                <w:sz w:val="20"/>
                <w:szCs w:val="20"/>
                <w:lang w:eastAsia="en-US"/>
              </w:rPr>
              <w:t xml:space="preserve">Young et al. (2011, ch. 107); Young et al. (2013a, ch. 171); </w:t>
            </w:r>
            <w:r>
              <w:rPr>
                <w:i/>
                <w:sz w:val="20"/>
                <w:szCs w:val="20"/>
                <w:lang w:eastAsia="en-US"/>
              </w:rPr>
              <w:t xml:space="preserve">Young et al. (2012, ch. 204); Young (2014, ch. 213); Young et al. (2016, ds 2, ch. 254); Ristevski et al. (2018, ds 2, ch. 324); Smith et al. (in review, ds 1, ch. 329); </w:t>
            </w:r>
            <w:r>
              <w:rPr>
                <w:i/>
                <w:sz w:val="20"/>
                <w:szCs w:val="20"/>
              </w:rPr>
              <w:t>Ősi et al. (in review, ds 1, ch. 374)</w:t>
            </w:r>
            <w:r>
              <w:rPr>
                <w:i/>
                <w:sz w:val="20"/>
                <w:szCs w:val="20"/>
                <w:lang w:eastAsia="en-US"/>
              </w:rPr>
              <w:t>.</w:t>
            </w:r>
          </w:p>
          <w:p w14:paraId="3C32DDEB" w14:textId="77777777" w:rsidR="002820A5" w:rsidRDefault="002820A5" w:rsidP="002820A5">
            <w:pPr>
              <w:autoSpaceDE w:val="0"/>
              <w:autoSpaceDN w:val="0"/>
              <w:adjustRightInd w:val="0"/>
              <w:rPr>
                <w:i/>
                <w:sz w:val="20"/>
                <w:szCs w:val="20"/>
                <w:lang w:eastAsia="en-US"/>
              </w:rPr>
            </w:pPr>
            <w:r>
              <w:rPr>
                <w:i/>
                <w:sz w:val="20"/>
                <w:szCs w:val="20"/>
                <w:lang w:eastAsia="en-US"/>
              </w:rPr>
              <w:t xml:space="preserve">State (1) occurs in </w:t>
            </w:r>
            <w:r>
              <w:rPr>
                <w:sz w:val="20"/>
                <w:szCs w:val="20"/>
                <w:lang w:eastAsia="en-US"/>
              </w:rPr>
              <w:t xml:space="preserve">Rhacheosaurus </w:t>
            </w:r>
            <w:r>
              <w:rPr>
                <w:i/>
                <w:sz w:val="20"/>
                <w:szCs w:val="20"/>
                <w:lang w:eastAsia="en-US"/>
              </w:rPr>
              <w:t xml:space="preserve">and </w:t>
            </w:r>
            <w:r>
              <w:rPr>
                <w:sz w:val="20"/>
                <w:szCs w:val="20"/>
                <w:lang w:eastAsia="en-US"/>
              </w:rPr>
              <w:t>Cricosaurus</w:t>
            </w:r>
            <w:r>
              <w:rPr>
                <w:i/>
                <w:sz w:val="20"/>
                <w:szCs w:val="20"/>
                <w:lang w:eastAsia="en-US"/>
              </w:rPr>
              <w:t>.</w:t>
            </w:r>
          </w:p>
          <w:p w14:paraId="06784310" w14:textId="77777777" w:rsidR="002820A5" w:rsidRDefault="002820A5" w:rsidP="002820A5">
            <w:pPr>
              <w:rPr>
                <w:color w:val="000000"/>
                <w:sz w:val="20"/>
                <w:szCs w:val="20"/>
                <w:lang w:eastAsia="en-US"/>
              </w:rPr>
            </w:pPr>
            <w:r>
              <w:rPr>
                <w:color w:val="000000"/>
                <w:sz w:val="20"/>
                <w:szCs w:val="20"/>
                <w:lang w:eastAsia="en-US"/>
              </w:rPr>
              <w:t>0. strongly convex</w:t>
            </w:r>
          </w:p>
          <w:p w14:paraId="4EB16340" w14:textId="77777777" w:rsidR="002820A5" w:rsidRDefault="002820A5" w:rsidP="002820A5">
            <w:pPr>
              <w:rPr>
                <w:color w:val="000000"/>
                <w:sz w:val="20"/>
                <w:szCs w:val="20"/>
                <w:lang w:eastAsia="en-US"/>
              </w:rPr>
            </w:pPr>
            <w:r>
              <w:rPr>
                <w:color w:val="000000"/>
                <w:sz w:val="20"/>
                <w:szCs w:val="20"/>
                <w:lang w:eastAsia="en-US"/>
              </w:rPr>
              <w:t>1. weakly convex</w:t>
            </w:r>
          </w:p>
        </w:tc>
      </w:tr>
      <w:tr w:rsidR="002820A5" w14:paraId="08FD87FB" w14:textId="77777777" w:rsidTr="002820A5">
        <w:tc>
          <w:tcPr>
            <w:tcW w:w="0" w:type="auto"/>
            <w:tcBorders>
              <w:top w:val="single" w:sz="4" w:space="0" w:color="auto"/>
              <w:left w:val="single" w:sz="4" w:space="0" w:color="auto"/>
              <w:bottom w:val="single" w:sz="4" w:space="0" w:color="auto"/>
              <w:right w:val="single" w:sz="4" w:space="0" w:color="auto"/>
            </w:tcBorders>
          </w:tcPr>
          <w:p w14:paraId="64666000" w14:textId="4BDE6D2A" w:rsidR="002820A5" w:rsidRDefault="009E2821" w:rsidP="002820A5">
            <w:pPr>
              <w:rPr>
                <w:color w:val="000000"/>
                <w:sz w:val="20"/>
                <w:szCs w:val="20"/>
                <w:lang w:eastAsia="en-US"/>
              </w:rPr>
            </w:pPr>
            <w:r>
              <w:rPr>
                <w:sz w:val="20"/>
                <w:szCs w:val="20"/>
                <w:lang w:eastAsia="en-US"/>
              </w:rPr>
              <w:t>378</w:t>
            </w:r>
          </w:p>
        </w:tc>
        <w:tc>
          <w:tcPr>
            <w:tcW w:w="0" w:type="auto"/>
            <w:tcBorders>
              <w:top w:val="single" w:sz="4" w:space="0" w:color="auto"/>
              <w:left w:val="single" w:sz="4" w:space="0" w:color="auto"/>
              <w:bottom w:val="single" w:sz="4" w:space="0" w:color="auto"/>
              <w:right w:val="single" w:sz="4" w:space="0" w:color="auto"/>
            </w:tcBorders>
            <w:vAlign w:val="bottom"/>
            <w:hideMark/>
          </w:tcPr>
          <w:p w14:paraId="467DB9C4" w14:textId="77777777" w:rsidR="002820A5" w:rsidRDefault="002820A5" w:rsidP="002820A5">
            <w:pPr>
              <w:rPr>
                <w:b/>
                <w:color w:val="000000"/>
                <w:sz w:val="20"/>
                <w:szCs w:val="20"/>
                <w:lang w:eastAsia="en-US"/>
              </w:rPr>
            </w:pPr>
            <w:r>
              <w:rPr>
                <w:b/>
                <w:color w:val="000000"/>
                <w:sz w:val="20"/>
                <w:szCs w:val="20"/>
                <w:lang w:eastAsia="en-US"/>
              </w:rPr>
              <w:t>Humerus, deltopectoral crest:</w:t>
            </w:r>
          </w:p>
          <w:p w14:paraId="604C5EE8" w14:textId="4A516AC8" w:rsidR="002820A5" w:rsidRDefault="002820A5" w:rsidP="002820A5">
            <w:pPr>
              <w:autoSpaceDE w:val="0"/>
              <w:autoSpaceDN w:val="0"/>
              <w:adjustRightInd w:val="0"/>
              <w:rPr>
                <w:i/>
                <w:sz w:val="20"/>
                <w:szCs w:val="20"/>
                <w:lang w:eastAsia="en-US"/>
              </w:rPr>
            </w:pPr>
            <w:r>
              <w:rPr>
                <w:i/>
                <w:sz w:val="20"/>
                <w:szCs w:val="20"/>
                <w:lang w:eastAsia="en-US"/>
              </w:rPr>
              <w:t xml:space="preserve">Young (2006, ch. 38 modfied); Wilkinson et al. (2008, ch. 66 modified); Young &amp; Andrade (2009, ch. 66 modified); </w:t>
            </w:r>
            <w:r>
              <w:rPr>
                <w:bCs/>
                <w:i/>
                <w:color w:val="000000"/>
                <w:sz w:val="20"/>
                <w:szCs w:val="20"/>
                <w:lang w:eastAsia="en-US"/>
              </w:rPr>
              <w:t xml:space="preserve">Young et al. (2011, ch. 66 modified); Young et al. (2013a, ch. 172); </w:t>
            </w:r>
            <w:r>
              <w:rPr>
                <w:i/>
                <w:sz w:val="20"/>
                <w:szCs w:val="20"/>
                <w:lang w:eastAsia="en-US"/>
              </w:rPr>
              <w:t xml:space="preserve">Young et al. (2012, ch. 205); Young (2014, ch. 214); Young et al. (2016, ds 2, ch. 255); Ristevski et al. (2018, ds 2, ch. 325); Smith et al. (in review, ds 1, ch. 330); </w:t>
            </w:r>
            <w:r>
              <w:rPr>
                <w:i/>
                <w:sz w:val="20"/>
                <w:szCs w:val="20"/>
              </w:rPr>
              <w:t>Ősi et al. (in review, ds 1, ch. 375)</w:t>
            </w:r>
            <w:r>
              <w:rPr>
                <w:i/>
                <w:sz w:val="20"/>
                <w:szCs w:val="20"/>
                <w:lang w:eastAsia="en-US"/>
              </w:rPr>
              <w:t>.</w:t>
            </w:r>
          </w:p>
          <w:p w14:paraId="6CE1C7CA" w14:textId="77777777" w:rsidR="002820A5" w:rsidRDefault="002820A5" w:rsidP="002820A5">
            <w:pPr>
              <w:autoSpaceDE w:val="0"/>
              <w:autoSpaceDN w:val="0"/>
              <w:adjustRightInd w:val="0"/>
              <w:rPr>
                <w:i/>
                <w:sz w:val="20"/>
                <w:szCs w:val="20"/>
                <w:lang w:eastAsia="en-US"/>
              </w:rPr>
            </w:pPr>
            <w:r>
              <w:rPr>
                <w:i/>
                <w:sz w:val="20"/>
                <w:szCs w:val="20"/>
                <w:lang w:eastAsia="en-US"/>
              </w:rPr>
              <w:t>State (1) is a putative apomorphy of Metriorhynchidae.</w:t>
            </w:r>
          </w:p>
          <w:p w14:paraId="2CBA8499" w14:textId="77777777" w:rsidR="002820A5" w:rsidRDefault="002820A5" w:rsidP="002820A5">
            <w:pPr>
              <w:rPr>
                <w:i/>
                <w:sz w:val="20"/>
                <w:szCs w:val="20"/>
                <w:lang w:eastAsia="en-US"/>
              </w:rPr>
            </w:pPr>
            <w:r>
              <w:rPr>
                <w:i/>
                <w:color w:val="000000"/>
                <w:sz w:val="20"/>
                <w:szCs w:val="20"/>
                <w:lang w:eastAsia="en-US"/>
              </w:rPr>
              <w:t>Young et al. (2013a) removed state (2) (absent/vestigial) as metriorhynchids of the subclade Rhacheosaurini do indeed have a deltopectoral crest on their humeri.</w:t>
            </w:r>
          </w:p>
          <w:p w14:paraId="0A7DB0EF" w14:textId="77777777" w:rsidR="002820A5" w:rsidRDefault="002820A5" w:rsidP="002820A5">
            <w:pPr>
              <w:rPr>
                <w:color w:val="000000"/>
                <w:sz w:val="20"/>
                <w:szCs w:val="20"/>
                <w:lang w:eastAsia="en-US"/>
              </w:rPr>
            </w:pPr>
            <w:r>
              <w:rPr>
                <w:color w:val="000000"/>
                <w:sz w:val="20"/>
                <w:szCs w:val="20"/>
                <w:lang w:eastAsia="en-US"/>
              </w:rPr>
              <w:t>0. present and distinct from the proximal surface</w:t>
            </w:r>
          </w:p>
          <w:p w14:paraId="12F98204" w14:textId="77777777" w:rsidR="002820A5" w:rsidRDefault="002820A5" w:rsidP="002820A5">
            <w:pPr>
              <w:rPr>
                <w:color w:val="000000"/>
                <w:sz w:val="20"/>
                <w:szCs w:val="20"/>
                <w:lang w:eastAsia="en-US"/>
              </w:rPr>
            </w:pPr>
            <w:r>
              <w:rPr>
                <w:color w:val="000000"/>
                <w:sz w:val="20"/>
                <w:szCs w:val="20"/>
                <w:lang w:eastAsia="en-US"/>
              </w:rPr>
              <w:t>1. present, but continuous with the proximal surface</w:t>
            </w:r>
          </w:p>
        </w:tc>
      </w:tr>
      <w:tr w:rsidR="002820A5" w14:paraId="687943C0" w14:textId="77777777" w:rsidTr="002820A5">
        <w:tc>
          <w:tcPr>
            <w:tcW w:w="0" w:type="auto"/>
            <w:tcBorders>
              <w:top w:val="single" w:sz="4" w:space="0" w:color="auto"/>
              <w:left w:val="single" w:sz="4" w:space="0" w:color="auto"/>
              <w:bottom w:val="single" w:sz="4" w:space="0" w:color="auto"/>
              <w:right w:val="single" w:sz="4" w:space="0" w:color="auto"/>
            </w:tcBorders>
          </w:tcPr>
          <w:p w14:paraId="01566854" w14:textId="398CED68" w:rsidR="002820A5" w:rsidRDefault="009E2821" w:rsidP="002820A5">
            <w:pPr>
              <w:rPr>
                <w:color w:val="000000"/>
                <w:sz w:val="20"/>
                <w:szCs w:val="20"/>
                <w:lang w:eastAsia="en-US"/>
              </w:rPr>
            </w:pPr>
            <w:r>
              <w:rPr>
                <w:color w:val="000000"/>
                <w:sz w:val="20"/>
                <w:szCs w:val="20"/>
                <w:lang w:eastAsia="en-US"/>
              </w:rPr>
              <w:t>379</w:t>
            </w:r>
          </w:p>
        </w:tc>
        <w:tc>
          <w:tcPr>
            <w:tcW w:w="0" w:type="auto"/>
            <w:tcBorders>
              <w:top w:val="single" w:sz="4" w:space="0" w:color="auto"/>
              <w:left w:val="single" w:sz="4" w:space="0" w:color="auto"/>
              <w:bottom w:val="single" w:sz="4" w:space="0" w:color="auto"/>
              <w:right w:val="single" w:sz="4" w:space="0" w:color="auto"/>
            </w:tcBorders>
            <w:vAlign w:val="bottom"/>
            <w:hideMark/>
          </w:tcPr>
          <w:p w14:paraId="6AECFE35" w14:textId="77777777" w:rsidR="002820A5" w:rsidRDefault="002820A5" w:rsidP="002820A5">
            <w:pPr>
              <w:rPr>
                <w:b/>
                <w:color w:val="000000"/>
                <w:sz w:val="20"/>
                <w:szCs w:val="20"/>
                <w:lang w:eastAsia="en-US"/>
              </w:rPr>
            </w:pPr>
            <w:r>
              <w:rPr>
                <w:b/>
                <w:color w:val="000000"/>
                <w:sz w:val="20"/>
                <w:szCs w:val="20"/>
                <w:lang w:eastAsia="en-US"/>
              </w:rPr>
              <w:t>Humerus, shape:</w:t>
            </w:r>
          </w:p>
          <w:p w14:paraId="20E13117" w14:textId="4BA7E74D" w:rsidR="002820A5" w:rsidRDefault="002820A5" w:rsidP="002820A5">
            <w:pPr>
              <w:autoSpaceDE w:val="0"/>
              <w:autoSpaceDN w:val="0"/>
              <w:adjustRightInd w:val="0"/>
              <w:rPr>
                <w:i/>
                <w:sz w:val="20"/>
                <w:szCs w:val="20"/>
                <w:lang w:eastAsia="en-US"/>
              </w:rPr>
            </w:pPr>
            <w:r>
              <w:rPr>
                <w:i/>
                <w:sz w:val="20"/>
                <w:szCs w:val="20"/>
                <w:lang w:eastAsia="en-US"/>
              </w:rPr>
              <w:t xml:space="preserve">Young et al. (2012, ch. 206); Young (2014, ch. 215); Young et al. (2016, ds 2, ch. 256); Ristevski et al. (2018, ds 2, ch. 326); Smith et al. (in review, ds 1, ch. 331); </w:t>
            </w:r>
            <w:r>
              <w:rPr>
                <w:i/>
                <w:sz w:val="20"/>
                <w:szCs w:val="20"/>
              </w:rPr>
              <w:t>Ősi et al. (in review, ds 1, ch. 376)</w:t>
            </w:r>
            <w:r>
              <w:rPr>
                <w:i/>
                <w:sz w:val="20"/>
                <w:szCs w:val="20"/>
                <w:lang w:eastAsia="en-US"/>
              </w:rPr>
              <w:t>.</w:t>
            </w:r>
          </w:p>
          <w:p w14:paraId="7A250BB4" w14:textId="77777777" w:rsidR="002820A5" w:rsidRDefault="002820A5" w:rsidP="002820A5">
            <w:pPr>
              <w:rPr>
                <w:i/>
                <w:sz w:val="20"/>
                <w:szCs w:val="20"/>
                <w:lang w:eastAsia="en-US"/>
              </w:rPr>
            </w:pPr>
            <w:r>
              <w:rPr>
                <w:i/>
                <w:sz w:val="20"/>
                <w:szCs w:val="20"/>
                <w:lang w:eastAsia="en-US"/>
              </w:rPr>
              <w:t>State (1) is a putative apomorphy of Metriorhynchidae.</w:t>
            </w:r>
          </w:p>
          <w:p w14:paraId="7A3EFC1D" w14:textId="77777777" w:rsidR="002820A5" w:rsidRDefault="002820A5" w:rsidP="002820A5">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5D5ACAF6" w14:textId="77777777" w:rsidR="002820A5" w:rsidRDefault="002820A5" w:rsidP="002820A5">
            <w:pPr>
              <w:rPr>
                <w:color w:val="000000"/>
                <w:sz w:val="20"/>
                <w:szCs w:val="20"/>
                <w:lang w:eastAsia="en-US"/>
              </w:rPr>
            </w:pPr>
            <w:r>
              <w:rPr>
                <w:color w:val="000000"/>
                <w:sz w:val="20"/>
                <w:szCs w:val="20"/>
                <w:lang w:eastAsia="en-US"/>
              </w:rPr>
              <w:t>0. has typical long bone morphology (longer than wide at distal end)</w:t>
            </w:r>
          </w:p>
          <w:p w14:paraId="7F2924E4" w14:textId="77777777" w:rsidR="002820A5" w:rsidRDefault="002820A5" w:rsidP="002820A5">
            <w:pPr>
              <w:rPr>
                <w:color w:val="000000"/>
                <w:sz w:val="20"/>
                <w:szCs w:val="20"/>
                <w:lang w:eastAsia="en-US"/>
              </w:rPr>
            </w:pPr>
            <w:r>
              <w:rPr>
                <w:color w:val="000000"/>
                <w:sz w:val="20"/>
                <w:szCs w:val="20"/>
                <w:lang w:eastAsia="en-US"/>
              </w:rPr>
              <w:t>1. broadly expanded and plate-like</w:t>
            </w:r>
          </w:p>
        </w:tc>
      </w:tr>
      <w:tr w:rsidR="002820A5" w14:paraId="5DFD4266" w14:textId="77777777" w:rsidTr="002820A5">
        <w:tc>
          <w:tcPr>
            <w:tcW w:w="0" w:type="auto"/>
            <w:tcBorders>
              <w:top w:val="single" w:sz="4" w:space="0" w:color="auto"/>
              <w:left w:val="single" w:sz="4" w:space="0" w:color="auto"/>
              <w:bottom w:val="single" w:sz="4" w:space="0" w:color="auto"/>
              <w:right w:val="single" w:sz="4" w:space="0" w:color="auto"/>
            </w:tcBorders>
          </w:tcPr>
          <w:p w14:paraId="0F28FF95" w14:textId="69476C7F" w:rsidR="002820A5" w:rsidRDefault="009E2821" w:rsidP="002820A5">
            <w:pPr>
              <w:rPr>
                <w:color w:val="000000"/>
                <w:sz w:val="20"/>
                <w:szCs w:val="20"/>
                <w:lang w:eastAsia="en-US"/>
              </w:rPr>
            </w:pPr>
            <w:r>
              <w:rPr>
                <w:color w:val="000000"/>
                <w:sz w:val="20"/>
                <w:szCs w:val="20"/>
                <w:lang w:eastAsia="en-US"/>
              </w:rPr>
              <w:t>380</w:t>
            </w:r>
          </w:p>
        </w:tc>
        <w:tc>
          <w:tcPr>
            <w:tcW w:w="0" w:type="auto"/>
            <w:tcBorders>
              <w:top w:val="single" w:sz="4" w:space="0" w:color="auto"/>
              <w:left w:val="single" w:sz="4" w:space="0" w:color="auto"/>
              <w:bottom w:val="single" w:sz="4" w:space="0" w:color="auto"/>
              <w:right w:val="single" w:sz="4" w:space="0" w:color="auto"/>
            </w:tcBorders>
            <w:vAlign w:val="bottom"/>
            <w:hideMark/>
          </w:tcPr>
          <w:p w14:paraId="32E1C102" w14:textId="77777777" w:rsidR="002820A5" w:rsidRDefault="002820A5" w:rsidP="002820A5">
            <w:pPr>
              <w:rPr>
                <w:b/>
                <w:color w:val="000000"/>
                <w:sz w:val="20"/>
                <w:szCs w:val="20"/>
                <w:lang w:eastAsia="en-US"/>
              </w:rPr>
            </w:pPr>
            <w:r>
              <w:rPr>
                <w:b/>
                <w:color w:val="000000"/>
                <w:sz w:val="20"/>
                <w:szCs w:val="20"/>
                <w:lang w:eastAsia="en-US"/>
              </w:rPr>
              <w:t>Humerus, length of the diaphysis relative to total humerus length:</w:t>
            </w:r>
          </w:p>
          <w:p w14:paraId="19B64751" w14:textId="74C5134C" w:rsidR="002820A5" w:rsidRDefault="002820A5" w:rsidP="002820A5">
            <w:pPr>
              <w:autoSpaceDE w:val="0"/>
              <w:autoSpaceDN w:val="0"/>
              <w:adjustRightInd w:val="0"/>
              <w:rPr>
                <w:i/>
                <w:sz w:val="20"/>
                <w:szCs w:val="20"/>
                <w:lang w:eastAsia="en-US"/>
              </w:rPr>
            </w:pPr>
            <w:r>
              <w:rPr>
                <w:i/>
                <w:sz w:val="20"/>
                <w:szCs w:val="20"/>
                <w:lang w:eastAsia="en-US"/>
              </w:rPr>
              <w:t xml:space="preserve">Wilkinson et al. (2008, ch. 67); Young &amp; Andrade (2009, ch. 67); </w:t>
            </w:r>
            <w:r>
              <w:rPr>
                <w:bCs/>
                <w:i/>
                <w:color w:val="000000"/>
                <w:sz w:val="20"/>
                <w:szCs w:val="20"/>
                <w:lang w:eastAsia="en-US"/>
              </w:rPr>
              <w:t xml:space="preserve">Young et al. (2011, ch. 67); Young et al. (2013a, ch. 173); </w:t>
            </w:r>
            <w:r>
              <w:rPr>
                <w:i/>
                <w:sz w:val="20"/>
                <w:szCs w:val="20"/>
                <w:lang w:eastAsia="en-US"/>
              </w:rPr>
              <w:t xml:space="preserve">Young et al. (2012, ch. 207); Young (2014, ch. 216); Young et al. (2016, ds 2, ch. 257); Ristevski et al. (2018, ds 2, ch. 327); Smith et al. (in review, ds 1, ch. 332); </w:t>
            </w:r>
            <w:r>
              <w:rPr>
                <w:i/>
                <w:sz w:val="20"/>
                <w:szCs w:val="20"/>
              </w:rPr>
              <w:t>Ősi et al. (in review, ds 1, ch. 377)</w:t>
            </w:r>
            <w:r>
              <w:rPr>
                <w:i/>
                <w:sz w:val="20"/>
                <w:szCs w:val="20"/>
                <w:lang w:eastAsia="en-US"/>
              </w:rPr>
              <w:t>.</w:t>
            </w:r>
          </w:p>
          <w:p w14:paraId="00DA9CE3" w14:textId="77777777" w:rsidR="002820A5" w:rsidRDefault="002820A5" w:rsidP="002820A5">
            <w:pPr>
              <w:rPr>
                <w:i/>
                <w:sz w:val="20"/>
                <w:szCs w:val="20"/>
                <w:lang w:eastAsia="en-US"/>
              </w:rPr>
            </w:pPr>
            <w:r>
              <w:rPr>
                <w:i/>
                <w:sz w:val="20"/>
                <w:szCs w:val="20"/>
                <w:lang w:eastAsia="en-US"/>
              </w:rPr>
              <w:t>This character quantifies the reduction in humeral shaft size in Metriorhynchidae.</w:t>
            </w:r>
          </w:p>
          <w:p w14:paraId="5DC15541" w14:textId="77777777" w:rsidR="002820A5" w:rsidRDefault="002820A5" w:rsidP="002820A5">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5CF07F92" w14:textId="77777777" w:rsidR="002820A5" w:rsidRDefault="002820A5" w:rsidP="002820A5">
            <w:pPr>
              <w:rPr>
                <w:color w:val="000000"/>
                <w:sz w:val="20"/>
                <w:szCs w:val="20"/>
                <w:lang w:eastAsia="en-US"/>
              </w:rPr>
            </w:pPr>
            <w:r>
              <w:rPr>
                <w:color w:val="000000"/>
                <w:sz w:val="20"/>
                <w:szCs w:val="20"/>
                <w:lang w:eastAsia="en-US"/>
              </w:rPr>
              <w:t>0. diaphysis contributing more than 50% of total humeral length</w:t>
            </w:r>
          </w:p>
          <w:p w14:paraId="115AEAFE" w14:textId="77777777" w:rsidR="002820A5" w:rsidRDefault="002820A5" w:rsidP="002820A5">
            <w:pPr>
              <w:rPr>
                <w:color w:val="000000"/>
                <w:sz w:val="20"/>
                <w:szCs w:val="20"/>
                <w:lang w:eastAsia="en-US"/>
              </w:rPr>
            </w:pPr>
            <w:r>
              <w:rPr>
                <w:color w:val="000000"/>
                <w:sz w:val="20"/>
                <w:szCs w:val="20"/>
                <w:lang w:eastAsia="en-US"/>
              </w:rPr>
              <w:t>1. diaphysis contributes 35–38% of total humeral length</w:t>
            </w:r>
          </w:p>
          <w:p w14:paraId="67F5DBC7" w14:textId="77777777" w:rsidR="002820A5" w:rsidRDefault="002820A5" w:rsidP="002820A5">
            <w:pPr>
              <w:rPr>
                <w:color w:val="000000"/>
                <w:sz w:val="20"/>
                <w:szCs w:val="20"/>
                <w:lang w:eastAsia="en-US"/>
              </w:rPr>
            </w:pPr>
            <w:r>
              <w:rPr>
                <w:color w:val="000000"/>
                <w:sz w:val="20"/>
                <w:szCs w:val="20"/>
                <w:lang w:eastAsia="en-US"/>
              </w:rPr>
              <w:t>2. diaphysis contributes less than 25% of total humeral length</w:t>
            </w:r>
          </w:p>
        </w:tc>
      </w:tr>
      <w:tr w:rsidR="002820A5" w14:paraId="1C36B733" w14:textId="77777777" w:rsidTr="002820A5">
        <w:tc>
          <w:tcPr>
            <w:tcW w:w="0" w:type="auto"/>
            <w:tcBorders>
              <w:top w:val="single" w:sz="4" w:space="0" w:color="auto"/>
              <w:left w:val="single" w:sz="4" w:space="0" w:color="auto"/>
              <w:bottom w:val="single" w:sz="4" w:space="0" w:color="auto"/>
              <w:right w:val="single" w:sz="4" w:space="0" w:color="auto"/>
            </w:tcBorders>
          </w:tcPr>
          <w:p w14:paraId="57E92C7A" w14:textId="2D1047C0" w:rsidR="002820A5" w:rsidRDefault="009E2821" w:rsidP="002820A5">
            <w:pPr>
              <w:rPr>
                <w:color w:val="000000"/>
                <w:sz w:val="20"/>
                <w:szCs w:val="20"/>
                <w:lang w:eastAsia="en-US"/>
              </w:rPr>
            </w:pPr>
            <w:r>
              <w:rPr>
                <w:color w:val="000000"/>
                <w:sz w:val="20"/>
                <w:szCs w:val="20"/>
                <w:lang w:eastAsia="en-US"/>
              </w:rPr>
              <w:t>381</w:t>
            </w:r>
          </w:p>
        </w:tc>
        <w:tc>
          <w:tcPr>
            <w:tcW w:w="0" w:type="auto"/>
            <w:tcBorders>
              <w:top w:val="single" w:sz="4" w:space="0" w:color="auto"/>
              <w:left w:val="single" w:sz="4" w:space="0" w:color="auto"/>
              <w:bottom w:val="single" w:sz="4" w:space="0" w:color="auto"/>
              <w:right w:val="single" w:sz="4" w:space="0" w:color="auto"/>
            </w:tcBorders>
            <w:vAlign w:val="bottom"/>
            <w:hideMark/>
          </w:tcPr>
          <w:p w14:paraId="275C33F7" w14:textId="77777777" w:rsidR="002820A5" w:rsidRDefault="002820A5" w:rsidP="002820A5">
            <w:pPr>
              <w:rPr>
                <w:b/>
                <w:color w:val="000000"/>
                <w:sz w:val="20"/>
                <w:szCs w:val="20"/>
                <w:lang w:eastAsia="en-US"/>
              </w:rPr>
            </w:pPr>
            <w:r>
              <w:rPr>
                <w:b/>
                <w:color w:val="000000"/>
                <w:sz w:val="20"/>
                <w:szCs w:val="20"/>
                <w:lang w:eastAsia="en-US"/>
              </w:rPr>
              <w:t>Humerus-antebrachium joint surface:</w:t>
            </w:r>
          </w:p>
          <w:p w14:paraId="174256EF" w14:textId="53402CA4" w:rsidR="002820A5" w:rsidRDefault="002820A5" w:rsidP="002820A5">
            <w:pPr>
              <w:autoSpaceDE w:val="0"/>
              <w:autoSpaceDN w:val="0"/>
              <w:adjustRightInd w:val="0"/>
              <w:rPr>
                <w:i/>
                <w:sz w:val="20"/>
                <w:szCs w:val="20"/>
                <w:lang w:eastAsia="en-US"/>
              </w:rPr>
            </w:pPr>
            <w:r>
              <w:rPr>
                <w:bCs/>
                <w:i/>
                <w:color w:val="000000"/>
                <w:sz w:val="20"/>
                <w:szCs w:val="20"/>
                <w:lang w:eastAsia="en-US"/>
              </w:rPr>
              <w:t xml:space="preserve">Young et al. (2011, ch. 180); Young et al. (2013a, ch. 174); </w:t>
            </w:r>
            <w:r>
              <w:rPr>
                <w:i/>
                <w:sz w:val="20"/>
                <w:szCs w:val="20"/>
                <w:lang w:eastAsia="en-US"/>
              </w:rPr>
              <w:t xml:space="preserve">Young et al. (2012, ch. 208); Young (2014, ch. 217); Young et al. (2016, ds 2, ch. 258); Ristevski et al. (2018, ds 2, ch. 328); Smith et al. (in review, ds 1, ch. 333); </w:t>
            </w:r>
            <w:r>
              <w:rPr>
                <w:i/>
                <w:sz w:val="20"/>
                <w:szCs w:val="20"/>
              </w:rPr>
              <w:t>Ősi et al. (in review, ds 1, ch. 378)</w:t>
            </w:r>
            <w:r>
              <w:rPr>
                <w:i/>
                <w:sz w:val="20"/>
                <w:szCs w:val="20"/>
                <w:lang w:eastAsia="en-US"/>
              </w:rPr>
              <w:t>.</w:t>
            </w:r>
          </w:p>
          <w:p w14:paraId="670DDE3F" w14:textId="77777777" w:rsidR="002820A5" w:rsidRDefault="002820A5" w:rsidP="002820A5">
            <w:pPr>
              <w:rPr>
                <w:i/>
                <w:sz w:val="20"/>
                <w:szCs w:val="20"/>
                <w:lang w:eastAsia="en-US"/>
              </w:rPr>
            </w:pPr>
            <w:r>
              <w:rPr>
                <w:i/>
                <w:sz w:val="20"/>
                <w:szCs w:val="20"/>
                <w:lang w:eastAsia="en-US"/>
              </w:rPr>
              <w:t>State (1) is a putative apomorphy of Metriorhynchidae.</w:t>
            </w:r>
          </w:p>
          <w:p w14:paraId="1A140569" w14:textId="77777777" w:rsidR="002820A5" w:rsidRDefault="002820A5" w:rsidP="002820A5">
            <w:pPr>
              <w:rPr>
                <w:b/>
                <w:color w:val="000000"/>
                <w:sz w:val="20"/>
                <w:szCs w:val="20"/>
                <w:lang w:eastAsia="en-US"/>
              </w:rPr>
            </w:pPr>
            <w:r>
              <w:rPr>
                <w:i/>
                <w:sz w:val="20"/>
                <w:szCs w:val="20"/>
                <w:lang w:eastAsia="en-US"/>
              </w:rPr>
              <w:lastRenderedPageBreak/>
              <w:t>This character helps score the modification of the manus into paddles, and the general reduction of the forelimbs, in Metriorhynchidae.</w:t>
            </w:r>
          </w:p>
          <w:p w14:paraId="0D203D8D" w14:textId="77777777" w:rsidR="002820A5" w:rsidRDefault="002820A5" w:rsidP="002820A5">
            <w:pPr>
              <w:rPr>
                <w:color w:val="000000"/>
                <w:sz w:val="20"/>
                <w:szCs w:val="20"/>
                <w:lang w:eastAsia="en-US"/>
              </w:rPr>
            </w:pPr>
            <w:r>
              <w:rPr>
                <w:color w:val="000000"/>
                <w:sz w:val="20"/>
                <w:szCs w:val="20"/>
                <w:lang w:eastAsia="en-US"/>
              </w:rPr>
              <w:t>0. complex, allowing one degree of motion – i.e. the humeral epiphyses are ossified</w:t>
            </w:r>
          </w:p>
          <w:p w14:paraId="28E60ABD" w14:textId="77777777" w:rsidR="002820A5" w:rsidRDefault="002820A5" w:rsidP="002820A5">
            <w:pPr>
              <w:rPr>
                <w:color w:val="000000"/>
                <w:sz w:val="20"/>
                <w:szCs w:val="20"/>
                <w:lang w:eastAsia="en-US"/>
              </w:rPr>
            </w:pPr>
            <w:r>
              <w:rPr>
                <w:color w:val="000000"/>
                <w:sz w:val="20"/>
                <w:szCs w:val="20"/>
                <w:lang w:eastAsia="en-US"/>
              </w:rPr>
              <w:t>1. planar, limiting possible motion – i.e. the humeral epiphyses are unossified</w:t>
            </w:r>
          </w:p>
        </w:tc>
      </w:tr>
      <w:tr w:rsidR="002820A5" w14:paraId="2D2FFD9D" w14:textId="77777777" w:rsidTr="002820A5">
        <w:tc>
          <w:tcPr>
            <w:tcW w:w="0" w:type="auto"/>
            <w:tcBorders>
              <w:top w:val="single" w:sz="4" w:space="0" w:color="auto"/>
              <w:left w:val="single" w:sz="4" w:space="0" w:color="auto"/>
              <w:bottom w:val="single" w:sz="4" w:space="0" w:color="auto"/>
              <w:right w:val="single" w:sz="4" w:space="0" w:color="auto"/>
            </w:tcBorders>
          </w:tcPr>
          <w:p w14:paraId="7A1EDE64" w14:textId="6C08226E" w:rsidR="002820A5" w:rsidRDefault="009E2821" w:rsidP="002820A5">
            <w:pPr>
              <w:rPr>
                <w:color w:val="000000"/>
                <w:sz w:val="20"/>
                <w:szCs w:val="20"/>
                <w:lang w:eastAsia="en-US"/>
              </w:rPr>
            </w:pPr>
            <w:r>
              <w:rPr>
                <w:color w:val="000000"/>
                <w:sz w:val="20"/>
                <w:szCs w:val="20"/>
                <w:lang w:eastAsia="en-US"/>
              </w:rPr>
              <w:lastRenderedPageBreak/>
              <w:t>382</w:t>
            </w:r>
          </w:p>
        </w:tc>
        <w:tc>
          <w:tcPr>
            <w:tcW w:w="0" w:type="auto"/>
            <w:tcBorders>
              <w:top w:val="single" w:sz="4" w:space="0" w:color="auto"/>
              <w:left w:val="single" w:sz="4" w:space="0" w:color="auto"/>
              <w:bottom w:val="single" w:sz="4" w:space="0" w:color="auto"/>
              <w:right w:val="single" w:sz="4" w:space="0" w:color="auto"/>
            </w:tcBorders>
            <w:vAlign w:val="bottom"/>
            <w:hideMark/>
          </w:tcPr>
          <w:p w14:paraId="0D468B62" w14:textId="77777777" w:rsidR="002820A5" w:rsidRDefault="002820A5" w:rsidP="002820A5">
            <w:pPr>
              <w:rPr>
                <w:b/>
                <w:color w:val="000000"/>
                <w:sz w:val="20"/>
                <w:szCs w:val="20"/>
                <w:lang w:eastAsia="en-US"/>
              </w:rPr>
            </w:pPr>
            <w:r>
              <w:rPr>
                <w:b/>
                <w:color w:val="000000"/>
                <w:sz w:val="20"/>
                <w:szCs w:val="20"/>
                <w:lang w:eastAsia="en-US"/>
              </w:rPr>
              <w:t>Radius and/or ulna, shape:</w:t>
            </w:r>
          </w:p>
          <w:p w14:paraId="665DD530" w14:textId="3F37BAD0" w:rsidR="002820A5" w:rsidRDefault="002820A5" w:rsidP="002820A5">
            <w:pPr>
              <w:autoSpaceDE w:val="0"/>
              <w:autoSpaceDN w:val="0"/>
              <w:adjustRightInd w:val="0"/>
              <w:rPr>
                <w:i/>
                <w:sz w:val="20"/>
                <w:szCs w:val="20"/>
                <w:lang w:eastAsia="en-US"/>
              </w:rPr>
            </w:pPr>
            <w:r>
              <w:rPr>
                <w:i/>
                <w:sz w:val="20"/>
                <w:szCs w:val="20"/>
                <w:lang w:eastAsia="en-US"/>
              </w:rPr>
              <w:t>Young (2006, ch. 37); Wilkinson et al. (2008, ch. 65); Young &amp; Andrade (2009, ch. 65);</w:t>
            </w:r>
            <w:r>
              <w:rPr>
                <w:bCs/>
                <w:i/>
                <w:color w:val="000000"/>
                <w:sz w:val="20"/>
                <w:szCs w:val="20"/>
                <w:lang w:eastAsia="en-US"/>
              </w:rPr>
              <w:t xml:space="preserve"> Young et al. (2011, ch. 65 + 176); Young et al. (2013a, ch. 175 + 177);</w:t>
            </w:r>
            <w:r>
              <w:rPr>
                <w:i/>
                <w:sz w:val="20"/>
                <w:szCs w:val="20"/>
                <w:lang w:eastAsia="en-US"/>
              </w:rPr>
              <w:t xml:space="preserve"> Young et al. (2012, ch. 209 + 211); Young (2014, ch. 218 + 220); Young et al. (2016, ds 2, ch. 259 + 261); Ristevski et al. (2018, ds 2, ch. 329); Smith et al. (in review, ds 1, ch. 334); </w:t>
            </w:r>
            <w:r>
              <w:rPr>
                <w:i/>
                <w:sz w:val="20"/>
                <w:szCs w:val="20"/>
              </w:rPr>
              <w:t>Ősi et al. (in review, ds 1, ch. 379)</w:t>
            </w:r>
            <w:r>
              <w:rPr>
                <w:i/>
                <w:sz w:val="20"/>
                <w:szCs w:val="20"/>
                <w:lang w:eastAsia="en-US"/>
              </w:rPr>
              <w:t>.</w:t>
            </w:r>
          </w:p>
          <w:p w14:paraId="38C8812F" w14:textId="77777777" w:rsidR="002820A5" w:rsidRDefault="002820A5" w:rsidP="002820A5">
            <w:pPr>
              <w:rPr>
                <w:i/>
                <w:sz w:val="20"/>
                <w:szCs w:val="20"/>
                <w:lang w:eastAsia="en-US"/>
              </w:rPr>
            </w:pPr>
            <w:r>
              <w:rPr>
                <w:i/>
                <w:sz w:val="20"/>
                <w:szCs w:val="20"/>
                <w:lang w:eastAsia="en-US"/>
              </w:rPr>
              <w:t>State (1) is a putative apomorphy of Metriorhynchidae.</w:t>
            </w:r>
          </w:p>
          <w:p w14:paraId="7F10AD61" w14:textId="77777777" w:rsidR="002820A5" w:rsidRDefault="002820A5" w:rsidP="002820A5">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3DD8631E" w14:textId="77777777" w:rsidR="002820A5" w:rsidRDefault="002820A5" w:rsidP="002820A5">
            <w:pPr>
              <w:rPr>
                <w:color w:val="000000"/>
                <w:sz w:val="20"/>
                <w:szCs w:val="20"/>
                <w:lang w:eastAsia="en-US"/>
              </w:rPr>
            </w:pPr>
            <w:r>
              <w:rPr>
                <w:color w:val="000000"/>
                <w:sz w:val="20"/>
                <w:szCs w:val="20"/>
                <w:lang w:eastAsia="en-US"/>
              </w:rPr>
              <w:t>0. typical long bone morphology (proximodistal length noticeably greater than width at distal end)</w:t>
            </w:r>
          </w:p>
          <w:p w14:paraId="315F398F" w14:textId="77777777" w:rsidR="002820A5" w:rsidRDefault="002820A5" w:rsidP="002820A5">
            <w:pPr>
              <w:rPr>
                <w:color w:val="000000"/>
                <w:sz w:val="20"/>
                <w:szCs w:val="20"/>
                <w:lang w:eastAsia="en-US"/>
              </w:rPr>
            </w:pPr>
            <w:r>
              <w:rPr>
                <w:color w:val="000000"/>
                <w:sz w:val="20"/>
                <w:szCs w:val="20"/>
                <w:lang w:eastAsia="en-US"/>
              </w:rPr>
              <w:t>1. broadly expanded and plate-like</w:t>
            </w:r>
          </w:p>
        </w:tc>
      </w:tr>
      <w:tr w:rsidR="002820A5" w14:paraId="568EAE21" w14:textId="77777777" w:rsidTr="002820A5">
        <w:tc>
          <w:tcPr>
            <w:tcW w:w="0" w:type="auto"/>
            <w:tcBorders>
              <w:top w:val="single" w:sz="4" w:space="0" w:color="auto"/>
              <w:left w:val="single" w:sz="4" w:space="0" w:color="auto"/>
              <w:bottom w:val="single" w:sz="4" w:space="0" w:color="auto"/>
              <w:right w:val="single" w:sz="4" w:space="0" w:color="auto"/>
            </w:tcBorders>
          </w:tcPr>
          <w:p w14:paraId="252141A2" w14:textId="416156D3" w:rsidR="002820A5" w:rsidRDefault="009E2821" w:rsidP="002820A5">
            <w:pPr>
              <w:rPr>
                <w:color w:val="000000"/>
                <w:sz w:val="20"/>
                <w:szCs w:val="20"/>
                <w:lang w:eastAsia="en-US"/>
              </w:rPr>
            </w:pPr>
            <w:r>
              <w:rPr>
                <w:color w:val="000000"/>
                <w:sz w:val="20"/>
                <w:szCs w:val="20"/>
                <w:lang w:eastAsia="en-US"/>
              </w:rPr>
              <w:t>383</w:t>
            </w:r>
          </w:p>
        </w:tc>
        <w:tc>
          <w:tcPr>
            <w:tcW w:w="0" w:type="auto"/>
            <w:tcBorders>
              <w:top w:val="single" w:sz="4" w:space="0" w:color="auto"/>
              <w:left w:val="single" w:sz="4" w:space="0" w:color="auto"/>
              <w:bottom w:val="single" w:sz="4" w:space="0" w:color="auto"/>
              <w:right w:val="single" w:sz="4" w:space="0" w:color="auto"/>
            </w:tcBorders>
            <w:vAlign w:val="bottom"/>
            <w:hideMark/>
          </w:tcPr>
          <w:p w14:paraId="07DFB647" w14:textId="36EA7406" w:rsidR="002820A5" w:rsidRDefault="002820A5" w:rsidP="002820A5">
            <w:pPr>
              <w:rPr>
                <w:b/>
                <w:color w:val="000000"/>
                <w:sz w:val="20"/>
                <w:szCs w:val="20"/>
                <w:lang w:eastAsia="en-US"/>
              </w:rPr>
            </w:pPr>
            <w:r>
              <w:rPr>
                <w:b/>
                <w:color w:val="000000"/>
                <w:sz w:val="20"/>
                <w:szCs w:val="20"/>
                <w:lang w:eastAsia="en-US"/>
              </w:rPr>
              <w:t>Ulna, axis length:</w:t>
            </w:r>
          </w:p>
          <w:p w14:paraId="10BCF2A7" w14:textId="683B6B84" w:rsidR="002820A5" w:rsidRDefault="002820A5" w:rsidP="002820A5">
            <w:pPr>
              <w:rPr>
                <w:i/>
                <w:sz w:val="20"/>
                <w:szCs w:val="20"/>
                <w:lang w:eastAsia="en-US"/>
              </w:rPr>
            </w:pPr>
            <w:r>
              <w:rPr>
                <w:i/>
                <w:sz w:val="20"/>
                <w:szCs w:val="20"/>
              </w:rPr>
              <w:t>Ősi et al. (in review, ds 1, ch. 380).</w:t>
            </w:r>
          </w:p>
          <w:p w14:paraId="2C606DC7" w14:textId="58069CDF" w:rsidR="002820A5" w:rsidRDefault="002820A5" w:rsidP="002820A5">
            <w:pPr>
              <w:rPr>
                <w:i/>
                <w:sz w:val="20"/>
                <w:szCs w:val="20"/>
                <w:lang w:eastAsia="en-US"/>
              </w:rPr>
            </w:pPr>
            <w:r>
              <w:rPr>
                <w:i/>
                <w:sz w:val="20"/>
                <w:szCs w:val="20"/>
                <w:lang w:eastAsia="en-US"/>
              </w:rPr>
              <w:t>State (1) is a putative apomorphy of Rhacheosaurini.</w:t>
            </w:r>
          </w:p>
          <w:p w14:paraId="0A6036AD" w14:textId="77777777" w:rsidR="002820A5" w:rsidRDefault="002820A5" w:rsidP="002820A5">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281E33FC" w14:textId="77777777" w:rsidR="002820A5" w:rsidRDefault="002820A5" w:rsidP="002820A5">
            <w:pPr>
              <w:rPr>
                <w:color w:val="000000"/>
                <w:sz w:val="20"/>
                <w:szCs w:val="20"/>
                <w:lang w:eastAsia="en-US"/>
              </w:rPr>
            </w:pPr>
            <w:r>
              <w:rPr>
                <w:color w:val="000000"/>
                <w:sz w:val="20"/>
                <w:szCs w:val="20"/>
                <w:lang w:eastAsia="en-US"/>
              </w:rPr>
              <w:t>0. the proximodistal axis length of the ulna is greater than the length of the anteroposterior axis</w:t>
            </w:r>
          </w:p>
          <w:p w14:paraId="29BD19AC" w14:textId="77777777" w:rsidR="002820A5" w:rsidRDefault="002820A5" w:rsidP="002820A5">
            <w:pPr>
              <w:rPr>
                <w:b/>
                <w:color w:val="000000"/>
                <w:sz w:val="20"/>
                <w:szCs w:val="20"/>
                <w:lang w:eastAsia="en-US"/>
              </w:rPr>
            </w:pPr>
            <w:r>
              <w:rPr>
                <w:color w:val="000000"/>
                <w:sz w:val="20"/>
                <w:szCs w:val="20"/>
                <w:lang w:eastAsia="en-US"/>
              </w:rPr>
              <w:t>1. the anteroposterior axis length of the ulna is greater than the length of the proximodistal axis</w:t>
            </w:r>
          </w:p>
        </w:tc>
      </w:tr>
      <w:tr w:rsidR="002820A5" w14:paraId="436D1E86" w14:textId="77777777" w:rsidTr="002820A5">
        <w:tc>
          <w:tcPr>
            <w:tcW w:w="0" w:type="auto"/>
            <w:tcBorders>
              <w:top w:val="single" w:sz="4" w:space="0" w:color="auto"/>
              <w:left w:val="single" w:sz="4" w:space="0" w:color="auto"/>
              <w:bottom w:val="single" w:sz="4" w:space="0" w:color="auto"/>
              <w:right w:val="single" w:sz="4" w:space="0" w:color="auto"/>
            </w:tcBorders>
          </w:tcPr>
          <w:p w14:paraId="3ABB0F3D" w14:textId="1E0002A3" w:rsidR="002820A5" w:rsidRDefault="009E2821" w:rsidP="002820A5">
            <w:pPr>
              <w:rPr>
                <w:color w:val="000000"/>
                <w:sz w:val="20"/>
                <w:szCs w:val="20"/>
                <w:lang w:eastAsia="en-US"/>
              </w:rPr>
            </w:pPr>
            <w:r>
              <w:rPr>
                <w:color w:val="000000"/>
                <w:sz w:val="20"/>
                <w:szCs w:val="20"/>
                <w:lang w:eastAsia="en-US"/>
              </w:rPr>
              <w:t>384</w:t>
            </w:r>
          </w:p>
        </w:tc>
        <w:tc>
          <w:tcPr>
            <w:tcW w:w="0" w:type="auto"/>
            <w:tcBorders>
              <w:top w:val="single" w:sz="4" w:space="0" w:color="auto"/>
              <w:left w:val="single" w:sz="4" w:space="0" w:color="auto"/>
              <w:bottom w:val="single" w:sz="4" w:space="0" w:color="auto"/>
              <w:right w:val="single" w:sz="4" w:space="0" w:color="auto"/>
            </w:tcBorders>
            <w:vAlign w:val="bottom"/>
            <w:hideMark/>
          </w:tcPr>
          <w:p w14:paraId="35447C8A" w14:textId="77777777" w:rsidR="002820A5" w:rsidRDefault="002820A5" w:rsidP="002820A5">
            <w:pPr>
              <w:autoSpaceDE w:val="0"/>
              <w:autoSpaceDN w:val="0"/>
              <w:adjustRightInd w:val="0"/>
              <w:rPr>
                <w:b/>
                <w:bCs/>
                <w:sz w:val="20"/>
                <w:szCs w:val="20"/>
                <w:lang w:eastAsia="en-US"/>
              </w:rPr>
            </w:pPr>
            <w:r>
              <w:rPr>
                <w:b/>
                <w:bCs/>
                <w:sz w:val="20"/>
                <w:szCs w:val="20"/>
                <w:lang w:eastAsia="en-US"/>
              </w:rPr>
              <w:t>Ulna, morphology of olecranon process:</w:t>
            </w:r>
          </w:p>
          <w:p w14:paraId="1F6A8AC2" w14:textId="631A83AE" w:rsidR="002820A5" w:rsidRDefault="002820A5" w:rsidP="002820A5">
            <w:pPr>
              <w:autoSpaceDE w:val="0"/>
              <w:autoSpaceDN w:val="0"/>
              <w:adjustRightInd w:val="0"/>
              <w:rPr>
                <w:bCs/>
                <w:i/>
                <w:sz w:val="20"/>
                <w:szCs w:val="20"/>
                <w:lang w:eastAsia="en-US"/>
              </w:rPr>
            </w:pPr>
            <w:r>
              <w:rPr>
                <w:bCs/>
                <w:i/>
                <w:sz w:val="20"/>
                <w:szCs w:val="20"/>
                <w:lang w:eastAsia="en-US"/>
              </w:rPr>
              <w:t>Brochu (1999, ch. 27); Turner &amp; Buckley (2008, ch. 260); Andrade et al. (2011, ch. 457);</w:t>
            </w:r>
            <w:r>
              <w:rPr>
                <w:i/>
                <w:sz w:val="20"/>
                <w:szCs w:val="20"/>
                <w:lang w:eastAsia="en-US"/>
              </w:rPr>
              <w:t xml:space="preserve"> Ristevski et al. (2018, ds 1, ch. 459); Smith et al. (in review, ds 2, ch. 459); </w:t>
            </w:r>
            <w:r>
              <w:rPr>
                <w:i/>
                <w:sz w:val="20"/>
                <w:szCs w:val="20"/>
              </w:rPr>
              <w:t>Ősi et al. (in review, ds 1, ch. 381)</w:t>
            </w:r>
            <w:r>
              <w:rPr>
                <w:i/>
                <w:sz w:val="20"/>
                <w:szCs w:val="20"/>
                <w:lang w:eastAsia="en-US"/>
              </w:rPr>
              <w:t>.</w:t>
            </w:r>
          </w:p>
          <w:p w14:paraId="5559F909" w14:textId="77777777" w:rsidR="002820A5" w:rsidRDefault="002820A5" w:rsidP="002820A5">
            <w:pPr>
              <w:autoSpaceDE w:val="0"/>
              <w:autoSpaceDN w:val="0"/>
              <w:adjustRightInd w:val="0"/>
              <w:rPr>
                <w:sz w:val="20"/>
                <w:szCs w:val="20"/>
                <w:lang w:eastAsia="en-US"/>
              </w:rPr>
            </w:pPr>
            <w:r>
              <w:rPr>
                <w:sz w:val="20"/>
                <w:szCs w:val="20"/>
                <w:lang w:eastAsia="en-US"/>
              </w:rPr>
              <w:t>0. narrow and subangular</w:t>
            </w:r>
          </w:p>
          <w:p w14:paraId="77B3AFD3" w14:textId="77777777" w:rsidR="002820A5" w:rsidRDefault="002820A5" w:rsidP="002820A5">
            <w:pPr>
              <w:rPr>
                <w:b/>
                <w:color w:val="000000"/>
                <w:sz w:val="20"/>
                <w:szCs w:val="20"/>
                <w:lang w:eastAsia="en-US"/>
              </w:rPr>
            </w:pPr>
            <w:r>
              <w:rPr>
                <w:sz w:val="20"/>
                <w:szCs w:val="20"/>
                <w:lang w:eastAsia="en-US"/>
              </w:rPr>
              <w:t>1. wide and rounded</w:t>
            </w:r>
          </w:p>
        </w:tc>
      </w:tr>
      <w:tr w:rsidR="002820A5" w14:paraId="469D2725" w14:textId="77777777" w:rsidTr="002820A5">
        <w:tc>
          <w:tcPr>
            <w:tcW w:w="0" w:type="auto"/>
            <w:tcBorders>
              <w:top w:val="single" w:sz="4" w:space="0" w:color="auto"/>
              <w:left w:val="single" w:sz="4" w:space="0" w:color="auto"/>
              <w:bottom w:val="single" w:sz="4" w:space="0" w:color="auto"/>
              <w:right w:val="single" w:sz="4" w:space="0" w:color="auto"/>
            </w:tcBorders>
          </w:tcPr>
          <w:p w14:paraId="4C38D1AC" w14:textId="2B719B0A" w:rsidR="002820A5" w:rsidRDefault="009E2821" w:rsidP="002820A5">
            <w:pPr>
              <w:rPr>
                <w:color w:val="000000"/>
                <w:sz w:val="20"/>
                <w:szCs w:val="20"/>
                <w:lang w:eastAsia="en-US"/>
              </w:rPr>
            </w:pPr>
            <w:r>
              <w:rPr>
                <w:color w:val="000000"/>
                <w:sz w:val="20"/>
                <w:szCs w:val="20"/>
                <w:lang w:eastAsia="en-US"/>
              </w:rPr>
              <w:t>385</w:t>
            </w:r>
          </w:p>
        </w:tc>
        <w:tc>
          <w:tcPr>
            <w:tcW w:w="0" w:type="auto"/>
            <w:tcBorders>
              <w:top w:val="single" w:sz="4" w:space="0" w:color="auto"/>
              <w:left w:val="single" w:sz="4" w:space="0" w:color="auto"/>
              <w:bottom w:val="single" w:sz="4" w:space="0" w:color="auto"/>
              <w:right w:val="single" w:sz="4" w:space="0" w:color="auto"/>
            </w:tcBorders>
            <w:vAlign w:val="bottom"/>
            <w:hideMark/>
          </w:tcPr>
          <w:p w14:paraId="3AD088E7" w14:textId="5B71E85D" w:rsidR="002820A5" w:rsidRDefault="002820A5" w:rsidP="002820A5">
            <w:pPr>
              <w:autoSpaceDE w:val="0"/>
              <w:autoSpaceDN w:val="0"/>
              <w:adjustRightInd w:val="0"/>
              <w:rPr>
                <w:b/>
                <w:bCs/>
                <w:sz w:val="20"/>
                <w:szCs w:val="20"/>
                <w:lang w:eastAsia="en-US"/>
              </w:rPr>
            </w:pPr>
            <w:r>
              <w:rPr>
                <w:b/>
                <w:bCs/>
                <w:sz w:val="20"/>
                <w:szCs w:val="20"/>
                <w:lang w:eastAsia="en-US"/>
              </w:rPr>
              <w:t>Ulna, olecranon process mediolaterally compressed and greatly expanded, creating a very broad proximal ulna:</w:t>
            </w:r>
          </w:p>
          <w:p w14:paraId="01D71379" w14:textId="11EE6D57" w:rsidR="002820A5" w:rsidRDefault="002820A5" w:rsidP="002820A5">
            <w:pPr>
              <w:autoSpaceDE w:val="0"/>
              <w:autoSpaceDN w:val="0"/>
              <w:adjustRightInd w:val="0"/>
              <w:rPr>
                <w:i/>
                <w:sz w:val="20"/>
                <w:szCs w:val="20"/>
              </w:rPr>
            </w:pPr>
            <w:r>
              <w:rPr>
                <w:i/>
                <w:sz w:val="20"/>
                <w:szCs w:val="20"/>
              </w:rPr>
              <w:t>Ősi et al. (in review, ds 1, ch. 382).</w:t>
            </w:r>
          </w:p>
          <w:p w14:paraId="6D20E274" w14:textId="24392D08" w:rsidR="002820A5" w:rsidRDefault="002820A5" w:rsidP="002820A5">
            <w:pPr>
              <w:autoSpaceDE w:val="0"/>
              <w:autoSpaceDN w:val="0"/>
              <w:adjustRightInd w:val="0"/>
              <w:rPr>
                <w:bCs/>
                <w:i/>
                <w:sz w:val="20"/>
                <w:szCs w:val="20"/>
                <w:lang w:eastAsia="en-US"/>
              </w:rPr>
            </w:pPr>
            <w:r>
              <w:rPr>
                <w:bCs/>
                <w:i/>
                <w:sz w:val="20"/>
                <w:szCs w:val="20"/>
                <w:lang w:eastAsia="en-US"/>
              </w:rPr>
              <w:t>State (1) occurs in derived teleosaur</w:t>
            </w:r>
            <w:r w:rsidR="00007246">
              <w:rPr>
                <w:bCs/>
                <w:i/>
                <w:sz w:val="20"/>
                <w:szCs w:val="20"/>
                <w:lang w:eastAsia="en-US"/>
              </w:rPr>
              <w:t>o</w:t>
            </w:r>
            <w:r>
              <w:rPr>
                <w:bCs/>
                <w:i/>
                <w:sz w:val="20"/>
                <w:szCs w:val="20"/>
                <w:lang w:eastAsia="en-US"/>
              </w:rPr>
              <w:t xml:space="preserve">ids. </w:t>
            </w:r>
          </w:p>
          <w:p w14:paraId="219C627F" w14:textId="70EDE311" w:rsidR="002820A5" w:rsidRDefault="002820A5" w:rsidP="002820A5">
            <w:pPr>
              <w:autoSpaceDE w:val="0"/>
              <w:autoSpaceDN w:val="0"/>
              <w:adjustRightInd w:val="0"/>
              <w:rPr>
                <w:bCs/>
                <w:i/>
                <w:sz w:val="20"/>
                <w:szCs w:val="20"/>
                <w:lang w:eastAsia="en-US"/>
              </w:rPr>
            </w:pPr>
            <w:r>
              <w:rPr>
                <w:bCs/>
                <w:i/>
                <w:sz w:val="20"/>
                <w:szCs w:val="20"/>
                <w:lang w:eastAsia="en-US"/>
              </w:rPr>
              <w:t xml:space="preserve">Basal teleosauroids (such as </w:t>
            </w:r>
            <w:r>
              <w:rPr>
                <w:bCs/>
                <w:sz w:val="20"/>
                <w:szCs w:val="20"/>
                <w:lang w:eastAsia="en-US"/>
              </w:rPr>
              <w:t xml:space="preserve">Platysuchus multiscorbiculatus </w:t>
            </w:r>
            <w:r>
              <w:rPr>
                <w:bCs/>
                <w:i/>
                <w:sz w:val="20"/>
                <w:szCs w:val="20"/>
                <w:lang w:eastAsia="en-US"/>
              </w:rPr>
              <w:t xml:space="preserve">and </w:t>
            </w:r>
            <w:r>
              <w:rPr>
                <w:bCs/>
                <w:sz w:val="20"/>
                <w:szCs w:val="20"/>
                <w:lang w:eastAsia="en-US"/>
              </w:rPr>
              <w:t>Steneosaurus bollensis</w:t>
            </w:r>
            <w:r>
              <w:rPr>
                <w:bCs/>
                <w:i/>
                <w:sz w:val="20"/>
                <w:szCs w:val="20"/>
                <w:lang w:eastAsia="en-US"/>
              </w:rPr>
              <w:t>) score as (0).</w:t>
            </w:r>
          </w:p>
          <w:p w14:paraId="077B5A69" w14:textId="77777777" w:rsidR="002820A5" w:rsidRDefault="002820A5" w:rsidP="002820A5">
            <w:pPr>
              <w:autoSpaceDE w:val="0"/>
              <w:autoSpaceDN w:val="0"/>
              <w:adjustRightInd w:val="0"/>
              <w:rPr>
                <w:bCs/>
                <w:sz w:val="20"/>
                <w:szCs w:val="20"/>
                <w:lang w:eastAsia="en-US"/>
              </w:rPr>
            </w:pPr>
            <w:r>
              <w:rPr>
                <w:bCs/>
                <w:sz w:val="20"/>
                <w:szCs w:val="20"/>
                <w:lang w:eastAsia="en-US"/>
              </w:rPr>
              <w:t>0. no</w:t>
            </w:r>
          </w:p>
          <w:p w14:paraId="2248316F" w14:textId="77777777" w:rsidR="002820A5" w:rsidRDefault="002820A5" w:rsidP="002820A5">
            <w:pPr>
              <w:autoSpaceDE w:val="0"/>
              <w:autoSpaceDN w:val="0"/>
              <w:adjustRightInd w:val="0"/>
              <w:rPr>
                <w:bCs/>
                <w:sz w:val="20"/>
                <w:szCs w:val="20"/>
                <w:lang w:eastAsia="en-US"/>
              </w:rPr>
            </w:pPr>
            <w:r>
              <w:rPr>
                <w:bCs/>
                <w:sz w:val="20"/>
                <w:szCs w:val="20"/>
                <w:lang w:eastAsia="en-US"/>
              </w:rPr>
              <w:t>1. yes</w:t>
            </w:r>
          </w:p>
        </w:tc>
      </w:tr>
      <w:tr w:rsidR="002820A5" w14:paraId="5D8BAF9F" w14:textId="77777777" w:rsidTr="002820A5">
        <w:tc>
          <w:tcPr>
            <w:tcW w:w="0" w:type="auto"/>
            <w:tcBorders>
              <w:top w:val="single" w:sz="4" w:space="0" w:color="auto"/>
              <w:left w:val="single" w:sz="4" w:space="0" w:color="auto"/>
              <w:bottom w:val="single" w:sz="4" w:space="0" w:color="auto"/>
              <w:right w:val="single" w:sz="4" w:space="0" w:color="auto"/>
            </w:tcBorders>
          </w:tcPr>
          <w:p w14:paraId="15F39CA6" w14:textId="10081F05" w:rsidR="002820A5" w:rsidRDefault="009E2821" w:rsidP="002820A5">
            <w:pPr>
              <w:rPr>
                <w:color w:val="000000"/>
                <w:sz w:val="20"/>
                <w:szCs w:val="20"/>
                <w:lang w:eastAsia="en-US"/>
              </w:rPr>
            </w:pPr>
            <w:r>
              <w:rPr>
                <w:color w:val="000000"/>
                <w:sz w:val="20"/>
                <w:szCs w:val="20"/>
                <w:lang w:eastAsia="en-US"/>
              </w:rPr>
              <w:t>386</w:t>
            </w:r>
          </w:p>
        </w:tc>
        <w:tc>
          <w:tcPr>
            <w:tcW w:w="0" w:type="auto"/>
            <w:tcBorders>
              <w:top w:val="single" w:sz="4" w:space="0" w:color="auto"/>
              <w:left w:val="single" w:sz="4" w:space="0" w:color="auto"/>
              <w:bottom w:val="single" w:sz="4" w:space="0" w:color="auto"/>
              <w:right w:val="single" w:sz="4" w:space="0" w:color="auto"/>
            </w:tcBorders>
            <w:vAlign w:val="bottom"/>
            <w:hideMark/>
          </w:tcPr>
          <w:p w14:paraId="3DCD367D" w14:textId="77777777" w:rsidR="002820A5" w:rsidRDefault="002820A5" w:rsidP="002820A5">
            <w:pPr>
              <w:rPr>
                <w:b/>
                <w:color w:val="000000"/>
                <w:sz w:val="20"/>
                <w:szCs w:val="20"/>
                <w:lang w:eastAsia="en-US"/>
              </w:rPr>
            </w:pPr>
            <w:r>
              <w:rPr>
                <w:b/>
                <w:color w:val="000000"/>
                <w:sz w:val="20"/>
                <w:szCs w:val="20"/>
                <w:lang w:eastAsia="en-US"/>
              </w:rPr>
              <w:t>Radiale and/or ulnare, shape:</w:t>
            </w:r>
          </w:p>
          <w:p w14:paraId="04B03D5E" w14:textId="0A19D3F6" w:rsidR="002820A5" w:rsidRDefault="002820A5" w:rsidP="002820A5">
            <w:pPr>
              <w:autoSpaceDE w:val="0"/>
              <w:autoSpaceDN w:val="0"/>
              <w:adjustRightInd w:val="0"/>
              <w:rPr>
                <w:i/>
                <w:sz w:val="20"/>
                <w:szCs w:val="20"/>
                <w:lang w:eastAsia="en-US"/>
              </w:rPr>
            </w:pPr>
            <w:r>
              <w:rPr>
                <w:bCs/>
                <w:i/>
                <w:color w:val="000000"/>
                <w:sz w:val="20"/>
                <w:szCs w:val="20"/>
                <w:lang w:eastAsia="en-US"/>
              </w:rPr>
              <w:t xml:space="preserve">Young et al. (2011, ch. 177 + 179); Young et al. (2013a, ch. 176 + 178); </w:t>
            </w:r>
            <w:r>
              <w:rPr>
                <w:i/>
                <w:sz w:val="20"/>
                <w:szCs w:val="20"/>
                <w:lang w:eastAsia="en-US"/>
              </w:rPr>
              <w:t xml:space="preserve">Young et al. (2012, ch. 210 + 212); Young (2014, ch. 219 + 221); Young et al. (2016, ds 2, ch. 260 + 262); Ristevski et al. (2018, ds 2, ch. 330); Smith et al. (in review, ds 1, ch. 335); </w:t>
            </w:r>
            <w:r>
              <w:rPr>
                <w:i/>
                <w:sz w:val="20"/>
                <w:szCs w:val="20"/>
              </w:rPr>
              <w:t>Ősi et al. (in review, ds 1, ch. 383)</w:t>
            </w:r>
            <w:r>
              <w:rPr>
                <w:i/>
                <w:sz w:val="20"/>
                <w:szCs w:val="20"/>
                <w:lang w:eastAsia="en-US"/>
              </w:rPr>
              <w:t>.</w:t>
            </w:r>
          </w:p>
          <w:p w14:paraId="782EFE76" w14:textId="77777777" w:rsidR="002820A5" w:rsidRDefault="002820A5" w:rsidP="002820A5">
            <w:pPr>
              <w:rPr>
                <w:i/>
                <w:sz w:val="20"/>
                <w:szCs w:val="20"/>
                <w:lang w:eastAsia="en-US"/>
              </w:rPr>
            </w:pPr>
            <w:r>
              <w:rPr>
                <w:i/>
                <w:sz w:val="20"/>
                <w:szCs w:val="20"/>
                <w:lang w:eastAsia="en-US"/>
              </w:rPr>
              <w:t>State (1) is a putative apomorphy of Metriorhynchidae.</w:t>
            </w:r>
          </w:p>
          <w:p w14:paraId="3DE4E15D" w14:textId="77777777" w:rsidR="002820A5" w:rsidRDefault="002820A5" w:rsidP="002820A5">
            <w:pPr>
              <w:rPr>
                <w:b/>
                <w:color w:val="000000"/>
                <w:sz w:val="20"/>
                <w:szCs w:val="20"/>
                <w:lang w:eastAsia="en-US"/>
              </w:rPr>
            </w:pPr>
            <w:r>
              <w:rPr>
                <w:i/>
                <w:sz w:val="20"/>
                <w:szCs w:val="20"/>
                <w:lang w:eastAsia="en-US"/>
              </w:rPr>
              <w:t>This character helps score the modification of the manus into paddles, and the general reduction of the forelimbs, in Metriorhynchidae.</w:t>
            </w:r>
          </w:p>
          <w:p w14:paraId="10A6873A" w14:textId="77777777" w:rsidR="002820A5" w:rsidRDefault="002820A5" w:rsidP="002820A5">
            <w:pPr>
              <w:rPr>
                <w:color w:val="000000"/>
                <w:sz w:val="20"/>
                <w:szCs w:val="20"/>
                <w:lang w:eastAsia="en-US"/>
              </w:rPr>
            </w:pPr>
            <w:r>
              <w:rPr>
                <w:color w:val="000000"/>
                <w:sz w:val="20"/>
                <w:szCs w:val="20"/>
                <w:lang w:eastAsia="en-US"/>
              </w:rPr>
              <w:t>0. typical long bone morphology (proximodistal length noticeably greater than width at distal end)</w:t>
            </w:r>
          </w:p>
          <w:p w14:paraId="5F9E78C3" w14:textId="77777777" w:rsidR="002820A5" w:rsidRDefault="002820A5" w:rsidP="002820A5">
            <w:pPr>
              <w:rPr>
                <w:color w:val="000000"/>
                <w:sz w:val="20"/>
                <w:szCs w:val="20"/>
                <w:lang w:eastAsia="en-US"/>
              </w:rPr>
            </w:pPr>
            <w:r>
              <w:rPr>
                <w:color w:val="000000"/>
                <w:sz w:val="20"/>
                <w:szCs w:val="20"/>
                <w:lang w:eastAsia="en-US"/>
              </w:rPr>
              <w:t>1. broadly expanded and plate-like</w:t>
            </w:r>
          </w:p>
        </w:tc>
      </w:tr>
      <w:tr w:rsidR="002820A5" w14:paraId="4EA17AB6" w14:textId="77777777" w:rsidTr="00AF438E">
        <w:tc>
          <w:tcPr>
            <w:tcW w:w="0" w:type="auto"/>
            <w:tcBorders>
              <w:top w:val="single" w:sz="4" w:space="0" w:color="auto"/>
              <w:left w:val="single" w:sz="4" w:space="0" w:color="auto"/>
              <w:bottom w:val="single" w:sz="4" w:space="0" w:color="auto"/>
              <w:right w:val="single" w:sz="4" w:space="0" w:color="auto"/>
            </w:tcBorders>
          </w:tcPr>
          <w:p w14:paraId="52DD5E59" w14:textId="4FDBDE25" w:rsidR="002820A5" w:rsidRDefault="009E2821" w:rsidP="002820A5">
            <w:pPr>
              <w:rPr>
                <w:sz w:val="20"/>
                <w:szCs w:val="20"/>
                <w:lang w:eastAsia="en-US"/>
              </w:rPr>
            </w:pPr>
            <w:r>
              <w:rPr>
                <w:color w:val="000000"/>
                <w:sz w:val="20"/>
                <w:szCs w:val="20"/>
                <w:lang w:eastAsia="en-US"/>
              </w:rPr>
              <w:t>387</w:t>
            </w:r>
          </w:p>
        </w:tc>
        <w:tc>
          <w:tcPr>
            <w:tcW w:w="0" w:type="auto"/>
            <w:tcBorders>
              <w:top w:val="single" w:sz="4" w:space="0" w:color="auto"/>
              <w:left w:val="single" w:sz="4" w:space="0" w:color="auto"/>
              <w:bottom w:val="single" w:sz="4" w:space="0" w:color="auto"/>
              <w:right w:val="single" w:sz="4" w:space="0" w:color="auto"/>
            </w:tcBorders>
            <w:vAlign w:val="bottom"/>
          </w:tcPr>
          <w:p w14:paraId="11795247" w14:textId="77777777" w:rsidR="002820A5" w:rsidRDefault="002820A5" w:rsidP="002820A5">
            <w:pPr>
              <w:autoSpaceDE w:val="0"/>
              <w:autoSpaceDN w:val="0"/>
              <w:adjustRightInd w:val="0"/>
              <w:rPr>
                <w:rFonts w:eastAsiaTheme="minorHAnsi"/>
                <w:b/>
                <w:bCs/>
                <w:sz w:val="20"/>
                <w:szCs w:val="20"/>
                <w:lang w:eastAsia="en-US"/>
              </w:rPr>
            </w:pPr>
            <w:r>
              <w:rPr>
                <w:b/>
                <w:bCs/>
                <w:sz w:val="20"/>
                <w:szCs w:val="20"/>
                <w:lang w:eastAsia="en-US"/>
              </w:rPr>
              <w:t>Manus, metacarpal general structure: (*)</w:t>
            </w:r>
          </w:p>
          <w:p w14:paraId="76562E61" w14:textId="3FBA5181" w:rsidR="002820A5" w:rsidRDefault="002820A5" w:rsidP="002820A5">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 xml:space="preserve">Buscalioni (2017, ch. 424 part modified); </w:t>
            </w:r>
            <w:r>
              <w:rPr>
                <w:i/>
                <w:sz w:val="20"/>
                <w:szCs w:val="20"/>
              </w:rPr>
              <w:t>Ősi et al. (in review, ds 1, ch. 384)</w:t>
            </w:r>
            <w:r>
              <w:rPr>
                <w:rFonts w:eastAsiaTheme="minorEastAsia"/>
                <w:i/>
                <w:sz w:val="20"/>
                <w:szCs w:val="20"/>
                <w:lang w:eastAsia="es-ES" w:bidi="en-US"/>
              </w:rPr>
              <w:t>.</w:t>
            </w:r>
          </w:p>
          <w:p w14:paraId="633E2F1B" w14:textId="77777777" w:rsidR="002820A5" w:rsidRPr="00B42E4C" w:rsidRDefault="002820A5" w:rsidP="002820A5">
            <w:pPr>
              <w:rPr>
                <w:i/>
                <w:sz w:val="20"/>
                <w:szCs w:val="20"/>
                <w:lang w:eastAsia="en-US"/>
              </w:rPr>
            </w:pPr>
            <w:r w:rsidRPr="00B42E4C">
              <w:rPr>
                <w:i/>
                <w:sz w:val="20"/>
                <w:szCs w:val="20"/>
                <w:lang w:eastAsia="en-US"/>
              </w:rPr>
              <w:t>Here we have modified the character from Buscalioni (2017) to help quantify the manus morphological changes occurring at the transition from basal crocodyliforms to metasuchians. Here it samples overall robustness, not relative length.</w:t>
            </w:r>
          </w:p>
          <w:p w14:paraId="63A1FFFD" w14:textId="77777777" w:rsidR="002820A5" w:rsidRDefault="002820A5" w:rsidP="002820A5">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This character is not applicable for taxa that do not have all five manual digits.</w:t>
            </w:r>
          </w:p>
          <w:p w14:paraId="58E67D4D" w14:textId="77777777" w:rsidR="002820A5" w:rsidRDefault="002820A5" w:rsidP="002820A5">
            <w:pPr>
              <w:rPr>
                <w:sz w:val="20"/>
                <w:szCs w:val="20"/>
                <w:lang w:eastAsia="en-US"/>
              </w:rPr>
            </w:pPr>
            <w:r>
              <w:rPr>
                <w:sz w:val="20"/>
                <w:szCs w:val="20"/>
                <w:lang w:eastAsia="en-US"/>
              </w:rPr>
              <w:t>0. metacarpals IV and V not strongly differentiated from II-III in terms of overall robusticity</w:t>
            </w:r>
          </w:p>
          <w:p w14:paraId="1D61DE7F" w14:textId="77777777" w:rsidR="002820A5" w:rsidRPr="00B42E4C" w:rsidRDefault="002820A5" w:rsidP="002820A5">
            <w:pPr>
              <w:rPr>
                <w:sz w:val="20"/>
                <w:szCs w:val="20"/>
                <w:lang w:eastAsia="en-US"/>
              </w:rPr>
            </w:pPr>
            <w:r>
              <w:rPr>
                <w:sz w:val="20"/>
                <w:szCs w:val="20"/>
                <w:lang w:eastAsia="en-US"/>
              </w:rPr>
              <w:t>1. metacarpals II-III are noticeably more robust than those of IV-V (due to metacarpal I being greatly enlarged relative to all other metacarpals in some clades, it is not used in this character)</w:t>
            </w:r>
          </w:p>
        </w:tc>
      </w:tr>
      <w:tr w:rsidR="002820A5" w14:paraId="76660C80" w14:textId="77777777" w:rsidTr="002820A5">
        <w:tc>
          <w:tcPr>
            <w:tcW w:w="0" w:type="auto"/>
            <w:tcBorders>
              <w:top w:val="single" w:sz="4" w:space="0" w:color="auto"/>
              <w:left w:val="single" w:sz="4" w:space="0" w:color="auto"/>
              <w:bottom w:val="single" w:sz="4" w:space="0" w:color="auto"/>
              <w:right w:val="single" w:sz="4" w:space="0" w:color="auto"/>
            </w:tcBorders>
          </w:tcPr>
          <w:p w14:paraId="23ED8A63" w14:textId="2648FA3E" w:rsidR="002820A5" w:rsidRDefault="009E2821" w:rsidP="002820A5">
            <w:pPr>
              <w:rPr>
                <w:color w:val="000000"/>
                <w:sz w:val="20"/>
                <w:szCs w:val="20"/>
                <w:lang w:eastAsia="en-US"/>
              </w:rPr>
            </w:pPr>
            <w:r>
              <w:rPr>
                <w:color w:val="000000"/>
                <w:sz w:val="20"/>
                <w:szCs w:val="20"/>
                <w:lang w:eastAsia="en-US"/>
              </w:rPr>
              <w:t>388</w:t>
            </w:r>
          </w:p>
        </w:tc>
        <w:tc>
          <w:tcPr>
            <w:tcW w:w="0" w:type="auto"/>
            <w:tcBorders>
              <w:top w:val="single" w:sz="4" w:space="0" w:color="auto"/>
              <w:left w:val="single" w:sz="4" w:space="0" w:color="auto"/>
              <w:bottom w:val="single" w:sz="4" w:space="0" w:color="auto"/>
              <w:right w:val="single" w:sz="4" w:space="0" w:color="auto"/>
            </w:tcBorders>
            <w:vAlign w:val="bottom"/>
            <w:hideMark/>
          </w:tcPr>
          <w:p w14:paraId="6AE2AB83" w14:textId="77777777" w:rsidR="002820A5" w:rsidRDefault="002820A5" w:rsidP="002820A5">
            <w:pPr>
              <w:rPr>
                <w:b/>
                <w:color w:val="000000"/>
                <w:sz w:val="20"/>
                <w:szCs w:val="20"/>
                <w:lang w:eastAsia="en-US"/>
              </w:rPr>
            </w:pPr>
            <w:r>
              <w:rPr>
                <w:b/>
                <w:color w:val="000000"/>
                <w:sz w:val="20"/>
                <w:szCs w:val="20"/>
                <w:lang w:eastAsia="en-US"/>
              </w:rPr>
              <w:t>Manus, shape of metacarpal I: (*)</w:t>
            </w:r>
          </w:p>
          <w:p w14:paraId="14DABF99" w14:textId="21827F2C" w:rsidR="002820A5" w:rsidRDefault="002820A5" w:rsidP="002820A5">
            <w:pPr>
              <w:autoSpaceDE w:val="0"/>
              <w:autoSpaceDN w:val="0"/>
              <w:adjustRightInd w:val="0"/>
              <w:rPr>
                <w:i/>
                <w:sz w:val="20"/>
                <w:szCs w:val="20"/>
                <w:lang w:eastAsia="en-US"/>
              </w:rPr>
            </w:pPr>
            <w:r>
              <w:rPr>
                <w:i/>
                <w:sz w:val="20"/>
                <w:szCs w:val="20"/>
                <w:lang w:eastAsia="en-US"/>
              </w:rPr>
              <w:t>Young (2006, ch. 41); Wilkinson et al. (2008, ch. 70); Young &amp; Andrade (2009, ch. 70);</w:t>
            </w:r>
            <w:r>
              <w:rPr>
                <w:bCs/>
                <w:i/>
                <w:color w:val="000000"/>
                <w:sz w:val="20"/>
                <w:szCs w:val="20"/>
                <w:lang w:eastAsia="en-US"/>
              </w:rPr>
              <w:t xml:space="preserve"> Young et al. (2011, ch. 70); Young et al. (2013a, ch. 179);</w:t>
            </w:r>
            <w:r>
              <w:rPr>
                <w:i/>
                <w:sz w:val="20"/>
                <w:szCs w:val="20"/>
                <w:lang w:eastAsia="en-US"/>
              </w:rPr>
              <w:t xml:space="preserve"> Young et al. (2012, ch. 213); Young (2014, ch. 222); Young et al. (2016, ds 2, ch. 263); Ristevski et al. (2018, ds 2, ch. 331); Smith et al. (in review, ds 1, ch. 336); </w:t>
            </w:r>
            <w:r>
              <w:rPr>
                <w:i/>
                <w:sz w:val="20"/>
                <w:szCs w:val="20"/>
              </w:rPr>
              <w:t>Ősi et al. (in review, ds 1, ch. 385)</w:t>
            </w:r>
            <w:r>
              <w:rPr>
                <w:i/>
                <w:sz w:val="20"/>
                <w:szCs w:val="20"/>
                <w:lang w:eastAsia="en-US"/>
              </w:rPr>
              <w:t>.</w:t>
            </w:r>
          </w:p>
          <w:p w14:paraId="26F4FF90" w14:textId="77777777" w:rsidR="002820A5" w:rsidRDefault="002820A5" w:rsidP="002820A5">
            <w:pPr>
              <w:rPr>
                <w:i/>
                <w:sz w:val="20"/>
                <w:szCs w:val="20"/>
                <w:lang w:eastAsia="en-US"/>
              </w:rPr>
            </w:pPr>
            <w:r>
              <w:rPr>
                <w:i/>
                <w:sz w:val="20"/>
                <w:szCs w:val="20"/>
                <w:lang w:eastAsia="en-US"/>
              </w:rPr>
              <w:t xml:space="preserve">State (1) is a putative apomorphy of Metriorhynchidae. </w:t>
            </w:r>
          </w:p>
          <w:p w14:paraId="1FFD0CE2" w14:textId="77777777" w:rsidR="002820A5" w:rsidRDefault="002820A5" w:rsidP="002820A5">
            <w:pPr>
              <w:rPr>
                <w:i/>
                <w:sz w:val="20"/>
                <w:szCs w:val="20"/>
                <w:lang w:eastAsia="en-US"/>
              </w:rPr>
            </w:pPr>
            <w:r>
              <w:rPr>
                <w:i/>
                <w:sz w:val="20"/>
                <w:szCs w:val="20"/>
                <w:lang w:eastAsia="en-US"/>
              </w:rPr>
              <w:t>This character helps score the modification of the manus into paddles, and the general reduction of the forelimbs, in Metriorhynchidae.</w:t>
            </w:r>
          </w:p>
          <w:p w14:paraId="49E3FE36" w14:textId="77777777" w:rsidR="002820A5" w:rsidRDefault="002820A5" w:rsidP="002820A5">
            <w:pPr>
              <w:rPr>
                <w:b/>
                <w:color w:val="000000"/>
                <w:sz w:val="20"/>
                <w:szCs w:val="20"/>
                <w:lang w:eastAsia="en-US"/>
              </w:rPr>
            </w:pPr>
            <w:r>
              <w:rPr>
                <w:rFonts w:eastAsiaTheme="minorEastAsia"/>
                <w:i/>
                <w:sz w:val="20"/>
                <w:szCs w:val="20"/>
                <w:lang w:eastAsia="es-ES" w:bidi="en-US"/>
              </w:rPr>
              <w:t>This character is not applicable for taxa that lack digit I.</w:t>
            </w:r>
          </w:p>
          <w:p w14:paraId="4A9C3BBA" w14:textId="77777777" w:rsidR="002820A5" w:rsidRDefault="002820A5" w:rsidP="002820A5">
            <w:pPr>
              <w:rPr>
                <w:color w:val="000000"/>
                <w:sz w:val="20"/>
                <w:szCs w:val="20"/>
                <w:lang w:eastAsia="en-US"/>
              </w:rPr>
            </w:pPr>
            <w:r>
              <w:rPr>
                <w:color w:val="000000"/>
                <w:sz w:val="20"/>
                <w:szCs w:val="20"/>
                <w:lang w:eastAsia="en-US"/>
              </w:rPr>
              <w:lastRenderedPageBreak/>
              <w:t>0. elongate, more than twice as long as wide</w:t>
            </w:r>
          </w:p>
          <w:p w14:paraId="66AC2DCD" w14:textId="77777777" w:rsidR="002820A5" w:rsidRDefault="002820A5" w:rsidP="002820A5">
            <w:pPr>
              <w:rPr>
                <w:color w:val="000000"/>
                <w:sz w:val="20"/>
                <w:szCs w:val="20"/>
                <w:lang w:eastAsia="en-US"/>
              </w:rPr>
            </w:pPr>
            <w:r>
              <w:rPr>
                <w:color w:val="000000"/>
                <w:sz w:val="20"/>
                <w:szCs w:val="20"/>
                <w:lang w:eastAsia="en-US"/>
              </w:rPr>
              <w:t>1. broadly expanded, maximum width at least 60% of total length</w:t>
            </w:r>
          </w:p>
        </w:tc>
      </w:tr>
      <w:tr w:rsidR="002820A5" w14:paraId="2870AAD0" w14:textId="77777777" w:rsidTr="002820A5">
        <w:tc>
          <w:tcPr>
            <w:tcW w:w="0" w:type="auto"/>
            <w:tcBorders>
              <w:top w:val="single" w:sz="4" w:space="0" w:color="auto"/>
              <w:left w:val="single" w:sz="4" w:space="0" w:color="auto"/>
              <w:bottom w:val="single" w:sz="4" w:space="0" w:color="auto"/>
              <w:right w:val="single" w:sz="4" w:space="0" w:color="auto"/>
            </w:tcBorders>
          </w:tcPr>
          <w:p w14:paraId="43FA9471" w14:textId="55D508FC" w:rsidR="002820A5" w:rsidRDefault="009E2821" w:rsidP="002820A5">
            <w:pPr>
              <w:rPr>
                <w:sz w:val="20"/>
                <w:szCs w:val="20"/>
                <w:lang w:eastAsia="en-US"/>
              </w:rPr>
            </w:pPr>
            <w:r>
              <w:rPr>
                <w:color w:val="000000"/>
                <w:sz w:val="20"/>
                <w:szCs w:val="20"/>
                <w:lang w:eastAsia="en-US"/>
              </w:rPr>
              <w:lastRenderedPageBreak/>
              <w:t>389</w:t>
            </w:r>
          </w:p>
        </w:tc>
        <w:tc>
          <w:tcPr>
            <w:tcW w:w="0" w:type="auto"/>
            <w:tcBorders>
              <w:top w:val="single" w:sz="4" w:space="0" w:color="auto"/>
              <w:left w:val="single" w:sz="4" w:space="0" w:color="auto"/>
              <w:bottom w:val="single" w:sz="4" w:space="0" w:color="auto"/>
              <w:right w:val="single" w:sz="4" w:space="0" w:color="auto"/>
            </w:tcBorders>
            <w:vAlign w:val="bottom"/>
            <w:hideMark/>
          </w:tcPr>
          <w:p w14:paraId="7F1D9C52" w14:textId="3BEC1DFD" w:rsidR="002820A5" w:rsidRDefault="002820A5" w:rsidP="002820A5">
            <w:pPr>
              <w:widowControl w:val="0"/>
              <w:autoSpaceDE w:val="0"/>
              <w:autoSpaceDN w:val="0"/>
              <w:adjustRightInd w:val="0"/>
              <w:rPr>
                <w:rFonts w:eastAsiaTheme="minorEastAsia"/>
                <w:b/>
                <w:sz w:val="20"/>
                <w:szCs w:val="20"/>
                <w:lang w:eastAsia="es-ES" w:bidi="en-US"/>
              </w:rPr>
            </w:pPr>
            <w:r>
              <w:rPr>
                <w:rFonts w:eastAsiaTheme="minorEastAsia"/>
                <w:b/>
                <w:sz w:val="20"/>
                <w:szCs w:val="20"/>
                <w:lang w:eastAsia="es-ES" w:bidi="en-US"/>
              </w:rPr>
              <w:t>Manus, digit I:</w:t>
            </w:r>
          </w:p>
          <w:p w14:paraId="26EC03AB" w14:textId="35782072" w:rsidR="002820A5" w:rsidRDefault="002820A5" w:rsidP="002820A5">
            <w:pPr>
              <w:widowControl w:val="0"/>
              <w:autoSpaceDE w:val="0"/>
              <w:autoSpaceDN w:val="0"/>
              <w:adjustRightInd w:val="0"/>
              <w:rPr>
                <w:i/>
                <w:sz w:val="20"/>
                <w:szCs w:val="20"/>
              </w:rPr>
            </w:pPr>
            <w:r>
              <w:rPr>
                <w:i/>
                <w:sz w:val="20"/>
                <w:szCs w:val="20"/>
              </w:rPr>
              <w:t>Ősi et al. (in review, ds 1, ch. 386).</w:t>
            </w:r>
          </w:p>
          <w:p w14:paraId="2E02FDDC" w14:textId="3B9A3B91" w:rsidR="002820A5" w:rsidRDefault="002820A5" w:rsidP="002820A5">
            <w:pPr>
              <w:widowControl w:val="0"/>
              <w:autoSpaceDE w:val="0"/>
              <w:autoSpaceDN w:val="0"/>
              <w:adjustRightInd w:val="0"/>
              <w:rPr>
                <w:rFonts w:eastAsiaTheme="minorEastAsia"/>
                <w:i/>
                <w:sz w:val="20"/>
                <w:szCs w:val="20"/>
                <w:lang w:eastAsia="es-ES" w:bidi="en-US"/>
              </w:rPr>
            </w:pPr>
            <w:r>
              <w:rPr>
                <w:rFonts w:eastAsiaTheme="minorEastAsia"/>
                <w:i/>
                <w:sz w:val="20"/>
                <w:szCs w:val="20"/>
                <w:lang w:eastAsia="es-ES" w:bidi="en-US"/>
              </w:rPr>
              <w:t xml:space="preserve">State (1) is a putative apomorphy of </w:t>
            </w:r>
            <w:r>
              <w:rPr>
                <w:rFonts w:eastAsiaTheme="minorEastAsia"/>
                <w:sz w:val="20"/>
                <w:szCs w:val="20"/>
                <w:lang w:eastAsia="es-ES" w:bidi="en-US"/>
              </w:rPr>
              <w:t>Junggarsuchus</w:t>
            </w:r>
            <w:r>
              <w:rPr>
                <w:rFonts w:eastAsiaTheme="minorEastAsia"/>
                <w:i/>
                <w:sz w:val="20"/>
                <w:szCs w:val="20"/>
                <w:lang w:eastAsia="es-ES" w:bidi="en-US"/>
              </w:rPr>
              <w:t>.</w:t>
            </w:r>
          </w:p>
          <w:p w14:paraId="43D1B55E" w14:textId="77777777" w:rsidR="002820A5" w:rsidRDefault="002820A5" w:rsidP="002820A5">
            <w:pPr>
              <w:rPr>
                <w:rFonts w:eastAsiaTheme="minorEastAsia"/>
                <w:i/>
                <w:sz w:val="20"/>
                <w:szCs w:val="20"/>
                <w:lang w:eastAsia="es-ES" w:bidi="en-US"/>
              </w:rPr>
            </w:pPr>
            <w:r>
              <w:rPr>
                <w:i/>
                <w:sz w:val="20"/>
                <w:szCs w:val="20"/>
                <w:lang w:eastAsia="en-US"/>
              </w:rPr>
              <w:t>This character helps score the modification of the manus into being functionally tridactyl.</w:t>
            </w:r>
          </w:p>
          <w:p w14:paraId="5F27A5D2" w14:textId="77777777" w:rsidR="002820A5" w:rsidRDefault="002820A5" w:rsidP="002820A5">
            <w:pPr>
              <w:widowControl w:val="0"/>
              <w:autoSpaceDE w:val="0"/>
              <w:autoSpaceDN w:val="0"/>
              <w:adjustRightInd w:val="0"/>
              <w:rPr>
                <w:rFonts w:eastAsiaTheme="minorEastAsia"/>
                <w:sz w:val="20"/>
                <w:szCs w:val="20"/>
                <w:lang w:eastAsia="es-ES" w:bidi="en-US"/>
              </w:rPr>
            </w:pPr>
            <w:r>
              <w:rPr>
                <w:rFonts w:eastAsiaTheme="minorEastAsia"/>
                <w:sz w:val="20"/>
                <w:szCs w:val="20"/>
                <w:lang w:eastAsia="es-ES" w:bidi="en-US"/>
              </w:rPr>
              <w:t>0. present</w:t>
            </w:r>
          </w:p>
          <w:p w14:paraId="0F115EDB" w14:textId="77777777" w:rsidR="002820A5" w:rsidRDefault="002820A5" w:rsidP="002820A5">
            <w:pPr>
              <w:widowControl w:val="0"/>
              <w:autoSpaceDE w:val="0"/>
              <w:autoSpaceDN w:val="0"/>
              <w:adjustRightInd w:val="0"/>
              <w:rPr>
                <w:b/>
                <w:color w:val="000000"/>
                <w:sz w:val="20"/>
                <w:szCs w:val="20"/>
                <w:lang w:eastAsia="en-US"/>
              </w:rPr>
            </w:pPr>
            <w:r>
              <w:rPr>
                <w:rFonts w:eastAsiaTheme="minorEastAsia"/>
                <w:sz w:val="20"/>
                <w:szCs w:val="20"/>
                <w:lang w:eastAsia="es-ES" w:bidi="en-US"/>
              </w:rPr>
              <w:t>1. absent</w:t>
            </w:r>
          </w:p>
        </w:tc>
      </w:tr>
      <w:tr w:rsidR="002820A5" w14:paraId="507749F9" w14:textId="77777777" w:rsidTr="002820A5">
        <w:tc>
          <w:tcPr>
            <w:tcW w:w="0" w:type="auto"/>
            <w:tcBorders>
              <w:top w:val="single" w:sz="4" w:space="0" w:color="auto"/>
              <w:left w:val="single" w:sz="4" w:space="0" w:color="auto"/>
              <w:bottom w:val="single" w:sz="4" w:space="0" w:color="auto"/>
              <w:right w:val="single" w:sz="4" w:space="0" w:color="auto"/>
            </w:tcBorders>
          </w:tcPr>
          <w:p w14:paraId="0555AA55" w14:textId="59C719B9" w:rsidR="002820A5" w:rsidRDefault="009E2821" w:rsidP="002820A5">
            <w:pPr>
              <w:rPr>
                <w:sz w:val="20"/>
                <w:szCs w:val="20"/>
                <w:lang w:eastAsia="en-US"/>
              </w:rPr>
            </w:pPr>
            <w:r>
              <w:rPr>
                <w:color w:val="000000"/>
                <w:sz w:val="20"/>
                <w:szCs w:val="20"/>
                <w:lang w:eastAsia="en-US"/>
              </w:rPr>
              <w:t>390</w:t>
            </w:r>
          </w:p>
        </w:tc>
        <w:tc>
          <w:tcPr>
            <w:tcW w:w="0" w:type="auto"/>
            <w:tcBorders>
              <w:top w:val="single" w:sz="4" w:space="0" w:color="auto"/>
              <w:left w:val="single" w:sz="4" w:space="0" w:color="auto"/>
              <w:bottom w:val="single" w:sz="4" w:space="0" w:color="auto"/>
              <w:right w:val="single" w:sz="4" w:space="0" w:color="auto"/>
            </w:tcBorders>
            <w:vAlign w:val="bottom"/>
            <w:hideMark/>
          </w:tcPr>
          <w:p w14:paraId="42743E45" w14:textId="77777777" w:rsidR="002820A5" w:rsidRDefault="002820A5" w:rsidP="002820A5">
            <w:pPr>
              <w:widowControl w:val="0"/>
              <w:autoSpaceDE w:val="0"/>
              <w:autoSpaceDN w:val="0"/>
              <w:adjustRightInd w:val="0"/>
              <w:ind w:right="-425"/>
              <w:rPr>
                <w:rFonts w:eastAsiaTheme="minorEastAsia"/>
                <w:b/>
                <w:sz w:val="20"/>
                <w:szCs w:val="20"/>
                <w:lang w:eastAsia="es-ES" w:bidi="en-US"/>
              </w:rPr>
            </w:pPr>
            <w:r>
              <w:rPr>
                <w:rFonts w:eastAsiaTheme="minorEastAsia"/>
                <w:b/>
                <w:sz w:val="20"/>
                <w:szCs w:val="20"/>
                <w:lang w:eastAsia="es-ES" w:bidi="en-US"/>
              </w:rPr>
              <w:t>Manus, relative length of digit V: (*)</w:t>
            </w:r>
          </w:p>
          <w:p w14:paraId="0085AA2C" w14:textId="747F65F7" w:rsidR="002820A5" w:rsidRDefault="002820A5" w:rsidP="002820A5">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 xml:space="preserve">Buscalioni (2017, ch. 424 part modified); </w:t>
            </w:r>
            <w:r>
              <w:rPr>
                <w:i/>
                <w:sz w:val="20"/>
                <w:szCs w:val="20"/>
              </w:rPr>
              <w:t>Ősi et al. (in review, ds 1, ch. 387)</w:t>
            </w:r>
            <w:r>
              <w:rPr>
                <w:rFonts w:eastAsiaTheme="minorEastAsia"/>
                <w:i/>
                <w:sz w:val="20"/>
                <w:szCs w:val="20"/>
                <w:lang w:eastAsia="es-ES" w:bidi="en-US"/>
              </w:rPr>
              <w:t>.</w:t>
            </w:r>
          </w:p>
          <w:p w14:paraId="22DE09F1" w14:textId="77777777" w:rsidR="002820A5" w:rsidRDefault="002820A5" w:rsidP="002820A5">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Here we have modified the character from Buscalioni (2017) to help quantify the manus morphological changes occurring at transition from basal crocodyliforms to metasuchians.</w:t>
            </w:r>
          </w:p>
          <w:p w14:paraId="3B301F9E" w14:textId="77777777" w:rsidR="002820A5" w:rsidRDefault="002820A5" w:rsidP="002820A5">
            <w:pPr>
              <w:widowControl w:val="0"/>
              <w:autoSpaceDE w:val="0"/>
              <w:autoSpaceDN w:val="0"/>
              <w:adjustRightInd w:val="0"/>
              <w:ind w:right="-425"/>
              <w:rPr>
                <w:rFonts w:eastAsiaTheme="minorEastAsia"/>
                <w:i/>
                <w:sz w:val="20"/>
                <w:szCs w:val="20"/>
                <w:lang w:eastAsia="es-ES" w:bidi="en-US"/>
              </w:rPr>
            </w:pPr>
            <w:r>
              <w:rPr>
                <w:rFonts w:eastAsiaTheme="minorEastAsia"/>
                <w:i/>
                <w:sz w:val="20"/>
                <w:szCs w:val="20"/>
                <w:lang w:eastAsia="es-ES" w:bidi="en-US"/>
              </w:rPr>
              <w:t>This character is not applicable for taxa that do not have all five manual digits.</w:t>
            </w:r>
          </w:p>
          <w:p w14:paraId="4039D72A" w14:textId="77777777" w:rsidR="002820A5" w:rsidRDefault="002820A5" w:rsidP="002820A5">
            <w:pPr>
              <w:widowControl w:val="0"/>
              <w:autoSpaceDE w:val="0"/>
              <w:autoSpaceDN w:val="0"/>
              <w:adjustRightInd w:val="0"/>
              <w:ind w:right="-425"/>
              <w:rPr>
                <w:rFonts w:eastAsiaTheme="minorEastAsia"/>
                <w:sz w:val="20"/>
                <w:szCs w:val="20"/>
                <w:lang w:eastAsia="es-ES" w:bidi="en-US"/>
              </w:rPr>
            </w:pPr>
            <w:r>
              <w:rPr>
                <w:rFonts w:eastAsiaTheme="minorEastAsia"/>
                <w:sz w:val="20"/>
                <w:szCs w:val="20"/>
                <w:lang w:eastAsia="es-ES" w:bidi="en-US"/>
              </w:rPr>
              <w:t>0. digit V longer than digit I, being comparable in length to digits II-IV</w:t>
            </w:r>
          </w:p>
          <w:p w14:paraId="0600317D" w14:textId="77777777" w:rsidR="002820A5" w:rsidRDefault="002820A5" w:rsidP="002820A5">
            <w:pPr>
              <w:widowControl w:val="0"/>
              <w:autoSpaceDE w:val="0"/>
              <w:autoSpaceDN w:val="0"/>
              <w:adjustRightInd w:val="0"/>
              <w:ind w:right="-425"/>
              <w:rPr>
                <w:b/>
                <w:color w:val="000000"/>
                <w:sz w:val="20"/>
                <w:szCs w:val="20"/>
                <w:lang w:eastAsia="en-US"/>
              </w:rPr>
            </w:pPr>
            <w:r>
              <w:rPr>
                <w:rFonts w:eastAsiaTheme="minorEastAsia"/>
                <w:sz w:val="20"/>
                <w:szCs w:val="20"/>
                <w:lang w:eastAsia="es-ES" w:bidi="en-US"/>
              </w:rPr>
              <w:t>1. digit V reduced in length, being evidently shorter than digits II-IV and comparable in length to digit I</w:t>
            </w:r>
          </w:p>
        </w:tc>
      </w:tr>
    </w:tbl>
    <w:p w14:paraId="0B5DACD4" w14:textId="77777777" w:rsidR="004C76BC" w:rsidRDefault="004C76BC" w:rsidP="004C76BC">
      <w:pPr>
        <w:rPr>
          <w:sz w:val="20"/>
          <w:szCs w:val="20"/>
        </w:rPr>
      </w:pPr>
    </w:p>
    <w:p w14:paraId="23BBEC8D" w14:textId="0568C530" w:rsidR="004C76BC" w:rsidRDefault="004C76BC" w:rsidP="004C76BC">
      <w:r>
        <w:rPr>
          <w:b/>
          <w:bCs/>
          <w:color w:val="000000"/>
        </w:rPr>
        <w:t>Appendicular skeleton: pelvic girdle and hind limbs</w:t>
      </w:r>
      <w:r>
        <w:rPr>
          <w:b/>
        </w:rPr>
        <w:t xml:space="preserve"> </w:t>
      </w:r>
      <w:r>
        <w:t>(Ch. 38</w:t>
      </w:r>
      <w:r w:rsidR="002820A5">
        <w:t>9</w:t>
      </w:r>
      <w:r>
        <w:t xml:space="preserve"> – 42</w:t>
      </w:r>
      <w:r w:rsidR="002820A5">
        <w:t>5</w:t>
      </w:r>
      <w:r>
        <w:t>; 8.150% of characters)</w:t>
      </w:r>
    </w:p>
    <w:p w14:paraId="7B6EA527" w14:textId="77777777" w:rsidR="004C76BC" w:rsidRDefault="004C76BC" w:rsidP="004C76BC">
      <w:pPr>
        <w:rPr>
          <w:rFonts w:eastAsiaTheme="minorHAnsi"/>
          <w:i/>
        </w:rPr>
      </w:pPr>
      <w:r>
        <w:rPr>
          <w:i/>
        </w:rPr>
        <w:t>[pelvic elements (ossa pubes, ossa ilia, &amp; ossa ischia); stylopodia (ossa femora), zeugopodia (ossa tibiae), autopodia (ossa calcis, ossa metatarsalia, &amp; ossa digitorum pedis)]</w:t>
      </w:r>
    </w:p>
    <w:p w14:paraId="5EC2B164" w14:textId="77777777" w:rsidR="004C76BC" w:rsidRDefault="004C76BC" w:rsidP="004C76B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453"/>
      </w:tblGrid>
      <w:tr w:rsidR="004C76BC" w14:paraId="197C8B9D" w14:textId="77777777" w:rsidTr="00AF438E">
        <w:tc>
          <w:tcPr>
            <w:tcW w:w="312" w:type="pct"/>
            <w:tcBorders>
              <w:top w:val="single" w:sz="4" w:space="0" w:color="auto"/>
              <w:left w:val="single" w:sz="4" w:space="0" w:color="auto"/>
              <w:bottom w:val="single" w:sz="4" w:space="0" w:color="auto"/>
              <w:right w:val="single" w:sz="4" w:space="0" w:color="auto"/>
            </w:tcBorders>
            <w:hideMark/>
          </w:tcPr>
          <w:p w14:paraId="6E1C3CA4" w14:textId="77777777" w:rsidR="004C76BC" w:rsidRDefault="004C76BC" w:rsidP="00AF438E">
            <w:pPr>
              <w:rPr>
                <w:sz w:val="20"/>
                <w:szCs w:val="20"/>
                <w:lang w:eastAsia="en-US"/>
              </w:rPr>
            </w:pPr>
            <w:r>
              <w:rPr>
                <w:sz w:val="20"/>
                <w:szCs w:val="20"/>
                <w:lang w:eastAsia="en-US"/>
              </w:rPr>
              <w:t>#</w:t>
            </w:r>
          </w:p>
        </w:tc>
        <w:tc>
          <w:tcPr>
            <w:tcW w:w="4688" w:type="pct"/>
            <w:tcBorders>
              <w:top w:val="single" w:sz="4" w:space="0" w:color="auto"/>
              <w:left w:val="single" w:sz="4" w:space="0" w:color="auto"/>
              <w:bottom w:val="single" w:sz="4" w:space="0" w:color="auto"/>
              <w:right w:val="single" w:sz="4" w:space="0" w:color="auto"/>
            </w:tcBorders>
            <w:hideMark/>
          </w:tcPr>
          <w:p w14:paraId="4C4F4E52" w14:textId="77777777" w:rsidR="004C76BC" w:rsidRDefault="004C76BC" w:rsidP="00AF438E">
            <w:pPr>
              <w:rPr>
                <w:sz w:val="20"/>
                <w:szCs w:val="20"/>
                <w:lang w:eastAsia="en-US"/>
              </w:rPr>
            </w:pPr>
            <w:r>
              <w:rPr>
                <w:sz w:val="20"/>
                <w:szCs w:val="20"/>
                <w:lang w:eastAsia="en-US"/>
              </w:rPr>
              <w:t>Description</w:t>
            </w:r>
          </w:p>
        </w:tc>
      </w:tr>
      <w:tr w:rsidR="002820A5" w14:paraId="1E4FDA5D" w14:textId="77777777" w:rsidTr="00AF438E">
        <w:tc>
          <w:tcPr>
            <w:tcW w:w="312" w:type="pct"/>
            <w:tcBorders>
              <w:top w:val="single" w:sz="4" w:space="0" w:color="auto"/>
              <w:left w:val="single" w:sz="4" w:space="0" w:color="auto"/>
              <w:bottom w:val="single" w:sz="4" w:space="0" w:color="auto"/>
              <w:right w:val="single" w:sz="4" w:space="0" w:color="auto"/>
            </w:tcBorders>
            <w:hideMark/>
          </w:tcPr>
          <w:p w14:paraId="5A04C81F" w14:textId="3497DBFC" w:rsidR="002820A5" w:rsidRDefault="009E2821" w:rsidP="002820A5">
            <w:pPr>
              <w:rPr>
                <w:sz w:val="20"/>
                <w:szCs w:val="20"/>
                <w:lang w:eastAsia="en-US"/>
              </w:rPr>
            </w:pPr>
            <w:r>
              <w:rPr>
                <w:color w:val="000000"/>
                <w:sz w:val="20"/>
                <w:szCs w:val="20"/>
                <w:lang w:eastAsia="en-US"/>
              </w:rPr>
              <w:t>391</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47E2F0C" w14:textId="77777777" w:rsidR="002820A5" w:rsidRDefault="002820A5" w:rsidP="002820A5">
            <w:pPr>
              <w:rPr>
                <w:b/>
                <w:color w:val="000000"/>
                <w:sz w:val="20"/>
                <w:szCs w:val="20"/>
                <w:lang w:eastAsia="en-US"/>
              </w:rPr>
            </w:pPr>
            <w:r>
              <w:rPr>
                <w:b/>
                <w:color w:val="000000"/>
                <w:sz w:val="20"/>
                <w:szCs w:val="20"/>
                <w:lang w:eastAsia="en-US"/>
              </w:rPr>
              <w:t>Pubis, exclusion from acetabulum:</w:t>
            </w:r>
          </w:p>
          <w:p w14:paraId="77DF9468" w14:textId="49173E77" w:rsidR="002820A5" w:rsidRDefault="002820A5" w:rsidP="002820A5">
            <w:pPr>
              <w:rPr>
                <w:i/>
                <w:color w:val="000000"/>
                <w:sz w:val="20"/>
                <w:szCs w:val="20"/>
                <w:lang w:eastAsia="en-US"/>
              </w:rPr>
            </w:pPr>
            <w:r>
              <w:rPr>
                <w:i/>
                <w:iCs/>
                <w:color w:val="000000"/>
                <w:sz w:val="20"/>
                <w:szCs w:val="20"/>
                <w:lang w:eastAsia="en-US"/>
              </w:rPr>
              <w:t>Turner &amp; Sertich (2010, ch. 86 part</w:t>
            </w:r>
            <w:r>
              <w:rPr>
                <w:i/>
                <w:color w:val="000000"/>
                <w:sz w:val="20"/>
                <w:szCs w:val="20"/>
                <w:lang w:eastAsia="en-US"/>
              </w:rPr>
              <w:t xml:space="preserve">); Andrade et al. (2011, ch. 445); Young et al. (2013a, ch. 180 part); Young et al. (2012, ch. 214 part); Young (2014, ch. 223 part); Young et al. (2016, ds 2, ch. 264 part); </w:t>
            </w:r>
            <w:r>
              <w:rPr>
                <w:i/>
                <w:sz w:val="20"/>
                <w:szCs w:val="20"/>
                <w:lang w:eastAsia="en-US"/>
              </w:rPr>
              <w:t xml:space="preserve">Ristevski et al. (2018, ds 2, ch. 332); Smith et al. (in review, ds 1, ch. 337); </w:t>
            </w:r>
            <w:r>
              <w:rPr>
                <w:i/>
                <w:sz w:val="20"/>
                <w:szCs w:val="20"/>
              </w:rPr>
              <w:t>Ősi et al. (in review, ds 1, ch. 388)</w:t>
            </w:r>
            <w:r>
              <w:rPr>
                <w:i/>
                <w:color w:val="000000"/>
                <w:sz w:val="20"/>
                <w:szCs w:val="20"/>
                <w:lang w:eastAsia="en-US"/>
              </w:rPr>
              <w:t>.</w:t>
            </w:r>
          </w:p>
          <w:p w14:paraId="574D4AB2" w14:textId="77777777" w:rsidR="002820A5" w:rsidRDefault="002820A5" w:rsidP="002820A5">
            <w:pPr>
              <w:rPr>
                <w:i/>
                <w:color w:val="000000"/>
                <w:sz w:val="20"/>
                <w:szCs w:val="20"/>
                <w:lang w:eastAsia="en-US"/>
              </w:rPr>
            </w:pPr>
            <w:r>
              <w:rPr>
                <w:i/>
                <w:color w:val="000000"/>
                <w:sz w:val="20"/>
                <w:szCs w:val="20"/>
                <w:lang w:eastAsia="en-US"/>
              </w:rPr>
              <w:t>Following Claesson (2004) state (1) occurs in Crocodyliformes.</w:t>
            </w:r>
          </w:p>
          <w:p w14:paraId="4B3784AD" w14:textId="77777777" w:rsidR="002820A5" w:rsidRDefault="002820A5" w:rsidP="002820A5">
            <w:pPr>
              <w:rPr>
                <w:i/>
                <w:color w:val="000000"/>
                <w:sz w:val="20"/>
                <w:szCs w:val="20"/>
                <w:lang w:eastAsia="en-US"/>
              </w:rPr>
            </w:pPr>
            <w:r>
              <w:rPr>
                <w:i/>
                <w:color w:val="000000"/>
                <w:sz w:val="20"/>
                <w:szCs w:val="20"/>
                <w:lang w:eastAsia="en-US"/>
              </w:rPr>
              <w:t>This character scores the pubis articulation with the acetabulum (state 0), and the mobile pubis articulating with the ischium anterior process (state 1).</w:t>
            </w:r>
          </w:p>
          <w:p w14:paraId="2BE9BDE9" w14:textId="77777777" w:rsidR="002820A5" w:rsidRDefault="002820A5" w:rsidP="002820A5">
            <w:pPr>
              <w:rPr>
                <w:color w:val="000000"/>
                <w:sz w:val="20"/>
                <w:szCs w:val="20"/>
                <w:lang w:eastAsia="en-US"/>
              </w:rPr>
            </w:pPr>
            <w:r>
              <w:rPr>
                <w:color w:val="000000"/>
                <w:sz w:val="20"/>
                <w:szCs w:val="20"/>
                <w:lang w:eastAsia="en-US"/>
              </w:rPr>
              <w:t>0. pubis not excluded, participating at least marginally to the anteroventral rim of the acetabulum</w:t>
            </w:r>
          </w:p>
          <w:p w14:paraId="41275E0C" w14:textId="77777777" w:rsidR="002820A5" w:rsidRDefault="002820A5" w:rsidP="002820A5">
            <w:pPr>
              <w:rPr>
                <w:sz w:val="20"/>
                <w:szCs w:val="20"/>
                <w:lang w:eastAsia="en-US"/>
              </w:rPr>
            </w:pPr>
            <w:r>
              <w:rPr>
                <w:color w:val="000000"/>
                <w:sz w:val="20"/>
                <w:szCs w:val="20"/>
                <w:lang w:eastAsia="en-US"/>
              </w:rPr>
              <w:t>1. pubis excluded, acetabulum composed exclusively by the ischium and illium</w:t>
            </w:r>
          </w:p>
        </w:tc>
      </w:tr>
      <w:tr w:rsidR="002820A5" w14:paraId="32D403CC" w14:textId="77777777" w:rsidTr="002820A5">
        <w:tc>
          <w:tcPr>
            <w:tcW w:w="312" w:type="pct"/>
            <w:tcBorders>
              <w:top w:val="single" w:sz="4" w:space="0" w:color="auto"/>
              <w:left w:val="single" w:sz="4" w:space="0" w:color="auto"/>
              <w:bottom w:val="single" w:sz="4" w:space="0" w:color="auto"/>
              <w:right w:val="single" w:sz="4" w:space="0" w:color="auto"/>
            </w:tcBorders>
          </w:tcPr>
          <w:p w14:paraId="7878D9C1" w14:textId="624B823B" w:rsidR="002820A5" w:rsidRDefault="009E2821" w:rsidP="002820A5">
            <w:pPr>
              <w:rPr>
                <w:sz w:val="20"/>
                <w:szCs w:val="20"/>
                <w:lang w:eastAsia="en-US"/>
              </w:rPr>
            </w:pPr>
            <w:r>
              <w:rPr>
                <w:color w:val="000000"/>
                <w:sz w:val="20"/>
                <w:szCs w:val="20"/>
                <w:lang w:eastAsia="en-US"/>
              </w:rPr>
              <w:t>392</w:t>
            </w:r>
          </w:p>
        </w:tc>
        <w:tc>
          <w:tcPr>
            <w:tcW w:w="4688" w:type="pct"/>
            <w:tcBorders>
              <w:top w:val="single" w:sz="4" w:space="0" w:color="auto"/>
              <w:left w:val="single" w:sz="4" w:space="0" w:color="auto"/>
              <w:bottom w:val="single" w:sz="4" w:space="0" w:color="auto"/>
              <w:right w:val="single" w:sz="4" w:space="0" w:color="auto"/>
            </w:tcBorders>
            <w:vAlign w:val="bottom"/>
            <w:hideMark/>
          </w:tcPr>
          <w:p w14:paraId="4F46B540"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Pubis, presence of exclusive proximal contact with ischium:</w:t>
            </w:r>
          </w:p>
          <w:p w14:paraId="66A44711" w14:textId="667E8B6D"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Andrade et al. (2011, ch. 446) – based on Andrews (1913) and Clark (1994, ch. 86); </w:t>
            </w:r>
            <w:r>
              <w:rPr>
                <w:i/>
                <w:sz w:val="20"/>
                <w:szCs w:val="20"/>
                <w:lang w:eastAsia="en-US"/>
              </w:rPr>
              <w:t xml:space="preserve">Ristevski et al. (2018, ds 2, ch. 333); Smith et al. (in review, ds 1, ch. 338); </w:t>
            </w:r>
            <w:r>
              <w:rPr>
                <w:i/>
                <w:sz w:val="20"/>
                <w:szCs w:val="20"/>
              </w:rPr>
              <w:t>Ősi et al. (in review, ds 1, ch. 389)</w:t>
            </w:r>
            <w:r>
              <w:rPr>
                <w:i/>
                <w:iCs/>
                <w:color w:val="000000"/>
                <w:sz w:val="20"/>
                <w:szCs w:val="20"/>
                <w:lang w:eastAsia="en-US"/>
              </w:rPr>
              <w:t>.</w:t>
            </w:r>
          </w:p>
          <w:p w14:paraId="474749D1"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Note that in Metasuchia this character correlates with the pubic exclusion from the acetabulum; however, thalattosuchians also have the pubis excluded from the acetabulum, but the pubis articulates between the ischium pubic process and the ilium anterior peduncle.</w:t>
            </w:r>
          </w:p>
          <w:p w14:paraId="14E7AD52"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absent, pubis supported by both ilium and ischium</w:t>
            </w:r>
          </w:p>
          <w:p w14:paraId="16F0E6D4" w14:textId="77777777" w:rsidR="002820A5" w:rsidRDefault="002820A5" w:rsidP="002820A5">
            <w:pPr>
              <w:rPr>
                <w:sz w:val="20"/>
                <w:szCs w:val="20"/>
                <w:lang w:eastAsia="en-US"/>
              </w:rPr>
            </w:pPr>
            <w:r>
              <w:rPr>
                <w:color w:val="000000"/>
                <w:sz w:val="20"/>
                <w:szCs w:val="20"/>
                <w:lang w:eastAsia="en-US"/>
              </w:rPr>
              <w:t>1. present, proximal head of pubis contacts only the ischium</w:t>
            </w:r>
          </w:p>
        </w:tc>
      </w:tr>
      <w:tr w:rsidR="002820A5" w14:paraId="52214682" w14:textId="77777777" w:rsidTr="002820A5">
        <w:tc>
          <w:tcPr>
            <w:tcW w:w="312" w:type="pct"/>
            <w:tcBorders>
              <w:top w:val="single" w:sz="4" w:space="0" w:color="auto"/>
              <w:left w:val="single" w:sz="4" w:space="0" w:color="auto"/>
              <w:bottom w:val="single" w:sz="4" w:space="0" w:color="auto"/>
              <w:right w:val="single" w:sz="4" w:space="0" w:color="auto"/>
            </w:tcBorders>
          </w:tcPr>
          <w:p w14:paraId="0AA2661B" w14:textId="0865EEEE" w:rsidR="002820A5" w:rsidRDefault="009E2821" w:rsidP="002820A5">
            <w:pPr>
              <w:rPr>
                <w:sz w:val="20"/>
                <w:szCs w:val="20"/>
                <w:lang w:eastAsia="en-US"/>
              </w:rPr>
            </w:pPr>
            <w:r>
              <w:rPr>
                <w:color w:val="000000"/>
                <w:sz w:val="20"/>
                <w:szCs w:val="20"/>
                <w:lang w:eastAsia="en-US"/>
              </w:rPr>
              <w:t>393</w:t>
            </w:r>
          </w:p>
        </w:tc>
        <w:tc>
          <w:tcPr>
            <w:tcW w:w="4688" w:type="pct"/>
            <w:tcBorders>
              <w:top w:val="single" w:sz="4" w:space="0" w:color="auto"/>
              <w:left w:val="single" w:sz="4" w:space="0" w:color="auto"/>
              <w:bottom w:val="single" w:sz="4" w:space="0" w:color="auto"/>
              <w:right w:val="single" w:sz="4" w:space="0" w:color="auto"/>
            </w:tcBorders>
            <w:vAlign w:val="bottom"/>
            <w:hideMark/>
          </w:tcPr>
          <w:p w14:paraId="1333C7BE" w14:textId="6C474375" w:rsidR="002820A5" w:rsidRDefault="002820A5" w:rsidP="002820A5">
            <w:pPr>
              <w:autoSpaceDE w:val="0"/>
              <w:autoSpaceDN w:val="0"/>
              <w:adjustRightInd w:val="0"/>
              <w:rPr>
                <w:b/>
                <w:sz w:val="20"/>
                <w:szCs w:val="20"/>
                <w:lang w:eastAsia="en-US"/>
              </w:rPr>
            </w:pPr>
            <w:r>
              <w:rPr>
                <w:b/>
                <w:sz w:val="20"/>
                <w:szCs w:val="20"/>
                <w:lang w:eastAsia="en-US"/>
              </w:rPr>
              <w:t>Pubis, length:</w:t>
            </w:r>
          </w:p>
          <w:p w14:paraId="448284C3" w14:textId="535E8710"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Nesbitt (2011, ch. 278); Young et al. (2016, ds 2, ch. 265); </w:t>
            </w:r>
            <w:r>
              <w:rPr>
                <w:i/>
                <w:sz w:val="20"/>
                <w:szCs w:val="20"/>
                <w:lang w:eastAsia="en-US"/>
              </w:rPr>
              <w:t xml:space="preserve">Ristevski et al. (2018, ds 2, ch. 334); Smith et al. (in review, ds 1, ch. 339); </w:t>
            </w:r>
            <w:r>
              <w:rPr>
                <w:i/>
                <w:sz w:val="20"/>
                <w:szCs w:val="20"/>
              </w:rPr>
              <w:t>Ősi et al. (in review, ds 1, ch. 390)</w:t>
            </w:r>
            <w:r>
              <w:rPr>
                <w:i/>
                <w:iCs/>
                <w:color w:val="000000"/>
                <w:sz w:val="20"/>
                <w:szCs w:val="20"/>
                <w:lang w:eastAsia="en-US"/>
              </w:rPr>
              <w:t>.</w:t>
            </w:r>
          </w:p>
          <w:p w14:paraId="5E2C0448"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(0) is a putative apomorphy of Crocodyliformes.</w:t>
            </w:r>
          </w:p>
          <w:p w14:paraId="59AD1705" w14:textId="77777777" w:rsidR="002820A5" w:rsidRDefault="002820A5" w:rsidP="002820A5">
            <w:pPr>
              <w:autoSpaceDE w:val="0"/>
              <w:autoSpaceDN w:val="0"/>
              <w:adjustRightInd w:val="0"/>
              <w:rPr>
                <w:iCs/>
                <w:color w:val="000000"/>
                <w:sz w:val="20"/>
                <w:szCs w:val="20"/>
                <w:lang w:eastAsia="en-US"/>
              </w:rPr>
            </w:pPr>
            <w:r>
              <w:rPr>
                <w:iCs/>
                <w:color w:val="000000"/>
                <w:sz w:val="20"/>
                <w:szCs w:val="20"/>
                <w:lang w:eastAsia="en-US"/>
              </w:rPr>
              <w:t>0. less than 70% of femoral length</w:t>
            </w:r>
          </w:p>
          <w:p w14:paraId="605904FD" w14:textId="77777777" w:rsidR="002820A5" w:rsidRDefault="002820A5" w:rsidP="002820A5">
            <w:pPr>
              <w:rPr>
                <w:sz w:val="20"/>
                <w:szCs w:val="20"/>
                <w:lang w:eastAsia="en-US"/>
              </w:rPr>
            </w:pPr>
            <w:r>
              <w:rPr>
                <w:iCs/>
                <w:color w:val="000000"/>
                <w:sz w:val="20"/>
                <w:szCs w:val="20"/>
                <w:lang w:eastAsia="en-US"/>
              </w:rPr>
              <w:t>1. 70% or more of femoral length</w:t>
            </w:r>
          </w:p>
        </w:tc>
      </w:tr>
      <w:tr w:rsidR="002820A5" w14:paraId="1221374A" w14:textId="77777777" w:rsidTr="002820A5">
        <w:tc>
          <w:tcPr>
            <w:tcW w:w="312" w:type="pct"/>
            <w:tcBorders>
              <w:top w:val="single" w:sz="4" w:space="0" w:color="auto"/>
              <w:left w:val="single" w:sz="4" w:space="0" w:color="auto"/>
              <w:bottom w:val="single" w:sz="4" w:space="0" w:color="auto"/>
              <w:right w:val="single" w:sz="4" w:space="0" w:color="auto"/>
            </w:tcBorders>
          </w:tcPr>
          <w:p w14:paraId="619AD8F1" w14:textId="590191A9" w:rsidR="002820A5" w:rsidRDefault="009E2821" w:rsidP="002820A5">
            <w:pPr>
              <w:rPr>
                <w:sz w:val="20"/>
                <w:szCs w:val="20"/>
                <w:lang w:eastAsia="en-US"/>
              </w:rPr>
            </w:pPr>
            <w:r>
              <w:rPr>
                <w:color w:val="000000"/>
                <w:sz w:val="20"/>
                <w:szCs w:val="20"/>
                <w:lang w:eastAsia="en-US"/>
              </w:rPr>
              <w:t>394</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C818F17"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Pubis, expansion of distal end:</w:t>
            </w:r>
          </w:p>
          <w:p w14:paraId="615B0A4B" w14:textId="625E7295"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Clark (1994, ch. 85 modified); Andrade et al. (2011, ch. 447 modified); Nesbitt (2011, ch. 283 modified); </w:t>
            </w:r>
            <w:r>
              <w:rPr>
                <w:i/>
                <w:sz w:val="20"/>
                <w:szCs w:val="20"/>
                <w:lang w:eastAsia="en-US"/>
              </w:rPr>
              <w:t xml:space="preserve">Ristevski et al. (2018, ds 2, ch. 335); Smith et al. (in review, ds 1, ch. 340); </w:t>
            </w:r>
            <w:r>
              <w:rPr>
                <w:i/>
                <w:sz w:val="20"/>
                <w:szCs w:val="20"/>
              </w:rPr>
              <w:t>Ősi et al. (in review, ds 1, ch. 391)</w:t>
            </w:r>
            <w:r>
              <w:rPr>
                <w:bCs/>
                <w:i/>
                <w:color w:val="000000"/>
                <w:sz w:val="20"/>
                <w:szCs w:val="20"/>
                <w:lang w:eastAsia="en-US"/>
              </w:rPr>
              <w:t>.</w:t>
            </w:r>
          </w:p>
          <w:p w14:paraId="7CA6CE23" w14:textId="77777777" w:rsidR="002820A5" w:rsidRDefault="002820A5" w:rsidP="002820A5">
            <w:pPr>
              <w:autoSpaceDE w:val="0"/>
              <w:autoSpaceDN w:val="0"/>
              <w:adjustRightInd w:val="0"/>
              <w:rPr>
                <w:i/>
                <w:color w:val="000000"/>
                <w:sz w:val="20"/>
                <w:szCs w:val="20"/>
                <w:lang w:eastAsia="en-US"/>
              </w:rPr>
            </w:pPr>
            <w:r>
              <w:rPr>
                <w:i/>
                <w:color w:val="000000"/>
                <w:sz w:val="20"/>
                <w:szCs w:val="20"/>
                <w:lang w:eastAsia="en-US"/>
              </w:rPr>
              <w:t xml:space="preserve">Note that </w:t>
            </w:r>
            <w:r>
              <w:rPr>
                <w:color w:val="000000"/>
                <w:sz w:val="20"/>
                <w:szCs w:val="20"/>
                <w:lang w:eastAsia="en-US"/>
              </w:rPr>
              <w:t>Postosuchus</w:t>
            </w:r>
            <w:r>
              <w:rPr>
                <w:i/>
                <w:color w:val="000000"/>
                <w:sz w:val="20"/>
                <w:szCs w:val="20"/>
                <w:lang w:eastAsia="en-US"/>
              </w:rPr>
              <w:t xml:space="preserve"> has a pubic boot (along with other non-crocodylomorph pseudosuchians; Nesbitt, 2011; Weinbaum, 2013). Here we test the homology of this pubic boot with that seen in crocodylomorphs (the </w:t>
            </w:r>
            <w:r>
              <w:rPr>
                <w:color w:val="000000"/>
                <w:sz w:val="20"/>
                <w:szCs w:val="20"/>
                <w:lang w:eastAsia="en-US"/>
              </w:rPr>
              <w:t>Protosuchus</w:t>
            </w:r>
            <w:r>
              <w:rPr>
                <w:i/>
                <w:color w:val="000000"/>
                <w:sz w:val="20"/>
                <w:szCs w:val="20"/>
                <w:lang w:eastAsia="en-US"/>
              </w:rPr>
              <w:t xml:space="preserve"> distal expansion, and the ‘fan’-like pubic blade seen in other crocodyliforms). Nesbitt (2011) reports that a small posterior expansion is present in the holotype of </w:t>
            </w:r>
            <w:r>
              <w:rPr>
                <w:color w:val="000000"/>
                <w:sz w:val="20"/>
                <w:szCs w:val="20"/>
                <w:lang w:eastAsia="en-US"/>
              </w:rPr>
              <w:t>Hesperosuchus agilis</w:t>
            </w:r>
            <w:r>
              <w:rPr>
                <w:i/>
                <w:color w:val="000000"/>
                <w:sz w:val="20"/>
                <w:szCs w:val="20"/>
                <w:lang w:eastAsia="en-US"/>
              </w:rPr>
              <w:t xml:space="preserve">, suggesting the lack of an expansion in </w:t>
            </w:r>
            <w:r>
              <w:rPr>
                <w:color w:val="000000"/>
                <w:sz w:val="20"/>
                <w:szCs w:val="20"/>
                <w:lang w:eastAsia="en-US"/>
              </w:rPr>
              <w:t xml:space="preserve">Terristrisuchus </w:t>
            </w:r>
            <w:r>
              <w:rPr>
                <w:i/>
                <w:color w:val="000000"/>
                <w:sz w:val="20"/>
                <w:szCs w:val="20"/>
                <w:lang w:eastAsia="en-US"/>
              </w:rPr>
              <w:t xml:space="preserve">is apomorphic. </w:t>
            </w:r>
          </w:p>
          <w:p w14:paraId="263F0E53" w14:textId="77777777" w:rsidR="002820A5" w:rsidRDefault="002820A5" w:rsidP="002820A5">
            <w:pPr>
              <w:autoSpaceDE w:val="0"/>
              <w:autoSpaceDN w:val="0"/>
              <w:adjustRightInd w:val="0"/>
              <w:rPr>
                <w:i/>
                <w:color w:val="000000"/>
                <w:sz w:val="20"/>
                <w:szCs w:val="20"/>
                <w:lang w:eastAsia="en-US"/>
              </w:rPr>
            </w:pPr>
            <w:r>
              <w:rPr>
                <w:i/>
                <w:color w:val="000000"/>
                <w:sz w:val="20"/>
                <w:szCs w:val="20"/>
                <w:lang w:eastAsia="en-US"/>
              </w:rPr>
              <w:t>State (2) is a putative apomorphy of Mesoeucrocodylia.</w:t>
            </w:r>
          </w:p>
          <w:p w14:paraId="5C15587F"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absent</w:t>
            </w:r>
          </w:p>
          <w:p w14:paraId="39F0F1E1"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1. expanded relative to the shaft (= pubic boot)</w:t>
            </w:r>
          </w:p>
          <w:p w14:paraId="6B7C143C" w14:textId="77777777" w:rsidR="002820A5" w:rsidRDefault="002820A5" w:rsidP="002820A5">
            <w:pPr>
              <w:rPr>
                <w:sz w:val="20"/>
                <w:szCs w:val="20"/>
                <w:lang w:eastAsia="en-US"/>
              </w:rPr>
            </w:pPr>
            <w:r>
              <w:rPr>
                <w:color w:val="000000"/>
                <w:sz w:val="20"/>
                <w:szCs w:val="20"/>
                <w:lang w:eastAsia="en-US"/>
              </w:rPr>
              <w:t>2. a “fan-like” expansion creating a distinct pubic blade</w:t>
            </w:r>
          </w:p>
        </w:tc>
      </w:tr>
      <w:tr w:rsidR="002820A5" w14:paraId="2C46FF8E" w14:textId="77777777" w:rsidTr="002820A5">
        <w:tc>
          <w:tcPr>
            <w:tcW w:w="312" w:type="pct"/>
            <w:tcBorders>
              <w:top w:val="single" w:sz="4" w:space="0" w:color="auto"/>
              <w:left w:val="single" w:sz="4" w:space="0" w:color="auto"/>
              <w:bottom w:val="single" w:sz="4" w:space="0" w:color="auto"/>
              <w:right w:val="single" w:sz="4" w:space="0" w:color="auto"/>
            </w:tcBorders>
          </w:tcPr>
          <w:p w14:paraId="1F52BE2B" w14:textId="061A6FA9" w:rsidR="002820A5" w:rsidRDefault="009E2821" w:rsidP="002820A5">
            <w:pPr>
              <w:rPr>
                <w:color w:val="000000"/>
                <w:sz w:val="20"/>
                <w:szCs w:val="20"/>
                <w:lang w:eastAsia="en-US"/>
              </w:rPr>
            </w:pPr>
            <w:r>
              <w:rPr>
                <w:color w:val="000000"/>
                <w:sz w:val="20"/>
                <w:szCs w:val="20"/>
                <w:lang w:eastAsia="en-US"/>
              </w:rPr>
              <w:t>395</w:t>
            </w:r>
          </w:p>
        </w:tc>
        <w:tc>
          <w:tcPr>
            <w:tcW w:w="4688" w:type="pct"/>
            <w:tcBorders>
              <w:top w:val="single" w:sz="4" w:space="0" w:color="auto"/>
              <w:left w:val="single" w:sz="4" w:space="0" w:color="auto"/>
              <w:bottom w:val="single" w:sz="4" w:space="0" w:color="auto"/>
              <w:right w:val="single" w:sz="4" w:space="0" w:color="auto"/>
            </w:tcBorders>
            <w:vAlign w:val="bottom"/>
            <w:hideMark/>
          </w:tcPr>
          <w:p w14:paraId="44563882" w14:textId="77777777" w:rsidR="002820A5" w:rsidRDefault="002820A5" w:rsidP="002820A5">
            <w:pPr>
              <w:pStyle w:val="SOMText"/>
              <w:ind w:firstLine="0"/>
              <w:rPr>
                <w:b/>
                <w:sz w:val="20"/>
              </w:rPr>
            </w:pPr>
            <w:r>
              <w:rPr>
                <w:b/>
                <w:sz w:val="20"/>
              </w:rPr>
              <w:t>Pubis, presence of an obturator foramen:</w:t>
            </w:r>
          </w:p>
          <w:p w14:paraId="3AC2B89B" w14:textId="43E4BBB2" w:rsidR="002820A5" w:rsidRDefault="002820A5" w:rsidP="002820A5">
            <w:pPr>
              <w:pStyle w:val="SOMText"/>
              <w:ind w:firstLine="0"/>
              <w:rPr>
                <w:bCs/>
                <w:i/>
                <w:sz w:val="20"/>
              </w:rPr>
            </w:pPr>
            <w:r>
              <w:rPr>
                <w:bCs/>
                <w:i/>
                <w:sz w:val="20"/>
              </w:rPr>
              <w:t xml:space="preserve">Leardi et al. (2017, ch. 126); </w:t>
            </w:r>
            <w:r>
              <w:rPr>
                <w:i/>
                <w:sz w:val="20"/>
              </w:rPr>
              <w:t>Ősi et al. (in review, ds 1, ch. 392)</w:t>
            </w:r>
            <w:r>
              <w:rPr>
                <w:bCs/>
                <w:i/>
                <w:sz w:val="20"/>
              </w:rPr>
              <w:t>.</w:t>
            </w:r>
          </w:p>
          <w:p w14:paraId="5B30E2EE" w14:textId="77777777" w:rsidR="002820A5" w:rsidRDefault="002820A5" w:rsidP="002820A5">
            <w:pPr>
              <w:pStyle w:val="SOMText"/>
              <w:ind w:firstLine="0"/>
              <w:rPr>
                <w:sz w:val="20"/>
              </w:rPr>
            </w:pPr>
            <w:r>
              <w:rPr>
                <w:bCs/>
                <w:i/>
                <w:sz w:val="20"/>
              </w:rPr>
              <w:t>State (1) occurs in Crocodyliformes.</w:t>
            </w:r>
          </w:p>
          <w:p w14:paraId="7D7EAF61" w14:textId="77777777" w:rsidR="002820A5" w:rsidRDefault="002820A5" w:rsidP="002820A5">
            <w:pPr>
              <w:pStyle w:val="SOMText"/>
              <w:ind w:firstLine="0"/>
              <w:rPr>
                <w:sz w:val="20"/>
              </w:rPr>
            </w:pPr>
            <w:r>
              <w:rPr>
                <w:sz w:val="20"/>
              </w:rPr>
              <w:t>0. present</w:t>
            </w:r>
          </w:p>
          <w:p w14:paraId="001B242A" w14:textId="77777777" w:rsidR="002820A5" w:rsidRDefault="002820A5" w:rsidP="002820A5">
            <w:pPr>
              <w:autoSpaceDE w:val="0"/>
              <w:autoSpaceDN w:val="0"/>
              <w:adjustRightInd w:val="0"/>
              <w:rPr>
                <w:b/>
                <w:bCs/>
                <w:color w:val="000000"/>
                <w:sz w:val="20"/>
                <w:szCs w:val="20"/>
                <w:lang w:eastAsia="en-US"/>
              </w:rPr>
            </w:pPr>
            <w:r>
              <w:rPr>
                <w:sz w:val="20"/>
                <w:szCs w:val="20"/>
                <w:lang w:eastAsia="en-US"/>
              </w:rPr>
              <w:t>1. absent</w:t>
            </w:r>
          </w:p>
        </w:tc>
      </w:tr>
      <w:tr w:rsidR="002820A5" w14:paraId="78927E11" w14:textId="77777777" w:rsidTr="002820A5">
        <w:tc>
          <w:tcPr>
            <w:tcW w:w="312" w:type="pct"/>
            <w:tcBorders>
              <w:top w:val="single" w:sz="4" w:space="0" w:color="auto"/>
              <w:left w:val="single" w:sz="4" w:space="0" w:color="auto"/>
              <w:bottom w:val="single" w:sz="4" w:space="0" w:color="auto"/>
              <w:right w:val="single" w:sz="4" w:space="0" w:color="auto"/>
            </w:tcBorders>
          </w:tcPr>
          <w:p w14:paraId="3AC6A914" w14:textId="28DDD746" w:rsidR="002820A5" w:rsidRDefault="009E2821" w:rsidP="002820A5">
            <w:pPr>
              <w:rPr>
                <w:color w:val="000000"/>
                <w:sz w:val="20"/>
                <w:szCs w:val="20"/>
                <w:lang w:eastAsia="en-US"/>
              </w:rPr>
            </w:pPr>
            <w:r>
              <w:rPr>
                <w:color w:val="000000"/>
                <w:sz w:val="20"/>
                <w:szCs w:val="20"/>
                <w:lang w:eastAsia="en-US"/>
              </w:rPr>
              <w:t>396</w:t>
            </w:r>
          </w:p>
        </w:tc>
        <w:tc>
          <w:tcPr>
            <w:tcW w:w="4688" w:type="pct"/>
            <w:tcBorders>
              <w:top w:val="single" w:sz="4" w:space="0" w:color="auto"/>
              <w:left w:val="single" w:sz="4" w:space="0" w:color="auto"/>
              <w:bottom w:val="single" w:sz="4" w:space="0" w:color="auto"/>
              <w:right w:val="single" w:sz="4" w:space="0" w:color="auto"/>
            </w:tcBorders>
            <w:vAlign w:val="bottom"/>
            <w:hideMark/>
          </w:tcPr>
          <w:p w14:paraId="725138DB"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Ilium, presence of a distinct anterior acetabular flange, created by the anterior acetabular margin projecting anteriorly such that it is anterior to the iliac anterior margin:</w:t>
            </w:r>
          </w:p>
          <w:p w14:paraId="30FF2C89" w14:textId="573F0EC1" w:rsidR="002820A5" w:rsidRDefault="002820A5" w:rsidP="002820A5">
            <w:pPr>
              <w:autoSpaceDE w:val="0"/>
              <w:autoSpaceDN w:val="0"/>
              <w:adjustRightInd w:val="0"/>
              <w:rPr>
                <w:bCs/>
                <w:i/>
                <w:color w:val="000000"/>
                <w:sz w:val="20"/>
                <w:szCs w:val="20"/>
                <w:lang w:eastAsia="en-US"/>
              </w:rPr>
            </w:pPr>
            <w:r>
              <w:rPr>
                <w:i/>
                <w:sz w:val="20"/>
                <w:szCs w:val="20"/>
                <w:lang w:eastAsia="en-US"/>
              </w:rPr>
              <w:t xml:space="preserve">Smith et al. (in review, ds 1, ch. 341); </w:t>
            </w:r>
            <w:r>
              <w:rPr>
                <w:i/>
                <w:sz w:val="20"/>
                <w:szCs w:val="20"/>
              </w:rPr>
              <w:t>Ősi et al. (in review, ds 1, ch. 393)</w:t>
            </w:r>
            <w:r>
              <w:rPr>
                <w:i/>
                <w:sz w:val="20"/>
                <w:szCs w:val="20"/>
                <w:lang w:eastAsia="en-US"/>
              </w:rPr>
              <w:t>.</w:t>
            </w:r>
          </w:p>
          <w:p w14:paraId="485C4ABA" w14:textId="169E4556" w:rsidR="002820A5" w:rsidRDefault="002820A5" w:rsidP="002820A5">
            <w:pPr>
              <w:autoSpaceDE w:val="0"/>
              <w:autoSpaceDN w:val="0"/>
              <w:adjustRightInd w:val="0"/>
              <w:rPr>
                <w:bCs/>
                <w:color w:val="000000"/>
                <w:sz w:val="20"/>
                <w:szCs w:val="20"/>
                <w:lang w:eastAsia="en-US"/>
              </w:rPr>
            </w:pPr>
            <w:r>
              <w:rPr>
                <w:bCs/>
                <w:i/>
                <w:color w:val="000000"/>
                <w:sz w:val="20"/>
                <w:szCs w:val="20"/>
                <w:lang w:eastAsia="en-US"/>
              </w:rPr>
              <w:t>State (1) occurs in basal metriorhynchoids</w:t>
            </w:r>
            <w:r>
              <w:rPr>
                <w:bCs/>
                <w:color w:val="000000"/>
                <w:sz w:val="20"/>
                <w:szCs w:val="20"/>
                <w:lang w:eastAsia="en-US"/>
              </w:rPr>
              <w:t>.</w:t>
            </w:r>
          </w:p>
          <w:p w14:paraId="17AB9BF0" w14:textId="554E0A00"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Note, this condition is different from that of </w:t>
            </w:r>
            <w:r>
              <w:rPr>
                <w:bCs/>
                <w:color w:val="000000"/>
                <w:sz w:val="20"/>
                <w:szCs w:val="20"/>
                <w:lang w:eastAsia="en-US"/>
              </w:rPr>
              <w:t>Dyrosaurus maghribensis</w:t>
            </w:r>
            <w:r>
              <w:rPr>
                <w:bCs/>
                <w:i/>
                <w:color w:val="000000"/>
                <w:sz w:val="20"/>
                <w:szCs w:val="20"/>
                <w:lang w:eastAsia="en-US"/>
              </w:rPr>
              <w:t xml:space="preserve">, as there the entire anterior margin of the ilium bulges anteriorly, not just the acetabular margin (which in </w:t>
            </w:r>
            <w:r>
              <w:rPr>
                <w:bCs/>
                <w:color w:val="000000"/>
                <w:sz w:val="20"/>
                <w:szCs w:val="20"/>
                <w:lang w:eastAsia="en-US"/>
              </w:rPr>
              <w:t>Pelagosaurus typus</w:t>
            </w:r>
            <w:r>
              <w:rPr>
                <w:bCs/>
                <w:i/>
                <w:color w:val="000000"/>
                <w:sz w:val="20"/>
                <w:szCs w:val="20"/>
                <w:lang w:eastAsia="en-US"/>
              </w:rPr>
              <w:t xml:space="preserve"> creates the thin acetabular flange).</w:t>
            </w:r>
          </w:p>
          <w:p w14:paraId="2D89FBEA" w14:textId="77777777" w:rsidR="002820A5" w:rsidRDefault="002820A5" w:rsidP="002820A5">
            <w:pPr>
              <w:autoSpaceDE w:val="0"/>
              <w:autoSpaceDN w:val="0"/>
              <w:adjustRightInd w:val="0"/>
              <w:rPr>
                <w:bCs/>
                <w:color w:val="000000"/>
                <w:sz w:val="20"/>
                <w:szCs w:val="20"/>
                <w:lang w:eastAsia="en-US"/>
              </w:rPr>
            </w:pPr>
            <w:r>
              <w:rPr>
                <w:bCs/>
                <w:color w:val="000000"/>
                <w:sz w:val="20"/>
                <w:szCs w:val="20"/>
                <w:lang w:eastAsia="en-US"/>
              </w:rPr>
              <w:t>0. absent</w:t>
            </w:r>
          </w:p>
          <w:p w14:paraId="2191FC8D" w14:textId="77777777" w:rsidR="002820A5" w:rsidRDefault="002820A5" w:rsidP="002820A5">
            <w:pPr>
              <w:autoSpaceDE w:val="0"/>
              <w:autoSpaceDN w:val="0"/>
              <w:adjustRightInd w:val="0"/>
              <w:rPr>
                <w:bCs/>
                <w:color w:val="000000"/>
                <w:sz w:val="20"/>
                <w:szCs w:val="20"/>
                <w:lang w:eastAsia="en-US"/>
              </w:rPr>
            </w:pPr>
            <w:r>
              <w:rPr>
                <w:bCs/>
                <w:color w:val="000000"/>
                <w:sz w:val="20"/>
                <w:szCs w:val="20"/>
                <w:lang w:eastAsia="en-US"/>
              </w:rPr>
              <w:t>1.</w:t>
            </w:r>
            <w:r>
              <w:rPr>
                <w:b/>
                <w:bCs/>
                <w:color w:val="000000"/>
                <w:sz w:val="20"/>
                <w:szCs w:val="20"/>
                <w:lang w:eastAsia="en-US"/>
              </w:rPr>
              <w:t xml:space="preserve"> </w:t>
            </w:r>
            <w:r>
              <w:rPr>
                <w:bCs/>
                <w:color w:val="000000"/>
                <w:sz w:val="20"/>
                <w:szCs w:val="20"/>
                <w:lang w:eastAsia="en-US"/>
              </w:rPr>
              <w:t>present</w:t>
            </w:r>
          </w:p>
        </w:tc>
      </w:tr>
      <w:tr w:rsidR="002820A5" w14:paraId="6F16A8C2" w14:textId="77777777" w:rsidTr="002820A5">
        <w:tc>
          <w:tcPr>
            <w:tcW w:w="312" w:type="pct"/>
            <w:tcBorders>
              <w:top w:val="single" w:sz="4" w:space="0" w:color="auto"/>
              <w:left w:val="single" w:sz="4" w:space="0" w:color="auto"/>
              <w:bottom w:val="single" w:sz="4" w:space="0" w:color="auto"/>
              <w:right w:val="single" w:sz="4" w:space="0" w:color="auto"/>
            </w:tcBorders>
          </w:tcPr>
          <w:p w14:paraId="26FB5201" w14:textId="5D06558D" w:rsidR="002820A5" w:rsidRDefault="009E2821" w:rsidP="002820A5">
            <w:pPr>
              <w:rPr>
                <w:color w:val="000000"/>
                <w:sz w:val="20"/>
                <w:szCs w:val="20"/>
                <w:lang w:eastAsia="en-US"/>
              </w:rPr>
            </w:pPr>
            <w:r>
              <w:rPr>
                <w:color w:val="000000"/>
                <w:sz w:val="20"/>
                <w:szCs w:val="20"/>
                <w:lang w:eastAsia="en-US"/>
              </w:rPr>
              <w:t>397</w:t>
            </w:r>
          </w:p>
        </w:tc>
        <w:tc>
          <w:tcPr>
            <w:tcW w:w="4688" w:type="pct"/>
            <w:tcBorders>
              <w:top w:val="single" w:sz="4" w:space="0" w:color="auto"/>
              <w:left w:val="single" w:sz="4" w:space="0" w:color="auto"/>
              <w:bottom w:val="single" w:sz="4" w:space="0" w:color="auto"/>
              <w:right w:val="single" w:sz="4" w:space="0" w:color="auto"/>
            </w:tcBorders>
            <w:vAlign w:val="bottom"/>
            <w:hideMark/>
          </w:tcPr>
          <w:p w14:paraId="1285C5B6" w14:textId="77777777" w:rsidR="002820A5" w:rsidRDefault="002820A5" w:rsidP="002820A5">
            <w:pPr>
              <w:autoSpaceDE w:val="0"/>
              <w:autoSpaceDN w:val="0"/>
              <w:adjustRightInd w:val="0"/>
              <w:rPr>
                <w:b/>
                <w:bCs/>
                <w:sz w:val="20"/>
                <w:szCs w:val="20"/>
                <w:lang w:eastAsia="en-US"/>
              </w:rPr>
            </w:pPr>
            <w:r>
              <w:rPr>
                <w:b/>
                <w:bCs/>
                <w:sz w:val="20"/>
                <w:szCs w:val="20"/>
                <w:lang w:eastAsia="en-US"/>
              </w:rPr>
              <w:t>Ilium, relative length of anterior and posterior processes: (*)</w:t>
            </w:r>
          </w:p>
          <w:p w14:paraId="30FE8653" w14:textId="02CE8BFA" w:rsidR="002820A5" w:rsidRDefault="002820A5" w:rsidP="002820A5">
            <w:pPr>
              <w:autoSpaceDE w:val="0"/>
              <w:autoSpaceDN w:val="0"/>
              <w:adjustRightInd w:val="0"/>
              <w:rPr>
                <w:i/>
                <w:sz w:val="20"/>
                <w:szCs w:val="20"/>
                <w:lang w:eastAsia="en-US"/>
              </w:rPr>
            </w:pPr>
            <w:r>
              <w:rPr>
                <w:bCs/>
                <w:i/>
                <w:sz w:val="20"/>
                <w:szCs w:val="20"/>
                <w:lang w:eastAsia="en-US"/>
              </w:rPr>
              <w:t xml:space="preserve">Clark (1994, ch. 84); Lauprasert </w:t>
            </w:r>
            <w:r>
              <w:rPr>
                <w:bCs/>
                <w:i/>
                <w:iCs/>
                <w:sz w:val="20"/>
                <w:szCs w:val="20"/>
                <w:lang w:eastAsia="en-US"/>
              </w:rPr>
              <w:t>et al. (</w:t>
            </w:r>
            <w:r>
              <w:rPr>
                <w:bCs/>
                <w:i/>
                <w:sz w:val="20"/>
                <w:szCs w:val="20"/>
                <w:lang w:eastAsia="en-US"/>
              </w:rPr>
              <w:t>2007, ch. 68); Andrade et al. (2011, ch. 441);</w:t>
            </w:r>
            <w:r>
              <w:rPr>
                <w:i/>
                <w:sz w:val="20"/>
                <w:szCs w:val="20"/>
                <w:lang w:eastAsia="en-US"/>
              </w:rPr>
              <w:t xml:space="preserve"> Ristevski et al. (2018, ds 1, ch. 441); Smith et al. (in review, ds 2, ch. 441); </w:t>
            </w:r>
            <w:r>
              <w:rPr>
                <w:i/>
                <w:sz w:val="20"/>
                <w:szCs w:val="20"/>
              </w:rPr>
              <w:t>Ősi et al. (in review, ds 1, ch. 394)</w:t>
            </w:r>
            <w:r>
              <w:rPr>
                <w:i/>
                <w:sz w:val="20"/>
                <w:szCs w:val="20"/>
                <w:lang w:eastAsia="en-US"/>
              </w:rPr>
              <w:t>.</w:t>
            </w:r>
          </w:p>
          <w:p w14:paraId="2F73E243" w14:textId="77777777" w:rsidR="002820A5" w:rsidRDefault="002820A5" w:rsidP="002820A5">
            <w:pPr>
              <w:autoSpaceDE w:val="0"/>
              <w:autoSpaceDN w:val="0"/>
              <w:adjustRightInd w:val="0"/>
              <w:rPr>
                <w:bCs/>
                <w:i/>
                <w:sz w:val="20"/>
                <w:szCs w:val="20"/>
                <w:lang w:eastAsia="en-US"/>
              </w:rPr>
            </w:pPr>
            <w:r>
              <w:rPr>
                <w:i/>
                <w:sz w:val="20"/>
                <w:szCs w:val="20"/>
                <w:lang w:eastAsia="en-US"/>
              </w:rPr>
              <w:t>This character is not applicable for taxa that lack the posterior process of the ilium.</w:t>
            </w:r>
          </w:p>
          <w:p w14:paraId="0BBC0274" w14:textId="77777777" w:rsidR="002820A5" w:rsidRDefault="002820A5" w:rsidP="002820A5">
            <w:pPr>
              <w:autoSpaceDE w:val="0"/>
              <w:autoSpaceDN w:val="0"/>
              <w:adjustRightInd w:val="0"/>
              <w:rPr>
                <w:sz w:val="20"/>
                <w:szCs w:val="20"/>
                <w:lang w:eastAsia="en-US"/>
              </w:rPr>
            </w:pPr>
            <w:r>
              <w:rPr>
                <w:sz w:val="20"/>
                <w:szCs w:val="20"/>
                <w:lang w:eastAsia="en-US"/>
              </w:rPr>
              <w:t>0. subequal, anterior and posterior processes similar in length</w:t>
            </w:r>
          </w:p>
          <w:p w14:paraId="46B6D503" w14:textId="77777777" w:rsidR="002820A5" w:rsidRDefault="002820A5" w:rsidP="002820A5">
            <w:pPr>
              <w:autoSpaceDE w:val="0"/>
              <w:autoSpaceDN w:val="0"/>
              <w:adjustRightInd w:val="0"/>
              <w:rPr>
                <w:b/>
                <w:bCs/>
                <w:color w:val="000000"/>
                <w:sz w:val="20"/>
                <w:szCs w:val="20"/>
                <w:lang w:eastAsia="en-US"/>
              </w:rPr>
            </w:pPr>
            <w:r>
              <w:rPr>
                <w:sz w:val="20"/>
                <w:szCs w:val="20"/>
                <w:lang w:eastAsia="en-US"/>
              </w:rPr>
              <w:t>1. unequal, with anterior process relatively small, one quarter or less than the length of the posterior process</w:t>
            </w:r>
          </w:p>
        </w:tc>
      </w:tr>
      <w:tr w:rsidR="002820A5" w14:paraId="21D7DE37" w14:textId="77777777" w:rsidTr="002820A5">
        <w:tc>
          <w:tcPr>
            <w:tcW w:w="312" w:type="pct"/>
            <w:tcBorders>
              <w:top w:val="single" w:sz="4" w:space="0" w:color="auto"/>
              <w:left w:val="single" w:sz="4" w:space="0" w:color="auto"/>
              <w:bottom w:val="single" w:sz="4" w:space="0" w:color="auto"/>
              <w:right w:val="single" w:sz="4" w:space="0" w:color="auto"/>
            </w:tcBorders>
          </w:tcPr>
          <w:p w14:paraId="5354FE0E" w14:textId="5A4AC5F9" w:rsidR="002820A5" w:rsidRDefault="009E2821" w:rsidP="002820A5">
            <w:pPr>
              <w:rPr>
                <w:color w:val="000000"/>
                <w:sz w:val="20"/>
                <w:szCs w:val="20"/>
                <w:lang w:eastAsia="en-US"/>
              </w:rPr>
            </w:pPr>
            <w:r>
              <w:rPr>
                <w:color w:val="000000"/>
                <w:sz w:val="20"/>
                <w:szCs w:val="20"/>
                <w:lang w:eastAsia="en-US"/>
              </w:rPr>
              <w:t>398</w:t>
            </w:r>
          </w:p>
        </w:tc>
        <w:tc>
          <w:tcPr>
            <w:tcW w:w="4688" w:type="pct"/>
            <w:tcBorders>
              <w:top w:val="single" w:sz="4" w:space="0" w:color="auto"/>
              <w:left w:val="single" w:sz="4" w:space="0" w:color="auto"/>
              <w:bottom w:val="single" w:sz="4" w:space="0" w:color="auto"/>
              <w:right w:val="single" w:sz="4" w:space="0" w:color="auto"/>
            </w:tcBorders>
            <w:vAlign w:val="bottom"/>
            <w:hideMark/>
          </w:tcPr>
          <w:p w14:paraId="7EA3485B" w14:textId="77777777" w:rsidR="002820A5" w:rsidRDefault="002820A5" w:rsidP="002820A5">
            <w:pPr>
              <w:autoSpaceDE w:val="0"/>
              <w:autoSpaceDN w:val="0"/>
              <w:adjustRightInd w:val="0"/>
              <w:rPr>
                <w:b/>
                <w:bCs/>
                <w:sz w:val="20"/>
                <w:szCs w:val="20"/>
                <w:lang w:eastAsia="en-US"/>
              </w:rPr>
            </w:pPr>
            <w:r>
              <w:rPr>
                <w:b/>
                <w:bCs/>
                <w:sz w:val="20"/>
                <w:szCs w:val="20"/>
                <w:lang w:eastAsia="en-US"/>
              </w:rPr>
              <w:t>Ilium, presence of indentation at the dorsal margin of iliac blade:</w:t>
            </w:r>
          </w:p>
          <w:p w14:paraId="591BD321" w14:textId="6243B675" w:rsidR="002820A5" w:rsidRDefault="002820A5" w:rsidP="002820A5">
            <w:pPr>
              <w:autoSpaceDE w:val="0"/>
              <w:autoSpaceDN w:val="0"/>
              <w:adjustRightInd w:val="0"/>
              <w:rPr>
                <w:bCs/>
                <w:i/>
                <w:sz w:val="20"/>
                <w:szCs w:val="20"/>
                <w:lang w:eastAsia="en-US"/>
              </w:rPr>
            </w:pPr>
            <w:r>
              <w:rPr>
                <w:bCs/>
                <w:i/>
                <w:sz w:val="20"/>
                <w:szCs w:val="20"/>
                <w:lang w:eastAsia="en-US"/>
              </w:rPr>
              <w:t>Brochu (1999, ch. 28 modified, part); Andrade et al. (2011, ch. 442);</w:t>
            </w:r>
            <w:r>
              <w:rPr>
                <w:i/>
                <w:sz w:val="20"/>
                <w:szCs w:val="20"/>
                <w:lang w:eastAsia="en-US"/>
              </w:rPr>
              <w:t xml:space="preserve"> Ristevski et al. (2018, ds 1, ch. 442); Smith et al. (in review, ds 2, ch. 442); </w:t>
            </w:r>
            <w:r>
              <w:rPr>
                <w:i/>
                <w:sz w:val="20"/>
                <w:szCs w:val="20"/>
              </w:rPr>
              <w:t>Ősi et al. (in review, ds 1, ch. 395)</w:t>
            </w:r>
            <w:r>
              <w:rPr>
                <w:i/>
                <w:sz w:val="20"/>
                <w:szCs w:val="20"/>
                <w:lang w:eastAsia="en-US"/>
              </w:rPr>
              <w:t>.</w:t>
            </w:r>
          </w:p>
          <w:p w14:paraId="1B7F6D6F" w14:textId="77777777" w:rsidR="002820A5" w:rsidRDefault="002820A5" w:rsidP="002820A5">
            <w:pPr>
              <w:autoSpaceDE w:val="0"/>
              <w:autoSpaceDN w:val="0"/>
              <w:adjustRightInd w:val="0"/>
              <w:rPr>
                <w:i/>
                <w:iCs/>
                <w:sz w:val="20"/>
                <w:szCs w:val="20"/>
                <w:lang w:eastAsia="en-US"/>
              </w:rPr>
            </w:pPr>
            <w:r>
              <w:rPr>
                <w:i/>
                <w:iCs/>
                <w:sz w:val="20"/>
                <w:szCs w:val="20"/>
                <w:lang w:eastAsia="en-US"/>
              </w:rPr>
              <w:t>Andrade et al. (2011) divded this character to separate diverse aspects of the morphology of the anterior end of iliac blade. This character samples the indentation at the dorsal edge of the anterior process.</w:t>
            </w:r>
          </w:p>
          <w:p w14:paraId="02960A01" w14:textId="77777777" w:rsidR="002820A5" w:rsidRDefault="002820A5" w:rsidP="002820A5">
            <w:pPr>
              <w:autoSpaceDE w:val="0"/>
              <w:autoSpaceDN w:val="0"/>
              <w:adjustRightInd w:val="0"/>
              <w:rPr>
                <w:sz w:val="20"/>
                <w:szCs w:val="20"/>
                <w:lang w:eastAsia="en-US"/>
              </w:rPr>
            </w:pPr>
            <w:r>
              <w:rPr>
                <w:sz w:val="20"/>
                <w:szCs w:val="20"/>
                <w:lang w:eastAsia="en-US"/>
              </w:rPr>
              <w:t>0. absent, dorsal edge convex or straight in lateral view</w:t>
            </w:r>
          </w:p>
          <w:p w14:paraId="510A7133" w14:textId="77777777" w:rsidR="002820A5" w:rsidRDefault="002820A5" w:rsidP="002820A5">
            <w:pPr>
              <w:autoSpaceDE w:val="0"/>
              <w:autoSpaceDN w:val="0"/>
              <w:adjustRightInd w:val="0"/>
              <w:rPr>
                <w:sz w:val="20"/>
                <w:szCs w:val="20"/>
                <w:lang w:eastAsia="en-US"/>
              </w:rPr>
            </w:pPr>
            <w:r>
              <w:rPr>
                <w:sz w:val="20"/>
                <w:szCs w:val="20"/>
                <w:lang w:eastAsia="en-US"/>
              </w:rPr>
              <w:t>1. present as a shallow or modest dorsal indentation</w:t>
            </w:r>
          </w:p>
          <w:p w14:paraId="18A58B26" w14:textId="550FB979" w:rsidR="002820A5" w:rsidRDefault="002820A5" w:rsidP="002820A5">
            <w:pPr>
              <w:autoSpaceDE w:val="0"/>
              <w:autoSpaceDN w:val="0"/>
              <w:adjustRightInd w:val="0"/>
              <w:rPr>
                <w:b/>
                <w:bCs/>
                <w:color w:val="000000"/>
                <w:sz w:val="20"/>
                <w:szCs w:val="20"/>
                <w:lang w:eastAsia="en-US"/>
              </w:rPr>
            </w:pPr>
            <w:r>
              <w:rPr>
                <w:sz w:val="20"/>
                <w:szCs w:val="20"/>
                <w:lang w:eastAsia="en-US"/>
              </w:rPr>
              <w:t>2. present as a strong dorsal indentation (“wasp-waisted”)</w:t>
            </w:r>
          </w:p>
        </w:tc>
      </w:tr>
      <w:tr w:rsidR="002820A5" w14:paraId="2D57C9F9" w14:textId="77777777" w:rsidTr="002820A5">
        <w:tc>
          <w:tcPr>
            <w:tcW w:w="312" w:type="pct"/>
            <w:tcBorders>
              <w:top w:val="single" w:sz="4" w:space="0" w:color="auto"/>
              <w:left w:val="single" w:sz="4" w:space="0" w:color="auto"/>
              <w:bottom w:val="single" w:sz="4" w:space="0" w:color="auto"/>
              <w:right w:val="single" w:sz="4" w:space="0" w:color="auto"/>
            </w:tcBorders>
          </w:tcPr>
          <w:p w14:paraId="71749A4D" w14:textId="5FD9F52A" w:rsidR="002820A5" w:rsidRDefault="009E2821" w:rsidP="002820A5">
            <w:pPr>
              <w:rPr>
                <w:color w:val="000000"/>
                <w:sz w:val="20"/>
                <w:szCs w:val="20"/>
                <w:lang w:eastAsia="en-US"/>
              </w:rPr>
            </w:pPr>
            <w:r>
              <w:rPr>
                <w:color w:val="000000"/>
                <w:sz w:val="20"/>
                <w:szCs w:val="20"/>
                <w:lang w:eastAsia="en-US"/>
              </w:rPr>
              <w:t>399</w:t>
            </w:r>
          </w:p>
        </w:tc>
        <w:tc>
          <w:tcPr>
            <w:tcW w:w="4688" w:type="pct"/>
            <w:tcBorders>
              <w:top w:val="single" w:sz="4" w:space="0" w:color="auto"/>
              <w:left w:val="single" w:sz="4" w:space="0" w:color="auto"/>
              <w:bottom w:val="single" w:sz="4" w:space="0" w:color="auto"/>
              <w:right w:val="single" w:sz="4" w:space="0" w:color="auto"/>
            </w:tcBorders>
            <w:vAlign w:val="bottom"/>
            <w:hideMark/>
          </w:tcPr>
          <w:p w14:paraId="21507043" w14:textId="77777777" w:rsidR="002820A5" w:rsidRDefault="002820A5" w:rsidP="002820A5">
            <w:pPr>
              <w:rPr>
                <w:rFonts w:eastAsia="Times New Roman"/>
                <w:b/>
                <w:sz w:val="20"/>
                <w:lang w:eastAsia="en-US"/>
              </w:rPr>
            </w:pPr>
            <w:r>
              <w:rPr>
                <w:rFonts w:eastAsia="Times New Roman"/>
                <w:b/>
                <w:sz w:val="20"/>
                <w:lang w:eastAsia="en-US"/>
              </w:rPr>
              <w:t>lium, presence of a distinct 'bulge' that fuses the anterior regions of the supraacetabular and dorsal iliac crests: (*)</w:t>
            </w:r>
          </w:p>
          <w:p w14:paraId="25EF9096" w14:textId="6658F669" w:rsidR="002820A5" w:rsidRDefault="002820A5" w:rsidP="002820A5">
            <w:pPr>
              <w:rPr>
                <w:rFonts w:eastAsia="Times New Roman"/>
                <w:i/>
                <w:sz w:val="20"/>
                <w:lang w:eastAsia="en-US"/>
              </w:rPr>
            </w:pPr>
            <w:r>
              <w:rPr>
                <w:i/>
                <w:sz w:val="20"/>
                <w:szCs w:val="20"/>
                <w:lang w:eastAsia="en-US"/>
              </w:rPr>
              <w:t xml:space="preserve">Ristevski et al. (2018, ds 2, ch. 336); Smith et al. (in review, ds 1, ch. 342); </w:t>
            </w:r>
            <w:r>
              <w:rPr>
                <w:i/>
                <w:sz w:val="20"/>
                <w:szCs w:val="20"/>
              </w:rPr>
              <w:t>Ősi et al. (in review, ds 1, ch. 396)</w:t>
            </w:r>
            <w:r>
              <w:rPr>
                <w:i/>
                <w:sz w:val="20"/>
                <w:szCs w:val="20"/>
                <w:lang w:eastAsia="en-US"/>
              </w:rPr>
              <w:t>.</w:t>
            </w:r>
          </w:p>
          <w:p w14:paraId="728A8096" w14:textId="77777777" w:rsidR="002820A5" w:rsidRDefault="002820A5" w:rsidP="002820A5">
            <w:pPr>
              <w:rPr>
                <w:rFonts w:eastAsia="Times New Roman"/>
                <w:sz w:val="20"/>
                <w:lang w:eastAsia="en-US"/>
              </w:rPr>
            </w:pPr>
            <w:r>
              <w:rPr>
                <w:rFonts w:eastAsia="Times New Roman"/>
                <w:i/>
                <w:sz w:val="20"/>
                <w:lang w:eastAsia="en-US"/>
              </w:rPr>
              <w:t>State (1) occurs in</w:t>
            </w:r>
            <w:r>
              <w:rPr>
                <w:rFonts w:eastAsia="Times New Roman"/>
                <w:sz w:val="20"/>
                <w:lang w:eastAsia="en-US"/>
              </w:rPr>
              <w:t xml:space="preserve"> Anteophthalmosuchus hooleyi </w:t>
            </w:r>
            <w:r>
              <w:rPr>
                <w:rFonts w:eastAsia="Times New Roman"/>
                <w:i/>
                <w:sz w:val="20"/>
                <w:lang w:eastAsia="en-US"/>
              </w:rPr>
              <w:t>and</w:t>
            </w:r>
            <w:r>
              <w:rPr>
                <w:rFonts w:eastAsia="Times New Roman"/>
                <w:sz w:val="20"/>
                <w:lang w:eastAsia="en-US"/>
              </w:rPr>
              <w:t xml:space="preserve"> Crocodylus.</w:t>
            </w:r>
          </w:p>
          <w:p w14:paraId="4674003D" w14:textId="77777777" w:rsidR="002820A5" w:rsidRDefault="002820A5" w:rsidP="002820A5">
            <w:pPr>
              <w:rPr>
                <w:rFonts w:eastAsia="Times New Roman"/>
                <w:i/>
                <w:sz w:val="20"/>
                <w:lang w:eastAsia="en-US"/>
              </w:rPr>
            </w:pPr>
            <w:r>
              <w:rPr>
                <w:rFonts w:eastAsia="Times New Roman"/>
                <w:i/>
                <w:sz w:val="20"/>
                <w:lang w:eastAsia="en-US"/>
              </w:rPr>
              <w:t>This character is not applicable for taxa that lack the dorsal iliac crest.</w:t>
            </w:r>
          </w:p>
          <w:p w14:paraId="6B3A06D7" w14:textId="7C1A2294" w:rsidR="002820A5" w:rsidRDefault="002820A5" w:rsidP="002820A5">
            <w:pPr>
              <w:rPr>
                <w:rFonts w:eastAsia="Times New Roman"/>
                <w:sz w:val="20"/>
                <w:lang w:eastAsia="en-US"/>
              </w:rPr>
            </w:pPr>
            <w:r>
              <w:rPr>
                <w:rFonts w:eastAsia="Times New Roman"/>
                <w:sz w:val="20"/>
                <w:lang w:eastAsia="en-US"/>
              </w:rPr>
              <w:t>0. anterior region of the supraacetabular crest does not fuse with the anterior margin of the iliac dorsal crest, as there is no anterior ‘bulge’</w:t>
            </w:r>
          </w:p>
          <w:p w14:paraId="2C25486A" w14:textId="77777777" w:rsidR="002820A5" w:rsidRDefault="002820A5" w:rsidP="002820A5">
            <w:pPr>
              <w:rPr>
                <w:rFonts w:eastAsia="Times New Roman"/>
                <w:sz w:val="20"/>
                <w:lang w:eastAsia="en-US"/>
              </w:rPr>
            </w:pPr>
            <w:r>
              <w:rPr>
                <w:rFonts w:eastAsia="Times New Roman"/>
                <w:sz w:val="20"/>
                <w:lang w:eastAsia="en-US"/>
              </w:rPr>
              <w:t>1. anterior region of the crest bulges laterally (slightly overhanging the acetabular fossa), and is contiguous with the anterior margin of the iliac dorsal crest</w:t>
            </w:r>
          </w:p>
        </w:tc>
      </w:tr>
      <w:tr w:rsidR="002820A5" w14:paraId="69955A83" w14:textId="77777777" w:rsidTr="002820A5">
        <w:tc>
          <w:tcPr>
            <w:tcW w:w="312" w:type="pct"/>
            <w:tcBorders>
              <w:top w:val="single" w:sz="4" w:space="0" w:color="auto"/>
              <w:left w:val="single" w:sz="4" w:space="0" w:color="auto"/>
              <w:bottom w:val="single" w:sz="4" w:space="0" w:color="auto"/>
              <w:right w:val="single" w:sz="4" w:space="0" w:color="auto"/>
            </w:tcBorders>
          </w:tcPr>
          <w:p w14:paraId="1BEC2987" w14:textId="38B6B3B3" w:rsidR="002820A5" w:rsidRDefault="009E2821" w:rsidP="002820A5">
            <w:pPr>
              <w:rPr>
                <w:sz w:val="20"/>
                <w:szCs w:val="20"/>
                <w:lang w:eastAsia="en-US"/>
              </w:rPr>
            </w:pPr>
            <w:r>
              <w:rPr>
                <w:color w:val="000000"/>
                <w:sz w:val="20"/>
                <w:szCs w:val="20"/>
                <w:lang w:eastAsia="en-US"/>
              </w:rPr>
              <w:t>400</w:t>
            </w:r>
          </w:p>
        </w:tc>
        <w:tc>
          <w:tcPr>
            <w:tcW w:w="4688" w:type="pct"/>
            <w:tcBorders>
              <w:top w:val="single" w:sz="4" w:space="0" w:color="auto"/>
              <w:left w:val="single" w:sz="4" w:space="0" w:color="auto"/>
              <w:bottom w:val="single" w:sz="4" w:space="0" w:color="auto"/>
              <w:right w:val="single" w:sz="4" w:space="0" w:color="auto"/>
            </w:tcBorders>
            <w:vAlign w:val="bottom"/>
            <w:hideMark/>
          </w:tcPr>
          <w:p w14:paraId="4E01F23D" w14:textId="16BCFE05" w:rsidR="002820A5" w:rsidRDefault="002820A5" w:rsidP="002820A5">
            <w:pPr>
              <w:rPr>
                <w:b/>
                <w:color w:val="000000"/>
                <w:sz w:val="20"/>
                <w:szCs w:val="20"/>
                <w:lang w:eastAsia="en-US"/>
              </w:rPr>
            </w:pPr>
            <w:r>
              <w:rPr>
                <w:b/>
                <w:color w:val="000000"/>
                <w:sz w:val="20"/>
                <w:szCs w:val="20"/>
                <w:lang w:eastAsia="en-US"/>
              </w:rPr>
              <w:t>Ilium, postacetabular (= posterior) process presence:</w:t>
            </w:r>
          </w:p>
          <w:p w14:paraId="3BB6F1F7" w14:textId="013424CC" w:rsidR="002820A5" w:rsidRDefault="002820A5" w:rsidP="002820A5">
            <w:pPr>
              <w:rPr>
                <w:i/>
                <w:color w:val="000000"/>
                <w:sz w:val="20"/>
                <w:szCs w:val="20"/>
                <w:lang w:eastAsia="en-US"/>
              </w:rPr>
            </w:pPr>
            <w:r>
              <w:rPr>
                <w:i/>
                <w:color w:val="000000"/>
                <w:sz w:val="20"/>
                <w:szCs w:val="20"/>
                <w:lang w:eastAsia="en-US"/>
              </w:rPr>
              <w:t xml:space="preserve">Young &amp; Andrade (2009, ch. 128 modified), </w:t>
            </w:r>
            <w:r>
              <w:rPr>
                <w:bCs/>
                <w:i/>
                <w:color w:val="000000"/>
                <w:sz w:val="20"/>
                <w:szCs w:val="20"/>
                <w:lang w:eastAsia="en-US"/>
              </w:rPr>
              <w:t xml:space="preserve">Young et al. (2011, ch. 128 modified); Young et al. (2013a, ch. 181 modified); </w:t>
            </w:r>
            <w:r>
              <w:rPr>
                <w:i/>
                <w:color w:val="000000"/>
                <w:sz w:val="20"/>
                <w:szCs w:val="20"/>
                <w:lang w:eastAsia="en-US"/>
              </w:rPr>
              <w:t xml:space="preserve">Young et al. (2012, ch. 215 modified); Young (2014, ch. 224); Wilberg (2015b, ch. 368); Young et al. (2016, ds 2, ch. 266 modified); </w:t>
            </w:r>
            <w:r>
              <w:rPr>
                <w:i/>
                <w:sz w:val="20"/>
                <w:szCs w:val="20"/>
                <w:lang w:eastAsia="en-US"/>
              </w:rPr>
              <w:t xml:space="preserve">Ristevski et al. (2018, ds 2, ch. 337); Smith et al. (in review, ds 1, ch. 343); </w:t>
            </w:r>
            <w:r>
              <w:rPr>
                <w:i/>
                <w:sz w:val="20"/>
                <w:szCs w:val="20"/>
              </w:rPr>
              <w:t>Ősi et al. (in review, ds 1, ch. 397)</w:t>
            </w:r>
            <w:r>
              <w:rPr>
                <w:i/>
                <w:color w:val="000000"/>
                <w:sz w:val="20"/>
                <w:szCs w:val="20"/>
                <w:lang w:eastAsia="en-US"/>
              </w:rPr>
              <w:t>.</w:t>
            </w:r>
          </w:p>
          <w:p w14:paraId="746D6878" w14:textId="77777777" w:rsidR="002820A5" w:rsidRDefault="002820A5" w:rsidP="002820A5">
            <w:pPr>
              <w:rPr>
                <w:i/>
                <w:color w:val="000000"/>
                <w:sz w:val="20"/>
                <w:szCs w:val="20"/>
                <w:lang w:eastAsia="en-US"/>
              </w:rPr>
            </w:pPr>
            <w:r>
              <w:rPr>
                <w:i/>
                <w:color w:val="000000"/>
                <w:sz w:val="20"/>
                <w:szCs w:val="20"/>
                <w:lang w:eastAsia="en-US"/>
              </w:rPr>
              <w:t>State (1) is a putative apomorphy of Metriorhynchidae.</w:t>
            </w:r>
          </w:p>
          <w:p w14:paraId="244DB856" w14:textId="77777777" w:rsidR="002820A5" w:rsidRDefault="002820A5" w:rsidP="002820A5">
            <w:pPr>
              <w:rPr>
                <w:color w:val="000000"/>
                <w:sz w:val="20"/>
                <w:szCs w:val="20"/>
                <w:lang w:eastAsia="en-US"/>
              </w:rPr>
            </w:pPr>
            <w:r>
              <w:rPr>
                <w:color w:val="000000"/>
                <w:sz w:val="20"/>
                <w:szCs w:val="20"/>
                <w:lang w:eastAsia="en-US"/>
              </w:rPr>
              <w:t>0. present</w:t>
            </w:r>
          </w:p>
          <w:p w14:paraId="54A56EB8" w14:textId="77777777" w:rsidR="002820A5" w:rsidRDefault="002820A5" w:rsidP="002820A5">
            <w:pPr>
              <w:rPr>
                <w:sz w:val="20"/>
                <w:szCs w:val="20"/>
                <w:lang w:eastAsia="en-US"/>
              </w:rPr>
            </w:pPr>
            <w:r>
              <w:rPr>
                <w:color w:val="000000"/>
                <w:sz w:val="20"/>
                <w:szCs w:val="20"/>
                <w:lang w:eastAsia="en-US"/>
              </w:rPr>
              <w:t>1. absent/extremely reduced</w:t>
            </w:r>
          </w:p>
        </w:tc>
      </w:tr>
      <w:tr w:rsidR="002820A5" w14:paraId="008AA486" w14:textId="77777777" w:rsidTr="002820A5">
        <w:tc>
          <w:tcPr>
            <w:tcW w:w="312" w:type="pct"/>
            <w:tcBorders>
              <w:top w:val="single" w:sz="4" w:space="0" w:color="auto"/>
              <w:left w:val="single" w:sz="4" w:space="0" w:color="auto"/>
              <w:bottom w:val="single" w:sz="4" w:space="0" w:color="auto"/>
              <w:right w:val="single" w:sz="4" w:space="0" w:color="auto"/>
            </w:tcBorders>
          </w:tcPr>
          <w:p w14:paraId="21BE5358" w14:textId="03F6971A" w:rsidR="002820A5" w:rsidRDefault="009E2821" w:rsidP="002820A5">
            <w:pPr>
              <w:rPr>
                <w:sz w:val="20"/>
                <w:szCs w:val="20"/>
                <w:lang w:eastAsia="en-US"/>
              </w:rPr>
            </w:pPr>
            <w:r>
              <w:rPr>
                <w:color w:val="000000"/>
                <w:sz w:val="20"/>
                <w:szCs w:val="20"/>
                <w:lang w:eastAsia="en-US"/>
              </w:rPr>
              <w:t>401</w:t>
            </w:r>
          </w:p>
        </w:tc>
        <w:tc>
          <w:tcPr>
            <w:tcW w:w="4688" w:type="pct"/>
            <w:tcBorders>
              <w:top w:val="single" w:sz="4" w:space="0" w:color="auto"/>
              <w:left w:val="single" w:sz="4" w:space="0" w:color="auto"/>
              <w:bottom w:val="single" w:sz="4" w:space="0" w:color="auto"/>
              <w:right w:val="single" w:sz="4" w:space="0" w:color="auto"/>
            </w:tcBorders>
            <w:vAlign w:val="bottom"/>
            <w:hideMark/>
          </w:tcPr>
          <w:p w14:paraId="1D902532" w14:textId="5582D1F1" w:rsidR="002820A5" w:rsidRDefault="002820A5" w:rsidP="002820A5">
            <w:pPr>
              <w:rPr>
                <w:b/>
                <w:color w:val="000000"/>
                <w:sz w:val="20"/>
                <w:szCs w:val="20"/>
                <w:lang w:eastAsia="en-US"/>
              </w:rPr>
            </w:pPr>
            <w:r>
              <w:rPr>
                <w:b/>
                <w:color w:val="000000"/>
                <w:sz w:val="20"/>
                <w:szCs w:val="20"/>
                <w:lang w:eastAsia="en-US"/>
              </w:rPr>
              <w:t>Ilium, postacetabular (= posterior) process expanded into a thin “fan”-shape: (*)</w:t>
            </w:r>
          </w:p>
          <w:p w14:paraId="3DEFBAEB" w14:textId="7AEBA07A" w:rsidR="002820A5" w:rsidRDefault="002820A5" w:rsidP="002820A5">
            <w:pPr>
              <w:autoSpaceDE w:val="0"/>
              <w:autoSpaceDN w:val="0"/>
              <w:adjustRightInd w:val="0"/>
              <w:rPr>
                <w:i/>
                <w:sz w:val="20"/>
                <w:szCs w:val="20"/>
                <w:lang w:eastAsia="en-US"/>
              </w:rPr>
            </w:pPr>
            <w:r>
              <w:rPr>
                <w:i/>
                <w:sz w:val="20"/>
                <w:szCs w:val="20"/>
                <w:lang w:eastAsia="en-US"/>
              </w:rPr>
              <w:t xml:space="preserve">Young et al. (2012, ch. 216); Young (2014, ch. 225); Wilberg (2015b, ch. 369); Young et al. (2016, ds 2, ch. 267); Ristevski et al. (2018, ds 2, ch. 338); Smith et al. (in review, ds 1, ch. 344); </w:t>
            </w:r>
            <w:r>
              <w:rPr>
                <w:i/>
                <w:sz w:val="20"/>
                <w:szCs w:val="20"/>
              </w:rPr>
              <w:t>Ősi et al. (in review, ds 1, ch. 398)</w:t>
            </w:r>
            <w:r>
              <w:rPr>
                <w:i/>
                <w:sz w:val="20"/>
                <w:szCs w:val="20"/>
                <w:lang w:eastAsia="en-US"/>
              </w:rPr>
              <w:t>.</w:t>
            </w:r>
          </w:p>
          <w:p w14:paraId="30E2955A" w14:textId="40815078" w:rsidR="002820A5" w:rsidRDefault="002820A5" w:rsidP="002820A5">
            <w:pPr>
              <w:rPr>
                <w:i/>
                <w:color w:val="000000"/>
                <w:sz w:val="20"/>
                <w:szCs w:val="20"/>
                <w:lang w:eastAsia="en-US"/>
              </w:rPr>
            </w:pPr>
            <w:r>
              <w:rPr>
                <w:i/>
                <w:color w:val="000000"/>
                <w:sz w:val="20"/>
                <w:szCs w:val="20"/>
                <w:lang w:eastAsia="en-US"/>
              </w:rPr>
              <w:t>State (1) is a putative apomorphy of derived teleosaur</w:t>
            </w:r>
            <w:r w:rsidR="00007246">
              <w:rPr>
                <w:i/>
                <w:color w:val="000000"/>
                <w:sz w:val="20"/>
                <w:szCs w:val="20"/>
                <w:lang w:eastAsia="en-US"/>
              </w:rPr>
              <w:t>o</w:t>
            </w:r>
            <w:r>
              <w:rPr>
                <w:i/>
                <w:color w:val="000000"/>
                <w:sz w:val="20"/>
                <w:szCs w:val="20"/>
                <w:lang w:eastAsia="en-US"/>
              </w:rPr>
              <w:t>ids (not seen in basal taxa</w:t>
            </w:r>
            <w:r>
              <w:rPr>
                <w:color w:val="000000"/>
                <w:sz w:val="20"/>
                <w:szCs w:val="20"/>
                <w:lang w:eastAsia="en-US"/>
              </w:rPr>
              <w:t xml:space="preserve"> Platysuchus multiscrobiculatus, Teleosaurus cadomensis, Steneosaurus gracilirostris</w:t>
            </w:r>
            <w:r>
              <w:rPr>
                <w:i/>
                <w:color w:val="000000"/>
                <w:sz w:val="20"/>
                <w:szCs w:val="20"/>
                <w:lang w:eastAsia="en-US"/>
              </w:rPr>
              <w:t xml:space="preserve"> and </w:t>
            </w:r>
            <w:r>
              <w:rPr>
                <w:color w:val="000000"/>
                <w:sz w:val="20"/>
                <w:szCs w:val="20"/>
                <w:lang w:eastAsia="en-US"/>
              </w:rPr>
              <w:t xml:space="preserve">S. bollensis </w:t>
            </w:r>
            <w:r>
              <w:rPr>
                <w:i/>
                <w:color w:val="000000"/>
                <w:sz w:val="20"/>
                <w:szCs w:val="20"/>
                <w:lang w:eastAsia="en-US"/>
              </w:rPr>
              <w:t>where the process is still elongate and distinctly process-like). This structure is a modification of the postacetabular (=posterior) process in these taxa.</w:t>
            </w:r>
          </w:p>
          <w:p w14:paraId="7F885836" w14:textId="77777777" w:rsidR="002820A5" w:rsidRDefault="002820A5" w:rsidP="002820A5">
            <w:pPr>
              <w:rPr>
                <w:rFonts w:eastAsia="Times New Roman"/>
                <w:sz w:val="20"/>
                <w:szCs w:val="20"/>
                <w:lang w:eastAsia="en-US"/>
              </w:rPr>
            </w:pPr>
            <w:r>
              <w:rPr>
                <w:rFonts w:eastAsia="Times New Roman"/>
                <w:bCs/>
                <w:i/>
                <w:sz w:val="20"/>
                <w:szCs w:val="20"/>
                <w:lang w:eastAsia="en-US"/>
              </w:rPr>
              <w:t>This character is not applicable for taxa that lack the postacetabular process.</w:t>
            </w:r>
          </w:p>
          <w:p w14:paraId="2CAD0A80" w14:textId="77777777" w:rsidR="002820A5" w:rsidRDefault="002820A5" w:rsidP="002820A5">
            <w:pPr>
              <w:rPr>
                <w:color w:val="000000"/>
                <w:sz w:val="20"/>
                <w:szCs w:val="20"/>
                <w:lang w:eastAsia="en-US"/>
              </w:rPr>
            </w:pPr>
            <w:r>
              <w:rPr>
                <w:color w:val="000000"/>
                <w:sz w:val="20"/>
                <w:szCs w:val="20"/>
                <w:lang w:eastAsia="en-US"/>
              </w:rPr>
              <w:t>0. no</w:t>
            </w:r>
          </w:p>
          <w:p w14:paraId="0578A626" w14:textId="77777777" w:rsidR="002820A5" w:rsidRDefault="002820A5" w:rsidP="002820A5">
            <w:pPr>
              <w:rPr>
                <w:sz w:val="20"/>
                <w:szCs w:val="20"/>
                <w:lang w:eastAsia="en-US"/>
              </w:rPr>
            </w:pPr>
            <w:r>
              <w:rPr>
                <w:color w:val="000000"/>
                <w:sz w:val="20"/>
                <w:szCs w:val="20"/>
                <w:lang w:eastAsia="en-US"/>
              </w:rPr>
              <w:t>1.yes, posterior margin is expanded (typically resembling a “fan”-shape), being mediolaterally compressed and extends from the iliac crest towards the posterior peduncle</w:t>
            </w:r>
          </w:p>
        </w:tc>
      </w:tr>
      <w:tr w:rsidR="002820A5" w14:paraId="5E336B38" w14:textId="77777777" w:rsidTr="002820A5">
        <w:tc>
          <w:tcPr>
            <w:tcW w:w="312" w:type="pct"/>
            <w:tcBorders>
              <w:top w:val="single" w:sz="4" w:space="0" w:color="auto"/>
              <w:left w:val="single" w:sz="4" w:space="0" w:color="auto"/>
              <w:bottom w:val="single" w:sz="4" w:space="0" w:color="auto"/>
              <w:right w:val="single" w:sz="4" w:space="0" w:color="auto"/>
            </w:tcBorders>
          </w:tcPr>
          <w:p w14:paraId="61D65C4E" w14:textId="4AFC0BF6" w:rsidR="002820A5" w:rsidRDefault="009E2821" w:rsidP="002820A5">
            <w:pPr>
              <w:rPr>
                <w:color w:val="000000"/>
                <w:sz w:val="20"/>
                <w:szCs w:val="20"/>
                <w:lang w:eastAsia="en-US"/>
              </w:rPr>
            </w:pPr>
            <w:r>
              <w:rPr>
                <w:color w:val="000000"/>
                <w:sz w:val="20"/>
                <w:szCs w:val="20"/>
                <w:lang w:eastAsia="en-US"/>
              </w:rPr>
              <w:t>402</w:t>
            </w:r>
          </w:p>
        </w:tc>
        <w:tc>
          <w:tcPr>
            <w:tcW w:w="4688" w:type="pct"/>
            <w:tcBorders>
              <w:top w:val="single" w:sz="4" w:space="0" w:color="auto"/>
              <w:left w:val="single" w:sz="4" w:space="0" w:color="auto"/>
              <w:bottom w:val="single" w:sz="4" w:space="0" w:color="auto"/>
              <w:right w:val="single" w:sz="4" w:space="0" w:color="auto"/>
            </w:tcBorders>
            <w:vAlign w:val="bottom"/>
            <w:hideMark/>
          </w:tcPr>
          <w:p w14:paraId="779FFBF1" w14:textId="5798C90B" w:rsidR="002820A5" w:rsidRDefault="002820A5" w:rsidP="002820A5">
            <w:pPr>
              <w:rPr>
                <w:rFonts w:eastAsia="Times New Roman"/>
                <w:b/>
                <w:bCs/>
                <w:sz w:val="20"/>
                <w:szCs w:val="20"/>
                <w:lang w:eastAsia="en-US"/>
              </w:rPr>
            </w:pPr>
            <w:r>
              <w:rPr>
                <w:rFonts w:eastAsia="Times New Roman"/>
                <w:b/>
                <w:bCs/>
                <w:sz w:val="20"/>
                <w:szCs w:val="20"/>
                <w:lang w:eastAsia="en-US"/>
              </w:rPr>
              <w:t>Ilium, postacetabular (= posterior) process, presence of constrictions (‘wasp-waisting’) on both the dorsal and ventral margins near the distal terminus: (*)</w:t>
            </w:r>
          </w:p>
          <w:p w14:paraId="4F914F86" w14:textId="204366D3" w:rsidR="002820A5" w:rsidRDefault="002820A5" w:rsidP="002820A5">
            <w:pPr>
              <w:rPr>
                <w:rFonts w:eastAsia="Times New Roman"/>
                <w:bCs/>
                <w:i/>
                <w:sz w:val="20"/>
                <w:szCs w:val="20"/>
                <w:lang w:eastAsia="en-US"/>
              </w:rPr>
            </w:pPr>
            <w:r>
              <w:rPr>
                <w:i/>
                <w:sz w:val="20"/>
                <w:szCs w:val="20"/>
                <w:lang w:eastAsia="en-US"/>
              </w:rPr>
              <w:t xml:space="preserve">Ristevski et al. (2018, ds 2, ch. 339); Smith et al. (in review, ds 1, ch. 345); </w:t>
            </w:r>
            <w:r>
              <w:rPr>
                <w:i/>
                <w:sz w:val="20"/>
                <w:szCs w:val="20"/>
              </w:rPr>
              <w:t>Ősi et al. (in review, ds 1, ch. 399)</w:t>
            </w:r>
            <w:r>
              <w:rPr>
                <w:i/>
                <w:sz w:val="20"/>
                <w:szCs w:val="20"/>
                <w:lang w:eastAsia="en-US"/>
              </w:rPr>
              <w:t>.</w:t>
            </w:r>
          </w:p>
          <w:p w14:paraId="14A4B501" w14:textId="77777777" w:rsidR="002820A5" w:rsidRDefault="002820A5" w:rsidP="002820A5">
            <w:pPr>
              <w:rPr>
                <w:rFonts w:eastAsia="Times New Roman"/>
                <w:bCs/>
                <w:i/>
                <w:sz w:val="20"/>
                <w:szCs w:val="20"/>
                <w:lang w:eastAsia="en-US"/>
              </w:rPr>
            </w:pPr>
            <w:r>
              <w:rPr>
                <w:rFonts w:eastAsia="Times New Roman"/>
                <w:bCs/>
                <w:i/>
                <w:sz w:val="20"/>
                <w:szCs w:val="20"/>
                <w:lang w:eastAsia="en-US"/>
              </w:rPr>
              <w:t xml:space="preserve">State (1) occurs in </w:t>
            </w:r>
            <w:r>
              <w:rPr>
                <w:rFonts w:eastAsia="Times New Roman"/>
                <w:bCs/>
                <w:sz w:val="20"/>
                <w:szCs w:val="20"/>
                <w:lang w:eastAsia="en-US"/>
              </w:rPr>
              <w:t xml:space="preserve">Anteophthalmosuchus epikrator </w:t>
            </w:r>
            <w:r>
              <w:rPr>
                <w:rFonts w:eastAsia="Times New Roman"/>
                <w:bCs/>
                <w:i/>
                <w:sz w:val="20"/>
                <w:szCs w:val="20"/>
                <w:lang w:eastAsia="en-US"/>
              </w:rPr>
              <w:t xml:space="preserve">and </w:t>
            </w:r>
            <w:r>
              <w:rPr>
                <w:rFonts w:eastAsia="Times New Roman"/>
                <w:bCs/>
                <w:sz w:val="20"/>
                <w:szCs w:val="20"/>
                <w:lang w:eastAsia="en-US"/>
              </w:rPr>
              <w:t>Crocodylus</w:t>
            </w:r>
            <w:r>
              <w:rPr>
                <w:rFonts w:eastAsia="Times New Roman"/>
                <w:bCs/>
                <w:i/>
                <w:sz w:val="20"/>
                <w:szCs w:val="20"/>
                <w:lang w:eastAsia="en-US"/>
              </w:rPr>
              <w:t>.</w:t>
            </w:r>
          </w:p>
          <w:p w14:paraId="0DC09B5E" w14:textId="77777777" w:rsidR="002820A5" w:rsidRDefault="002820A5" w:rsidP="002820A5">
            <w:pPr>
              <w:rPr>
                <w:rFonts w:eastAsia="Times New Roman"/>
                <w:sz w:val="20"/>
                <w:szCs w:val="20"/>
                <w:lang w:eastAsia="en-US"/>
              </w:rPr>
            </w:pPr>
            <w:r>
              <w:rPr>
                <w:rFonts w:eastAsia="Times New Roman"/>
                <w:bCs/>
                <w:i/>
                <w:sz w:val="20"/>
                <w:szCs w:val="20"/>
                <w:lang w:eastAsia="en-US"/>
              </w:rPr>
              <w:t>This character is not applicable for taxa that lack the postacetabular process.</w:t>
            </w:r>
          </w:p>
          <w:p w14:paraId="31151AE0" w14:textId="77777777" w:rsidR="002820A5" w:rsidRDefault="002820A5" w:rsidP="002820A5">
            <w:pPr>
              <w:rPr>
                <w:rFonts w:eastAsia="Times New Roman"/>
                <w:sz w:val="20"/>
                <w:szCs w:val="20"/>
                <w:lang w:eastAsia="en-US"/>
              </w:rPr>
            </w:pPr>
            <w:r>
              <w:rPr>
                <w:rFonts w:eastAsia="Times New Roman"/>
                <w:sz w:val="20"/>
                <w:szCs w:val="20"/>
                <w:lang w:eastAsia="en-US"/>
              </w:rPr>
              <w:t>0. absent</w:t>
            </w:r>
          </w:p>
          <w:p w14:paraId="11B4BFEC" w14:textId="77777777" w:rsidR="002820A5" w:rsidRDefault="002820A5" w:rsidP="002820A5">
            <w:pPr>
              <w:rPr>
                <w:b/>
                <w:color w:val="000000"/>
                <w:sz w:val="20"/>
                <w:szCs w:val="20"/>
                <w:lang w:eastAsia="en-US"/>
              </w:rPr>
            </w:pPr>
            <w:r>
              <w:rPr>
                <w:rFonts w:eastAsia="Times New Roman"/>
                <w:sz w:val="20"/>
                <w:szCs w:val="20"/>
                <w:lang w:eastAsia="en-US"/>
              </w:rPr>
              <w:t>1. present</w:t>
            </w:r>
          </w:p>
        </w:tc>
      </w:tr>
      <w:tr w:rsidR="002820A5" w14:paraId="0D4D286F" w14:textId="77777777" w:rsidTr="002820A5">
        <w:tc>
          <w:tcPr>
            <w:tcW w:w="312" w:type="pct"/>
            <w:tcBorders>
              <w:top w:val="single" w:sz="4" w:space="0" w:color="auto"/>
              <w:left w:val="single" w:sz="4" w:space="0" w:color="auto"/>
              <w:bottom w:val="single" w:sz="4" w:space="0" w:color="auto"/>
              <w:right w:val="single" w:sz="4" w:space="0" w:color="auto"/>
            </w:tcBorders>
          </w:tcPr>
          <w:p w14:paraId="75A51CCE" w14:textId="06B24A58" w:rsidR="002820A5" w:rsidRDefault="009E2821" w:rsidP="002820A5">
            <w:pPr>
              <w:rPr>
                <w:sz w:val="20"/>
                <w:szCs w:val="20"/>
                <w:lang w:eastAsia="en-US"/>
              </w:rPr>
            </w:pPr>
            <w:r>
              <w:rPr>
                <w:sz w:val="20"/>
                <w:szCs w:val="20"/>
                <w:lang w:eastAsia="en-US"/>
              </w:rPr>
              <w:t>403</w:t>
            </w:r>
          </w:p>
        </w:tc>
        <w:tc>
          <w:tcPr>
            <w:tcW w:w="4688" w:type="pct"/>
            <w:tcBorders>
              <w:top w:val="single" w:sz="4" w:space="0" w:color="auto"/>
              <w:left w:val="single" w:sz="4" w:space="0" w:color="auto"/>
              <w:bottom w:val="single" w:sz="4" w:space="0" w:color="auto"/>
              <w:right w:val="single" w:sz="4" w:space="0" w:color="auto"/>
            </w:tcBorders>
            <w:vAlign w:val="bottom"/>
            <w:hideMark/>
          </w:tcPr>
          <w:p w14:paraId="5A4F0664" w14:textId="77777777" w:rsidR="002820A5" w:rsidRDefault="002820A5" w:rsidP="002820A5">
            <w:pPr>
              <w:rPr>
                <w:b/>
                <w:color w:val="000000"/>
                <w:sz w:val="20"/>
                <w:szCs w:val="20"/>
                <w:lang w:eastAsia="en-US"/>
              </w:rPr>
            </w:pPr>
            <w:r>
              <w:rPr>
                <w:b/>
                <w:color w:val="000000"/>
                <w:sz w:val="20"/>
                <w:szCs w:val="20"/>
                <w:lang w:eastAsia="en-US"/>
              </w:rPr>
              <w:t>Illium, size:</w:t>
            </w:r>
          </w:p>
          <w:p w14:paraId="24B51866" w14:textId="54ED8B1E" w:rsidR="002820A5" w:rsidRDefault="002820A5" w:rsidP="002820A5">
            <w:pPr>
              <w:autoSpaceDE w:val="0"/>
              <w:autoSpaceDN w:val="0"/>
              <w:adjustRightInd w:val="0"/>
              <w:rPr>
                <w:i/>
                <w:sz w:val="20"/>
                <w:szCs w:val="20"/>
                <w:lang w:eastAsia="en-US"/>
              </w:rPr>
            </w:pPr>
            <w:r>
              <w:rPr>
                <w:i/>
                <w:sz w:val="20"/>
                <w:szCs w:val="20"/>
                <w:lang w:eastAsia="en-US"/>
              </w:rPr>
              <w:t xml:space="preserve">Young (2006, ch. 42); Wilkinson et al. (2008, ch. 71); Young &amp; Andrade (2009, ch. 71); </w:t>
            </w:r>
            <w:r>
              <w:rPr>
                <w:bCs/>
                <w:i/>
                <w:color w:val="000000"/>
                <w:sz w:val="20"/>
                <w:szCs w:val="20"/>
                <w:lang w:eastAsia="en-US"/>
              </w:rPr>
              <w:t xml:space="preserve">Young et al. (2011, ch. 71); Young et al. (2013a, ch. 182); </w:t>
            </w:r>
            <w:r>
              <w:rPr>
                <w:i/>
                <w:sz w:val="20"/>
                <w:szCs w:val="20"/>
                <w:lang w:eastAsia="en-US"/>
              </w:rPr>
              <w:t xml:space="preserve">Young et al. (2012, ch. 217); Young (2014, ch. 226); Young et al. (2016, ds 2, ch. 268); Ristevski et al. (2018, ds 2, ch. 340); Smith et al. (in review, ds 1, ch. 346); </w:t>
            </w:r>
            <w:r>
              <w:rPr>
                <w:i/>
                <w:sz w:val="20"/>
                <w:szCs w:val="20"/>
              </w:rPr>
              <w:t>Ősi et al. (in review, ds 1, ch. 400)</w:t>
            </w:r>
            <w:r>
              <w:rPr>
                <w:i/>
                <w:sz w:val="20"/>
                <w:szCs w:val="20"/>
                <w:lang w:eastAsia="en-US"/>
              </w:rPr>
              <w:t>.</w:t>
            </w:r>
          </w:p>
          <w:p w14:paraId="5275D460" w14:textId="77777777" w:rsidR="002820A5" w:rsidRDefault="002820A5" w:rsidP="002820A5">
            <w:pPr>
              <w:autoSpaceDE w:val="0"/>
              <w:autoSpaceDN w:val="0"/>
              <w:adjustRightInd w:val="0"/>
              <w:rPr>
                <w:i/>
                <w:sz w:val="20"/>
                <w:szCs w:val="20"/>
                <w:lang w:eastAsia="en-US"/>
              </w:rPr>
            </w:pPr>
            <w:r>
              <w:rPr>
                <w:i/>
                <w:sz w:val="20"/>
                <w:szCs w:val="20"/>
                <w:lang w:eastAsia="en-US"/>
              </w:rPr>
              <w:t>State (1) is a putative apomorphy of Metriorhynchidae.</w:t>
            </w:r>
          </w:p>
          <w:p w14:paraId="0D61401E" w14:textId="77777777" w:rsidR="002820A5" w:rsidRDefault="002820A5" w:rsidP="002820A5">
            <w:pPr>
              <w:rPr>
                <w:color w:val="000000"/>
                <w:sz w:val="20"/>
                <w:szCs w:val="20"/>
                <w:lang w:eastAsia="en-US"/>
              </w:rPr>
            </w:pPr>
            <w:r>
              <w:rPr>
                <w:color w:val="000000"/>
                <w:sz w:val="20"/>
                <w:szCs w:val="20"/>
                <w:lang w:eastAsia="en-US"/>
              </w:rPr>
              <w:t>0. large (length of dorsal border more than 28%, and typically at least 30% of femur length)</w:t>
            </w:r>
          </w:p>
          <w:p w14:paraId="66E57F2F" w14:textId="77777777" w:rsidR="002820A5" w:rsidRDefault="002820A5" w:rsidP="002820A5">
            <w:pPr>
              <w:rPr>
                <w:sz w:val="20"/>
                <w:szCs w:val="20"/>
                <w:lang w:eastAsia="en-US"/>
              </w:rPr>
            </w:pPr>
            <w:r>
              <w:rPr>
                <w:color w:val="000000"/>
                <w:sz w:val="20"/>
                <w:szCs w:val="20"/>
                <w:lang w:eastAsia="en-US"/>
              </w:rPr>
              <w:t>1. small (length of dorsal border less than 21% of femur length)</w:t>
            </w:r>
          </w:p>
        </w:tc>
      </w:tr>
      <w:tr w:rsidR="002820A5" w14:paraId="6646323A" w14:textId="77777777" w:rsidTr="002820A5">
        <w:tc>
          <w:tcPr>
            <w:tcW w:w="312" w:type="pct"/>
            <w:tcBorders>
              <w:top w:val="single" w:sz="4" w:space="0" w:color="auto"/>
              <w:left w:val="single" w:sz="4" w:space="0" w:color="auto"/>
              <w:bottom w:val="single" w:sz="4" w:space="0" w:color="auto"/>
              <w:right w:val="single" w:sz="4" w:space="0" w:color="auto"/>
            </w:tcBorders>
          </w:tcPr>
          <w:p w14:paraId="6414F58D" w14:textId="3F03F0A0" w:rsidR="002820A5" w:rsidRDefault="009E2821" w:rsidP="002820A5">
            <w:pPr>
              <w:rPr>
                <w:sz w:val="20"/>
                <w:szCs w:val="20"/>
                <w:lang w:eastAsia="en-US"/>
              </w:rPr>
            </w:pPr>
            <w:r>
              <w:rPr>
                <w:color w:val="000000"/>
                <w:sz w:val="20"/>
                <w:szCs w:val="20"/>
                <w:lang w:eastAsia="en-US"/>
              </w:rPr>
              <w:t>404</w:t>
            </w:r>
          </w:p>
        </w:tc>
        <w:tc>
          <w:tcPr>
            <w:tcW w:w="4688" w:type="pct"/>
            <w:tcBorders>
              <w:top w:val="single" w:sz="4" w:space="0" w:color="auto"/>
              <w:left w:val="single" w:sz="4" w:space="0" w:color="auto"/>
              <w:bottom w:val="single" w:sz="4" w:space="0" w:color="auto"/>
              <w:right w:val="single" w:sz="4" w:space="0" w:color="auto"/>
            </w:tcBorders>
            <w:hideMark/>
          </w:tcPr>
          <w:p w14:paraId="131D0A27" w14:textId="77777777" w:rsidR="002820A5" w:rsidRDefault="002820A5" w:rsidP="002820A5">
            <w:pPr>
              <w:rPr>
                <w:b/>
                <w:i/>
                <w:sz w:val="20"/>
                <w:szCs w:val="20"/>
                <w:lang w:eastAsia="en-US"/>
              </w:rPr>
            </w:pPr>
            <w:r>
              <w:rPr>
                <w:b/>
                <w:sz w:val="20"/>
                <w:szCs w:val="20"/>
                <w:lang w:eastAsia="en-US"/>
              </w:rPr>
              <w:t>Ilium, in lateral view, the orientation of the dorsal margin of the articulation facet that contributes to the acetabulum is:</w:t>
            </w:r>
          </w:p>
          <w:p w14:paraId="5C1B2B2B" w14:textId="28A4BC1A" w:rsidR="002820A5" w:rsidRDefault="002820A5" w:rsidP="002820A5">
            <w:pPr>
              <w:autoSpaceDE w:val="0"/>
              <w:autoSpaceDN w:val="0"/>
              <w:adjustRightInd w:val="0"/>
              <w:rPr>
                <w:i/>
                <w:sz w:val="20"/>
                <w:szCs w:val="20"/>
                <w:lang w:eastAsia="en-US"/>
              </w:rPr>
            </w:pPr>
            <w:r>
              <w:rPr>
                <w:i/>
                <w:sz w:val="20"/>
                <w:szCs w:val="20"/>
                <w:lang w:eastAsia="en-US"/>
              </w:rPr>
              <w:t xml:space="preserve">Young (2014, ch. 227); Young et al. (2016, ds 2, ch. 269); Ristevski et al. (2018, ds 2, ch. 341); Smith et al. (in review, ds 1, ch. 347); </w:t>
            </w:r>
            <w:r>
              <w:rPr>
                <w:i/>
                <w:sz w:val="20"/>
                <w:szCs w:val="20"/>
              </w:rPr>
              <w:t>Ősi et al. (in review, ds 1, ch. 401)</w:t>
            </w:r>
            <w:r>
              <w:rPr>
                <w:i/>
                <w:sz w:val="20"/>
                <w:szCs w:val="20"/>
                <w:lang w:eastAsia="en-US"/>
              </w:rPr>
              <w:t>.</w:t>
            </w:r>
          </w:p>
          <w:p w14:paraId="195408E2" w14:textId="77777777" w:rsidR="002820A5" w:rsidRDefault="002820A5" w:rsidP="002820A5">
            <w:pPr>
              <w:rPr>
                <w:i/>
                <w:sz w:val="20"/>
                <w:szCs w:val="20"/>
                <w:lang w:eastAsia="en-US"/>
              </w:rPr>
            </w:pPr>
            <w:r>
              <w:rPr>
                <w:i/>
                <w:sz w:val="20"/>
                <w:szCs w:val="20"/>
                <w:lang w:eastAsia="en-US"/>
              </w:rPr>
              <w:t xml:space="preserve">State (1) is a putative autapomorphy of </w:t>
            </w:r>
            <w:r>
              <w:rPr>
                <w:sz w:val="20"/>
                <w:szCs w:val="20"/>
                <w:lang w:eastAsia="en-US"/>
              </w:rPr>
              <w:t>Tyrannoneustes lythdrodectikos.</w:t>
            </w:r>
          </w:p>
          <w:p w14:paraId="47E58E08" w14:textId="77777777" w:rsidR="002820A5" w:rsidRDefault="002820A5" w:rsidP="002820A5">
            <w:pPr>
              <w:rPr>
                <w:sz w:val="20"/>
                <w:szCs w:val="20"/>
                <w:lang w:eastAsia="en-US"/>
              </w:rPr>
            </w:pPr>
            <w:r>
              <w:rPr>
                <w:sz w:val="20"/>
                <w:szCs w:val="20"/>
                <w:lang w:eastAsia="en-US"/>
              </w:rPr>
              <w:t>0. ventrally orientated</w:t>
            </w:r>
          </w:p>
          <w:p w14:paraId="4C86B122" w14:textId="77777777" w:rsidR="002820A5" w:rsidRDefault="002820A5" w:rsidP="002820A5">
            <w:pPr>
              <w:rPr>
                <w:sz w:val="20"/>
                <w:szCs w:val="20"/>
                <w:lang w:eastAsia="en-US"/>
              </w:rPr>
            </w:pPr>
            <w:r>
              <w:rPr>
                <w:sz w:val="20"/>
                <w:szCs w:val="20"/>
                <w:lang w:eastAsia="en-US"/>
              </w:rPr>
              <w:t>1. horizontally orientated</w:t>
            </w:r>
          </w:p>
        </w:tc>
      </w:tr>
      <w:tr w:rsidR="002820A5" w14:paraId="231E7F9A" w14:textId="77777777" w:rsidTr="002820A5">
        <w:tc>
          <w:tcPr>
            <w:tcW w:w="312" w:type="pct"/>
            <w:tcBorders>
              <w:top w:val="single" w:sz="4" w:space="0" w:color="auto"/>
              <w:left w:val="single" w:sz="4" w:space="0" w:color="auto"/>
              <w:bottom w:val="single" w:sz="4" w:space="0" w:color="auto"/>
              <w:right w:val="single" w:sz="4" w:space="0" w:color="auto"/>
            </w:tcBorders>
          </w:tcPr>
          <w:p w14:paraId="2E01C2D9" w14:textId="1827C149" w:rsidR="002820A5" w:rsidRDefault="009E2821" w:rsidP="002820A5">
            <w:pPr>
              <w:rPr>
                <w:sz w:val="20"/>
                <w:szCs w:val="20"/>
                <w:lang w:eastAsia="en-US"/>
              </w:rPr>
            </w:pPr>
            <w:r>
              <w:rPr>
                <w:color w:val="000000"/>
                <w:sz w:val="20"/>
                <w:szCs w:val="20"/>
                <w:lang w:eastAsia="en-US"/>
              </w:rPr>
              <w:t>405</w:t>
            </w:r>
          </w:p>
        </w:tc>
        <w:tc>
          <w:tcPr>
            <w:tcW w:w="4688" w:type="pct"/>
            <w:tcBorders>
              <w:top w:val="single" w:sz="4" w:space="0" w:color="auto"/>
              <w:left w:val="single" w:sz="4" w:space="0" w:color="auto"/>
              <w:bottom w:val="single" w:sz="4" w:space="0" w:color="auto"/>
              <w:right w:val="single" w:sz="4" w:space="0" w:color="auto"/>
            </w:tcBorders>
            <w:hideMark/>
          </w:tcPr>
          <w:p w14:paraId="149CC844" w14:textId="77777777" w:rsidR="002820A5" w:rsidRDefault="002820A5" w:rsidP="002820A5">
            <w:pPr>
              <w:rPr>
                <w:b/>
                <w:sz w:val="20"/>
                <w:szCs w:val="20"/>
                <w:lang w:eastAsia="en-US"/>
              </w:rPr>
            </w:pPr>
            <w:r>
              <w:rPr>
                <w:b/>
                <w:sz w:val="20"/>
                <w:szCs w:val="20"/>
                <w:lang w:eastAsia="en-US"/>
              </w:rPr>
              <w:t>Ilium, dorsal border length in lateral view:</w:t>
            </w:r>
          </w:p>
          <w:p w14:paraId="5DBB8C7A" w14:textId="0446F7FF" w:rsidR="002820A5" w:rsidRDefault="002820A5" w:rsidP="002820A5">
            <w:pPr>
              <w:autoSpaceDE w:val="0"/>
              <w:autoSpaceDN w:val="0"/>
              <w:adjustRightInd w:val="0"/>
              <w:rPr>
                <w:i/>
                <w:sz w:val="20"/>
                <w:szCs w:val="20"/>
                <w:lang w:eastAsia="en-US"/>
              </w:rPr>
            </w:pPr>
            <w:r>
              <w:rPr>
                <w:i/>
                <w:sz w:val="20"/>
                <w:szCs w:val="20"/>
                <w:lang w:eastAsia="en-US"/>
              </w:rPr>
              <w:t xml:space="preserve">Young (2014, ch. 228); Young et al. (2016, ds 2, ch. 270); Ristevski et al. (2018, ds 2, ch. 342); Smith et al. (in review, ds 1, ch. 348); </w:t>
            </w:r>
            <w:r>
              <w:rPr>
                <w:i/>
                <w:sz w:val="20"/>
                <w:szCs w:val="20"/>
              </w:rPr>
              <w:t>Ősi et al. (in review, ds 1, ch. 402)</w:t>
            </w:r>
            <w:r>
              <w:rPr>
                <w:i/>
                <w:sz w:val="20"/>
                <w:szCs w:val="20"/>
                <w:lang w:eastAsia="en-US"/>
              </w:rPr>
              <w:t>.</w:t>
            </w:r>
          </w:p>
          <w:p w14:paraId="7F0911DD" w14:textId="77777777" w:rsidR="002820A5" w:rsidRDefault="002820A5" w:rsidP="002820A5">
            <w:pPr>
              <w:rPr>
                <w:i/>
                <w:sz w:val="20"/>
                <w:szCs w:val="20"/>
                <w:lang w:eastAsia="en-US"/>
              </w:rPr>
            </w:pPr>
            <w:r>
              <w:rPr>
                <w:i/>
                <w:sz w:val="20"/>
                <w:szCs w:val="20"/>
                <w:lang w:eastAsia="en-US"/>
              </w:rPr>
              <w:t xml:space="preserve">State (1) is a putative autapomorphy of </w:t>
            </w:r>
            <w:r>
              <w:rPr>
                <w:sz w:val="20"/>
                <w:szCs w:val="20"/>
                <w:lang w:eastAsia="en-US"/>
              </w:rPr>
              <w:t>Tyrannoneustes lythdrodectikos.</w:t>
            </w:r>
          </w:p>
          <w:p w14:paraId="19FF3A8E" w14:textId="77777777" w:rsidR="002820A5" w:rsidRDefault="002820A5" w:rsidP="002820A5">
            <w:pPr>
              <w:rPr>
                <w:sz w:val="20"/>
                <w:szCs w:val="20"/>
                <w:lang w:eastAsia="en-US"/>
              </w:rPr>
            </w:pPr>
            <w:r>
              <w:rPr>
                <w:sz w:val="20"/>
                <w:szCs w:val="20"/>
                <w:lang w:eastAsia="en-US"/>
              </w:rPr>
              <w:t>0. long, terminates at least level to the articulation facet that contributes to the acetabulum</w:t>
            </w:r>
          </w:p>
          <w:p w14:paraId="6F762962" w14:textId="77777777" w:rsidR="002820A5" w:rsidRDefault="002820A5" w:rsidP="002820A5">
            <w:pPr>
              <w:rPr>
                <w:sz w:val="20"/>
                <w:szCs w:val="20"/>
                <w:lang w:eastAsia="en-US"/>
              </w:rPr>
            </w:pPr>
            <w:r>
              <w:rPr>
                <w:sz w:val="20"/>
                <w:szCs w:val="20"/>
                <w:lang w:eastAsia="en-US"/>
              </w:rPr>
              <w:t>1. short, terminates prior to the articulation facet that contributes to the acetabulum</w:t>
            </w:r>
          </w:p>
        </w:tc>
      </w:tr>
      <w:tr w:rsidR="002820A5" w14:paraId="1609CB12" w14:textId="77777777" w:rsidTr="002820A5">
        <w:tc>
          <w:tcPr>
            <w:tcW w:w="312" w:type="pct"/>
            <w:tcBorders>
              <w:top w:val="single" w:sz="4" w:space="0" w:color="auto"/>
              <w:left w:val="single" w:sz="4" w:space="0" w:color="auto"/>
              <w:bottom w:val="single" w:sz="4" w:space="0" w:color="auto"/>
              <w:right w:val="single" w:sz="4" w:space="0" w:color="auto"/>
            </w:tcBorders>
          </w:tcPr>
          <w:p w14:paraId="6411F91B" w14:textId="061B2164" w:rsidR="002820A5" w:rsidRDefault="009E2821" w:rsidP="002820A5">
            <w:pPr>
              <w:rPr>
                <w:sz w:val="20"/>
                <w:szCs w:val="20"/>
                <w:lang w:eastAsia="en-US"/>
              </w:rPr>
            </w:pPr>
            <w:r>
              <w:rPr>
                <w:color w:val="000000"/>
                <w:sz w:val="20"/>
                <w:szCs w:val="20"/>
                <w:lang w:eastAsia="en-US"/>
              </w:rPr>
              <w:t>406</w:t>
            </w:r>
          </w:p>
        </w:tc>
        <w:tc>
          <w:tcPr>
            <w:tcW w:w="4688" w:type="pct"/>
            <w:tcBorders>
              <w:top w:val="single" w:sz="4" w:space="0" w:color="auto"/>
              <w:left w:val="single" w:sz="4" w:space="0" w:color="auto"/>
              <w:bottom w:val="single" w:sz="4" w:space="0" w:color="auto"/>
              <w:right w:val="single" w:sz="4" w:space="0" w:color="auto"/>
            </w:tcBorders>
            <w:hideMark/>
          </w:tcPr>
          <w:p w14:paraId="208E6990" w14:textId="77777777" w:rsidR="002820A5" w:rsidRDefault="002820A5" w:rsidP="002820A5">
            <w:pPr>
              <w:rPr>
                <w:b/>
                <w:sz w:val="20"/>
                <w:szCs w:val="20"/>
                <w:lang w:eastAsia="en-US"/>
              </w:rPr>
            </w:pPr>
            <w:r>
              <w:rPr>
                <w:b/>
                <w:sz w:val="20"/>
                <w:szCs w:val="20"/>
                <w:lang w:eastAsia="en-US"/>
              </w:rPr>
              <w:t xml:space="preserve">Ilium, ventral margin: </w:t>
            </w:r>
          </w:p>
          <w:p w14:paraId="12746A3E" w14:textId="1509F395" w:rsidR="002820A5" w:rsidRDefault="002820A5" w:rsidP="002820A5">
            <w:pPr>
              <w:rPr>
                <w:i/>
                <w:sz w:val="20"/>
                <w:szCs w:val="20"/>
                <w:lang w:eastAsia="en-US"/>
              </w:rPr>
            </w:pPr>
            <w:r>
              <w:rPr>
                <w:i/>
                <w:sz w:val="20"/>
                <w:szCs w:val="20"/>
                <w:lang w:eastAsia="en-US"/>
              </w:rPr>
              <w:t xml:space="preserve">Ristevski et al. (2018, ds 2, ch. 343); Smith et al. (in review, ds 1, ch. 349); </w:t>
            </w:r>
            <w:r>
              <w:rPr>
                <w:i/>
                <w:sz w:val="20"/>
                <w:szCs w:val="20"/>
              </w:rPr>
              <w:t>Ősi et al. (in review, ds 1, ch. 403)</w:t>
            </w:r>
            <w:r>
              <w:rPr>
                <w:i/>
                <w:sz w:val="20"/>
                <w:szCs w:val="20"/>
                <w:lang w:eastAsia="en-US"/>
              </w:rPr>
              <w:t>.</w:t>
            </w:r>
          </w:p>
          <w:p w14:paraId="171C9774" w14:textId="77777777" w:rsidR="002820A5" w:rsidRDefault="002820A5" w:rsidP="002820A5">
            <w:pPr>
              <w:rPr>
                <w:i/>
                <w:sz w:val="20"/>
                <w:szCs w:val="20"/>
                <w:lang w:eastAsia="en-US"/>
              </w:rPr>
            </w:pPr>
            <w:r>
              <w:rPr>
                <w:i/>
                <w:sz w:val="20"/>
                <w:szCs w:val="20"/>
                <w:lang w:eastAsia="en-US"/>
              </w:rPr>
              <w:t>State (1) is a putative apomorphy of Metriorhynchidae.</w:t>
            </w:r>
          </w:p>
          <w:p w14:paraId="3EEB0931" w14:textId="77777777" w:rsidR="002820A5" w:rsidRDefault="002820A5" w:rsidP="002820A5">
            <w:pPr>
              <w:rPr>
                <w:sz w:val="20"/>
                <w:szCs w:val="20"/>
                <w:lang w:eastAsia="en-US"/>
              </w:rPr>
            </w:pPr>
            <w:r>
              <w:rPr>
                <w:sz w:val="20"/>
                <w:szCs w:val="20"/>
                <w:lang w:eastAsia="en-US"/>
              </w:rPr>
              <w:t>0. distinct ilium and ischium peduncles separated by an acetabular incision/depression</w:t>
            </w:r>
          </w:p>
          <w:p w14:paraId="59CC84A6" w14:textId="77777777" w:rsidR="002820A5" w:rsidRDefault="002820A5" w:rsidP="002820A5">
            <w:pPr>
              <w:rPr>
                <w:sz w:val="20"/>
                <w:szCs w:val="20"/>
                <w:lang w:eastAsia="en-US"/>
              </w:rPr>
            </w:pPr>
            <w:r>
              <w:rPr>
                <w:sz w:val="20"/>
                <w:szCs w:val="20"/>
                <w:lang w:eastAsia="en-US"/>
              </w:rPr>
              <w:t>1. lacks an acetabular depression, with the peduncles being contiguous with the ventral margin</w:t>
            </w:r>
          </w:p>
        </w:tc>
      </w:tr>
      <w:tr w:rsidR="002820A5" w14:paraId="3AC5D57B" w14:textId="77777777" w:rsidTr="002820A5">
        <w:tc>
          <w:tcPr>
            <w:tcW w:w="312" w:type="pct"/>
            <w:tcBorders>
              <w:top w:val="single" w:sz="4" w:space="0" w:color="auto"/>
              <w:left w:val="single" w:sz="4" w:space="0" w:color="auto"/>
              <w:bottom w:val="single" w:sz="4" w:space="0" w:color="auto"/>
              <w:right w:val="single" w:sz="4" w:space="0" w:color="auto"/>
            </w:tcBorders>
          </w:tcPr>
          <w:p w14:paraId="10C02132" w14:textId="1BDF220F" w:rsidR="002820A5" w:rsidRDefault="009E2821" w:rsidP="002820A5">
            <w:pPr>
              <w:rPr>
                <w:color w:val="000000"/>
                <w:sz w:val="20"/>
                <w:szCs w:val="20"/>
                <w:lang w:eastAsia="en-US"/>
              </w:rPr>
            </w:pPr>
            <w:r>
              <w:rPr>
                <w:color w:val="000000"/>
                <w:sz w:val="20"/>
                <w:szCs w:val="20"/>
                <w:lang w:eastAsia="en-US"/>
              </w:rPr>
              <w:t>407</w:t>
            </w:r>
          </w:p>
        </w:tc>
        <w:tc>
          <w:tcPr>
            <w:tcW w:w="4688" w:type="pct"/>
            <w:tcBorders>
              <w:top w:val="single" w:sz="4" w:space="0" w:color="auto"/>
              <w:left w:val="single" w:sz="4" w:space="0" w:color="auto"/>
              <w:bottom w:val="single" w:sz="4" w:space="0" w:color="auto"/>
              <w:right w:val="single" w:sz="4" w:space="0" w:color="auto"/>
            </w:tcBorders>
            <w:hideMark/>
          </w:tcPr>
          <w:p w14:paraId="35C642B9" w14:textId="39D257E5" w:rsidR="002820A5" w:rsidRDefault="002820A5" w:rsidP="002820A5">
            <w:pPr>
              <w:rPr>
                <w:b/>
                <w:bCs/>
                <w:sz w:val="20"/>
                <w:szCs w:val="20"/>
                <w:lang w:eastAsia="en-US"/>
              </w:rPr>
            </w:pPr>
            <w:r>
              <w:rPr>
                <w:b/>
                <w:bCs/>
                <w:sz w:val="20"/>
                <w:szCs w:val="20"/>
                <w:lang w:eastAsia="en-US"/>
              </w:rPr>
              <w:t>Ischium, presence of pubic (= anterior) process:</w:t>
            </w:r>
          </w:p>
          <w:p w14:paraId="11FA7898" w14:textId="057BA0AF" w:rsidR="002820A5" w:rsidRDefault="002820A5" w:rsidP="002820A5">
            <w:pPr>
              <w:rPr>
                <w:rFonts w:eastAsia="Times New Roman"/>
                <w:i/>
                <w:sz w:val="20"/>
                <w:szCs w:val="20"/>
                <w:lang w:eastAsia="en-US"/>
              </w:rPr>
            </w:pPr>
            <w:r>
              <w:rPr>
                <w:bCs/>
                <w:i/>
                <w:sz w:val="20"/>
                <w:szCs w:val="20"/>
                <w:lang w:eastAsia="en-US"/>
              </w:rPr>
              <w:t>Andrade et al. (2011, ch. 444) – reformulated from Clark (1994, ch. 86) and Andrews (1913);</w:t>
            </w:r>
            <w:r>
              <w:rPr>
                <w:i/>
                <w:sz w:val="20"/>
                <w:szCs w:val="20"/>
                <w:lang w:eastAsia="en-US"/>
              </w:rPr>
              <w:t xml:space="preserve"> Ristevski et al. (2018, ds 1, ch. 446); Smith et al. (in review, ds 2, ch. 446); </w:t>
            </w:r>
            <w:r>
              <w:rPr>
                <w:i/>
                <w:sz w:val="20"/>
                <w:szCs w:val="20"/>
              </w:rPr>
              <w:t>Ősi et al. (in review, ds 1, ch. 404)</w:t>
            </w:r>
            <w:r>
              <w:rPr>
                <w:rFonts w:eastAsia="Times New Roman"/>
                <w:i/>
                <w:sz w:val="20"/>
                <w:szCs w:val="20"/>
                <w:lang w:eastAsia="en-US"/>
              </w:rPr>
              <w:t>.</w:t>
            </w:r>
          </w:p>
          <w:p w14:paraId="50F11A56" w14:textId="77777777" w:rsidR="002820A5" w:rsidRDefault="002820A5" w:rsidP="002820A5">
            <w:pPr>
              <w:autoSpaceDE w:val="0"/>
              <w:autoSpaceDN w:val="0"/>
              <w:adjustRightInd w:val="0"/>
              <w:rPr>
                <w:sz w:val="20"/>
                <w:szCs w:val="20"/>
                <w:lang w:eastAsia="en-US"/>
              </w:rPr>
            </w:pPr>
            <w:r>
              <w:rPr>
                <w:sz w:val="20"/>
                <w:szCs w:val="20"/>
                <w:lang w:eastAsia="en-US"/>
              </w:rPr>
              <w:t>0. pubic process absent, or incipient and small, not restricting the participation of the pubis to the acetabulum</w:t>
            </w:r>
          </w:p>
          <w:p w14:paraId="4C8C3B25" w14:textId="77777777" w:rsidR="002820A5" w:rsidRDefault="002820A5" w:rsidP="002820A5">
            <w:pPr>
              <w:rPr>
                <w:b/>
                <w:sz w:val="20"/>
                <w:szCs w:val="20"/>
                <w:lang w:eastAsia="en-US"/>
              </w:rPr>
            </w:pPr>
            <w:r>
              <w:rPr>
                <w:sz w:val="20"/>
                <w:szCs w:val="20"/>
                <w:lang w:eastAsia="en-US"/>
              </w:rPr>
              <w:t>1. anterior process well developed, robust and with a round head, at least partially restricting the participation of pubis in the acetabulum</w:t>
            </w:r>
          </w:p>
        </w:tc>
      </w:tr>
      <w:tr w:rsidR="002820A5" w14:paraId="386473B0" w14:textId="77777777" w:rsidTr="002820A5">
        <w:tc>
          <w:tcPr>
            <w:tcW w:w="312" w:type="pct"/>
            <w:tcBorders>
              <w:top w:val="single" w:sz="4" w:space="0" w:color="auto"/>
              <w:left w:val="single" w:sz="4" w:space="0" w:color="auto"/>
              <w:bottom w:val="single" w:sz="4" w:space="0" w:color="auto"/>
              <w:right w:val="single" w:sz="4" w:space="0" w:color="auto"/>
            </w:tcBorders>
          </w:tcPr>
          <w:p w14:paraId="529B9DC2" w14:textId="5AFD5E66" w:rsidR="002820A5" w:rsidRDefault="009E2821" w:rsidP="002820A5">
            <w:pPr>
              <w:rPr>
                <w:sz w:val="20"/>
                <w:szCs w:val="20"/>
                <w:lang w:eastAsia="en-US"/>
              </w:rPr>
            </w:pPr>
            <w:r>
              <w:rPr>
                <w:sz w:val="20"/>
                <w:szCs w:val="20"/>
                <w:lang w:eastAsia="en-US"/>
              </w:rPr>
              <w:t>408</w:t>
            </w:r>
          </w:p>
        </w:tc>
        <w:tc>
          <w:tcPr>
            <w:tcW w:w="4688" w:type="pct"/>
            <w:tcBorders>
              <w:top w:val="single" w:sz="4" w:space="0" w:color="auto"/>
              <w:left w:val="single" w:sz="4" w:space="0" w:color="auto"/>
              <w:bottom w:val="single" w:sz="4" w:space="0" w:color="auto"/>
              <w:right w:val="single" w:sz="4" w:space="0" w:color="auto"/>
            </w:tcBorders>
            <w:vAlign w:val="bottom"/>
            <w:hideMark/>
          </w:tcPr>
          <w:p w14:paraId="36FFFFA8" w14:textId="6B69B5C5" w:rsidR="002820A5" w:rsidRDefault="002820A5" w:rsidP="002820A5">
            <w:pPr>
              <w:rPr>
                <w:b/>
                <w:color w:val="000000"/>
                <w:sz w:val="20"/>
                <w:szCs w:val="20"/>
                <w:lang w:eastAsia="en-US"/>
              </w:rPr>
            </w:pPr>
            <w:r>
              <w:rPr>
                <w:b/>
                <w:color w:val="000000"/>
                <w:sz w:val="20"/>
                <w:szCs w:val="20"/>
                <w:lang w:eastAsia="en-US"/>
              </w:rPr>
              <w:t>Ischium, morphology of pubic (= anterior) process: (*)</w:t>
            </w:r>
          </w:p>
          <w:p w14:paraId="15FFA441" w14:textId="23840C34" w:rsidR="002820A5" w:rsidRDefault="002820A5" w:rsidP="002820A5">
            <w:pPr>
              <w:autoSpaceDE w:val="0"/>
              <w:autoSpaceDN w:val="0"/>
              <w:adjustRightInd w:val="0"/>
              <w:rPr>
                <w:i/>
                <w:sz w:val="20"/>
                <w:szCs w:val="20"/>
                <w:lang w:eastAsia="en-US"/>
              </w:rPr>
            </w:pPr>
            <w:r>
              <w:rPr>
                <w:i/>
                <w:sz w:val="20"/>
                <w:szCs w:val="20"/>
                <w:lang w:eastAsia="en-US"/>
              </w:rPr>
              <w:t xml:space="preserve">Young (2006, ch. 43); Wilkinson et al. (2008, ch. 72); Young &amp; Andrade (2009, ch. 72); </w:t>
            </w:r>
            <w:r>
              <w:rPr>
                <w:bCs/>
                <w:i/>
                <w:color w:val="000000"/>
                <w:sz w:val="20"/>
                <w:szCs w:val="20"/>
                <w:lang w:eastAsia="en-US"/>
              </w:rPr>
              <w:t xml:space="preserve">Young et al. (2011, ch. 72); Young et al. (2013a, ch. 183); </w:t>
            </w:r>
            <w:r>
              <w:rPr>
                <w:i/>
                <w:sz w:val="20"/>
                <w:szCs w:val="20"/>
                <w:lang w:eastAsia="en-US"/>
              </w:rPr>
              <w:t xml:space="preserve">Young et al. (2012, ch. 218); Young (2014, ch. 229); Young et al. (2016, ds 2, ch. 271); Ristevski et al. (2018, ds 2, ch. 344); Smith et al. (in review, ds 1, ch. 350); </w:t>
            </w:r>
            <w:r>
              <w:rPr>
                <w:i/>
                <w:sz w:val="20"/>
                <w:szCs w:val="20"/>
              </w:rPr>
              <w:t>Ősi et al. (in review, ds 1, ch. 405)</w:t>
            </w:r>
            <w:r>
              <w:rPr>
                <w:i/>
                <w:sz w:val="20"/>
                <w:szCs w:val="20"/>
                <w:lang w:eastAsia="en-US"/>
              </w:rPr>
              <w:t>.</w:t>
            </w:r>
          </w:p>
          <w:p w14:paraId="0B4D0B63" w14:textId="77777777" w:rsidR="002820A5" w:rsidRDefault="002820A5" w:rsidP="002820A5">
            <w:pPr>
              <w:autoSpaceDE w:val="0"/>
              <w:autoSpaceDN w:val="0"/>
              <w:adjustRightInd w:val="0"/>
              <w:rPr>
                <w:i/>
                <w:sz w:val="20"/>
                <w:szCs w:val="20"/>
                <w:lang w:eastAsia="en-US"/>
              </w:rPr>
            </w:pPr>
            <w:r>
              <w:rPr>
                <w:i/>
                <w:sz w:val="20"/>
                <w:szCs w:val="20"/>
                <w:lang w:eastAsia="en-US"/>
              </w:rPr>
              <w:t>State (1) is a putative apormorphy of Metriorhynchidae.</w:t>
            </w:r>
          </w:p>
          <w:p w14:paraId="25BA8A2A" w14:textId="77777777" w:rsidR="002820A5" w:rsidRDefault="002820A5" w:rsidP="002820A5">
            <w:pPr>
              <w:autoSpaceDE w:val="0"/>
              <w:autoSpaceDN w:val="0"/>
              <w:adjustRightInd w:val="0"/>
              <w:rPr>
                <w:i/>
                <w:sz w:val="20"/>
                <w:szCs w:val="20"/>
                <w:lang w:eastAsia="en-US"/>
              </w:rPr>
            </w:pPr>
            <w:r>
              <w:rPr>
                <w:i/>
                <w:sz w:val="20"/>
                <w:szCs w:val="20"/>
                <w:lang w:eastAsia="en-US"/>
              </w:rPr>
              <w:t xml:space="preserve">State (2) is a putative apomorphy of </w:t>
            </w:r>
            <w:r>
              <w:rPr>
                <w:sz w:val="20"/>
                <w:szCs w:val="20"/>
                <w:lang w:eastAsia="en-US"/>
              </w:rPr>
              <w:t>Cricosaurus</w:t>
            </w:r>
            <w:r>
              <w:rPr>
                <w:i/>
                <w:sz w:val="20"/>
                <w:szCs w:val="20"/>
                <w:lang w:eastAsia="en-US"/>
              </w:rPr>
              <w:t>.</w:t>
            </w:r>
          </w:p>
          <w:p w14:paraId="005345C1" w14:textId="77777777" w:rsidR="002820A5" w:rsidRDefault="002820A5" w:rsidP="002820A5">
            <w:pPr>
              <w:autoSpaceDE w:val="0"/>
              <w:autoSpaceDN w:val="0"/>
              <w:adjustRightInd w:val="0"/>
              <w:rPr>
                <w:i/>
                <w:sz w:val="20"/>
                <w:szCs w:val="20"/>
                <w:lang w:eastAsia="en-US"/>
              </w:rPr>
            </w:pPr>
            <w:r>
              <w:rPr>
                <w:i/>
                <w:sz w:val="20"/>
                <w:szCs w:val="20"/>
                <w:lang w:eastAsia="en-US"/>
              </w:rPr>
              <w:t>This character is not applicable for taxa that lack, or have incipient pubic processes.</w:t>
            </w:r>
          </w:p>
          <w:p w14:paraId="15A79E16" w14:textId="77777777" w:rsidR="002820A5" w:rsidRDefault="002820A5" w:rsidP="002820A5">
            <w:pPr>
              <w:rPr>
                <w:color w:val="000000"/>
                <w:sz w:val="20"/>
                <w:szCs w:val="20"/>
                <w:lang w:eastAsia="en-US"/>
              </w:rPr>
            </w:pPr>
            <w:r>
              <w:rPr>
                <w:color w:val="000000"/>
                <w:sz w:val="20"/>
                <w:szCs w:val="20"/>
                <w:lang w:eastAsia="en-US"/>
              </w:rPr>
              <w:t>0. developed – with clearly defined articulation facets for pubis and ilium; additionally, anterior process is at least half as wide as the posterior process</w:t>
            </w:r>
          </w:p>
          <w:p w14:paraId="5A686279" w14:textId="77777777" w:rsidR="002820A5" w:rsidRDefault="002820A5" w:rsidP="002820A5">
            <w:pPr>
              <w:rPr>
                <w:color w:val="000000"/>
                <w:sz w:val="20"/>
                <w:szCs w:val="20"/>
                <w:lang w:eastAsia="en-US"/>
              </w:rPr>
            </w:pPr>
            <w:r>
              <w:rPr>
                <w:color w:val="000000"/>
                <w:sz w:val="20"/>
                <w:szCs w:val="20"/>
                <w:lang w:eastAsia="en-US"/>
              </w:rPr>
              <w:t>1. reduced – lacks both articulation facets, and is between 30–50% as wide as the posterior process</w:t>
            </w:r>
          </w:p>
          <w:p w14:paraId="719691CE" w14:textId="77777777" w:rsidR="002820A5" w:rsidRDefault="002820A5" w:rsidP="002820A5">
            <w:pPr>
              <w:rPr>
                <w:sz w:val="20"/>
                <w:szCs w:val="20"/>
                <w:lang w:eastAsia="en-US"/>
              </w:rPr>
            </w:pPr>
            <w:r>
              <w:rPr>
                <w:color w:val="000000"/>
                <w:sz w:val="20"/>
                <w:szCs w:val="20"/>
                <w:lang w:eastAsia="en-US"/>
              </w:rPr>
              <w:t>2. highly reduced – lacking both articulation facets, and is less than 25% as wide as the posterior process</w:t>
            </w:r>
          </w:p>
        </w:tc>
      </w:tr>
      <w:tr w:rsidR="002820A5" w14:paraId="15E6596F" w14:textId="77777777" w:rsidTr="002820A5">
        <w:tc>
          <w:tcPr>
            <w:tcW w:w="312" w:type="pct"/>
            <w:tcBorders>
              <w:top w:val="single" w:sz="4" w:space="0" w:color="auto"/>
              <w:left w:val="single" w:sz="4" w:space="0" w:color="auto"/>
              <w:bottom w:val="single" w:sz="4" w:space="0" w:color="auto"/>
              <w:right w:val="single" w:sz="4" w:space="0" w:color="auto"/>
            </w:tcBorders>
          </w:tcPr>
          <w:p w14:paraId="00B6F77D" w14:textId="51E76421" w:rsidR="002820A5" w:rsidRDefault="009E2821" w:rsidP="002820A5">
            <w:pPr>
              <w:rPr>
                <w:color w:val="000000"/>
                <w:sz w:val="20"/>
                <w:szCs w:val="20"/>
                <w:lang w:eastAsia="en-US"/>
              </w:rPr>
            </w:pPr>
            <w:r>
              <w:rPr>
                <w:color w:val="000000"/>
                <w:sz w:val="20"/>
                <w:szCs w:val="20"/>
                <w:lang w:eastAsia="en-US"/>
              </w:rPr>
              <w:t>409</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6413401" w14:textId="77777777" w:rsidR="002820A5" w:rsidRDefault="002820A5" w:rsidP="002820A5">
            <w:pPr>
              <w:autoSpaceDE w:val="0"/>
              <w:autoSpaceDN w:val="0"/>
              <w:adjustRightInd w:val="0"/>
              <w:rPr>
                <w:b/>
                <w:bCs/>
                <w:sz w:val="20"/>
                <w:szCs w:val="20"/>
                <w:lang w:eastAsia="en-US"/>
              </w:rPr>
            </w:pPr>
            <w:r>
              <w:rPr>
                <w:b/>
                <w:bCs/>
                <w:sz w:val="20"/>
                <w:szCs w:val="20"/>
                <w:lang w:eastAsia="en-US"/>
              </w:rPr>
              <w:t>Ischium, morphology of anterior process of iliac blade, in lateral view:</w:t>
            </w:r>
          </w:p>
          <w:p w14:paraId="0E74C9AF" w14:textId="634EEBFA" w:rsidR="002820A5" w:rsidRDefault="002820A5" w:rsidP="002820A5">
            <w:pPr>
              <w:autoSpaceDE w:val="0"/>
              <w:autoSpaceDN w:val="0"/>
              <w:adjustRightInd w:val="0"/>
              <w:rPr>
                <w:bCs/>
                <w:i/>
                <w:sz w:val="20"/>
                <w:szCs w:val="20"/>
                <w:lang w:eastAsia="en-US"/>
              </w:rPr>
            </w:pPr>
            <w:r>
              <w:rPr>
                <w:bCs/>
                <w:i/>
                <w:sz w:val="20"/>
                <w:szCs w:val="20"/>
                <w:lang w:eastAsia="en-US"/>
              </w:rPr>
              <w:t>Brochu (1999, ch. 28 modified, part); Andrade et al. (2011, ch. 443);</w:t>
            </w:r>
            <w:r>
              <w:rPr>
                <w:i/>
                <w:sz w:val="20"/>
                <w:szCs w:val="20"/>
                <w:lang w:eastAsia="en-US"/>
              </w:rPr>
              <w:t xml:space="preserve"> Ristevski et al. (2018, ds 1, ch. 443); Smith et al. (in review, ds 2, ch. 443); </w:t>
            </w:r>
            <w:r>
              <w:rPr>
                <w:i/>
                <w:sz w:val="20"/>
                <w:szCs w:val="20"/>
              </w:rPr>
              <w:t>Ősi et al. (in review, ds 1, ch. 406)</w:t>
            </w:r>
            <w:r>
              <w:rPr>
                <w:i/>
                <w:sz w:val="20"/>
                <w:szCs w:val="20"/>
                <w:lang w:eastAsia="en-US"/>
              </w:rPr>
              <w:t>.</w:t>
            </w:r>
          </w:p>
          <w:p w14:paraId="3169E9D8" w14:textId="77777777" w:rsidR="002820A5" w:rsidRDefault="002820A5" w:rsidP="002820A5">
            <w:pPr>
              <w:autoSpaceDE w:val="0"/>
              <w:autoSpaceDN w:val="0"/>
              <w:adjustRightInd w:val="0"/>
              <w:rPr>
                <w:i/>
                <w:iCs/>
                <w:sz w:val="20"/>
                <w:szCs w:val="20"/>
                <w:lang w:eastAsia="en-US"/>
              </w:rPr>
            </w:pPr>
            <w:r>
              <w:rPr>
                <w:i/>
                <w:iCs/>
                <w:sz w:val="20"/>
                <w:szCs w:val="20"/>
                <w:lang w:eastAsia="en-US"/>
              </w:rPr>
              <w:t xml:space="preserve">Andrade et al. (2011) divded this character to separate diverse aspects of the morphology of the anterior end of iliac blade. This character samples the morphology of the anterior process. Among eusuchians, state (1) is a somewhat generalised condition; state (0) is putative apomorphy of </w:t>
            </w:r>
            <w:r>
              <w:rPr>
                <w:sz w:val="20"/>
                <w:szCs w:val="20"/>
                <w:lang w:eastAsia="en-US"/>
              </w:rPr>
              <w:t>Paleosuchus</w:t>
            </w:r>
            <w:r>
              <w:rPr>
                <w:i/>
                <w:iCs/>
                <w:sz w:val="20"/>
                <w:szCs w:val="20"/>
                <w:lang w:eastAsia="en-US"/>
              </w:rPr>
              <w:t xml:space="preserve">; and state (2) is putative apomorphy of </w:t>
            </w:r>
            <w:r>
              <w:rPr>
                <w:sz w:val="20"/>
                <w:szCs w:val="20"/>
                <w:lang w:eastAsia="en-US"/>
              </w:rPr>
              <w:t>Diplocynodon</w:t>
            </w:r>
            <w:r>
              <w:rPr>
                <w:i/>
                <w:iCs/>
                <w:sz w:val="20"/>
                <w:szCs w:val="20"/>
                <w:lang w:eastAsia="en-US"/>
              </w:rPr>
              <w:t>.</w:t>
            </w:r>
          </w:p>
          <w:p w14:paraId="473CBE91" w14:textId="77777777" w:rsidR="002820A5" w:rsidRDefault="002820A5" w:rsidP="002820A5">
            <w:pPr>
              <w:autoSpaceDE w:val="0"/>
              <w:autoSpaceDN w:val="0"/>
              <w:adjustRightInd w:val="0"/>
              <w:rPr>
                <w:sz w:val="20"/>
                <w:szCs w:val="20"/>
                <w:lang w:eastAsia="en-US"/>
              </w:rPr>
            </w:pPr>
            <w:r>
              <w:rPr>
                <w:sz w:val="20"/>
                <w:szCs w:val="20"/>
                <w:lang w:eastAsia="en-US"/>
              </w:rPr>
              <w:t>0. very narrow relative the main body of the iliac blade</w:t>
            </w:r>
          </w:p>
          <w:p w14:paraId="0067AE73" w14:textId="77777777" w:rsidR="002820A5" w:rsidRDefault="002820A5" w:rsidP="002820A5">
            <w:pPr>
              <w:autoSpaceDE w:val="0"/>
              <w:autoSpaceDN w:val="0"/>
              <w:adjustRightInd w:val="0"/>
              <w:rPr>
                <w:sz w:val="20"/>
                <w:szCs w:val="20"/>
                <w:lang w:eastAsia="en-US"/>
              </w:rPr>
            </w:pPr>
            <w:r>
              <w:rPr>
                <w:sz w:val="20"/>
                <w:szCs w:val="20"/>
                <w:lang w:eastAsia="en-US"/>
              </w:rPr>
              <w:t>1. rounded and moderately broad relative the main body of the iliac blade</w:t>
            </w:r>
          </w:p>
          <w:p w14:paraId="249C293A" w14:textId="77777777" w:rsidR="002820A5" w:rsidRDefault="002820A5" w:rsidP="002820A5">
            <w:pPr>
              <w:rPr>
                <w:b/>
                <w:color w:val="000000"/>
                <w:sz w:val="20"/>
                <w:szCs w:val="20"/>
                <w:lang w:eastAsia="en-US"/>
              </w:rPr>
            </w:pPr>
            <w:r>
              <w:rPr>
                <w:sz w:val="20"/>
                <w:szCs w:val="20"/>
                <w:lang w:eastAsia="en-US"/>
              </w:rPr>
              <w:t>2. very broad and deep, at least half the height of the main body of the iliac blade</w:t>
            </w:r>
          </w:p>
        </w:tc>
      </w:tr>
      <w:tr w:rsidR="002820A5" w14:paraId="10F10C02" w14:textId="77777777" w:rsidTr="002820A5">
        <w:tc>
          <w:tcPr>
            <w:tcW w:w="312" w:type="pct"/>
            <w:tcBorders>
              <w:top w:val="single" w:sz="4" w:space="0" w:color="auto"/>
              <w:left w:val="single" w:sz="4" w:space="0" w:color="auto"/>
              <w:bottom w:val="single" w:sz="4" w:space="0" w:color="auto"/>
              <w:right w:val="single" w:sz="4" w:space="0" w:color="auto"/>
            </w:tcBorders>
          </w:tcPr>
          <w:p w14:paraId="4101C480" w14:textId="4B656EE2" w:rsidR="002820A5" w:rsidRDefault="009E2821" w:rsidP="002820A5">
            <w:pPr>
              <w:rPr>
                <w:color w:val="000000"/>
                <w:sz w:val="20"/>
                <w:szCs w:val="20"/>
                <w:lang w:eastAsia="en-US"/>
              </w:rPr>
            </w:pPr>
            <w:r>
              <w:rPr>
                <w:color w:val="000000"/>
                <w:sz w:val="20"/>
                <w:szCs w:val="20"/>
                <w:lang w:eastAsia="en-US"/>
              </w:rPr>
              <w:t>410</w:t>
            </w:r>
          </w:p>
        </w:tc>
        <w:tc>
          <w:tcPr>
            <w:tcW w:w="4688" w:type="pct"/>
            <w:tcBorders>
              <w:top w:val="single" w:sz="4" w:space="0" w:color="auto"/>
              <w:left w:val="single" w:sz="4" w:space="0" w:color="auto"/>
              <w:bottom w:val="single" w:sz="4" w:space="0" w:color="auto"/>
              <w:right w:val="single" w:sz="4" w:space="0" w:color="auto"/>
            </w:tcBorders>
            <w:vAlign w:val="bottom"/>
            <w:hideMark/>
          </w:tcPr>
          <w:p w14:paraId="7BDC3FC8" w14:textId="77777777" w:rsidR="002820A5" w:rsidRDefault="002820A5" w:rsidP="002820A5">
            <w:pPr>
              <w:autoSpaceDE w:val="0"/>
              <w:autoSpaceDN w:val="0"/>
              <w:adjustRightInd w:val="0"/>
              <w:rPr>
                <w:b/>
                <w:bCs/>
                <w:sz w:val="20"/>
                <w:szCs w:val="20"/>
                <w:lang w:eastAsia="en-US"/>
              </w:rPr>
            </w:pPr>
            <w:r>
              <w:rPr>
                <w:b/>
                <w:bCs/>
                <w:sz w:val="20"/>
                <w:szCs w:val="20"/>
                <w:lang w:eastAsia="en-US"/>
              </w:rPr>
              <w:t>Limb bones, length relative to trunk, at maturity: (ORDERED)</w:t>
            </w:r>
          </w:p>
          <w:p w14:paraId="4B87E154" w14:textId="5E8FCBF5" w:rsidR="002820A5" w:rsidRDefault="002820A5" w:rsidP="002820A5">
            <w:pPr>
              <w:autoSpaceDE w:val="0"/>
              <w:autoSpaceDN w:val="0"/>
              <w:adjustRightInd w:val="0"/>
              <w:rPr>
                <w:bCs/>
                <w:i/>
                <w:sz w:val="20"/>
                <w:szCs w:val="20"/>
                <w:lang w:eastAsia="en-US"/>
              </w:rPr>
            </w:pPr>
            <w:r>
              <w:rPr>
                <w:bCs/>
                <w:i/>
                <w:sz w:val="20"/>
                <w:szCs w:val="20"/>
                <w:lang w:eastAsia="en-US"/>
              </w:rPr>
              <w:t>Brochu (1999, ch. 33 modified); Andrade et al. (2011, ch. 448);</w:t>
            </w:r>
            <w:r>
              <w:rPr>
                <w:i/>
                <w:sz w:val="20"/>
                <w:szCs w:val="20"/>
                <w:lang w:eastAsia="en-US"/>
              </w:rPr>
              <w:t xml:space="preserve"> Ristevski et al. (2018, ds 1, ch. 450); Smith et al. (in review, ds 2, ch. 450); </w:t>
            </w:r>
            <w:r>
              <w:rPr>
                <w:i/>
                <w:sz w:val="20"/>
                <w:szCs w:val="20"/>
              </w:rPr>
              <w:t>Ősi et al. (in review, ds 1, ch. 407)</w:t>
            </w:r>
            <w:r>
              <w:rPr>
                <w:bCs/>
                <w:i/>
                <w:sz w:val="20"/>
                <w:szCs w:val="20"/>
                <w:lang w:eastAsia="en-US"/>
              </w:rPr>
              <w:t>.</w:t>
            </w:r>
          </w:p>
          <w:p w14:paraId="36DC2F27" w14:textId="77777777" w:rsidR="002820A5" w:rsidRDefault="002820A5" w:rsidP="002820A5">
            <w:pPr>
              <w:autoSpaceDE w:val="0"/>
              <w:autoSpaceDN w:val="0"/>
              <w:adjustRightInd w:val="0"/>
              <w:rPr>
                <w:i/>
                <w:iCs/>
                <w:sz w:val="20"/>
                <w:szCs w:val="20"/>
                <w:lang w:eastAsia="en-US"/>
              </w:rPr>
            </w:pPr>
            <w:r>
              <w:rPr>
                <w:i/>
                <w:iCs/>
                <w:sz w:val="20"/>
                <w:szCs w:val="20"/>
                <w:lang w:eastAsia="en-US"/>
              </w:rPr>
              <w:t>Andrade et al. (2011) modified this character to sample length relative to trunk, not overall robustness.</w:t>
            </w:r>
          </w:p>
          <w:p w14:paraId="3809CAA1" w14:textId="77777777" w:rsidR="002820A5" w:rsidRDefault="002820A5" w:rsidP="002820A5">
            <w:pPr>
              <w:autoSpaceDE w:val="0"/>
              <w:autoSpaceDN w:val="0"/>
              <w:adjustRightInd w:val="0"/>
              <w:rPr>
                <w:i/>
                <w:iCs/>
                <w:sz w:val="20"/>
                <w:szCs w:val="20"/>
                <w:lang w:eastAsia="en-US"/>
              </w:rPr>
            </w:pPr>
            <w:r>
              <w:rPr>
                <w:i/>
                <w:iCs/>
                <w:sz w:val="20"/>
                <w:szCs w:val="20"/>
                <w:lang w:eastAsia="en-US"/>
              </w:rPr>
              <w:t xml:space="preserve">Within Eusuchia, Brochu (1999) considers that state (2) only occurs in </w:t>
            </w:r>
            <w:r>
              <w:rPr>
                <w:sz w:val="20"/>
                <w:szCs w:val="20"/>
                <w:lang w:eastAsia="en-US"/>
              </w:rPr>
              <w:t>Borealosuchus</w:t>
            </w:r>
            <w:r>
              <w:rPr>
                <w:i/>
                <w:iCs/>
                <w:sz w:val="20"/>
                <w:szCs w:val="20"/>
                <w:lang w:eastAsia="en-US"/>
              </w:rPr>
              <w:t>.</w:t>
            </w:r>
          </w:p>
          <w:p w14:paraId="6AAF45B2" w14:textId="77777777" w:rsidR="002820A5" w:rsidRDefault="002820A5" w:rsidP="002820A5">
            <w:pPr>
              <w:autoSpaceDE w:val="0"/>
              <w:autoSpaceDN w:val="0"/>
              <w:adjustRightInd w:val="0"/>
              <w:rPr>
                <w:sz w:val="20"/>
                <w:szCs w:val="20"/>
                <w:lang w:eastAsia="en-US"/>
              </w:rPr>
            </w:pPr>
            <w:r>
              <w:rPr>
                <w:sz w:val="20"/>
                <w:szCs w:val="20"/>
                <w:lang w:eastAsia="en-US"/>
              </w:rPr>
              <w:t>0. limb bones relatively short</w:t>
            </w:r>
          </w:p>
          <w:p w14:paraId="6111BB3E" w14:textId="77777777" w:rsidR="002820A5" w:rsidRDefault="002820A5" w:rsidP="002820A5">
            <w:pPr>
              <w:autoSpaceDE w:val="0"/>
              <w:autoSpaceDN w:val="0"/>
              <w:adjustRightInd w:val="0"/>
              <w:rPr>
                <w:sz w:val="20"/>
                <w:szCs w:val="20"/>
                <w:lang w:eastAsia="en-US"/>
              </w:rPr>
            </w:pPr>
            <w:r>
              <w:rPr>
                <w:sz w:val="20"/>
                <w:szCs w:val="20"/>
                <w:lang w:eastAsia="en-US"/>
              </w:rPr>
              <w:t>1. limb bones moderately long</w:t>
            </w:r>
          </w:p>
          <w:p w14:paraId="004923DA" w14:textId="77777777" w:rsidR="002820A5" w:rsidRDefault="002820A5" w:rsidP="002820A5">
            <w:pPr>
              <w:rPr>
                <w:b/>
                <w:color w:val="000000"/>
                <w:sz w:val="20"/>
                <w:szCs w:val="20"/>
                <w:lang w:eastAsia="en-US"/>
              </w:rPr>
            </w:pPr>
            <w:r>
              <w:rPr>
                <w:sz w:val="20"/>
                <w:szCs w:val="20"/>
                <w:lang w:eastAsia="en-US"/>
              </w:rPr>
              <w:t>2. limb bones very long</w:t>
            </w:r>
          </w:p>
        </w:tc>
      </w:tr>
      <w:tr w:rsidR="002820A5" w14:paraId="678CBB58" w14:textId="77777777" w:rsidTr="002820A5">
        <w:tc>
          <w:tcPr>
            <w:tcW w:w="312" w:type="pct"/>
            <w:tcBorders>
              <w:top w:val="single" w:sz="4" w:space="0" w:color="auto"/>
              <w:left w:val="single" w:sz="4" w:space="0" w:color="auto"/>
              <w:bottom w:val="single" w:sz="4" w:space="0" w:color="auto"/>
              <w:right w:val="single" w:sz="4" w:space="0" w:color="auto"/>
            </w:tcBorders>
          </w:tcPr>
          <w:p w14:paraId="0A6669D8" w14:textId="04E68186" w:rsidR="002820A5" w:rsidRDefault="009E2821" w:rsidP="002820A5">
            <w:pPr>
              <w:rPr>
                <w:color w:val="000000"/>
                <w:sz w:val="20"/>
                <w:szCs w:val="20"/>
                <w:lang w:eastAsia="en-US"/>
              </w:rPr>
            </w:pPr>
            <w:r>
              <w:rPr>
                <w:color w:val="000000"/>
                <w:sz w:val="20"/>
                <w:szCs w:val="20"/>
                <w:lang w:eastAsia="en-US"/>
              </w:rPr>
              <w:t>411</w:t>
            </w:r>
          </w:p>
        </w:tc>
        <w:tc>
          <w:tcPr>
            <w:tcW w:w="4688" w:type="pct"/>
            <w:tcBorders>
              <w:top w:val="single" w:sz="4" w:space="0" w:color="auto"/>
              <w:left w:val="single" w:sz="4" w:space="0" w:color="auto"/>
              <w:bottom w:val="single" w:sz="4" w:space="0" w:color="auto"/>
              <w:right w:val="single" w:sz="4" w:space="0" w:color="auto"/>
            </w:tcBorders>
            <w:vAlign w:val="bottom"/>
            <w:hideMark/>
          </w:tcPr>
          <w:p w14:paraId="15F73F65" w14:textId="77777777" w:rsidR="002820A5" w:rsidRDefault="002820A5" w:rsidP="002820A5">
            <w:pPr>
              <w:autoSpaceDE w:val="0"/>
              <w:autoSpaceDN w:val="0"/>
              <w:adjustRightInd w:val="0"/>
              <w:rPr>
                <w:b/>
                <w:bCs/>
                <w:sz w:val="20"/>
                <w:szCs w:val="20"/>
                <w:lang w:eastAsia="en-US"/>
              </w:rPr>
            </w:pPr>
            <w:r>
              <w:rPr>
                <w:b/>
                <w:bCs/>
                <w:sz w:val="20"/>
                <w:szCs w:val="20"/>
                <w:lang w:eastAsia="en-US"/>
              </w:rPr>
              <w:t>Limb bones, general structure:</w:t>
            </w:r>
          </w:p>
          <w:p w14:paraId="4947CD01" w14:textId="303BF477" w:rsidR="002820A5" w:rsidRDefault="002820A5" w:rsidP="002820A5">
            <w:pPr>
              <w:autoSpaceDE w:val="0"/>
              <w:autoSpaceDN w:val="0"/>
              <w:adjustRightInd w:val="0"/>
              <w:rPr>
                <w:bCs/>
                <w:i/>
                <w:sz w:val="20"/>
                <w:szCs w:val="20"/>
                <w:lang w:eastAsia="en-US"/>
              </w:rPr>
            </w:pPr>
            <w:r>
              <w:rPr>
                <w:bCs/>
                <w:i/>
                <w:sz w:val="20"/>
                <w:szCs w:val="20"/>
                <w:lang w:eastAsia="en-US"/>
              </w:rPr>
              <w:t>Brochu (1999, ch. 33 part); Andrade et al. (2011, ch. 449);</w:t>
            </w:r>
            <w:r>
              <w:rPr>
                <w:i/>
                <w:sz w:val="20"/>
                <w:szCs w:val="20"/>
                <w:lang w:eastAsia="en-US"/>
              </w:rPr>
              <w:t xml:space="preserve"> Ristevski et al. (2018, ds 1, ch. 451); Smith et al. (in review, ds 2, ch. 451); </w:t>
            </w:r>
            <w:r>
              <w:rPr>
                <w:i/>
                <w:sz w:val="20"/>
                <w:szCs w:val="20"/>
              </w:rPr>
              <w:t>Ősi et al. (in review, ds 1, ch. 408)</w:t>
            </w:r>
            <w:r>
              <w:rPr>
                <w:bCs/>
                <w:i/>
                <w:sz w:val="20"/>
                <w:szCs w:val="20"/>
                <w:lang w:eastAsia="en-US"/>
              </w:rPr>
              <w:t>.</w:t>
            </w:r>
          </w:p>
          <w:p w14:paraId="62907E0D" w14:textId="77777777" w:rsidR="002820A5" w:rsidRDefault="002820A5" w:rsidP="002820A5">
            <w:pPr>
              <w:autoSpaceDE w:val="0"/>
              <w:autoSpaceDN w:val="0"/>
              <w:adjustRightInd w:val="0"/>
              <w:rPr>
                <w:i/>
                <w:iCs/>
                <w:sz w:val="20"/>
                <w:szCs w:val="20"/>
                <w:lang w:eastAsia="en-US"/>
              </w:rPr>
            </w:pPr>
            <w:r>
              <w:rPr>
                <w:i/>
                <w:iCs/>
                <w:sz w:val="20"/>
                <w:szCs w:val="20"/>
                <w:lang w:eastAsia="en-US"/>
              </w:rPr>
              <w:t xml:space="preserve">Andrade et al. (2011) modified this character was to sample overall robustness, not relative length. Within Eusuchia, Brochu (1999) considers that state (2) only occurs in </w:t>
            </w:r>
            <w:r>
              <w:rPr>
                <w:sz w:val="20"/>
                <w:szCs w:val="20"/>
                <w:lang w:eastAsia="en-US"/>
              </w:rPr>
              <w:t>Borealosuchus</w:t>
            </w:r>
            <w:r>
              <w:rPr>
                <w:i/>
                <w:iCs/>
                <w:sz w:val="20"/>
                <w:szCs w:val="20"/>
                <w:lang w:eastAsia="en-US"/>
              </w:rPr>
              <w:t>.</w:t>
            </w:r>
          </w:p>
          <w:p w14:paraId="5C40B135" w14:textId="77777777" w:rsidR="002820A5" w:rsidRDefault="002820A5" w:rsidP="002820A5">
            <w:pPr>
              <w:autoSpaceDE w:val="0"/>
              <w:autoSpaceDN w:val="0"/>
              <w:adjustRightInd w:val="0"/>
              <w:rPr>
                <w:sz w:val="20"/>
                <w:szCs w:val="20"/>
                <w:lang w:eastAsia="en-US"/>
              </w:rPr>
            </w:pPr>
            <w:r>
              <w:rPr>
                <w:sz w:val="20"/>
                <w:szCs w:val="20"/>
                <w:lang w:eastAsia="en-US"/>
              </w:rPr>
              <w:t>0. limb bones robust</w:t>
            </w:r>
          </w:p>
          <w:p w14:paraId="38DB1B17" w14:textId="77777777" w:rsidR="002820A5" w:rsidRDefault="002820A5" w:rsidP="002820A5">
            <w:pPr>
              <w:autoSpaceDE w:val="0"/>
              <w:autoSpaceDN w:val="0"/>
              <w:adjustRightInd w:val="0"/>
              <w:rPr>
                <w:sz w:val="20"/>
                <w:szCs w:val="20"/>
                <w:lang w:eastAsia="en-US"/>
              </w:rPr>
            </w:pPr>
            <w:r>
              <w:rPr>
                <w:sz w:val="20"/>
                <w:szCs w:val="20"/>
                <w:lang w:eastAsia="en-US"/>
              </w:rPr>
              <w:t>1. limb bones overall slender, but not weak</w:t>
            </w:r>
          </w:p>
          <w:p w14:paraId="48AB1D38" w14:textId="77777777" w:rsidR="002820A5" w:rsidRDefault="002820A5" w:rsidP="002820A5">
            <w:pPr>
              <w:rPr>
                <w:b/>
                <w:color w:val="000000"/>
                <w:sz w:val="20"/>
                <w:szCs w:val="20"/>
                <w:lang w:eastAsia="en-US"/>
              </w:rPr>
            </w:pPr>
            <w:r>
              <w:rPr>
                <w:sz w:val="20"/>
                <w:szCs w:val="20"/>
                <w:lang w:eastAsia="en-US"/>
              </w:rPr>
              <w:t>2. gracile</w:t>
            </w:r>
          </w:p>
        </w:tc>
      </w:tr>
      <w:tr w:rsidR="002820A5" w14:paraId="01EC5DDD" w14:textId="77777777" w:rsidTr="002820A5">
        <w:tc>
          <w:tcPr>
            <w:tcW w:w="312" w:type="pct"/>
            <w:tcBorders>
              <w:top w:val="single" w:sz="4" w:space="0" w:color="auto"/>
              <w:left w:val="single" w:sz="4" w:space="0" w:color="auto"/>
              <w:bottom w:val="single" w:sz="4" w:space="0" w:color="auto"/>
              <w:right w:val="single" w:sz="4" w:space="0" w:color="auto"/>
            </w:tcBorders>
          </w:tcPr>
          <w:p w14:paraId="1CFBFC2F" w14:textId="10112308" w:rsidR="002820A5" w:rsidRDefault="009E2821" w:rsidP="002820A5">
            <w:pPr>
              <w:rPr>
                <w:sz w:val="20"/>
                <w:szCs w:val="20"/>
                <w:lang w:eastAsia="en-US"/>
              </w:rPr>
            </w:pPr>
            <w:r>
              <w:rPr>
                <w:color w:val="000000"/>
                <w:sz w:val="20"/>
                <w:szCs w:val="20"/>
                <w:lang w:eastAsia="en-US"/>
              </w:rPr>
              <w:t>412</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A06490E"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Limb bones, relative length of forelimbs/hindlimbs (</w:t>
            </w:r>
            <w:r>
              <w:rPr>
                <w:b/>
                <w:i/>
                <w:color w:val="000000"/>
                <w:sz w:val="20"/>
                <w:szCs w:val="20"/>
                <w:lang w:eastAsia="en-US"/>
              </w:rPr>
              <w:t>= humerus + radius : femur + tibia</w:t>
            </w:r>
            <w:r>
              <w:rPr>
                <w:b/>
                <w:bCs/>
                <w:color w:val="000000"/>
                <w:sz w:val="20"/>
                <w:lang w:eastAsia="en-US"/>
              </w:rPr>
              <w:t>):</w:t>
            </w:r>
          </w:p>
          <w:p w14:paraId="2E2D577C" w14:textId="21B72C3B" w:rsidR="002820A5" w:rsidRDefault="002820A5" w:rsidP="002820A5">
            <w:pPr>
              <w:autoSpaceDE w:val="0"/>
              <w:autoSpaceDN w:val="0"/>
              <w:adjustRightInd w:val="0"/>
              <w:rPr>
                <w:bCs/>
                <w:i/>
                <w:color w:val="000000"/>
                <w:sz w:val="20"/>
                <w:lang w:eastAsia="en-US"/>
              </w:rPr>
            </w:pPr>
            <w:r>
              <w:rPr>
                <w:bCs/>
                <w:i/>
                <w:color w:val="000000"/>
                <w:sz w:val="20"/>
                <w:lang w:eastAsia="en-US"/>
              </w:rPr>
              <w:t xml:space="preserve">Brochu (1999, ch. 33 part); </w:t>
            </w:r>
            <w:r>
              <w:rPr>
                <w:i/>
                <w:sz w:val="20"/>
                <w:szCs w:val="20"/>
                <w:lang w:eastAsia="en-US"/>
              </w:rPr>
              <w:t xml:space="preserve">Young &amp; Andrade (2009, ch. 109 modified); </w:t>
            </w:r>
            <w:r>
              <w:rPr>
                <w:bCs/>
                <w:i/>
                <w:color w:val="000000"/>
                <w:sz w:val="20"/>
                <w:lang w:eastAsia="en-US"/>
              </w:rPr>
              <w:t xml:space="preserve">Andrade et al. (2011, ch. 450 modified); Nesbitt (2011, ch. 212 modified); </w:t>
            </w:r>
            <w:r>
              <w:rPr>
                <w:bCs/>
                <w:i/>
                <w:color w:val="000000"/>
                <w:sz w:val="20"/>
                <w:szCs w:val="20"/>
                <w:lang w:eastAsia="en-US"/>
              </w:rPr>
              <w:t xml:space="preserve">Young et al. (2011, ch. 109 modified); Young et al. (2013a, ch. 195 modified); </w:t>
            </w:r>
            <w:r>
              <w:rPr>
                <w:bCs/>
                <w:i/>
                <w:color w:val="000000"/>
                <w:sz w:val="20"/>
                <w:lang w:eastAsia="en-US"/>
              </w:rPr>
              <w:t xml:space="preserve">Young et al. (2012, ch. 230 modified); Young (2014, ch. 241 modified); Young et al. (2016, ds 2, ch. 284 modified); </w:t>
            </w:r>
            <w:r>
              <w:rPr>
                <w:i/>
                <w:sz w:val="20"/>
                <w:szCs w:val="20"/>
                <w:lang w:eastAsia="en-US"/>
              </w:rPr>
              <w:t xml:space="preserve">Ristevski et al. (2018, ds 2, ch. 345); Smith et al. (in review, ds 1, ch. 351); </w:t>
            </w:r>
            <w:r>
              <w:rPr>
                <w:i/>
                <w:sz w:val="20"/>
                <w:szCs w:val="20"/>
              </w:rPr>
              <w:t>Ősi et al. (in review, ds 1, ch. 409)</w:t>
            </w:r>
            <w:r>
              <w:rPr>
                <w:bCs/>
                <w:i/>
                <w:color w:val="000000"/>
                <w:sz w:val="20"/>
                <w:lang w:eastAsia="en-US"/>
              </w:rPr>
              <w:t>.</w:t>
            </w:r>
          </w:p>
          <w:p w14:paraId="1C81E8C5"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Andrade et al. (2011) modified the crocodylomorph variant of this character to sample relative length of limbs, not robustness or limb/trunk relative length. This version of the character is an amalgam of the ones in Andrade et al. (2011) and Nesbitt (2011), the latter which Young et al. (2016, ds 2) modified to include extra states to reflect the forelimb reduction in Thalattosuchia.</w:t>
            </w:r>
          </w:p>
          <w:p w14:paraId="3ECB944D" w14:textId="5C7685CD" w:rsidR="002820A5" w:rsidRDefault="002820A5" w:rsidP="002820A5">
            <w:pPr>
              <w:autoSpaceDE w:val="0"/>
              <w:autoSpaceDN w:val="0"/>
              <w:adjustRightInd w:val="0"/>
              <w:rPr>
                <w:i/>
                <w:iCs/>
                <w:color w:val="000000"/>
                <w:sz w:val="20"/>
                <w:lang w:eastAsia="en-US"/>
              </w:rPr>
            </w:pPr>
            <w:r>
              <w:rPr>
                <w:i/>
                <w:iCs/>
                <w:color w:val="000000"/>
                <w:sz w:val="20"/>
                <w:lang w:eastAsia="en-US"/>
              </w:rPr>
              <w:t>This character does not consider the autopodia (manus and pes), only the relation between the stylopodia and zeugopodia (humerus + ulna and femur + tibia, respectively).</w:t>
            </w:r>
          </w:p>
          <w:p w14:paraId="2305136F" w14:textId="3BF8DDCA" w:rsidR="002820A5" w:rsidRDefault="002820A5" w:rsidP="002820A5">
            <w:pPr>
              <w:autoSpaceDE w:val="0"/>
              <w:autoSpaceDN w:val="0"/>
              <w:adjustRightInd w:val="0"/>
              <w:rPr>
                <w:i/>
                <w:iCs/>
                <w:color w:val="000000"/>
                <w:sz w:val="20"/>
                <w:lang w:eastAsia="en-US"/>
              </w:rPr>
            </w:pPr>
            <w:r>
              <w:rPr>
                <w:i/>
                <w:iCs/>
                <w:color w:val="000000"/>
                <w:sz w:val="20"/>
                <w:lang w:eastAsia="en-US"/>
              </w:rPr>
              <w:t>States (3 + 4) reflects the extreme conditions found in Thalattosuchia. State (4) evolved twice, once in Metriorhynchidae, and also in derived teleosaur</w:t>
            </w:r>
            <w:r w:rsidR="00007246">
              <w:rPr>
                <w:i/>
                <w:iCs/>
                <w:color w:val="000000"/>
                <w:sz w:val="20"/>
                <w:lang w:eastAsia="en-US"/>
              </w:rPr>
              <w:t>o</w:t>
            </w:r>
            <w:r>
              <w:rPr>
                <w:i/>
                <w:iCs/>
                <w:color w:val="000000"/>
                <w:sz w:val="20"/>
                <w:lang w:eastAsia="en-US"/>
              </w:rPr>
              <w:t>ids (the Middle Jurassic ‘</w:t>
            </w:r>
            <w:r>
              <w:rPr>
                <w:iCs/>
                <w:color w:val="000000"/>
                <w:sz w:val="20"/>
                <w:lang w:eastAsia="en-US"/>
              </w:rPr>
              <w:t>Steneosaurus’</w:t>
            </w:r>
            <w:r>
              <w:rPr>
                <w:i/>
                <w:iCs/>
                <w:color w:val="000000"/>
                <w:sz w:val="20"/>
                <w:lang w:eastAsia="en-US"/>
              </w:rPr>
              <w:t xml:space="preserve"> clade). </w:t>
            </w:r>
          </w:p>
          <w:p w14:paraId="14C74B6A"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 xml:space="preserve">Note that basal thalattosuchians (e.g. </w:t>
            </w:r>
            <w:r>
              <w:rPr>
                <w:iCs/>
                <w:color w:val="000000"/>
                <w:sz w:val="20"/>
                <w:lang w:eastAsia="en-US"/>
              </w:rPr>
              <w:t>Steneosaurus bollensis, Platysuchus</w:t>
            </w:r>
            <w:r>
              <w:rPr>
                <w:i/>
                <w:iCs/>
                <w:color w:val="000000"/>
                <w:sz w:val="20"/>
                <w:lang w:eastAsia="en-US"/>
              </w:rPr>
              <w:t xml:space="preserve"> and </w:t>
            </w:r>
            <w:r>
              <w:rPr>
                <w:iCs/>
                <w:color w:val="000000"/>
                <w:sz w:val="20"/>
                <w:lang w:eastAsia="en-US"/>
              </w:rPr>
              <w:t>Pelagosaurus</w:t>
            </w:r>
            <w:r>
              <w:rPr>
                <w:i/>
                <w:iCs/>
                <w:color w:val="000000"/>
                <w:sz w:val="20"/>
                <w:lang w:eastAsia="en-US"/>
              </w:rPr>
              <w:t>) have state (2).</w:t>
            </w:r>
          </w:p>
          <w:p w14:paraId="3CA4DCED"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 xml:space="preserve">State (2) also occurs in </w:t>
            </w:r>
            <w:r>
              <w:rPr>
                <w:iCs/>
                <w:color w:val="000000"/>
                <w:sz w:val="20"/>
                <w:lang w:eastAsia="en-US"/>
              </w:rPr>
              <w:t xml:space="preserve">Gavialis </w:t>
            </w:r>
            <w:r>
              <w:rPr>
                <w:i/>
                <w:iCs/>
                <w:color w:val="000000"/>
                <w:sz w:val="20"/>
                <w:lang w:eastAsia="en-US"/>
              </w:rPr>
              <w:t xml:space="preserve">and </w:t>
            </w:r>
            <w:r>
              <w:rPr>
                <w:iCs/>
                <w:color w:val="000000"/>
                <w:sz w:val="20"/>
                <w:lang w:eastAsia="en-US"/>
              </w:rPr>
              <w:t>Terminonaris</w:t>
            </w:r>
            <w:r>
              <w:rPr>
                <w:i/>
                <w:iCs/>
                <w:color w:val="000000"/>
                <w:sz w:val="20"/>
                <w:lang w:eastAsia="en-US"/>
              </w:rPr>
              <w:t>.</w:t>
            </w:r>
          </w:p>
          <w:p w14:paraId="1BBC4B83"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 xml:space="preserve">State (3) also evolved in the </w:t>
            </w:r>
            <w:r>
              <w:rPr>
                <w:iCs/>
                <w:color w:val="000000"/>
                <w:sz w:val="20"/>
                <w:lang w:eastAsia="en-US"/>
              </w:rPr>
              <w:t xml:space="preserve">Pachycheilosuchus </w:t>
            </w:r>
            <w:r>
              <w:rPr>
                <w:i/>
                <w:iCs/>
                <w:color w:val="000000"/>
                <w:sz w:val="20"/>
                <w:lang w:eastAsia="en-US"/>
              </w:rPr>
              <w:t xml:space="preserve">+ </w:t>
            </w:r>
            <w:r>
              <w:rPr>
                <w:iCs/>
                <w:color w:val="000000"/>
                <w:sz w:val="20"/>
                <w:lang w:eastAsia="en-US"/>
              </w:rPr>
              <w:t>Pietraroiasuchus</w:t>
            </w:r>
            <w:r>
              <w:rPr>
                <w:i/>
                <w:iCs/>
                <w:color w:val="000000"/>
                <w:sz w:val="20"/>
                <w:lang w:eastAsia="en-US"/>
              </w:rPr>
              <w:t xml:space="preserve"> clade.</w:t>
            </w:r>
          </w:p>
          <w:p w14:paraId="21A9AB25"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 xml:space="preserve">Basal crocodylomorphs also share state (2), while state (3) occurs in </w:t>
            </w:r>
            <w:r>
              <w:rPr>
                <w:iCs/>
                <w:color w:val="000000"/>
                <w:sz w:val="20"/>
                <w:lang w:eastAsia="en-US"/>
              </w:rPr>
              <w:t>Postosuchus</w:t>
            </w:r>
            <w:r>
              <w:rPr>
                <w:i/>
                <w:iCs/>
                <w:color w:val="000000"/>
                <w:sz w:val="20"/>
                <w:lang w:eastAsia="en-US"/>
              </w:rPr>
              <w:t>.</w:t>
            </w:r>
          </w:p>
          <w:p w14:paraId="05177A05"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 xml:space="preserve">Within Eusuchia, Brochu (1999) considers that state (0) only occurs in </w:t>
            </w:r>
            <w:r>
              <w:rPr>
                <w:color w:val="000000"/>
                <w:sz w:val="20"/>
                <w:lang w:eastAsia="en-US"/>
              </w:rPr>
              <w:t>Borealosuchus</w:t>
            </w:r>
            <w:r>
              <w:rPr>
                <w:i/>
                <w:iCs/>
                <w:color w:val="000000"/>
                <w:sz w:val="20"/>
                <w:lang w:eastAsia="en-US"/>
              </w:rPr>
              <w:t>.</w:t>
            </w:r>
          </w:p>
          <w:p w14:paraId="70B0C18B" w14:textId="77777777" w:rsidR="002820A5" w:rsidRDefault="002820A5" w:rsidP="002820A5">
            <w:pPr>
              <w:autoSpaceDE w:val="0"/>
              <w:autoSpaceDN w:val="0"/>
              <w:adjustRightInd w:val="0"/>
              <w:rPr>
                <w:color w:val="000000"/>
                <w:sz w:val="20"/>
                <w:lang w:eastAsia="en-US"/>
              </w:rPr>
            </w:pPr>
            <w:r>
              <w:rPr>
                <w:color w:val="000000"/>
                <w:sz w:val="20"/>
                <w:lang w:eastAsia="en-US"/>
              </w:rPr>
              <w:t>0. forelimb and hindlimb subequal in length at maturity</w:t>
            </w:r>
          </w:p>
          <w:p w14:paraId="47FDE662" w14:textId="77777777" w:rsidR="002820A5" w:rsidRDefault="002820A5" w:rsidP="002820A5">
            <w:pPr>
              <w:autoSpaceDE w:val="0"/>
              <w:autoSpaceDN w:val="0"/>
              <w:adjustRightInd w:val="0"/>
              <w:rPr>
                <w:color w:val="000000"/>
                <w:sz w:val="20"/>
                <w:lang w:eastAsia="en-US"/>
              </w:rPr>
            </w:pPr>
            <w:r>
              <w:rPr>
                <w:color w:val="000000"/>
                <w:sz w:val="20"/>
                <w:lang w:eastAsia="en-US"/>
              </w:rPr>
              <w:t>1. forelimb slightly shorter than hindlimb at maturity</w:t>
            </w:r>
          </w:p>
          <w:p w14:paraId="727C253A" w14:textId="77777777" w:rsidR="002820A5" w:rsidRDefault="002820A5" w:rsidP="002820A5">
            <w:pPr>
              <w:autoSpaceDE w:val="0"/>
              <w:autoSpaceDN w:val="0"/>
              <w:adjustRightInd w:val="0"/>
              <w:rPr>
                <w:color w:val="000000"/>
                <w:sz w:val="20"/>
                <w:lang w:eastAsia="en-US"/>
              </w:rPr>
            </w:pPr>
            <w:r>
              <w:rPr>
                <w:color w:val="000000"/>
                <w:sz w:val="20"/>
                <w:lang w:eastAsia="en-US"/>
              </w:rPr>
              <w:t>2. forelimb shorter than hindlimb at maturirty (between 90 and 55%)</w:t>
            </w:r>
          </w:p>
          <w:p w14:paraId="1FAD03EE" w14:textId="77777777" w:rsidR="002820A5" w:rsidRDefault="002820A5" w:rsidP="002820A5">
            <w:pPr>
              <w:autoSpaceDE w:val="0"/>
              <w:autoSpaceDN w:val="0"/>
              <w:adjustRightInd w:val="0"/>
              <w:rPr>
                <w:color w:val="000000"/>
                <w:sz w:val="20"/>
                <w:lang w:eastAsia="en-US"/>
              </w:rPr>
            </w:pPr>
            <w:r>
              <w:rPr>
                <w:color w:val="000000"/>
                <w:sz w:val="20"/>
                <w:lang w:eastAsia="en-US"/>
              </w:rPr>
              <w:t>3. forelimb noticeably shorter than hindlimb at maturity</w:t>
            </w:r>
            <w:r>
              <w:rPr>
                <w:color w:val="000000"/>
                <w:sz w:val="20"/>
                <w:szCs w:val="20"/>
                <w:lang w:eastAsia="en-US"/>
              </w:rPr>
              <w:t xml:space="preserve"> (between 45 and 55%)</w:t>
            </w:r>
          </w:p>
          <w:p w14:paraId="4B7C7DA1" w14:textId="77777777" w:rsidR="002820A5" w:rsidRDefault="002820A5" w:rsidP="002820A5">
            <w:pPr>
              <w:rPr>
                <w:sz w:val="20"/>
                <w:szCs w:val="20"/>
                <w:lang w:eastAsia="en-US"/>
              </w:rPr>
            </w:pPr>
            <w:r>
              <w:rPr>
                <w:color w:val="000000"/>
                <w:sz w:val="20"/>
                <w:lang w:eastAsia="en-US"/>
              </w:rPr>
              <w:t>4. forelimb significantly shorter than hindlimb at maturity</w:t>
            </w:r>
            <w:r>
              <w:rPr>
                <w:color w:val="000000"/>
                <w:sz w:val="20"/>
                <w:szCs w:val="20"/>
                <w:lang w:eastAsia="en-US"/>
              </w:rPr>
              <w:t xml:space="preserve"> (less than 45%)</w:t>
            </w:r>
          </w:p>
        </w:tc>
      </w:tr>
      <w:tr w:rsidR="002820A5" w14:paraId="53F90B6F" w14:textId="77777777" w:rsidTr="002820A5">
        <w:tc>
          <w:tcPr>
            <w:tcW w:w="312" w:type="pct"/>
            <w:tcBorders>
              <w:top w:val="single" w:sz="4" w:space="0" w:color="auto"/>
              <w:left w:val="single" w:sz="4" w:space="0" w:color="auto"/>
              <w:bottom w:val="single" w:sz="4" w:space="0" w:color="auto"/>
              <w:right w:val="single" w:sz="4" w:space="0" w:color="auto"/>
            </w:tcBorders>
          </w:tcPr>
          <w:p w14:paraId="63D988A0" w14:textId="02D10C9D" w:rsidR="002820A5" w:rsidRDefault="009E2821" w:rsidP="002820A5">
            <w:pPr>
              <w:rPr>
                <w:sz w:val="20"/>
                <w:szCs w:val="20"/>
                <w:lang w:eastAsia="en-US"/>
              </w:rPr>
            </w:pPr>
            <w:r>
              <w:rPr>
                <w:color w:val="000000"/>
                <w:sz w:val="20"/>
                <w:szCs w:val="20"/>
                <w:lang w:eastAsia="en-US"/>
              </w:rPr>
              <w:t>413</w:t>
            </w:r>
          </w:p>
        </w:tc>
        <w:tc>
          <w:tcPr>
            <w:tcW w:w="4688" w:type="pct"/>
            <w:tcBorders>
              <w:top w:val="single" w:sz="4" w:space="0" w:color="auto"/>
              <w:left w:val="single" w:sz="4" w:space="0" w:color="auto"/>
              <w:bottom w:val="single" w:sz="4" w:space="0" w:color="auto"/>
              <w:right w:val="single" w:sz="4" w:space="0" w:color="auto"/>
            </w:tcBorders>
            <w:vAlign w:val="bottom"/>
            <w:hideMark/>
          </w:tcPr>
          <w:p w14:paraId="2B5B5BD0" w14:textId="77777777" w:rsidR="002820A5" w:rsidRDefault="002820A5" w:rsidP="002820A5">
            <w:pPr>
              <w:pStyle w:val="SOMText"/>
              <w:tabs>
                <w:tab w:val="left" w:pos="1985"/>
              </w:tabs>
              <w:ind w:firstLine="0"/>
              <w:rPr>
                <w:b/>
                <w:sz w:val="20"/>
              </w:rPr>
            </w:pPr>
            <w:r>
              <w:rPr>
                <w:b/>
                <w:bCs/>
                <w:sz w:val="20"/>
              </w:rPr>
              <w:t>Limb bones (hindlimbs), proportional length of tibia relative to the femur: (ORDERED)</w:t>
            </w:r>
          </w:p>
          <w:p w14:paraId="6ADE0471" w14:textId="0DAA3953" w:rsidR="002820A5" w:rsidRDefault="002820A5" w:rsidP="002820A5">
            <w:pPr>
              <w:autoSpaceDE w:val="0"/>
              <w:autoSpaceDN w:val="0"/>
              <w:adjustRightInd w:val="0"/>
              <w:rPr>
                <w:i/>
                <w:iCs/>
                <w:sz w:val="20"/>
                <w:szCs w:val="20"/>
                <w:lang w:eastAsia="en-US"/>
              </w:rPr>
            </w:pPr>
            <w:r>
              <w:rPr>
                <w:bCs/>
                <w:i/>
                <w:sz w:val="20"/>
                <w:szCs w:val="20"/>
                <w:lang w:eastAsia="en-US"/>
              </w:rPr>
              <w:t xml:space="preserve">Clark et al. (2000, ch. 31 modified); Clark &amp; Sues (2002, ch. 32 modified); Sues et al. (2003, ch. 32 modified); Clark et al. (2004, ch. 32 modified); </w:t>
            </w:r>
            <w:r>
              <w:rPr>
                <w:i/>
                <w:iCs/>
                <w:sz w:val="20"/>
                <w:szCs w:val="20"/>
                <w:lang w:eastAsia="en-US"/>
              </w:rPr>
              <w:t xml:space="preserve">Young (2006, ch. 44 modified); Wilkinson et al. (2008, ch. 73 modified); Young &amp; Andrade (2009, ch. 73 modified); Andrade et al. (2011, ch. 453 modified); Young et al. (2012, ch. 225 + 231 modified); </w:t>
            </w:r>
            <w:r>
              <w:rPr>
                <w:bCs/>
                <w:i/>
                <w:sz w:val="20"/>
                <w:szCs w:val="20"/>
                <w:lang w:eastAsia="en-US"/>
              </w:rPr>
              <w:t xml:space="preserve">Pol et al. (2013, ch. 32 modified); </w:t>
            </w:r>
            <w:r>
              <w:rPr>
                <w:i/>
                <w:iCs/>
                <w:sz w:val="20"/>
                <w:szCs w:val="20"/>
                <w:lang w:eastAsia="en-US"/>
              </w:rPr>
              <w:t>Young et al. (2016, ds 2, ch. 278 modified);</w:t>
            </w:r>
            <w:r>
              <w:rPr>
                <w:i/>
                <w:sz w:val="20"/>
                <w:szCs w:val="20"/>
                <w:lang w:eastAsia="en-US"/>
              </w:rPr>
              <w:t xml:space="preserve"> </w:t>
            </w:r>
            <w:r>
              <w:rPr>
                <w:bCs/>
                <w:i/>
                <w:sz w:val="20"/>
                <w:szCs w:val="20"/>
                <w:lang w:eastAsia="en-US"/>
              </w:rPr>
              <w:t xml:space="preserve">Leardi et al. (2017, ch. 32 modified); </w:t>
            </w:r>
            <w:r>
              <w:rPr>
                <w:i/>
                <w:sz w:val="20"/>
                <w:szCs w:val="20"/>
                <w:lang w:eastAsia="en-US"/>
              </w:rPr>
              <w:t xml:space="preserve">Ristevski et al. (2018, ds 1, ch. 455 modified); Smith et al. (in review, ds 2, ch. 455 modified); </w:t>
            </w:r>
            <w:r>
              <w:rPr>
                <w:i/>
                <w:sz w:val="20"/>
                <w:szCs w:val="20"/>
              </w:rPr>
              <w:t>Ősi et al. (in review, ds 1, ch. 410)</w:t>
            </w:r>
            <w:r>
              <w:rPr>
                <w:i/>
                <w:iCs/>
                <w:sz w:val="20"/>
                <w:szCs w:val="20"/>
                <w:lang w:eastAsia="en-US"/>
              </w:rPr>
              <w:t>.</w:t>
            </w:r>
          </w:p>
          <w:p w14:paraId="625D40A2" w14:textId="77777777" w:rsidR="002820A5" w:rsidRDefault="002820A5" w:rsidP="002820A5">
            <w:pPr>
              <w:autoSpaceDE w:val="0"/>
              <w:autoSpaceDN w:val="0"/>
              <w:adjustRightInd w:val="0"/>
              <w:rPr>
                <w:i/>
                <w:iCs/>
                <w:sz w:val="20"/>
                <w:szCs w:val="20"/>
                <w:lang w:eastAsia="en-US"/>
              </w:rPr>
            </w:pPr>
            <w:r>
              <w:rPr>
                <w:i/>
                <w:iCs/>
                <w:sz w:val="20"/>
                <w:szCs w:val="20"/>
                <w:lang w:eastAsia="en-US"/>
              </w:rPr>
              <w:t>This version of the character is an amalgam of the ones in Andrade et al. (2011), Young et al. (2016) and Leardi et al. (2017).</w:t>
            </w:r>
          </w:p>
          <w:p w14:paraId="2E85821C" w14:textId="77777777" w:rsidR="002820A5" w:rsidRDefault="002820A5" w:rsidP="002820A5">
            <w:pPr>
              <w:autoSpaceDE w:val="0"/>
              <w:autoSpaceDN w:val="0"/>
              <w:adjustRightInd w:val="0"/>
              <w:rPr>
                <w:i/>
                <w:iCs/>
                <w:sz w:val="20"/>
                <w:szCs w:val="20"/>
                <w:lang w:eastAsia="en-US"/>
              </w:rPr>
            </w:pPr>
            <w:r>
              <w:rPr>
                <w:i/>
                <w:iCs/>
                <w:sz w:val="20"/>
                <w:szCs w:val="20"/>
                <w:lang w:eastAsia="en-US"/>
              </w:rPr>
              <w:t>This character is designed to help elucidate variation in the proportions of the hind limb, and the changes that occur in Thalattosuchia (where the femur can be almost twice the size of tibia, i.e. in Metriorhynchidae). Thus states (2-5) are putative apomorphies of Thalattosuchia.</w:t>
            </w:r>
          </w:p>
          <w:p w14:paraId="52DD3E4B" w14:textId="77777777" w:rsidR="002820A5" w:rsidRDefault="002820A5" w:rsidP="002820A5">
            <w:pPr>
              <w:autoSpaceDE w:val="0"/>
              <w:autoSpaceDN w:val="0"/>
              <w:adjustRightInd w:val="0"/>
              <w:rPr>
                <w:i/>
                <w:color w:val="000000"/>
                <w:sz w:val="20"/>
                <w:szCs w:val="20"/>
                <w:lang w:eastAsia="en-US"/>
              </w:rPr>
            </w:pPr>
            <w:r>
              <w:rPr>
                <w:i/>
                <w:color w:val="000000"/>
                <w:sz w:val="20"/>
                <w:szCs w:val="20"/>
                <w:lang w:eastAsia="en-US"/>
              </w:rPr>
              <w:t xml:space="preserve">State (0) occurs in </w:t>
            </w:r>
            <w:r>
              <w:rPr>
                <w:color w:val="000000"/>
                <w:sz w:val="20"/>
                <w:szCs w:val="20"/>
                <w:lang w:eastAsia="en-US"/>
              </w:rPr>
              <w:t xml:space="preserve">Terrestrisuchus, </w:t>
            </w:r>
            <w:r>
              <w:rPr>
                <w:i/>
                <w:color w:val="000000"/>
                <w:sz w:val="20"/>
                <w:szCs w:val="20"/>
                <w:lang w:eastAsia="en-US"/>
              </w:rPr>
              <w:t xml:space="preserve">Hallopodidae, and </w:t>
            </w:r>
            <w:r>
              <w:rPr>
                <w:color w:val="000000"/>
                <w:sz w:val="20"/>
                <w:szCs w:val="20"/>
                <w:lang w:eastAsia="en-US"/>
              </w:rPr>
              <w:t>Gobiosuchus</w:t>
            </w:r>
            <w:r>
              <w:rPr>
                <w:i/>
                <w:color w:val="000000"/>
                <w:sz w:val="20"/>
                <w:szCs w:val="20"/>
                <w:lang w:eastAsia="en-US"/>
              </w:rPr>
              <w:t>.</w:t>
            </w:r>
          </w:p>
          <w:p w14:paraId="0CABA016" w14:textId="55617230" w:rsidR="002820A5" w:rsidRDefault="002820A5" w:rsidP="002820A5">
            <w:pPr>
              <w:autoSpaceDE w:val="0"/>
              <w:autoSpaceDN w:val="0"/>
              <w:adjustRightInd w:val="0"/>
              <w:rPr>
                <w:i/>
                <w:iCs/>
                <w:sz w:val="20"/>
                <w:szCs w:val="20"/>
                <w:lang w:eastAsia="en-US"/>
              </w:rPr>
            </w:pPr>
            <w:r>
              <w:rPr>
                <w:i/>
                <w:iCs/>
                <w:sz w:val="20"/>
                <w:szCs w:val="20"/>
                <w:lang w:eastAsia="en-US"/>
              </w:rPr>
              <w:t xml:space="preserve">In Thalattosuchia, state (4) is a putative apomorphy of both Metriorhynchinae and </w:t>
            </w:r>
            <w:r>
              <w:rPr>
                <w:iCs/>
                <w:sz w:val="20"/>
                <w:szCs w:val="20"/>
                <w:lang w:eastAsia="en-US"/>
              </w:rPr>
              <w:t>Aeolodon priscus</w:t>
            </w:r>
            <w:r>
              <w:rPr>
                <w:i/>
                <w:iCs/>
                <w:sz w:val="20"/>
                <w:szCs w:val="20"/>
                <w:lang w:eastAsia="en-US"/>
              </w:rPr>
              <w:t>, with derived metriorhynchines being state (5). Middle Jurassic teleosaur</w:t>
            </w:r>
            <w:r w:rsidR="00007246">
              <w:rPr>
                <w:i/>
                <w:iCs/>
                <w:sz w:val="20"/>
                <w:szCs w:val="20"/>
                <w:lang w:eastAsia="en-US"/>
              </w:rPr>
              <w:t>o</w:t>
            </w:r>
            <w:r>
              <w:rPr>
                <w:i/>
                <w:iCs/>
                <w:sz w:val="20"/>
                <w:szCs w:val="20"/>
                <w:lang w:eastAsia="en-US"/>
              </w:rPr>
              <w:t xml:space="preserve">ids (and the Late Jurassic genus </w:t>
            </w:r>
            <w:r>
              <w:rPr>
                <w:iCs/>
                <w:sz w:val="20"/>
                <w:szCs w:val="20"/>
                <w:lang w:eastAsia="en-US"/>
              </w:rPr>
              <w:t>Machimosaurus</w:t>
            </w:r>
            <w:r>
              <w:rPr>
                <w:i/>
                <w:iCs/>
                <w:sz w:val="20"/>
                <w:szCs w:val="20"/>
                <w:lang w:eastAsia="en-US"/>
              </w:rPr>
              <w:t>) and Geosaurinae score as state (3).</w:t>
            </w:r>
          </w:p>
          <w:p w14:paraId="2F29217E" w14:textId="3CDD273D" w:rsidR="002820A5" w:rsidRDefault="002820A5" w:rsidP="002820A5">
            <w:pPr>
              <w:autoSpaceDE w:val="0"/>
              <w:autoSpaceDN w:val="0"/>
              <w:adjustRightInd w:val="0"/>
              <w:rPr>
                <w:i/>
                <w:iCs/>
                <w:sz w:val="20"/>
                <w:szCs w:val="20"/>
                <w:lang w:eastAsia="en-US"/>
              </w:rPr>
            </w:pPr>
            <w:r>
              <w:rPr>
                <w:i/>
                <w:iCs/>
                <w:sz w:val="20"/>
                <w:szCs w:val="20"/>
                <w:lang w:eastAsia="en-US"/>
              </w:rPr>
              <w:t xml:space="preserve">Thus, this character is scoring for the independent regression of the tibia (as a proportion of the hind limb) in </w:t>
            </w:r>
            <w:r w:rsidR="00007246">
              <w:rPr>
                <w:i/>
                <w:iCs/>
                <w:sz w:val="20"/>
                <w:szCs w:val="20"/>
                <w:lang w:eastAsia="en-US"/>
              </w:rPr>
              <w:t>Teleosauroidea</w:t>
            </w:r>
            <w:r>
              <w:rPr>
                <w:i/>
                <w:iCs/>
                <w:sz w:val="20"/>
                <w:szCs w:val="20"/>
                <w:lang w:eastAsia="en-US"/>
              </w:rPr>
              <w:t xml:space="preserve"> and Metriorhynchidae.</w:t>
            </w:r>
          </w:p>
          <w:p w14:paraId="57F6ACC6" w14:textId="77777777" w:rsidR="002820A5" w:rsidRDefault="002820A5" w:rsidP="002820A5">
            <w:pPr>
              <w:autoSpaceDE w:val="0"/>
              <w:autoSpaceDN w:val="0"/>
              <w:adjustRightInd w:val="0"/>
              <w:rPr>
                <w:i/>
                <w:color w:val="000000"/>
                <w:sz w:val="20"/>
                <w:szCs w:val="20"/>
                <w:lang w:eastAsia="en-US"/>
              </w:rPr>
            </w:pPr>
            <w:r>
              <w:rPr>
                <w:i/>
                <w:color w:val="000000"/>
                <w:sz w:val="20"/>
                <w:szCs w:val="20"/>
                <w:lang w:eastAsia="en-US"/>
              </w:rPr>
              <w:t xml:space="preserve">State (2) also occurs in Dyrosauridae and </w:t>
            </w:r>
            <w:r>
              <w:rPr>
                <w:color w:val="000000"/>
                <w:sz w:val="20"/>
                <w:szCs w:val="20"/>
                <w:lang w:eastAsia="en-US"/>
              </w:rPr>
              <w:t>Terminonaris</w:t>
            </w:r>
            <w:r>
              <w:rPr>
                <w:i/>
                <w:color w:val="000000"/>
                <w:sz w:val="20"/>
                <w:szCs w:val="20"/>
                <w:lang w:eastAsia="en-US"/>
              </w:rPr>
              <w:t>.</w:t>
            </w:r>
          </w:p>
          <w:p w14:paraId="2D4F0524" w14:textId="77777777" w:rsidR="002820A5" w:rsidRDefault="002820A5" w:rsidP="002820A5">
            <w:pPr>
              <w:pStyle w:val="SOMText"/>
              <w:tabs>
                <w:tab w:val="left" w:pos="1985"/>
              </w:tabs>
              <w:ind w:firstLine="0"/>
              <w:rPr>
                <w:sz w:val="20"/>
              </w:rPr>
            </w:pPr>
            <w:r>
              <w:rPr>
                <w:sz w:val="20"/>
              </w:rPr>
              <w:t>0. length uneven, tibia slightly longer than the femur (distal/proximal more than 105%)</w:t>
            </w:r>
          </w:p>
          <w:p w14:paraId="4B850E6B" w14:textId="5665D9C0" w:rsidR="002820A5" w:rsidRDefault="002820A5" w:rsidP="002820A5">
            <w:pPr>
              <w:autoSpaceDE w:val="0"/>
              <w:autoSpaceDN w:val="0"/>
              <w:adjustRightInd w:val="0"/>
              <w:rPr>
                <w:sz w:val="20"/>
                <w:szCs w:val="20"/>
                <w:lang w:eastAsia="en-US"/>
              </w:rPr>
            </w:pPr>
            <w:r>
              <w:rPr>
                <w:sz w:val="20"/>
                <w:szCs w:val="20"/>
                <w:lang w:eastAsia="en-US"/>
              </w:rPr>
              <w:t>1. tibia subequal to femur, or only slightly shorter (distal/proximal c. 75-100%)</w:t>
            </w:r>
          </w:p>
          <w:p w14:paraId="4A86FEA1" w14:textId="77777777" w:rsidR="002820A5" w:rsidRDefault="002820A5" w:rsidP="002820A5">
            <w:pPr>
              <w:autoSpaceDE w:val="0"/>
              <w:autoSpaceDN w:val="0"/>
              <w:adjustRightInd w:val="0"/>
              <w:rPr>
                <w:sz w:val="20"/>
                <w:szCs w:val="20"/>
                <w:lang w:eastAsia="en-US"/>
              </w:rPr>
            </w:pPr>
            <w:r>
              <w:rPr>
                <w:sz w:val="20"/>
                <w:szCs w:val="20"/>
                <w:lang w:eastAsia="en-US"/>
              </w:rPr>
              <w:t>2. length uneven, tibia evidently shorter than the femur (distal/proximal c. 50-74%)</w:t>
            </w:r>
          </w:p>
          <w:p w14:paraId="37E34593" w14:textId="77777777" w:rsidR="002820A5" w:rsidRDefault="002820A5" w:rsidP="002820A5">
            <w:pPr>
              <w:autoSpaceDE w:val="0"/>
              <w:autoSpaceDN w:val="0"/>
              <w:adjustRightInd w:val="0"/>
              <w:rPr>
                <w:bCs/>
                <w:sz w:val="20"/>
                <w:szCs w:val="20"/>
                <w:lang w:eastAsia="en-US"/>
              </w:rPr>
            </w:pPr>
            <w:r>
              <w:rPr>
                <w:sz w:val="20"/>
                <w:szCs w:val="20"/>
                <w:lang w:eastAsia="en-US"/>
              </w:rPr>
              <w:t>3. length uneven, tibia evidently shorter than the femur (distal/proximal c. 40-50%)</w:t>
            </w:r>
          </w:p>
          <w:p w14:paraId="24F0DF23" w14:textId="77777777" w:rsidR="002820A5" w:rsidRDefault="002820A5" w:rsidP="002820A5">
            <w:pPr>
              <w:autoSpaceDE w:val="0"/>
              <w:autoSpaceDN w:val="0"/>
              <w:adjustRightInd w:val="0"/>
              <w:rPr>
                <w:bCs/>
                <w:sz w:val="20"/>
                <w:szCs w:val="20"/>
                <w:lang w:eastAsia="en-US"/>
              </w:rPr>
            </w:pPr>
            <w:r>
              <w:rPr>
                <w:bCs/>
                <w:sz w:val="20"/>
                <w:szCs w:val="20"/>
                <w:lang w:eastAsia="en-US"/>
              </w:rPr>
              <w:t xml:space="preserve">4. </w:t>
            </w:r>
            <w:r>
              <w:rPr>
                <w:sz w:val="20"/>
                <w:szCs w:val="20"/>
                <w:lang w:eastAsia="en-US"/>
              </w:rPr>
              <w:t>length uneven, tibia evidently shorter than the femur (distal/proximal c. 30-40%)</w:t>
            </w:r>
          </w:p>
          <w:p w14:paraId="47AD072C" w14:textId="77777777" w:rsidR="002820A5" w:rsidRDefault="002820A5" w:rsidP="002820A5">
            <w:pPr>
              <w:rPr>
                <w:sz w:val="20"/>
                <w:szCs w:val="20"/>
                <w:lang w:eastAsia="en-US"/>
              </w:rPr>
            </w:pPr>
            <w:r>
              <w:rPr>
                <w:bCs/>
                <w:sz w:val="20"/>
                <w:szCs w:val="20"/>
                <w:lang w:eastAsia="en-US"/>
              </w:rPr>
              <w:t>5.</w:t>
            </w:r>
            <w:r>
              <w:rPr>
                <w:b/>
                <w:bCs/>
                <w:sz w:val="20"/>
                <w:szCs w:val="20"/>
                <w:lang w:eastAsia="en-US"/>
              </w:rPr>
              <w:t xml:space="preserve"> </w:t>
            </w:r>
            <w:r>
              <w:rPr>
                <w:sz w:val="20"/>
                <w:szCs w:val="20"/>
                <w:lang w:eastAsia="en-US"/>
              </w:rPr>
              <w:t>length uneven, tibia evidently shorter than the femur (distal/proximal less than 30%)</w:t>
            </w:r>
          </w:p>
        </w:tc>
      </w:tr>
      <w:tr w:rsidR="002820A5" w14:paraId="6AFC86F8" w14:textId="77777777" w:rsidTr="002820A5">
        <w:tc>
          <w:tcPr>
            <w:tcW w:w="312" w:type="pct"/>
            <w:tcBorders>
              <w:top w:val="single" w:sz="4" w:space="0" w:color="auto"/>
              <w:left w:val="single" w:sz="4" w:space="0" w:color="auto"/>
              <w:bottom w:val="single" w:sz="4" w:space="0" w:color="auto"/>
              <w:right w:val="single" w:sz="4" w:space="0" w:color="auto"/>
            </w:tcBorders>
          </w:tcPr>
          <w:p w14:paraId="1438831C" w14:textId="1E156D06" w:rsidR="002820A5" w:rsidRDefault="009E2821" w:rsidP="002820A5">
            <w:pPr>
              <w:rPr>
                <w:color w:val="000000"/>
                <w:sz w:val="20"/>
                <w:szCs w:val="20"/>
                <w:lang w:eastAsia="en-US"/>
              </w:rPr>
            </w:pPr>
            <w:r>
              <w:rPr>
                <w:color w:val="000000"/>
                <w:sz w:val="20"/>
                <w:szCs w:val="20"/>
                <w:lang w:eastAsia="en-US"/>
              </w:rPr>
              <w:t>414</w:t>
            </w:r>
          </w:p>
        </w:tc>
        <w:tc>
          <w:tcPr>
            <w:tcW w:w="4688" w:type="pct"/>
            <w:tcBorders>
              <w:top w:val="single" w:sz="4" w:space="0" w:color="auto"/>
              <w:left w:val="single" w:sz="4" w:space="0" w:color="auto"/>
              <w:bottom w:val="single" w:sz="4" w:space="0" w:color="auto"/>
              <w:right w:val="single" w:sz="4" w:space="0" w:color="auto"/>
            </w:tcBorders>
            <w:vAlign w:val="bottom"/>
            <w:hideMark/>
          </w:tcPr>
          <w:p w14:paraId="570A7E38" w14:textId="77777777" w:rsidR="002820A5" w:rsidRDefault="002820A5" w:rsidP="002820A5">
            <w:pPr>
              <w:autoSpaceDE w:val="0"/>
              <w:autoSpaceDN w:val="0"/>
              <w:adjustRightInd w:val="0"/>
              <w:rPr>
                <w:b/>
                <w:bCs/>
                <w:sz w:val="20"/>
                <w:szCs w:val="20"/>
                <w:lang w:eastAsia="en-US"/>
              </w:rPr>
            </w:pPr>
            <w:r>
              <w:rPr>
                <w:b/>
                <w:bCs/>
                <w:sz w:val="20"/>
                <w:szCs w:val="20"/>
                <w:lang w:eastAsia="en-US"/>
              </w:rPr>
              <w:t>Femur, relative orientation between the proximal and distal heads:</w:t>
            </w:r>
          </w:p>
          <w:p w14:paraId="48991B43" w14:textId="6F4A5C1B" w:rsidR="002820A5" w:rsidRDefault="002820A5" w:rsidP="002820A5">
            <w:pPr>
              <w:autoSpaceDE w:val="0"/>
              <w:autoSpaceDN w:val="0"/>
              <w:adjustRightInd w:val="0"/>
              <w:rPr>
                <w:bCs/>
                <w:i/>
                <w:sz w:val="20"/>
                <w:szCs w:val="20"/>
                <w:lang w:eastAsia="en-US"/>
              </w:rPr>
            </w:pPr>
            <w:r>
              <w:rPr>
                <w:bCs/>
                <w:i/>
                <w:sz w:val="20"/>
                <w:szCs w:val="20"/>
                <w:lang w:eastAsia="en-US"/>
              </w:rPr>
              <w:t xml:space="preserve">Ortega </w:t>
            </w:r>
            <w:r>
              <w:rPr>
                <w:bCs/>
                <w:i/>
                <w:iCs/>
                <w:sz w:val="20"/>
                <w:szCs w:val="20"/>
                <w:lang w:eastAsia="en-US"/>
              </w:rPr>
              <w:t>et al. (</w:t>
            </w:r>
            <w:r>
              <w:rPr>
                <w:bCs/>
                <w:i/>
                <w:sz w:val="20"/>
                <w:szCs w:val="20"/>
                <w:lang w:eastAsia="en-US"/>
              </w:rPr>
              <w:t>2000, ch. 149), Andrade et al. (2011, ch. 455);</w:t>
            </w:r>
            <w:r>
              <w:rPr>
                <w:i/>
                <w:sz w:val="20"/>
                <w:szCs w:val="20"/>
                <w:lang w:eastAsia="en-US"/>
              </w:rPr>
              <w:t xml:space="preserve"> Ristevski et al. (2018, ds 1, ch. 457); Smith et al. (in review, ds 2, ch. 457); </w:t>
            </w:r>
            <w:r>
              <w:rPr>
                <w:i/>
                <w:sz w:val="20"/>
                <w:szCs w:val="20"/>
              </w:rPr>
              <w:t>Ősi et al. (in review, ds 1, ch. 411)</w:t>
            </w:r>
            <w:r>
              <w:rPr>
                <w:bCs/>
                <w:i/>
                <w:sz w:val="20"/>
                <w:szCs w:val="20"/>
                <w:lang w:eastAsia="en-US"/>
              </w:rPr>
              <w:t>.</w:t>
            </w:r>
          </w:p>
          <w:p w14:paraId="34B7A8EA" w14:textId="77777777" w:rsidR="002820A5" w:rsidRDefault="002820A5" w:rsidP="002820A5">
            <w:pPr>
              <w:autoSpaceDE w:val="0"/>
              <w:autoSpaceDN w:val="0"/>
              <w:adjustRightInd w:val="0"/>
              <w:rPr>
                <w:sz w:val="20"/>
                <w:szCs w:val="20"/>
                <w:lang w:eastAsia="en-US"/>
              </w:rPr>
            </w:pPr>
            <w:r>
              <w:rPr>
                <w:sz w:val="20"/>
                <w:szCs w:val="20"/>
                <w:lang w:eastAsia="en-US"/>
              </w:rPr>
              <w:t>0. femur with light torsion, proximal and distal articulation facets approximately at 30 degrees or less from each other</w:t>
            </w:r>
          </w:p>
          <w:p w14:paraId="04D7EF1B" w14:textId="77777777" w:rsidR="002820A5" w:rsidRDefault="002820A5" w:rsidP="002820A5">
            <w:pPr>
              <w:autoSpaceDE w:val="0"/>
              <w:autoSpaceDN w:val="0"/>
              <w:adjustRightInd w:val="0"/>
              <w:rPr>
                <w:b/>
                <w:bCs/>
                <w:color w:val="000000"/>
                <w:sz w:val="20"/>
                <w:szCs w:val="20"/>
                <w:lang w:eastAsia="en-US"/>
              </w:rPr>
            </w:pPr>
            <w:r>
              <w:rPr>
                <w:sz w:val="20"/>
                <w:szCs w:val="20"/>
                <w:lang w:eastAsia="en-US"/>
              </w:rPr>
              <w:t>1. femur with evident torsion, proximal and distal articulation facets approximately at 60 degrees from each other</w:t>
            </w:r>
          </w:p>
        </w:tc>
      </w:tr>
      <w:tr w:rsidR="002820A5" w14:paraId="7014CF47" w14:textId="77777777" w:rsidTr="002820A5">
        <w:tc>
          <w:tcPr>
            <w:tcW w:w="312" w:type="pct"/>
            <w:tcBorders>
              <w:top w:val="single" w:sz="4" w:space="0" w:color="auto"/>
              <w:left w:val="single" w:sz="4" w:space="0" w:color="auto"/>
              <w:bottom w:val="single" w:sz="4" w:space="0" w:color="auto"/>
              <w:right w:val="single" w:sz="4" w:space="0" w:color="auto"/>
            </w:tcBorders>
          </w:tcPr>
          <w:p w14:paraId="74D2BFB7" w14:textId="34810376" w:rsidR="002820A5" w:rsidRDefault="009E2821" w:rsidP="002820A5">
            <w:pPr>
              <w:rPr>
                <w:sz w:val="20"/>
                <w:szCs w:val="20"/>
                <w:lang w:eastAsia="en-US"/>
              </w:rPr>
            </w:pPr>
            <w:r>
              <w:rPr>
                <w:color w:val="000000"/>
                <w:sz w:val="20"/>
                <w:szCs w:val="20"/>
                <w:lang w:eastAsia="en-US"/>
              </w:rPr>
              <w:t>415</w:t>
            </w:r>
          </w:p>
        </w:tc>
        <w:tc>
          <w:tcPr>
            <w:tcW w:w="4688" w:type="pct"/>
            <w:tcBorders>
              <w:top w:val="single" w:sz="4" w:space="0" w:color="auto"/>
              <w:left w:val="single" w:sz="4" w:space="0" w:color="auto"/>
              <w:bottom w:val="single" w:sz="4" w:space="0" w:color="auto"/>
              <w:right w:val="single" w:sz="4" w:space="0" w:color="auto"/>
            </w:tcBorders>
            <w:vAlign w:val="bottom"/>
            <w:hideMark/>
          </w:tcPr>
          <w:p w14:paraId="5411D7C6"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Femur, general shape:</w:t>
            </w:r>
          </w:p>
          <w:p w14:paraId="4B8FB05A" w14:textId="2AF8F4F9" w:rsidR="002820A5" w:rsidRDefault="002820A5" w:rsidP="002820A5">
            <w:pPr>
              <w:autoSpaceDE w:val="0"/>
              <w:autoSpaceDN w:val="0"/>
              <w:adjustRightInd w:val="0"/>
              <w:rPr>
                <w:i/>
                <w:iCs/>
                <w:color w:val="000000"/>
                <w:sz w:val="20"/>
                <w:lang w:eastAsia="en-US"/>
              </w:rPr>
            </w:pPr>
            <w:r>
              <w:rPr>
                <w:i/>
                <w:iCs/>
                <w:color w:val="000000"/>
                <w:sz w:val="20"/>
                <w:lang w:eastAsia="en-US"/>
              </w:rPr>
              <w:t xml:space="preserve">Andrade et al. (2011, ch. 464 modified); </w:t>
            </w:r>
            <w:r>
              <w:rPr>
                <w:i/>
                <w:sz w:val="20"/>
                <w:szCs w:val="20"/>
                <w:lang w:eastAsia="en-US"/>
              </w:rPr>
              <w:t xml:space="preserve">Ristevski et al. (2018, ds 2, ch. 347 modified); Smith et al. (in review, ds 1, ch. 353 modified); </w:t>
            </w:r>
            <w:r>
              <w:rPr>
                <w:i/>
                <w:sz w:val="20"/>
                <w:szCs w:val="20"/>
              </w:rPr>
              <w:t>Ősi et al. (in review, ds 1, ch. 412)</w:t>
            </w:r>
            <w:r>
              <w:rPr>
                <w:i/>
                <w:iCs/>
                <w:color w:val="000000"/>
                <w:sz w:val="20"/>
                <w:lang w:eastAsia="en-US"/>
              </w:rPr>
              <w:t>.</w:t>
            </w:r>
          </w:p>
          <w:p w14:paraId="626D5C56" w14:textId="77777777" w:rsidR="002820A5" w:rsidRDefault="002820A5" w:rsidP="002820A5">
            <w:pPr>
              <w:autoSpaceDE w:val="0"/>
              <w:autoSpaceDN w:val="0"/>
              <w:adjustRightInd w:val="0"/>
              <w:rPr>
                <w:i/>
                <w:iCs/>
                <w:color w:val="000000"/>
                <w:sz w:val="20"/>
                <w:lang w:eastAsia="en-US"/>
              </w:rPr>
            </w:pPr>
            <w:r>
              <w:rPr>
                <w:i/>
                <w:iCs/>
                <w:color w:val="000000"/>
                <w:sz w:val="20"/>
                <w:lang w:eastAsia="en-US"/>
              </w:rPr>
              <w:t>State (1) is a putative apomorphy of Thalattosuchia.</w:t>
            </w:r>
          </w:p>
          <w:p w14:paraId="187C41CF" w14:textId="77777777" w:rsidR="002820A5" w:rsidRDefault="002820A5" w:rsidP="002820A5">
            <w:pPr>
              <w:autoSpaceDE w:val="0"/>
              <w:autoSpaceDN w:val="0"/>
              <w:adjustRightInd w:val="0"/>
              <w:rPr>
                <w:color w:val="000000"/>
                <w:sz w:val="20"/>
                <w:lang w:eastAsia="en-US"/>
              </w:rPr>
            </w:pPr>
            <w:r>
              <w:rPr>
                <w:color w:val="000000"/>
                <w:sz w:val="20"/>
                <w:lang w:eastAsia="en-US"/>
              </w:rPr>
              <w:t>0. sigmoidal shape formed by either an unequal proximal and distal curvature, or a strong sigmoidal shape</w:t>
            </w:r>
          </w:p>
          <w:p w14:paraId="71F5719F" w14:textId="77777777" w:rsidR="002820A5" w:rsidRDefault="002820A5" w:rsidP="002820A5">
            <w:pPr>
              <w:rPr>
                <w:sz w:val="20"/>
                <w:szCs w:val="20"/>
                <w:lang w:eastAsia="en-US"/>
              </w:rPr>
            </w:pPr>
            <w:r>
              <w:rPr>
                <w:color w:val="000000"/>
                <w:sz w:val="20"/>
                <w:lang w:eastAsia="en-US"/>
              </w:rPr>
              <w:t>1. sigmoidal shape formed by comparable curvatures proximally and distally, and forms a shallow ‘S’-shape</w:t>
            </w:r>
          </w:p>
        </w:tc>
      </w:tr>
      <w:tr w:rsidR="002820A5" w14:paraId="058BE7CF" w14:textId="77777777" w:rsidTr="002820A5">
        <w:tc>
          <w:tcPr>
            <w:tcW w:w="312" w:type="pct"/>
            <w:tcBorders>
              <w:top w:val="single" w:sz="4" w:space="0" w:color="auto"/>
              <w:left w:val="single" w:sz="4" w:space="0" w:color="auto"/>
              <w:bottom w:val="single" w:sz="4" w:space="0" w:color="auto"/>
              <w:right w:val="single" w:sz="4" w:space="0" w:color="auto"/>
            </w:tcBorders>
          </w:tcPr>
          <w:p w14:paraId="6960D3FF" w14:textId="1D87314B" w:rsidR="002820A5" w:rsidRDefault="009E2821" w:rsidP="002820A5">
            <w:pPr>
              <w:rPr>
                <w:sz w:val="20"/>
                <w:szCs w:val="20"/>
                <w:lang w:eastAsia="en-US"/>
              </w:rPr>
            </w:pPr>
            <w:r>
              <w:rPr>
                <w:color w:val="000000"/>
                <w:sz w:val="20"/>
                <w:szCs w:val="20"/>
                <w:lang w:eastAsia="en-US"/>
              </w:rPr>
              <w:t>416</w:t>
            </w:r>
          </w:p>
        </w:tc>
        <w:tc>
          <w:tcPr>
            <w:tcW w:w="4688" w:type="pct"/>
            <w:tcBorders>
              <w:top w:val="single" w:sz="4" w:space="0" w:color="auto"/>
              <w:left w:val="single" w:sz="4" w:space="0" w:color="auto"/>
              <w:bottom w:val="single" w:sz="4" w:space="0" w:color="auto"/>
              <w:right w:val="single" w:sz="4" w:space="0" w:color="auto"/>
            </w:tcBorders>
            <w:hideMark/>
          </w:tcPr>
          <w:p w14:paraId="42B1CB8F" w14:textId="77777777" w:rsidR="002820A5" w:rsidRDefault="002820A5" w:rsidP="002820A5">
            <w:pPr>
              <w:rPr>
                <w:b/>
                <w:sz w:val="20"/>
                <w:szCs w:val="20"/>
                <w:lang w:eastAsia="en-US"/>
              </w:rPr>
            </w:pPr>
            <w:r>
              <w:rPr>
                <w:b/>
                <w:sz w:val="20"/>
                <w:szCs w:val="20"/>
                <w:lang w:eastAsia="en-US"/>
              </w:rPr>
              <w:t>Femur, proximal portion, posteromedial tuber:</w:t>
            </w:r>
          </w:p>
          <w:p w14:paraId="39DAF255" w14:textId="0BC228D0" w:rsidR="002820A5" w:rsidRDefault="002820A5" w:rsidP="002820A5">
            <w:pPr>
              <w:rPr>
                <w:i/>
                <w:sz w:val="20"/>
                <w:szCs w:val="20"/>
                <w:lang w:eastAsia="en-US"/>
              </w:rPr>
            </w:pPr>
            <w:r>
              <w:rPr>
                <w:i/>
                <w:sz w:val="20"/>
                <w:szCs w:val="20"/>
                <w:lang w:eastAsia="en-US"/>
              </w:rPr>
              <w:t xml:space="preserve">Nesbitt (2011, ch. 301 modified – character states re-ordered); Young et al. (2013a, ch. 184); Young et al. (2012, ch. 219); Young (2014, ch. 230); Young et al. (2016, ds 2, ch. 272); Ristevski et al. (2018, ds 2, ch. 348); Smith et al. (in review, ds 1, ch. 354); </w:t>
            </w:r>
            <w:r>
              <w:rPr>
                <w:i/>
                <w:sz w:val="20"/>
                <w:szCs w:val="20"/>
              </w:rPr>
              <w:t>Ősi et al. (in review, ds 1, ch. 413)</w:t>
            </w:r>
            <w:r>
              <w:rPr>
                <w:i/>
                <w:sz w:val="20"/>
                <w:szCs w:val="20"/>
                <w:lang w:eastAsia="en-US"/>
              </w:rPr>
              <w:t>.</w:t>
            </w:r>
          </w:p>
          <w:p w14:paraId="1F8F885D" w14:textId="77777777" w:rsidR="002820A5" w:rsidRDefault="002820A5" w:rsidP="002820A5">
            <w:pPr>
              <w:rPr>
                <w:i/>
                <w:sz w:val="20"/>
                <w:szCs w:val="20"/>
                <w:lang w:eastAsia="en-US"/>
              </w:rPr>
            </w:pPr>
            <w:r>
              <w:rPr>
                <w:i/>
                <w:sz w:val="20"/>
                <w:szCs w:val="20"/>
                <w:lang w:eastAsia="en-US"/>
              </w:rPr>
              <w:t>State (2) is a putative apomorphy of Metriorhynchoidea.</w:t>
            </w:r>
          </w:p>
          <w:p w14:paraId="606F1753" w14:textId="77777777" w:rsidR="002820A5" w:rsidRDefault="002820A5" w:rsidP="002820A5">
            <w:pPr>
              <w:rPr>
                <w:i/>
                <w:sz w:val="20"/>
                <w:szCs w:val="20"/>
                <w:lang w:eastAsia="en-US"/>
              </w:rPr>
            </w:pPr>
            <w:r>
              <w:rPr>
                <w:i/>
                <w:sz w:val="20"/>
                <w:szCs w:val="20"/>
                <w:lang w:eastAsia="en-US"/>
              </w:rPr>
              <w:t>State (2) also occurs in non-paracrocodylomorph pseudosuchians.</w:t>
            </w:r>
          </w:p>
          <w:p w14:paraId="20DEA631" w14:textId="77777777" w:rsidR="002820A5" w:rsidRDefault="002820A5" w:rsidP="002820A5">
            <w:pPr>
              <w:rPr>
                <w:sz w:val="20"/>
                <w:szCs w:val="20"/>
                <w:lang w:eastAsia="en-US"/>
              </w:rPr>
            </w:pPr>
            <w:r>
              <w:rPr>
                <w:sz w:val="20"/>
                <w:szCs w:val="20"/>
                <w:lang w:eastAsia="en-US"/>
              </w:rPr>
              <w:t>0. absent</w:t>
            </w:r>
          </w:p>
          <w:p w14:paraId="189A73E1" w14:textId="77777777" w:rsidR="002820A5" w:rsidRDefault="002820A5" w:rsidP="002820A5">
            <w:pPr>
              <w:rPr>
                <w:sz w:val="20"/>
                <w:szCs w:val="20"/>
                <w:lang w:eastAsia="en-US"/>
              </w:rPr>
            </w:pPr>
            <w:r>
              <w:rPr>
                <w:sz w:val="20"/>
                <w:szCs w:val="20"/>
                <w:lang w:eastAsia="en-US"/>
              </w:rPr>
              <w:t>1. present, and small</w:t>
            </w:r>
          </w:p>
          <w:p w14:paraId="785C3C8D" w14:textId="77777777" w:rsidR="002820A5" w:rsidRDefault="002820A5" w:rsidP="002820A5">
            <w:pPr>
              <w:rPr>
                <w:sz w:val="20"/>
                <w:szCs w:val="20"/>
                <w:lang w:eastAsia="en-US"/>
              </w:rPr>
            </w:pPr>
            <w:r>
              <w:rPr>
                <w:sz w:val="20"/>
                <w:szCs w:val="20"/>
                <w:lang w:eastAsia="en-US"/>
              </w:rPr>
              <w:t>2. present, and largest of the proximal tubera</w:t>
            </w:r>
          </w:p>
        </w:tc>
      </w:tr>
      <w:tr w:rsidR="002820A5" w14:paraId="49E015E4" w14:textId="77777777" w:rsidTr="002820A5">
        <w:tc>
          <w:tcPr>
            <w:tcW w:w="312" w:type="pct"/>
            <w:tcBorders>
              <w:top w:val="single" w:sz="4" w:space="0" w:color="auto"/>
              <w:left w:val="single" w:sz="4" w:space="0" w:color="auto"/>
              <w:bottom w:val="single" w:sz="4" w:space="0" w:color="auto"/>
              <w:right w:val="single" w:sz="4" w:space="0" w:color="auto"/>
            </w:tcBorders>
          </w:tcPr>
          <w:p w14:paraId="6348A9F8" w14:textId="15976AA9" w:rsidR="002820A5" w:rsidRDefault="009E2821" w:rsidP="002820A5">
            <w:pPr>
              <w:rPr>
                <w:sz w:val="20"/>
                <w:szCs w:val="20"/>
                <w:lang w:eastAsia="en-US"/>
              </w:rPr>
            </w:pPr>
            <w:r>
              <w:rPr>
                <w:color w:val="000000"/>
                <w:sz w:val="20"/>
                <w:szCs w:val="20"/>
                <w:lang w:eastAsia="en-US"/>
              </w:rPr>
              <w:t>417</w:t>
            </w:r>
          </w:p>
        </w:tc>
        <w:tc>
          <w:tcPr>
            <w:tcW w:w="4688" w:type="pct"/>
            <w:tcBorders>
              <w:top w:val="single" w:sz="4" w:space="0" w:color="auto"/>
              <w:left w:val="single" w:sz="4" w:space="0" w:color="auto"/>
              <w:bottom w:val="single" w:sz="4" w:space="0" w:color="auto"/>
              <w:right w:val="single" w:sz="4" w:space="0" w:color="auto"/>
            </w:tcBorders>
            <w:vAlign w:val="bottom"/>
            <w:hideMark/>
          </w:tcPr>
          <w:p w14:paraId="75AD6AA7" w14:textId="77777777" w:rsidR="002820A5" w:rsidRDefault="002820A5" w:rsidP="002820A5">
            <w:pPr>
              <w:rPr>
                <w:b/>
                <w:color w:val="000000"/>
                <w:sz w:val="20"/>
                <w:szCs w:val="20"/>
                <w:lang w:eastAsia="en-US"/>
              </w:rPr>
            </w:pPr>
            <w:r>
              <w:rPr>
                <w:b/>
                <w:color w:val="000000"/>
                <w:sz w:val="20"/>
                <w:szCs w:val="20"/>
                <w:lang w:eastAsia="en-US"/>
              </w:rPr>
              <w:t>Femur, proximal condylar fold:</w:t>
            </w:r>
          </w:p>
          <w:p w14:paraId="18E18786" w14:textId="24016126" w:rsidR="002820A5" w:rsidRDefault="002820A5" w:rsidP="002820A5">
            <w:pPr>
              <w:rPr>
                <w:i/>
                <w:color w:val="000000"/>
                <w:sz w:val="20"/>
                <w:szCs w:val="20"/>
                <w:lang w:eastAsia="en-US"/>
              </w:rPr>
            </w:pPr>
            <w:r>
              <w:rPr>
                <w:i/>
                <w:iCs/>
                <w:color w:val="000000"/>
                <w:sz w:val="20"/>
                <w:szCs w:val="20"/>
                <w:lang w:eastAsia="en-US"/>
              </w:rPr>
              <w:t>Nesbitt (2011, ch. 312</w:t>
            </w:r>
            <w:r>
              <w:rPr>
                <w:i/>
                <w:color w:val="000000"/>
                <w:sz w:val="20"/>
                <w:szCs w:val="20"/>
                <w:lang w:eastAsia="en-US"/>
              </w:rPr>
              <w:t xml:space="preserve">); Young et al. (2013a, ch. 185); Young et al. (2012, ch. 220); Young (2014, ch. 231); Young et al. (2016, ds 2, ch. 273); </w:t>
            </w:r>
            <w:r>
              <w:rPr>
                <w:i/>
                <w:sz w:val="20"/>
                <w:szCs w:val="20"/>
                <w:lang w:eastAsia="en-US"/>
              </w:rPr>
              <w:t xml:space="preserve">Ristevski et al. (2018, ds 2, ch. 349); Smith et al. (in review, ds 1, ch. 355); </w:t>
            </w:r>
            <w:r>
              <w:rPr>
                <w:i/>
                <w:sz w:val="20"/>
                <w:szCs w:val="20"/>
              </w:rPr>
              <w:t>Ősi et al. (in review, ds 1, ch. 414)</w:t>
            </w:r>
            <w:r>
              <w:rPr>
                <w:i/>
                <w:color w:val="000000"/>
                <w:sz w:val="20"/>
                <w:szCs w:val="20"/>
                <w:lang w:eastAsia="en-US"/>
              </w:rPr>
              <w:t>.</w:t>
            </w:r>
          </w:p>
          <w:p w14:paraId="1F18E717" w14:textId="77777777" w:rsidR="002820A5" w:rsidRDefault="002820A5" w:rsidP="002820A5">
            <w:pPr>
              <w:rPr>
                <w:i/>
                <w:color w:val="000000"/>
                <w:sz w:val="20"/>
                <w:szCs w:val="20"/>
                <w:lang w:eastAsia="en-US"/>
              </w:rPr>
            </w:pPr>
            <w:r>
              <w:rPr>
                <w:i/>
                <w:color w:val="000000"/>
                <w:sz w:val="20"/>
                <w:szCs w:val="20"/>
                <w:lang w:eastAsia="en-US"/>
              </w:rPr>
              <w:t>State (1) occurs in Paracrocodylomorpha.</w:t>
            </w:r>
          </w:p>
          <w:p w14:paraId="196614CE" w14:textId="11AD7C82" w:rsidR="002820A5" w:rsidRDefault="002820A5" w:rsidP="002820A5">
            <w:pPr>
              <w:autoSpaceDE w:val="0"/>
              <w:autoSpaceDN w:val="0"/>
              <w:adjustRightInd w:val="0"/>
              <w:rPr>
                <w:rFonts w:eastAsiaTheme="minorHAnsi"/>
                <w:i/>
                <w:sz w:val="20"/>
                <w:szCs w:val="19"/>
                <w:lang w:eastAsia="en-US"/>
              </w:rPr>
            </w:pPr>
            <w:r>
              <w:rPr>
                <w:rFonts w:eastAsiaTheme="minorHAnsi"/>
                <w:i/>
                <w:sz w:val="20"/>
                <w:szCs w:val="19"/>
                <w:lang w:eastAsia="en-US"/>
              </w:rPr>
              <w:t>The proximal condylar fold is a straight ridge that connects the medioventral portion of the ventral head with the shaft on the anterolateral surface of the femur (Nesbitt 2011: p. 149).</w:t>
            </w:r>
          </w:p>
          <w:p w14:paraId="7C38E631" w14:textId="77777777" w:rsidR="002820A5" w:rsidRDefault="002820A5" w:rsidP="002820A5">
            <w:pPr>
              <w:rPr>
                <w:i/>
                <w:color w:val="000000"/>
                <w:sz w:val="20"/>
                <w:szCs w:val="20"/>
                <w:lang w:eastAsia="en-US"/>
              </w:rPr>
            </w:pPr>
            <w:r>
              <w:rPr>
                <w:i/>
                <w:color w:val="000000"/>
                <w:sz w:val="20"/>
                <w:szCs w:val="20"/>
                <w:lang w:eastAsia="en-US"/>
              </w:rPr>
              <w:t xml:space="preserve">Note that this fold can be hard to discern in Metriorhynchidae. It is possible that derived species of </w:t>
            </w:r>
            <w:r>
              <w:rPr>
                <w:color w:val="000000"/>
                <w:sz w:val="20"/>
                <w:szCs w:val="20"/>
                <w:lang w:eastAsia="en-US"/>
              </w:rPr>
              <w:t xml:space="preserve">Cricosaurus </w:t>
            </w:r>
            <w:r>
              <w:rPr>
                <w:i/>
                <w:color w:val="000000"/>
                <w:sz w:val="20"/>
                <w:szCs w:val="20"/>
                <w:lang w:eastAsia="en-US"/>
              </w:rPr>
              <w:t>lack this fold.</w:t>
            </w:r>
          </w:p>
          <w:p w14:paraId="2DE3F152" w14:textId="77777777" w:rsidR="002820A5" w:rsidRDefault="002820A5" w:rsidP="002820A5">
            <w:pPr>
              <w:rPr>
                <w:color w:val="000000"/>
                <w:sz w:val="20"/>
                <w:szCs w:val="20"/>
                <w:lang w:eastAsia="en-US"/>
              </w:rPr>
            </w:pPr>
            <w:r>
              <w:rPr>
                <w:color w:val="000000"/>
                <w:sz w:val="20"/>
                <w:szCs w:val="20"/>
                <w:lang w:eastAsia="en-US"/>
              </w:rPr>
              <w:t>0. absent</w:t>
            </w:r>
          </w:p>
          <w:p w14:paraId="1CAD92A9" w14:textId="77777777" w:rsidR="002820A5" w:rsidRDefault="002820A5" w:rsidP="002820A5">
            <w:pPr>
              <w:rPr>
                <w:sz w:val="20"/>
                <w:szCs w:val="20"/>
                <w:lang w:eastAsia="en-US"/>
              </w:rPr>
            </w:pPr>
            <w:r>
              <w:rPr>
                <w:color w:val="000000"/>
                <w:sz w:val="20"/>
                <w:szCs w:val="20"/>
                <w:lang w:eastAsia="en-US"/>
              </w:rPr>
              <w:t>1. present</w:t>
            </w:r>
          </w:p>
        </w:tc>
      </w:tr>
      <w:tr w:rsidR="002820A5" w14:paraId="3108AD20" w14:textId="77777777" w:rsidTr="002820A5">
        <w:tc>
          <w:tcPr>
            <w:tcW w:w="312" w:type="pct"/>
            <w:tcBorders>
              <w:top w:val="single" w:sz="4" w:space="0" w:color="auto"/>
              <w:left w:val="single" w:sz="4" w:space="0" w:color="auto"/>
              <w:bottom w:val="single" w:sz="4" w:space="0" w:color="auto"/>
              <w:right w:val="single" w:sz="4" w:space="0" w:color="auto"/>
            </w:tcBorders>
          </w:tcPr>
          <w:p w14:paraId="34B4A405" w14:textId="6543CE7F" w:rsidR="002820A5" w:rsidRDefault="009E2821" w:rsidP="002820A5">
            <w:pPr>
              <w:rPr>
                <w:sz w:val="20"/>
                <w:szCs w:val="20"/>
                <w:lang w:eastAsia="en-US"/>
              </w:rPr>
            </w:pPr>
            <w:r>
              <w:rPr>
                <w:color w:val="000000"/>
                <w:sz w:val="20"/>
                <w:szCs w:val="20"/>
                <w:lang w:eastAsia="en-US"/>
              </w:rPr>
              <w:t>418</w:t>
            </w:r>
          </w:p>
        </w:tc>
        <w:tc>
          <w:tcPr>
            <w:tcW w:w="4688" w:type="pct"/>
            <w:tcBorders>
              <w:top w:val="single" w:sz="4" w:space="0" w:color="auto"/>
              <w:left w:val="single" w:sz="4" w:space="0" w:color="auto"/>
              <w:bottom w:val="single" w:sz="4" w:space="0" w:color="auto"/>
              <w:right w:val="single" w:sz="4" w:space="0" w:color="auto"/>
            </w:tcBorders>
            <w:vAlign w:val="bottom"/>
            <w:hideMark/>
          </w:tcPr>
          <w:p w14:paraId="110525A4" w14:textId="77777777" w:rsidR="002820A5" w:rsidRDefault="002820A5" w:rsidP="002820A5">
            <w:pPr>
              <w:autoSpaceDE w:val="0"/>
              <w:autoSpaceDN w:val="0"/>
              <w:adjustRightInd w:val="0"/>
              <w:rPr>
                <w:b/>
                <w:sz w:val="20"/>
                <w:szCs w:val="20"/>
                <w:lang w:eastAsia="en-US"/>
              </w:rPr>
            </w:pPr>
            <w:r>
              <w:rPr>
                <w:b/>
                <w:sz w:val="20"/>
                <w:szCs w:val="20"/>
                <w:lang w:eastAsia="en-US"/>
              </w:rPr>
              <w:t xml:space="preserve">Femur, ridge of attachment for the </w:t>
            </w:r>
            <w:r>
              <w:rPr>
                <w:b/>
                <w:i/>
                <w:sz w:val="20"/>
                <w:szCs w:val="20"/>
                <w:lang w:eastAsia="en-US"/>
              </w:rPr>
              <w:t>M. caudofemoralis</w:t>
            </w:r>
            <w:r>
              <w:rPr>
                <w:b/>
                <w:sz w:val="20"/>
                <w:szCs w:val="20"/>
                <w:lang w:eastAsia="en-US"/>
              </w:rPr>
              <w:t>:</w:t>
            </w:r>
          </w:p>
          <w:p w14:paraId="0D81C58B" w14:textId="6DB3A59A" w:rsidR="002820A5" w:rsidRDefault="002820A5" w:rsidP="002820A5">
            <w:pPr>
              <w:autoSpaceDE w:val="0"/>
              <w:autoSpaceDN w:val="0"/>
              <w:adjustRightInd w:val="0"/>
              <w:rPr>
                <w:i/>
                <w:sz w:val="20"/>
                <w:szCs w:val="20"/>
                <w:lang w:eastAsia="en-US"/>
              </w:rPr>
            </w:pPr>
            <w:r>
              <w:rPr>
                <w:i/>
                <w:sz w:val="20"/>
                <w:szCs w:val="20"/>
                <w:lang w:eastAsia="en-US"/>
              </w:rPr>
              <w:t>Young &amp; Andrade (2009, ch. 108 modified); Nesbitt (2011, ch. 315 modified);</w:t>
            </w:r>
            <w:r>
              <w:rPr>
                <w:bCs/>
                <w:i/>
                <w:color w:val="000000"/>
                <w:sz w:val="20"/>
                <w:szCs w:val="20"/>
                <w:lang w:eastAsia="en-US"/>
              </w:rPr>
              <w:t xml:space="preserve"> </w:t>
            </w:r>
            <w:r>
              <w:rPr>
                <w:i/>
                <w:sz w:val="20"/>
                <w:szCs w:val="20"/>
                <w:lang w:eastAsia="en-US"/>
              </w:rPr>
              <w:t xml:space="preserve">Young et al. (2011, ch. 108 modified); </w:t>
            </w:r>
            <w:r>
              <w:rPr>
                <w:bCs/>
                <w:i/>
                <w:color w:val="000000"/>
                <w:sz w:val="20"/>
                <w:szCs w:val="20"/>
                <w:lang w:eastAsia="en-US"/>
              </w:rPr>
              <w:t>Young et al. (2013a, ch. 186);</w:t>
            </w:r>
            <w:r>
              <w:rPr>
                <w:i/>
                <w:sz w:val="20"/>
                <w:szCs w:val="20"/>
                <w:lang w:eastAsia="en-US"/>
              </w:rPr>
              <w:t xml:space="preserve"> Young et al. (2012, ch. 221); Young (2014, ch. 232); Young et al. (2016, ds 2, ch. 274); Ristevski et al. (2018, ds 2, ch. 350); Smith et al. (in review, ds 1, ch. 356); </w:t>
            </w:r>
            <w:r>
              <w:rPr>
                <w:i/>
                <w:sz w:val="20"/>
                <w:szCs w:val="20"/>
              </w:rPr>
              <w:t>Ősi et al. (in review, ds 1, ch. 415)</w:t>
            </w:r>
            <w:r>
              <w:rPr>
                <w:i/>
                <w:sz w:val="20"/>
                <w:szCs w:val="20"/>
                <w:lang w:eastAsia="en-US"/>
              </w:rPr>
              <w:t>.</w:t>
            </w:r>
          </w:p>
          <w:p w14:paraId="46842B7B" w14:textId="77777777" w:rsidR="002820A5" w:rsidRDefault="002820A5" w:rsidP="002820A5">
            <w:pPr>
              <w:autoSpaceDE w:val="0"/>
              <w:autoSpaceDN w:val="0"/>
              <w:adjustRightInd w:val="0"/>
              <w:rPr>
                <w:i/>
                <w:sz w:val="20"/>
                <w:szCs w:val="20"/>
                <w:lang w:eastAsia="en-US"/>
              </w:rPr>
            </w:pPr>
            <w:r>
              <w:rPr>
                <w:i/>
                <w:sz w:val="20"/>
                <w:szCs w:val="20"/>
                <w:lang w:eastAsia="en-US"/>
              </w:rPr>
              <w:t>We follow Young et al. (2016, ds 2) in scoring thalattosuchians as state (0). Thalattosuchians lack a fourth trochanter sensu stricto, as they only have a large flattened rugose area for the muscle attachment, not a distinct process. Thus state (0) is a putative apomorphy of Thalattosuchia.</w:t>
            </w:r>
          </w:p>
          <w:p w14:paraId="5784DA2F" w14:textId="77777777" w:rsidR="002820A5" w:rsidRDefault="002820A5" w:rsidP="002820A5">
            <w:pPr>
              <w:autoSpaceDE w:val="0"/>
              <w:autoSpaceDN w:val="0"/>
              <w:adjustRightInd w:val="0"/>
              <w:rPr>
                <w:sz w:val="20"/>
                <w:szCs w:val="20"/>
                <w:lang w:eastAsia="en-US"/>
              </w:rPr>
            </w:pPr>
            <w:r>
              <w:rPr>
                <w:sz w:val="20"/>
                <w:szCs w:val="20"/>
                <w:lang w:eastAsia="en-US"/>
              </w:rPr>
              <w:t>0. absent, flattened rugose area</w:t>
            </w:r>
          </w:p>
          <w:p w14:paraId="1EB32860" w14:textId="77777777" w:rsidR="002820A5" w:rsidRDefault="002820A5" w:rsidP="002820A5">
            <w:pPr>
              <w:autoSpaceDE w:val="0"/>
              <w:autoSpaceDN w:val="0"/>
              <w:adjustRightInd w:val="0"/>
              <w:rPr>
                <w:sz w:val="20"/>
                <w:szCs w:val="20"/>
                <w:lang w:eastAsia="en-US"/>
              </w:rPr>
            </w:pPr>
            <w:r>
              <w:rPr>
                <w:sz w:val="20"/>
                <w:szCs w:val="20"/>
                <w:lang w:eastAsia="en-US"/>
              </w:rPr>
              <w:t>1. low and without a distinct medial asymmetrical apex (= fourth trochanter)</w:t>
            </w:r>
          </w:p>
          <w:p w14:paraId="5A20A28C" w14:textId="77777777" w:rsidR="002820A5" w:rsidRDefault="002820A5" w:rsidP="002820A5">
            <w:pPr>
              <w:rPr>
                <w:sz w:val="20"/>
                <w:szCs w:val="20"/>
                <w:lang w:eastAsia="en-US"/>
              </w:rPr>
            </w:pPr>
            <w:r>
              <w:rPr>
                <w:sz w:val="20"/>
                <w:szCs w:val="20"/>
                <w:lang w:eastAsia="en-US"/>
              </w:rPr>
              <w:t>2. bladelike with a distinct asymmetric apex located medially</w:t>
            </w:r>
          </w:p>
        </w:tc>
      </w:tr>
      <w:tr w:rsidR="002820A5" w14:paraId="69C68FB4" w14:textId="77777777" w:rsidTr="002820A5">
        <w:tc>
          <w:tcPr>
            <w:tcW w:w="312" w:type="pct"/>
            <w:tcBorders>
              <w:top w:val="single" w:sz="4" w:space="0" w:color="auto"/>
              <w:left w:val="single" w:sz="4" w:space="0" w:color="auto"/>
              <w:bottom w:val="single" w:sz="4" w:space="0" w:color="auto"/>
              <w:right w:val="single" w:sz="4" w:space="0" w:color="auto"/>
            </w:tcBorders>
          </w:tcPr>
          <w:p w14:paraId="34E67D6B" w14:textId="16E7A4D5" w:rsidR="002820A5" w:rsidRDefault="009E2821" w:rsidP="002820A5">
            <w:pPr>
              <w:rPr>
                <w:sz w:val="20"/>
                <w:szCs w:val="20"/>
                <w:lang w:eastAsia="en-US"/>
              </w:rPr>
            </w:pPr>
            <w:r>
              <w:rPr>
                <w:color w:val="000000"/>
                <w:sz w:val="20"/>
                <w:szCs w:val="20"/>
                <w:lang w:eastAsia="en-US"/>
              </w:rPr>
              <w:t>419</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9662EB7" w14:textId="77777777" w:rsidR="002820A5" w:rsidRDefault="002820A5" w:rsidP="002820A5">
            <w:pPr>
              <w:rPr>
                <w:b/>
                <w:color w:val="000000"/>
                <w:sz w:val="20"/>
                <w:szCs w:val="20"/>
                <w:lang w:eastAsia="en-US"/>
              </w:rPr>
            </w:pPr>
            <w:r>
              <w:rPr>
                <w:b/>
                <w:color w:val="000000"/>
                <w:sz w:val="20"/>
                <w:szCs w:val="20"/>
                <w:lang w:eastAsia="en-US"/>
              </w:rPr>
              <w:t>Lateral edge of proximal articular surface of femur (lesser trochanter):</w:t>
            </w:r>
          </w:p>
          <w:p w14:paraId="301AE8D7" w14:textId="69D058CC" w:rsidR="002820A5" w:rsidRDefault="002820A5" w:rsidP="002820A5">
            <w:pPr>
              <w:autoSpaceDE w:val="0"/>
              <w:autoSpaceDN w:val="0"/>
              <w:adjustRightInd w:val="0"/>
              <w:rPr>
                <w:i/>
                <w:sz w:val="20"/>
                <w:szCs w:val="20"/>
                <w:lang w:eastAsia="en-US"/>
              </w:rPr>
            </w:pPr>
            <w:r>
              <w:rPr>
                <w:i/>
                <w:sz w:val="20"/>
                <w:szCs w:val="20"/>
                <w:lang w:eastAsia="en-US"/>
              </w:rPr>
              <w:t xml:space="preserve">Young &amp; Andrade (2009, ch. 117); </w:t>
            </w:r>
            <w:r>
              <w:rPr>
                <w:bCs/>
                <w:i/>
                <w:color w:val="000000"/>
                <w:sz w:val="20"/>
                <w:szCs w:val="20"/>
                <w:lang w:eastAsia="en-US"/>
              </w:rPr>
              <w:t xml:space="preserve">Young et al. (2011, ch. 117); Young et al. (2013a, ch. 187); </w:t>
            </w:r>
            <w:r>
              <w:rPr>
                <w:i/>
                <w:sz w:val="20"/>
                <w:szCs w:val="20"/>
                <w:lang w:eastAsia="en-US"/>
              </w:rPr>
              <w:t xml:space="preserve">Young et al. (2012, ch. 222); Young (2014, ch. 233); Young et al. (2016, ds 2, ch. 275); Ristevski et al. (2018, ds 2, ch. 351); Smith et al. (in review, ds 1, ch. 357); </w:t>
            </w:r>
            <w:r>
              <w:rPr>
                <w:i/>
                <w:sz w:val="20"/>
                <w:szCs w:val="20"/>
              </w:rPr>
              <w:t>Ősi et al. (in review, ds 1, ch. 416)</w:t>
            </w:r>
            <w:r>
              <w:rPr>
                <w:i/>
                <w:sz w:val="20"/>
                <w:szCs w:val="20"/>
                <w:lang w:eastAsia="en-US"/>
              </w:rPr>
              <w:t>.</w:t>
            </w:r>
          </w:p>
          <w:p w14:paraId="13634917" w14:textId="77777777" w:rsidR="002820A5" w:rsidRDefault="002820A5" w:rsidP="002820A5">
            <w:pPr>
              <w:rPr>
                <w:i/>
                <w:color w:val="000000"/>
                <w:sz w:val="20"/>
                <w:szCs w:val="20"/>
                <w:lang w:eastAsia="en-US"/>
              </w:rPr>
            </w:pPr>
            <w:r>
              <w:rPr>
                <w:i/>
                <w:color w:val="000000"/>
                <w:sz w:val="20"/>
                <w:szCs w:val="20"/>
                <w:lang w:eastAsia="en-US"/>
              </w:rPr>
              <w:t>State (1) occurs in Metasuchia.</w:t>
            </w:r>
          </w:p>
          <w:p w14:paraId="62F7A7AF" w14:textId="77777777" w:rsidR="002820A5" w:rsidRDefault="002820A5" w:rsidP="002820A5">
            <w:pPr>
              <w:rPr>
                <w:color w:val="000000"/>
                <w:sz w:val="20"/>
                <w:szCs w:val="20"/>
                <w:lang w:eastAsia="en-US"/>
              </w:rPr>
            </w:pPr>
            <w:r>
              <w:rPr>
                <w:color w:val="000000"/>
                <w:sz w:val="20"/>
                <w:szCs w:val="20"/>
                <w:lang w:eastAsia="en-US"/>
              </w:rPr>
              <w:t>0. rounded</w:t>
            </w:r>
          </w:p>
          <w:p w14:paraId="51E8C47B" w14:textId="77777777" w:rsidR="002820A5" w:rsidRDefault="002820A5" w:rsidP="002820A5">
            <w:pPr>
              <w:rPr>
                <w:sz w:val="20"/>
                <w:szCs w:val="20"/>
                <w:lang w:eastAsia="en-US"/>
              </w:rPr>
            </w:pPr>
            <w:r>
              <w:rPr>
                <w:color w:val="000000"/>
                <w:sz w:val="20"/>
                <w:szCs w:val="20"/>
                <w:lang w:eastAsia="en-US"/>
              </w:rPr>
              <w:t xml:space="preserve">1. ‘squared’ with enlarged scar for </w:t>
            </w:r>
            <w:r>
              <w:rPr>
                <w:i/>
                <w:color w:val="000000"/>
                <w:sz w:val="20"/>
                <w:szCs w:val="20"/>
                <w:lang w:eastAsia="en-US"/>
              </w:rPr>
              <w:t>Musculus ischiotrochantericus</w:t>
            </w:r>
          </w:p>
        </w:tc>
      </w:tr>
      <w:tr w:rsidR="002820A5" w14:paraId="238F6901" w14:textId="77777777" w:rsidTr="002820A5">
        <w:tc>
          <w:tcPr>
            <w:tcW w:w="312" w:type="pct"/>
            <w:tcBorders>
              <w:top w:val="single" w:sz="4" w:space="0" w:color="auto"/>
              <w:left w:val="single" w:sz="4" w:space="0" w:color="auto"/>
              <w:bottom w:val="single" w:sz="4" w:space="0" w:color="auto"/>
              <w:right w:val="single" w:sz="4" w:space="0" w:color="auto"/>
            </w:tcBorders>
          </w:tcPr>
          <w:p w14:paraId="0183D140" w14:textId="05A7A7FB" w:rsidR="002820A5" w:rsidRDefault="009E2821" w:rsidP="002820A5">
            <w:pPr>
              <w:rPr>
                <w:sz w:val="20"/>
                <w:szCs w:val="20"/>
                <w:lang w:eastAsia="en-US"/>
              </w:rPr>
            </w:pPr>
            <w:r>
              <w:rPr>
                <w:color w:val="000000"/>
                <w:sz w:val="20"/>
                <w:szCs w:val="20"/>
                <w:lang w:eastAsia="en-US"/>
              </w:rPr>
              <w:t>420</w:t>
            </w:r>
          </w:p>
        </w:tc>
        <w:tc>
          <w:tcPr>
            <w:tcW w:w="4688" w:type="pct"/>
            <w:tcBorders>
              <w:top w:val="single" w:sz="4" w:space="0" w:color="auto"/>
              <w:left w:val="single" w:sz="4" w:space="0" w:color="auto"/>
              <w:bottom w:val="single" w:sz="4" w:space="0" w:color="auto"/>
              <w:right w:val="single" w:sz="4" w:space="0" w:color="auto"/>
            </w:tcBorders>
            <w:hideMark/>
          </w:tcPr>
          <w:p w14:paraId="38FF2418" w14:textId="77777777" w:rsidR="002820A5" w:rsidRDefault="002820A5" w:rsidP="002820A5">
            <w:pPr>
              <w:autoSpaceDE w:val="0"/>
              <w:autoSpaceDN w:val="0"/>
              <w:adjustRightInd w:val="0"/>
              <w:rPr>
                <w:b/>
                <w:sz w:val="20"/>
                <w:szCs w:val="20"/>
                <w:lang w:eastAsia="en-US"/>
              </w:rPr>
            </w:pPr>
            <w:r>
              <w:rPr>
                <w:b/>
                <w:sz w:val="20"/>
                <w:szCs w:val="20"/>
                <w:lang w:eastAsia="en-US"/>
              </w:rPr>
              <w:t>Femur, medial condyle of the distal portion:</w:t>
            </w:r>
          </w:p>
          <w:p w14:paraId="2F188E21" w14:textId="56D9397F" w:rsidR="002820A5" w:rsidRDefault="002820A5" w:rsidP="002820A5">
            <w:pPr>
              <w:autoSpaceDE w:val="0"/>
              <w:autoSpaceDN w:val="0"/>
              <w:adjustRightInd w:val="0"/>
              <w:rPr>
                <w:i/>
                <w:sz w:val="20"/>
                <w:szCs w:val="20"/>
                <w:lang w:eastAsia="en-US"/>
              </w:rPr>
            </w:pPr>
            <w:r>
              <w:rPr>
                <w:i/>
                <w:sz w:val="20"/>
                <w:szCs w:val="20"/>
                <w:lang w:eastAsia="en-US"/>
              </w:rPr>
              <w:t xml:space="preserve">Nesbitt (2011, ch. 320 modified); Young et al. (2013a, ch. 188 modified); Young et al. (2012, ch. 223 modified); Young (2014, ch. 234 modified); Young et al. (2016, ds 2, ch. 276 modified); Ristevski et al. (2018, ds 2, ch. 352 modified); Smith et al. (in review, ds 1, ch. 358); </w:t>
            </w:r>
            <w:r>
              <w:rPr>
                <w:i/>
                <w:sz w:val="20"/>
                <w:szCs w:val="20"/>
              </w:rPr>
              <w:t>Ősi et al. (in review, ds 1, ch. 417)</w:t>
            </w:r>
            <w:r>
              <w:rPr>
                <w:i/>
                <w:sz w:val="20"/>
                <w:szCs w:val="20"/>
                <w:lang w:eastAsia="en-US"/>
              </w:rPr>
              <w:t>.</w:t>
            </w:r>
          </w:p>
          <w:p w14:paraId="5C114C06" w14:textId="77777777" w:rsidR="002820A5" w:rsidRDefault="002820A5" w:rsidP="002820A5">
            <w:pPr>
              <w:autoSpaceDE w:val="0"/>
              <w:autoSpaceDN w:val="0"/>
              <w:adjustRightInd w:val="0"/>
              <w:rPr>
                <w:i/>
                <w:sz w:val="20"/>
                <w:szCs w:val="20"/>
                <w:lang w:eastAsia="en-US"/>
              </w:rPr>
            </w:pPr>
            <w:r>
              <w:rPr>
                <w:i/>
                <w:sz w:val="20"/>
                <w:szCs w:val="20"/>
                <w:lang w:eastAsia="en-US"/>
              </w:rPr>
              <w:t>State (0) occurs in basal pseudosuchians.</w:t>
            </w:r>
          </w:p>
          <w:p w14:paraId="1E9E5953" w14:textId="77777777" w:rsidR="002820A5" w:rsidRDefault="002820A5" w:rsidP="002820A5">
            <w:pPr>
              <w:autoSpaceDE w:val="0"/>
              <w:autoSpaceDN w:val="0"/>
              <w:adjustRightInd w:val="0"/>
              <w:rPr>
                <w:i/>
                <w:sz w:val="20"/>
                <w:szCs w:val="20"/>
                <w:lang w:eastAsia="en-US"/>
              </w:rPr>
            </w:pPr>
            <w:r>
              <w:rPr>
                <w:i/>
                <w:sz w:val="20"/>
                <w:szCs w:val="20"/>
                <w:lang w:eastAsia="en-US"/>
              </w:rPr>
              <w:t>State (1) occurs in Postosuchidae + Crocodylomorpha.</w:t>
            </w:r>
          </w:p>
          <w:p w14:paraId="3BD58225" w14:textId="77777777" w:rsidR="002820A5" w:rsidRDefault="002820A5" w:rsidP="002820A5">
            <w:pPr>
              <w:autoSpaceDE w:val="0"/>
              <w:autoSpaceDN w:val="0"/>
              <w:adjustRightInd w:val="0"/>
              <w:rPr>
                <w:i/>
                <w:sz w:val="20"/>
                <w:szCs w:val="20"/>
                <w:lang w:eastAsia="en-US"/>
              </w:rPr>
            </w:pPr>
            <w:r>
              <w:rPr>
                <w:i/>
                <w:sz w:val="20"/>
                <w:szCs w:val="20"/>
                <w:lang w:eastAsia="en-US"/>
              </w:rPr>
              <w:t>State (2) occurs in Metriorhynchidae.</w:t>
            </w:r>
          </w:p>
          <w:p w14:paraId="08EE99BD" w14:textId="77777777" w:rsidR="002820A5" w:rsidRDefault="002820A5" w:rsidP="002820A5">
            <w:pPr>
              <w:autoSpaceDE w:val="0"/>
              <w:autoSpaceDN w:val="0"/>
              <w:adjustRightInd w:val="0"/>
              <w:rPr>
                <w:sz w:val="20"/>
                <w:szCs w:val="20"/>
                <w:lang w:eastAsia="en-US"/>
              </w:rPr>
            </w:pPr>
            <w:r>
              <w:rPr>
                <w:sz w:val="20"/>
                <w:szCs w:val="20"/>
                <w:lang w:eastAsia="en-US"/>
              </w:rPr>
              <w:t>0. tapers to a point on the medial portion in distal view</w:t>
            </w:r>
          </w:p>
          <w:p w14:paraId="448CA866" w14:textId="77777777" w:rsidR="002820A5" w:rsidRDefault="002820A5" w:rsidP="002820A5">
            <w:pPr>
              <w:rPr>
                <w:sz w:val="20"/>
                <w:szCs w:val="20"/>
                <w:lang w:eastAsia="en-US"/>
              </w:rPr>
            </w:pPr>
            <w:r>
              <w:rPr>
                <w:sz w:val="20"/>
                <w:szCs w:val="20"/>
                <w:lang w:eastAsia="en-US"/>
              </w:rPr>
              <w:t>1. smoothly rounded in distal view</w:t>
            </w:r>
          </w:p>
          <w:p w14:paraId="6325287F" w14:textId="77777777" w:rsidR="002820A5" w:rsidRDefault="002820A5" w:rsidP="002820A5">
            <w:pPr>
              <w:rPr>
                <w:sz w:val="20"/>
                <w:szCs w:val="20"/>
                <w:lang w:eastAsia="en-US"/>
              </w:rPr>
            </w:pPr>
            <w:r>
              <w:rPr>
                <w:sz w:val="20"/>
                <w:szCs w:val="20"/>
                <w:lang w:eastAsia="en-US"/>
              </w:rPr>
              <w:t>2. condyle incompletely ossified, and typically poorly developed</w:t>
            </w:r>
          </w:p>
        </w:tc>
      </w:tr>
      <w:tr w:rsidR="002820A5" w14:paraId="37CC9698" w14:textId="77777777" w:rsidTr="002820A5">
        <w:tc>
          <w:tcPr>
            <w:tcW w:w="312" w:type="pct"/>
            <w:tcBorders>
              <w:top w:val="single" w:sz="4" w:space="0" w:color="auto"/>
              <w:left w:val="single" w:sz="4" w:space="0" w:color="auto"/>
              <w:bottom w:val="single" w:sz="4" w:space="0" w:color="auto"/>
              <w:right w:val="single" w:sz="4" w:space="0" w:color="auto"/>
            </w:tcBorders>
          </w:tcPr>
          <w:p w14:paraId="4FBC0F2C" w14:textId="43991031" w:rsidR="002820A5" w:rsidRDefault="009E2821" w:rsidP="002820A5">
            <w:pPr>
              <w:rPr>
                <w:sz w:val="20"/>
                <w:szCs w:val="20"/>
                <w:lang w:eastAsia="en-US"/>
              </w:rPr>
            </w:pPr>
            <w:r>
              <w:rPr>
                <w:sz w:val="20"/>
                <w:szCs w:val="20"/>
                <w:lang w:eastAsia="en-US"/>
              </w:rPr>
              <w:t>421</w:t>
            </w:r>
          </w:p>
        </w:tc>
        <w:tc>
          <w:tcPr>
            <w:tcW w:w="4688" w:type="pct"/>
            <w:tcBorders>
              <w:top w:val="single" w:sz="4" w:space="0" w:color="auto"/>
              <w:left w:val="single" w:sz="4" w:space="0" w:color="auto"/>
              <w:bottom w:val="single" w:sz="4" w:space="0" w:color="auto"/>
              <w:right w:val="single" w:sz="4" w:space="0" w:color="auto"/>
            </w:tcBorders>
            <w:hideMark/>
          </w:tcPr>
          <w:p w14:paraId="7C9EF395" w14:textId="77777777" w:rsidR="002820A5" w:rsidRDefault="002820A5" w:rsidP="002820A5">
            <w:pPr>
              <w:rPr>
                <w:b/>
                <w:sz w:val="20"/>
                <w:szCs w:val="20"/>
                <w:lang w:eastAsia="en-US"/>
              </w:rPr>
            </w:pPr>
            <w:r>
              <w:rPr>
                <w:b/>
                <w:sz w:val="20"/>
                <w:szCs w:val="20"/>
                <w:lang w:eastAsia="en-US"/>
              </w:rPr>
              <w:t>Femur, distal surface between the lateral and medial condyles:</w:t>
            </w:r>
          </w:p>
          <w:p w14:paraId="78F38AD8" w14:textId="02F4B863" w:rsidR="002820A5" w:rsidRDefault="002820A5" w:rsidP="002820A5">
            <w:pPr>
              <w:rPr>
                <w:i/>
                <w:sz w:val="20"/>
                <w:szCs w:val="20"/>
                <w:lang w:eastAsia="en-US"/>
              </w:rPr>
            </w:pPr>
            <w:r>
              <w:rPr>
                <w:i/>
                <w:sz w:val="20"/>
                <w:szCs w:val="20"/>
                <w:lang w:eastAsia="en-US"/>
              </w:rPr>
              <w:t xml:space="preserve">Nesbitt (2011, ch. 321); Young et al. (2013a, ch. 189); Young et al. (2012, ch. 224); Young (2014, ch. 235); Young et al. (2016, ds 2, ch. 277); Ristevski et al. (2018, ds 2, ch. 353); Smith et al. (in review, ds 1, ch. 359); </w:t>
            </w:r>
            <w:r>
              <w:rPr>
                <w:i/>
                <w:sz w:val="20"/>
                <w:szCs w:val="20"/>
              </w:rPr>
              <w:t>Ősi et al. (in review, ds 1, ch. 418)</w:t>
            </w:r>
            <w:r>
              <w:rPr>
                <w:i/>
                <w:sz w:val="20"/>
                <w:szCs w:val="20"/>
                <w:lang w:eastAsia="en-US"/>
              </w:rPr>
              <w:t>.</w:t>
            </w:r>
          </w:p>
          <w:p w14:paraId="32227A14" w14:textId="77777777" w:rsidR="002820A5" w:rsidRDefault="002820A5" w:rsidP="002820A5">
            <w:pPr>
              <w:rPr>
                <w:i/>
                <w:sz w:val="20"/>
                <w:szCs w:val="20"/>
                <w:lang w:eastAsia="en-US"/>
              </w:rPr>
            </w:pPr>
            <w:r>
              <w:rPr>
                <w:i/>
                <w:sz w:val="20"/>
                <w:szCs w:val="20"/>
                <w:lang w:eastAsia="en-US"/>
              </w:rPr>
              <w:t>State (1) occurs in crocodyliforms, and some ‘sphenosuchians’.</w:t>
            </w:r>
          </w:p>
          <w:p w14:paraId="6FB2239C" w14:textId="77777777" w:rsidR="002820A5" w:rsidRDefault="002820A5" w:rsidP="002820A5">
            <w:pPr>
              <w:rPr>
                <w:i/>
                <w:sz w:val="20"/>
                <w:szCs w:val="20"/>
                <w:lang w:eastAsia="en-US"/>
              </w:rPr>
            </w:pPr>
            <w:r>
              <w:rPr>
                <w:i/>
                <w:sz w:val="20"/>
                <w:szCs w:val="20"/>
                <w:lang w:eastAsia="en-US"/>
              </w:rPr>
              <w:t>Within Crocodyliformes, state (0) is a putative apomorphy of Metriorhynchidae.</w:t>
            </w:r>
          </w:p>
          <w:p w14:paraId="200D096A" w14:textId="77777777" w:rsidR="002820A5" w:rsidRDefault="002820A5" w:rsidP="002820A5">
            <w:pPr>
              <w:rPr>
                <w:sz w:val="20"/>
                <w:szCs w:val="20"/>
                <w:lang w:eastAsia="en-US"/>
              </w:rPr>
            </w:pPr>
            <w:r>
              <w:rPr>
                <w:sz w:val="20"/>
                <w:szCs w:val="20"/>
                <w:lang w:eastAsia="en-US"/>
              </w:rPr>
              <w:t>0. nearly flat or flat</w:t>
            </w:r>
          </w:p>
          <w:p w14:paraId="2F2EF728" w14:textId="77777777" w:rsidR="002820A5" w:rsidRDefault="002820A5" w:rsidP="002820A5">
            <w:pPr>
              <w:rPr>
                <w:sz w:val="20"/>
                <w:szCs w:val="20"/>
                <w:lang w:eastAsia="en-US"/>
              </w:rPr>
            </w:pPr>
            <w:r>
              <w:rPr>
                <w:sz w:val="20"/>
                <w:szCs w:val="20"/>
                <w:lang w:eastAsia="en-US"/>
              </w:rPr>
              <w:t>1. groove separating the medial condyle from the lateral condyle</w:t>
            </w:r>
          </w:p>
        </w:tc>
      </w:tr>
      <w:tr w:rsidR="002820A5" w14:paraId="4FC59D53" w14:textId="77777777" w:rsidTr="002820A5">
        <w:tc>
          <w:tcPr>
            <w:tcW w:w="312" w:type="pct"/>
            <w:tcBorders>
              <w:top w:val="single" w:sz="4" w:space="0" w:color="auto"/>
              <w:left w:val="single" w:sz="4" w:space="0" w:color="auto"/>
              <w:bottom w:val="single" w:sz="4" w:space="0" w:color="auto"/>
              <w:right w:val="single" w:sz="4" w:space="0" w:color="auto"/>
            </w:tcBorders>
          </w:tcPr>
          <w:p w14:paraId="3EBA0F9F" w14:textId="4723FF8D" w:rsidR="002820A5" w:rsidRDefault="009E2821" w:rsidP="002820A5">
            <w:pPr>
              <w:rPr>
                <w:color w:val="000000"/>
                <w:sz w:val="20"/>
                <w:szCs w:val="20"/>
                <w:lang w:eastAsia="en-US"/>
              </w:rPr>
            </w:pPr>
            <w:r>
              <w:rPr>
                <w:color w:val="000000"/>
                <w:sz w:val="20"/>
                <w:szCs w:val="20"/>
                <w:lang w:eastAsia="en-US"/>
              </w:rPr>
              <w:t>422</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2F62EC4"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Calcaneum tuber, development:</w:t>
            </w:r>
          </w:p>
          <w:p w14:paraId="396CCD2D" w14:textId="396954FE"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Young (2006, ch. 45 modified); Wilkinson et al. (2008, ch. 74 modified); Young &amp; Andrade (2009, ch. 74 modified); Andrade et al. (2011, ch. 466); Young et al. (2011, ch. 74 modified); Young et al. (2013a, ch. 191 modified); Young et al. (2012, ch. 226 modified); Young (2014, ch. 237 modified); Young et al. (2016, ds 2, ch. 279 - rephrased); </w:t>
            </w:r>
            <w:r>
              <w:rPr>
                <w:i/>
                <w:sz w:val="20"/>
                <w:szCs w:val="20"/>
                <w:lang w:eastAsia="en-US"/>
              </w:rPr>
              <w:t xml:space="preserve">Ristevski et al. (2018, ds 2, ch. 354); Smith et al. (in review, ds 1, ch. 360); </w:t>
            </w:r>
            <w:r>
              <w:rPr>
                <w:i/>
                <w:sz w:val="20"/>
                <w:szCs w:val="20"/>
              </w:rPr>
              <w:t>Ősi et al. (in review, ds 1, ch. 419)</w:t>
            </w:r>
            <w:r>
              <w:rPr>
                <w:bCs/>
                <w:i/>
                <w:color w:val="000000"/>
                <w:sz w:val="20"/>
                <w:szCs w:val="20"/>
                <w:lang w:eastAsia="en-US"/>
              </w:rPr>
              <w:t>.</w:t>
            </w:r>
          </w:p>
          <w:p w14:paraId="1E080521" w14:textId="77777777"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This character scores the regression of the tuber in metriorhynchines. </w:t>
            </w:r>
            <w:r>
              <w:rPr>
                <w:bCs/>
                <w:i/>
                <w:sz w:val="20"/>
                <w:szCs w:val="20"/>
                <w:lang w:eastAsia="en-US"/>
              </w:rPr>
              <w:t>Whether the calcaneal tuber regresses in geosaurine metriorhynchids is currently unknown.</w:t>
            </w:r>
          </w:p>
          <w:p w14:paraId="34B97BEF" w14:textId="77777777" w:rsidR="002820A5" w:rsidRDefault="002820A5" w:rsidP="002820A5">
            <w:pPr>
              <w:rPr>
                <w:color w:val="000000"/>
                <w:sz w:val="20"/>
                <w:szCs w:val="20"/>
                <w:lang w:eastAsia="en-US"/>
              </w:rPr>
            </w:pPr>
            <w:r>
              <w:rPr>
                <w:color w:val="000000"/>
                <w:sz w:val="20"/>
                <w:szCs w:val="20"/>
                <w:lang w:eastAsia="en-US"/>
              </w:rPr>
              <w:t>0. well developed with a long neck (typically subequal in length to main body of calcaneum)</w:t>
            </w:r>
          </w:p>
          <w:p w14:paraId="4AD45B76" w14:textId="77777777" w:rsidR="002820A5" w:rsidRDefault="002820A5" w:rsidP="002820A5">
            <w:pPr>
              <w:autoSpaceDE w:val="0"/>
              <w:autoSpaceDN w:val="0"/>
              <w:adjustRightInd w:val="0"/>
              <w:rPr>
                <w:b/>
                <w:bCs/>
                <w:color w:val="000000"/>
                <w:sz w:val="20"/>
                <w:lang w:eastAsia="en-US"/>
              </w:rPr>
            </w:pPr>
            <w:r>
              <w:rPr>
                <w:color w:val="000000"/>
                <w:sz w:val="20"/>
                <w:szCs w:val="20"/>
                <w:lang w:eastAsia="en-US"/>
              </w:rPr>
              <w:t>1. poorly developed with a short neck (less than half length of calcaneum main body, and projects out in one plane from the calcaneum main body)</w:t>
            </w:r>
          </w:p>
        </w:tc>
      </w:tr>
      <w:tr w:rsidR="002820A5" w14:paraId="1CD33DE8" w14:textId="77777777" w:rsidTr="002820A5">
        <w:tc>
          <w:tcPr>
            <w:tcW w:w="312" w:type="pct"/>
            <w:tcBorders>
              <w:top w:val="single" w:sz="4" w:space="0" w:color="auto"/>
              <w:left w:val="single" w:sz="4" w:space="0" w:color="auto"/>
              <w:bottom w:val="single" w:sz="4" w:space="0" w:color="auto"/>
              <w:right w:val="single" w:sz="4" w:space="0" w:color="auto"/>
            </w:tcBorders>
          </w:tcPr>
          <w:p w14:paraId="6B3162B9" w14:textId="615364CF" w:rsidR="002820A5" w:rsidRDefault="009E2821" w:rsidP="002820A5">
            <w:pPr>
              <w:rPr>
                <w:color w:val="000000"/>
                <w:sz w:val="20"/>
                <w:szCs w:val="20"/>
                <w:lang w:eastAsia="en-US"/>
              </w:rPr>
            </w:pPr>
            <w:r>
              <w:rPr>
                <w:color w:val="000000"/>
                <w:sz w:val="20"/>
                <w:szCs w:val="20"/>
                <w:lang w:eastAsia="en-US"/>
              </w:rPr>
              <w:t>423</w:t>
            </w:r>
          </w:p>
        </w:tc>
        <w:tc>
          <w:tcPr>
            <w:tcW w:w="4688" w:type="pct"/>
            <w:tcBorders>
              <w:top w:val="single" w:sz="4" w:space="0" w:color="auto"/>
              <w:left w:val="single" w:sz="4" w:space="0" w:color="auto"/>
              <w:bottom w:val="single" w:sz="4" w:space="0" w:color="auto"/>
              <w:right w:val="single" w:sz="4" w:space="0" w:color="auto"/>
            </w:tcBorders>
            <w:vAlign w:val="bottom"/>
            <w:hideMark/>
          </w:tcPr>
          <w:p w14:paraId="60A550C9" w14:textId="77777777" w:rsidR="002820A5" w:rsidRDefault="002820A5" w:rsidP="002820A5">
            <w:pPr>
              <w:rPr>
                <w:b/>
                <w:color w:val="000000"/>
                <w:sz w:val="20"/>
                <w:szCs w:val="20"/>
                <w:lang w:eastAsia="en-US"/>
              </w:rPr>
            </w:pPr>
            <w:r>
              <w:rPr>
                <w:b/>
                <w:color w:val="000000"/>
                <w:sz w:val="20"/>
                <w:szCs w:val="20"/>
                <w:lang w:eastAsia="en-US"/>
              </w:rPr>
              <w:t>Pes, length of metatarsals: (ORDERED)</w:t>
            </w:r>
          </w:p>
          <w:p w14:paraId="41191958" w14:textId="3F4D233D" w:rsidR="002820A5" w:rsidRDefault="002820A5" w:rsidP="002820A5">
            <w:pPr>
              <w:autoSpaceDE w:val="0"/>
              <w:autoSpaceDN w:val="0"/>
              <w:adjustRightInd w:val="0"/>
              <w:rPr>
                <w:i/>
                <w:sz w:val="20"/>
                <w:szCs w:val="20"/>
                <w:lang w:eastAsia="en-US"/>
              </w:rPr>
            </w:pPr>
            <w:r>
              <w:rPr>
                <w:i/>
                <w:sz w:val="20"/>
                <w:szCs w:val="20"/>
                <w:lang w:eastAsia="en-US"/>
              </w:rPr>
              <w:t xml:space="preserve">Young (2006, ch. 46 modified); Wilkinson et al. (2008, ch. 75 modified); Young &amp; Andrade (2009, ch. 75 modified); </w:t>
            </w:r>
            <w:r>
              <w:rPr>
                <w:bCs/>
                <w:i/>
                <w:color w:val="000000"/>
                <w:sz w:val="20"/>
                <w:szCs w:val="20"/>
                <w:lang w:eastAsia="en-US"/>
              </w:rPr>
              <w:t xml:space="preserve">Young et al. (2011, ch. 75 modified); Young et al. (2013a, ch. 192 modified); </w:t>
            </w:r>
            <w:r>
              <w:rPr>
                <w:i/>
                <w:sz w:val="20"/>
                <w:szCs w:val="20"/>
                <w:lang w:eastAsia="en-US"/>
              </w:rPr>
              <w:t xml:space="preserve">Young et al. (2012, ch. 227 modified); Young (2014, ch. 238 modified); Young et al. (2016, ds 2, ch. 280 modified); Ristevski et al. (2018, ds 2, ch. 355 modified); Smith et al. (in review, ds 1, ch. 361 modified); </w:t>
            </w:r>
            <w:r>
              <w:rPr>
                <w:i/>
                <w:sz w:val="20"/>
                <w:szCs w:val="20"/>
              </w:rPr>
              <w:t>Ősi et al. (in review, ds 1, ch. 420)</w:t>
            </w:r>
            <w:r>
              <w:rPr>
                <w:i/>
                <w:sz w:val="20"/>
                <w:szCs w:val="20"/>
                <w:lang w:eastAsia="en-US"/>
              </w:rPr>
              <w:t>.</w:t>
            </w:r>
          </w:p>
          <w:p w14:paraId="7AEE1524" w14:textId="77777777" w:rsidR="002820A5" w:rsidRDefault="002820A5" w:rsidP="002820A5">
            <w:pPr>
              <w:autoSpaceDE w:val="0"/>
              <w:autoSpaceDN w:val="0"/>
              <w:adjustRightInd w:val="0"/>
              <w:rPr>
                <w:i/>
                <w:sz w:val="20"/>
                <w:szCs w:val="20"/>
                <w:lang w:eastAsia="en-US"/>
              </w:rPr>
            </w:pPr>
            <w:r>
              <w:rPr>
                <w:i/>
                <w:sz w:val="20"/>
                <w:szCs w:val="20"/>
                <w:lang w:eastAsia="en-US"/>
              </w:rPr>
              <w:t>States (1-2) occur in Metriorhynchoidea.</w:t>
            </w:r>
          </w:p>
          <w:p w14:paraId="1AADED8F" w14:textId="77777777" w:rsidR="002820A5" w:rsidRDefault="002820A5" w:rsidP="002820A5">
            <w:pPr>
              <w:autoSpaceDE w:val="0"/>
              <w:autoSpaceDN w:val="0"/>
              <w:adjustRightInd w:val="0"/>
              <w:rPr>
                <w:i/>
                <w:sz w:val="20"/>
                <w:szCs w:val="20"/>
                <w:lang w:eastAsia="en-US"/>
              </w:rPr>
            </w:pPr>
            <w:r>
              <w:rPr>
                <w:i/>
                <w:sz w:val="20"/>
                <w:szCs w:val="20"/>
                <w:lang w:eastAsia="en-US"/>
              </w:rPr>
              <w:t>State (2) occurs in Metriorhynchidae.</w:t>
            </w:r>
          </w:p>
          <w:p w14:paraId="1D7F3495" w14:textId="77777777" w:rsidR="002820A5" w:rsidRDefault="002820A5" w:rsidP="002820A5">
            <w:pPr>
              <w:rPr>
                <w:b/>
                <w:color w:val="000000"/>
                <w:sz w:val="20"/>
                <w:szCs w:val="20"/>
                <w:lang w:eastAsia="en-US"/>
              </w:rPr>
            </w:pPr>
            <w:r>
              <w:rPr>
                <w:i/>
                <w:sz w:val="20"/>
                <w:szCs w:val="20"/>
                <w:lang w:eastAsia="en-US"/>
              </w:rPr>
              <w:t>This character helps score the modification of the pes into paddles in Metriorhynchoidea.</w:t>
            </w:r>
          </w:p>
          <w:p w14:paraId="3411035C" w14:textId="478E3AB4" w:rsidR="002820A5" w:rsidRDefault="002820A5" w:rsidP="002820A5">
            <w:pPr>
              <w:rPr>
                <w:color w:val="000000"/>
                <w:sz w:val="20"/>
                <w:szCs w:val="20"/>
                <w:lang w:eastAsia="en-US"/>
              </w:rPr>
            </w:pPr>
            <w:r>
              <w:rPr>
                <w:color w:val="000000"/>
                <w:sz w:val="20"/>
                <w:szCs w:val="20"/>
                <w:lang w:eastAsia="en-US"/>
              </w:rPr>
              <w:t>0. metatarsals I–IV longer than their repective digit phalanges (greater than 20%)</w:t>
            </w:r>
          </w:p>
          <w:p w14:paraId="0BBAA1FD" w14:textId="77777777" w:rsidR="002820A5" w:rsidRDefault="002820A5" w:rsidP="002820A5">
            <w:pPr>
              <w:rPr>
                <w:color w:val="000000"/>
                <w:sz w:val="20"/>
                <w:szCs w:val="20"/>
                <w:lang w:eastAsia="en-US"/>
              </w:rPr>
            </w:pPr>
            <w:r>
              <w:rPr>
                <w:color w:val="000000"/>
                <w:sz w:val="20"/>
                <w:szCs w:val="20"/>
                <w:lang w:eastAsia="en-US"/>
              </w:rPr>
              <w:t>1. metatarsals II–IV sub-equal in length to their repspective digit phalanges (± 10%)</w:t>
            </w:r>
          </w:p>
          <w:p w14:paraId="11E517EB" w14:textId="366EDD10" w:rsidR="002820A5" w:rsidRDefault="002820A5" w:rsidP="002820A5">
            <w:pPr>
              <w:autoSpaceDE w:val="0"/>
              <w:autoSpaceDN w:val="0"/>
              <w:adjustRightInd w:val="0"/>
              <w:rPr>
                <w:b/>
                <w:bCs/>
                <w:color w:val="000000"/>
                <w:sz w:val="20"/>
                <w:lang w:eastAsia="en-US"/>
              </w:rPr>
            </w:pPr>
            <w:r>
              <w:rPr>
                <w:color w:val="000000"/>
                <w:sz w:val="20"/>
                <w:szCs w:val="20"/>
                <w:lang w:eastAsia="en-US"/>
              </w:rPr>
              <w:t>2. metatarsals II–IV shorter than their respective digit phalanges (less than 90%)</w:t>
            </w:r>
          </w:p>
        </w:tc>
      </w:tr>
      <w:tr w:rsidR="002820A5" w14:paraId="17BC7F4B" w14:textId="77777777" w:rsidTr="002820A5">
        <w:tc>
          <w:tcPr>
            <w:tcW w:w="312" w:type="pct"/>
            <w:tcBorders>
              <w:top w:val="single" w:sz="4" w:space="0" w:color="auto"/>
              <w:left w:val="single" w:sz="4" w:space="0" w:color="auto"/>
              <w:bottom w:val="single" w:sz="4" w:space="0" w:color="auto"/>
              <w:right w:val="single" w:sz="4" w:space="0" w:color="auto"/>
            </w:tcBorders>
          </w:tcPr>
          <w:p w14:paraId="6EFAB536" w14:textId="1B5B4F93" w:rsidR="002820A5" w:rsidRDefault="009E2821" w:rsidP="002820A5">
            <w:pPr>
              <w:rPr>
                <w:color w:val="000000"/>
                <w:sz w:val="20"/>
                <w:szCs w:val="20"/>
                <w:lang w:eastAsia="en-US"/>
              </w:rPr>
            </w:pPr>
            <w:r>
              <w:rPr>
                <w:color w:val="000000"/>
                <w:sz w:val="20"/>
                <w:szCs w:val="20"/>
                <w:lang w:eastAsia="en-US"/>
              </w:rPr>
              <w:t>424</w:t>
            </w:r>
          </w:p>
        </w:tc>
        <w:tc>
          <w:tcPr>
            <w:tcW w:w="4688" w:type="pct"/>
            <w:tcBorders>
              <w:top w:val="single" w:sz="4" w:space="0" w:color="auto"/>
              <w:left w:val="single" w:sz="4" w:space="0" w:color="auto"/>
              <w:bottom w:val="single" w:sz="4" w:space="0" w:color="auto"/>
              <w:right w:val="single" w:sz="4" w:space="0" w:color="auto"/>
            </w:tcBorders>
            <w:vAlign w:val="bottom"/>
            <w:hideMark/>
          </w:tcPr>
          <w:p w14:paraId="2306C0D8"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Pes, proximal morphology of metatarsal I: (ORDERED)</w:t>
            </w:r>
          </w:p>
          <w:p w14:paraId="5520EB6B" w14:textId="63CDF80C"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Young (2006, ch. 47 modified); Wilkinson et al. (2008, ch. 76 modified); Young &amp; Andrade (2009, ch. 76 modified); Andrade et al. (2011, ch. 467 modified); Young et al. (2011, ch. 76 modified); Young et al. (2013a, ch. 193 modified); Young et al. (2012, ch. 228 modified); Young (2014, ch. 239 modified); Young et al. (2016, ds 2, ch. 281 modified); </w:t>
            </w:r>
            <w:r>
              <w:rPr>
                <w:i/>
                <w:sz w:val="20"/>
                <w:szCs w:val="20"/>
                <w:lang w:eastAsia="en-US"/>
              </w:rPr>
              <w:t xml:space="preserve">Ristevski et al. (2018, ds 2, ch. 356 modified); Smith et al. (in review, ds 1, ch. 362 modified); </w:t>
            </w:r>
            <w:r>
              <w:rPr>
                <w:i/>
                <w:sz w:val="20"/>
                <w:szCs w:val="20"/>
              </w:rPr>
              <w:t>Ősi et al. (in review, ds 1, ch. 421)</w:t>
            </w:r>
            <w:r>
              <w:rPr>
                <w:bCs/>
                <w:i/>
                <w:color w:val="000000"/>
                <w:sz w:val="20"/>
                <w:szCs w:val="20"/>
                <w:lang w:eastAsia="en-US"/>
              </w:rPr>
              <w:t>.</w:t>
            </w:r>
          </w:p>
          <w:p w14:paraId="6AF4569D" w14:textId="77777777"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States (1-4) occur in Metriorhynchoidea.</w:t>
            </w:r>
          </w:p>
          <w:p w14:paraId="3AABB0B5" w14:textId="77777777"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This character scores the broadening of metatarsal I seen in metriorhynchines. </w:t>
            </w:r>
            <w:r>
              <w:rPr>
                <w:bCs/>
                <w:i/>
                <w:sz w:val="20"/>
                <w:szCs w:val="20"/>
                <w:lang w:eastAsia="en-US"/>
              </w:rPr>
              <w:t>The pes of geosaurine metriorhynchid is currently unknown.</w:t>
            </w:r>
          </w:p>
          <w:p w14:paraId="67A6EA57" w14:textId="77777777" w:rsidR="002820A5" w:rsidRDefault="002820A5" w:rsidP="002820A5">
            <w:pPr>
              <w:rPr>
                <w:b/>
                <w:color w:val="000000"/>
                <w:sz w:val="20"/>
                <w:szCs w:val="20"/>
                <w:lang w:eastAsia="en-US"/>
              </w:rPr>
            </w:pPr>
            <w:r>
              <w:rPr>
                <w:i/>
                <w:sz w:val="20"/>
                <w:szCs w:val="20"/>
                <w:lang w:eastAsia="en-US"/>
              </w:rPr>
              <w:t>This character helps score the modification of the pes into paddles in Metriorhynchoidea.</w:t>
            </w:r>
          </w:p>
          <w:p w14:paraId="0978FC9A"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proximal end not enlarged (typically no more than 10%, but depending on preservation up to 20%, wider than any other metatarsal)</w:t>
            </w:r>
          </w:p>
          <w:p w14:paraId="017F5021"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1. proximal end enlarged (25-30% wider)</w:t>
            </w:r>
          </w:p>
          <w:p w14:paraId="0C31AD9A"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2. proximal end moderately enlarged (45-55% wider)</w:t>
            </w:r>
          </w:p>
          <w:p w14:paraId="68DD957B" w14:textId="56238833" w:rsidR="002820A5" w:rsidRDefault="002820A5" w:rsidP="002820A5">
            <w:pPr>
              <w:autoSpaceDE w:val="0"/>
              <w:autoSpaceDN w:val="0"/>
              <w:adjustRightInd w:val="0"/>
              <w:rPr>
                <w:b/>
                <w:bCs/>
                <w:color w:val="000000"/>
                <w:sz w:val="20"/>
                <w:lang w:eastAsia="en-US"/>
              </w:rPr>
            </w:pPr>
            <w:r>
              <w:rPr>
                <w:color w:val="000000"/>
                <w:sz w:val="20"/>
                <w:szCs w:val="20"/>
                <w:lang w:eastAsia="en-US"/>
              </w:rPr>
              <w:t>3. proximal end greatly enlarged (more than 75% wider)</w:t>
            </w:r>
          </w:p>
        </w:tc>
      </w:tr>
      <w:tr w:rsidR="002820A5" w14:paraId="0BC48051" w14:textId="77777777" w:rsidTr="002820A5">
        <w:tc>
          <w:tcPr>
            <w:tcW w:w="312" w:type="pct"/>
            <w:tcBorders>
              <w:top w:val="single" w:sz="4" w:space="0" w:color="auto"/>
              <w:left w:val="single" w:sz="4" w:space="0" w:color="auto"/>
              <w:bottom w:val="single" w:sz="4" w:space="0" w:color="auto"/>
              <w:right w:val="single" w:sz="4" w:space="0" w:color="auto"/>
            </w:tcBorders>
          </w:tcPr>
          <w:p w14:paraId="356C15BF" w14:textId="7C8037A2" w:rsidR="002820A5" w:rsidRDefault="009E2821" w:rsidP="002820A5">
            <w:pPr>
              <w:rPr>
                <w:color w:val="000000"/>
                <w:sz w:val="20"/>
                <w:szCs w:val="20"/>
                <w:lang w:eastAsia="en-US"/>
              </w:rPr>
            </w:pPr>
            <w:r>
              <w:rPr>
                <w:color w:val="000000"/>
                <w:sz w:val="20"/>
                <w:szCs w:val="20"/>
                <w:lang w:eastAsia="en-US"/>
              </w:rPr>
              <w:t>425</w:t>
            </w:r>
          </w:p>
        </w:tc>
        <w:tc>
          <w:tcPr>
            <w:tcW w:w="4688" w:type="pct"/>
            <w:tcBorders>
              <w:top w:val="single" w:sz="4" w:space="0" w:color="auto"/>
              <w:left w:val="single" w:sz="4" w:space="0" w:color="auto"/>
              <w:bottom w:val="single" w:sz="4" w:space="0" w:color="auto"/>
              <w:right w:val="single" w:sz="4" w:space="0" w:color="auto"/>
            </w:tcBorders>
            <w:vAlign w:val="bottom"/>
            <w:hideMark/>
          </w:tcPr>
          <w:p w14:paraId="0E8B0E64"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Pes, relative length of digits III and IV:</w:t>
            </w:r>
          </w:p>
          <w:p w14:paraId="07B3C92E" w14:textId="5153EDE3"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Young (2006, ch. 48); Wilkinson </w:t>
            </w:r>
            <w:r>
              <w:rPr>
                <w:bCs/>
                <w:i/>
                <w:iCs/>
                <w:color w:val="000000"/>
                <w:sz w:val="20"/>
                <w:szCs w:val="20"/>
                <w:lang w:eastAsia="en-US"/>
              </w:rPr>
              <w:t>et al. (</w:t>
            </w:r>
            <w:r>
              <w:rPr>
                <w:bCs/>
                <w:i/>
                <w:color w:val="000000"/>
                <w:sz w:val="20"/>
                <w:szCs w:val="20"/>
                <w:lang w:eastAsia="en-US"/>
              </w:rPr>
              <w:t xml:space="preserve">2008, ch. 77); Young &amp; Andrade (2009, ch. 77); Andrade et al. (2011, ch. 465); Young et al. (2011, ch. 77); Young et al. (2013a, ch. 194); Young et al. (2012, ch. 229); Young (2014, ch. 240); Young et al. (2016, ds 2, ch. 283); </w:t>
            </w:r>
            <w:r>
              <w:rPr>
                <w:i/>
                <w:sz w:val="20"/>
                <w:szCs w:val="20"/>
                <w:lang w:eastAsia="en-US"/>
              </w:rPr>
              <w:t xml:space="preserve">Ristevski et al. (2018, ds 2, ch. 357); Smith et al. (in review, ds 1, ch. 363); </w:t>
            </w:r>
            <w:r>
              <w:rPr>
                <w:i/>
                <w:sz w:val="20"/>
                <w:szCs w:val="20"/>
              </w:rPr>
              <w:t>Ősi et al. (in review, ds 1, ch. 422)</w:t>
            </w:r>
            <w:r>
              <w:rPr>
                <w:bCs/>
                <w:i/>
                <w:color w:val="000000"/>
                <w:sz w:val="20"/>
                <w:szCs w:val="20"/>
                <w:lang w:eastAsia="en-US"/>
              </w:rPr>
              <w:t>.</w:t>
            </w:r>
          </w:p>
          <w:p w14:paraId="17399BB1" w14:textId="77777777" w:rsidR="002820A5" w:rsidRDefault="002820A5" w:rsidP="002820A5">
            <w:pPr>
              <w:autoSpaceDE w:val="0"/>
              <w:autoSpaceDN w:val="0"/>
              <w:adjustRightInd w:val="0"/>
              <w:rPr>
                <w:i/>
                <w:iCs/>
                <w:color w:val="000000"/>
                <w:sz w:val="20"/>
                <w:szCs w:val="20"/>
                <w:lang w:eastAsia="en-US"/>
              </w:rPr>
            </w:pPr>
            <w:r>
              <w:rPr>
                <w:i/>
                <w:iCs/>
                <w:sz w:val="20"/>
                <w:szCs w:val="20"/>
                <w:lang w:eastAsia="en-US"/>
              </w:rPr>
              <w:t xml:space="preserve">In crocodyliforms, the digits are </w:t>
            </w:r>
            <w:r>
              <w:rPr>
                <w:i/>
                <w:iCs/>
                <w:color w:val="000000"/>
                <w:sz w:val="20"/>
                <w:szCs w:val="20"/>
                <w:lang w:eastAsia="en-US"/>
              </w:rPr>
              <w:t>usually in the following descending order: III-IV-II-I.</w:t>
            </w:r>
          </w:p>
          <w:p w14:paraId="18168EB3"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(1) is putative apomorphy of Metriorhynchoidea, and with digit length arranged as IV-III-II-I (see Young &amp; Andrade 2009, Appendix 2). Previously this has been considered to be a metriorhynchid apomorphy.</w:t>
            </w:r>
          </w:p>
          <w:p w14:paraId="346D21C0" w14:textId="77777777" w:rsidR="002820A5" w:rsidRDefault="002820A5" w:rsidP="002820A5">
            <w:pPr>
              <w:rPr>
                <w:b/>
                <w:color w:val="000000"/>
                <w:sz w:val="20"/>
                <w:szCs w:val="20"/>
                <w:lang w:eastAsia="en-US"/>
              </w:rPr>
            </w:pPr>
            <w:r>
              <w:rPr>
                <w:i/>
                <w:sz w:val="20"/>
                <w:szCs w:val="20"/>
                <w:lang w:eastAsia="en-US"/>
              </w:rPr>
              <w:t>This character helps score the modification of the pes into paddles in Metriorhynchoidea.</w:t>
            </w:r>
          </w:p>
          <w:p w14:paraId="59B4897B"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digit III is longer than digit IV</w:t>
            </w:r>
          </w:p>
          <w:p w14:paraId="7E0B1F80" w14:textId="77777777" w:rsidR="002820A5" w:rsidRDefault="002820A5" w:rsidP="002820A5">
            <w:pPr>
              <w:autoSpaceDE w:val="0"/>
              <w:autoSpaceDN w:val="0"/>
              <w:adjustRightInd w:val="0"/>
              <w:rPr>
                <w:b/>
                <w:bCs/>
                <w:color w:val="000000"/>
                <w:sz w:val="20"/>
                <w:szCs w:val="20"/>
                <w:lang w:eastAsia="en-US"/>
              </w:rPr>
            </w:pPr>
            <w:r>
              <w:rPr>
                <w:color w:val="000000"/>
                <w:sz w:val="20"/>
                <w:szCs w:val="20"/>
                <w:lang w:eastAsia="en-US"/>
              </w:rPr>
              <w:t>1. digit IV is longer than digit III (digit IV elongated, helping to create a paddle)</w:t>
            </w:r>
          </w:p>
        </w:tc>
      </w:tr>
      <w:tr w:rsidR="002820A5" w14:paraId="1D986E2C" w14:textId="77777777" w:rsidTr="002820A5">
        <w:tc>
          <w:tcPr>
            <w:tcW w:w="312" w:type="pct"/>
            <w:tcBorders>
              <w:top w:val="single" w:sz="4" w:space="0" w:color="auto"/>
              <w:left w:val="single" w:sz="4" w:space="0" w:color="auto"/>
              <w:bottom w:val="single" w:sz="4" w:space="0" w:color="auto"/>
              <w:right w:val="single" w:sz="4" w:space="0" w:color="auto"/>
            </w:tcBorders>
          </w:tcPr>
          <w:p w14:paraId="0C7B5EFF" w14:textId="71C5C509" w:rsidR="002820A5" w:rsidRDefault="009E2821" w:rsidP="002820A5">
            <w:pPr>
              <w:rPr>
                <w:color w:val="000000"/>
                <w:sz w:val="20"/>
                <w:szCs w:val="20"/>
                <w:lang w:eastAsia="en-US"/>
              </w:rPr>
            </w:pPr>
            <w:r>
              <w:rPr>
                <w:color w:val="000000"/>
                <w:sz w:val="20"/>
                <w:szCs w:val="20"/>
                <w:lang w:eastAsia="en-US"/>
              </w:rPr>
              <w:t>426</w:t>
            </w:r>
          </w:p>
        </w:tc>
        <w:tc>
          <w:tcPr>
            <w:tcW w:w="4688" w:type="pct"/>
            <w:tcBorders>
              <w:top w:val="single" w:sz="4" w:space="0" w:color="auto"/>
              <w:left w:val="single" w:sz="4" w:space="0" w:color="auto"/>
              <w:bottom w:val="single" w:sz="4" w:space="0" w:color="auto"/>
              <w:right w:val="single" w:sz="4" w:space="0" w:color="auto"/>
            </w:tcBorders>
            <w:vAlign w:val="bottom"/>
            <w:hideMark/>
          </w:tcPr>
          <w:p w14:paraId="73F81F9F" w14:textId="77777777" w:rsidR="002820A5" w:rsidRDefault="002820A5" w:rsidP="002820A5">
            <w:pPr>
              <w:autoSpaceDE w:val="0"/>
              <w:autoSpaceDN w:val="0"/>
              <w:adjustRightInd w:val="0"/>
              <w:rPr>
                <w:b/>
                <w:sz w:val="20"/>
                <w:szCs w:val="20"/>
                <w:lang w:eastAsia="en-US"/>
              </w:rPr>
            </w:pPr>
            <w:r>
              <w:rPr>
                <w:b/>
                <w:sz w:val="20"/>
                <w:szCs w:val="20"/>
                <w:lang w:eastAsia="en-US"/>
              </w:rPr>
              <w:t>Pes, digit IV, number of phalanges: (ORDERED)</w:t>
            </w:r>
          </w:p>
          <w:p w14:paraId="10E1FF71" w14:textId="6A9B3D1E" w:rsidR="002820A5" w:rsidRDefault="002820A5" w:rsidP="002820A5">
            <w:pPr>
              <w:autoSpaceDE w:val="0"/>
              <w:autoSpaceDN w:val="0"/>
              <w:adjustRightInd w:val="0"/>
              <w:rPr>
                <w:i/>
                <w:sz w:val="20"/>
                <w:szCs w:val="20"/>
                <w:lang w:eastAsia="en-US"/>
              </w:rPr>
            </w:pPr>
            <w:r>
              <w:rPr>
                <w:i/>
                <w:sz w:val="20"/>
                <w:szCs w:val="20"/>
                <w:lang w:eastAsia="en-US"/>
              </w:rPr>
              <w:t xml:space="preserve">Nesbitt (2011, ch. 396 modified); Ristevski et al. (2018, ds 2, ch. 358); Smith et al. (in review, ds 1, ch. 364); </w:t>
            </w:r>
            <w:r>
              <w:rPr>
                <w:i/>
                <w:sz w:val="20"/>
                <w:szCs w:val="20"/>
              </w:rPr>
              <w:t>Ősi et al. (in review, ds 1, ch. 423)</w:t>
            </w:r>
            <w:r>
              <w:rPr>
                <w:i/>
                <w:sz w:val="20"/>
                <w:szCs w:val="20"/>
                <w:lang w:eastAsia="en-US"/>
              </w:rPr>
              <w:t>.</w:t>
            </w:r>
          </w:p>
          <w:p w14:paraId="49113C16" w14:textId="77777777" w:rsidR="002820A5" w:rsidRDefault="002820A5" w:rsidP="002820A5">
            <w:pPr>
              <w:autoSpaceDE w:val="0"/>
              <w:autoSpaceDN w:val="0"/>
              <w:adjustRightInd w:val="0"/>
              <w:rPr>
                <w:i/>
                <w:sz w:val="20"/>
                <w:szCs w:val="20"/>
                <w:lang w:eastAsia="en-US"/>
              </w:rPr>
            </w:pPr>
            <w:r>
              <w:rPr>
                <w:i/>
                <w:sz w:val="20"/>
                <w:szCs w:val="20"/>
                <w:lang w:eastAsia="en-US"/>
              </w:rPr>
              <w:t xml:space="preserve">State (0) is a putative apomorphy of </w:t>
            </w:r>
            <w:r>
              <w:rPr>
                <w:sz w:val="20"/>
                <w:szCs w:val="20"/>
                <w:lang w:eastAsia="en-US"/>
              </w:rPr>
              <w:t>Postosuchus</w:t>
            </w:r>
            <w:r>
              <w:rPr>
                <w:i/>
                <w:sz w:val="20"/>
                <w:szCs w:val="20"/>
                <w:lang w:eastAsia="en-US"/>
              </w:rPr>
              <w:t>.</w:t>
            </w:r>
          </w:p>
          <w:p w14:paraId="353AEE03" w14:textId="77777777" w:rsidR="002820A5" w:rsidRDefault="002820A5" w:rsidP="002820A5">
            <w:pPr>
              <w:autoSpaceDE w:val="0"/>
              <w:autoSpaceDN w:val="0"/>
              <w:adjustRightInd w:val="0"/>
              <w:rPr>
                <w:i/>
                <w:sz w:val="20"/>
                <w:szCs w:val="20"/>
                <w:lang w:eastAsia="en-US"/>
              </w:rPr>
            </w:pPr>
            <w:r>
              <w:rPr>
                <w:i/>
                <w:sz w:val="20"/>
                <w:szCs w:val="20"/>
                <w:lang w:eastAsia="en-US"/>
              </w:rPr>
              <w:t>State (1) occurs in most archosauriforms.</w:t>
            </w:r>
          </w:p>
          <w:p w14:paraId="30C9B0A6" w14:textId="77777777" w:rsidR="002820A5" w:rsidRDefault="002820A5" w:rsidP="002820A5">
            <w:pPr>
              <w:autoSpaceDE w:val="0"/>
              <w:autoSpaceDN w:val="0"/>
              <w:adjustRightInd w:val="0"/>
              <w:rPr>
                <w:i/>
                <w:sz w:val="20"/>
                <w:szCs w:val="20"/>
                <w:lang w:eastAsia="en-US"/>
              </w:rPr>
            </w:pPr>
            <w:r>
              <w:rPr>
                <w:i/>
                <w:sz w:val="20"/>
                <w:szCs w:val="20"/>
                <w:lang w:eastAsia="en-US"/>
              </w:rPr>
              <w:t>State (2) is a putative apomorphy of Crocodylomorpha.</w:t>
            </w:r>
          </w:p>
          <w:p w14:paraId="448A95B0" w14:textId="77777777" w:rsidR="002820A5" w:rsidRDefault="002820A5" w:rsidP="002820A5">
            <w:pPr>
              <w:autoSpaceDE w:val="0"/>
              <w:autoSpaceDN w:val="0"/>
              <w:adjustRightInd w:val="0"/>
              <w:rPr>
                <w:i/>
                <w:sz w:val="20"/>
                <w:szCs w:val="20"/>
                <w:lang w:eastAsia="en-US"/>
              </w:rPr>
            </w:pPr>
            <w:r>
              <w:rPr>
                <w:i/>
                <w:sz w:val="20"/>
                <w:szCs w:val="20"/>
                <w:lang w:eastAsia="en-US"/>
              </w:rPr>
              <w:t xml:space="preserve">Ristevski et al. (2018, ds 2) added state (0) as six pedal digit IV phalanges have been reported for specimens of </w:t>
            </w:r>
            <w:r>
              <w:rPr>
                <w:sz w:val="20"/>
                <w:szCs w:val="20"/>
                <w:lang w:eastAsia="en-US"/>
              </w:rPr>
              <w:t xml:space="preserve">P. alisonae </w:t>
            </w:r>
            <w:r>
              <w:rPr>
                <w:i/>
                <w:sz w:val="20"/>
                <w:szCs w:val="20"/>
                <w:lang w:eastAsia="en-US"/>
              </w:rPr>
              <w:t>Peyer</w:t>
            </w:r>
            <w:r>
              <w:rPr>
                <w:sz w:val="20"/>
                <w:szCs w:val="20"/>
                <w:lang w:eastAsia="en-US"/>
              </w:rPr>
              <w:t xml:space="preserve"> </w:t>
            </w:r>
            <w:r>
              <w:rPr>
                <w:i/>
                <w:sz w:val="20"/>
                <w:szCs w:val="20"/>
                <w:lang w:eastAsia="en-US"/>
              </w:rPr>
              <w:t>et al</w:t>
            </w:r>
            <w:r>
              <w:rPr>
                <w:sz w:val="20"/>
                <w:szCs w:val="20"/>
                <w:lang w:eastAsia="en-US"/>
              </w:rPr>
              <w:t>.</w:t>
            </w:r>
            <w:r>
              <w:rPr>
                <w:i/>
                <w:sz w:val="20"/>
                <w:szCs w:val="20"/>
                <w:lang w:eastAsia="en-US"/>
              </w:rPr>
              <w:t xml:space="preserve"> (2008) and </w:t>
            </w:r>
            <w:r>
              <w:rPr>
                <w:sz w:val="20"/>
                <w:szCs w:val="20"/>
                <w:lang w:eastAsia="en-US"/>
              </w:rPr>
              <w:t>P. kirkpatricki</w:t>
            </w:r>
            <w:r>
              <w:rPr>
                <w:i/>
                <w:sz w:val="20"/>
                <w:szCs w:val="20"/>
                <w:lang w:eastAsia="en-US"/>
              </w:rPr>
              <w:t xml:space="preserve"> (Weinbaum, 2013).</w:t>
            </w:r>
          </w:p>
          <w:p w14:paraId="139D626C" w14:textId="77777777" w:rsidR="002820A5" w:rsidRDefault="002820A5" w:rsidP="002820A5">
            <w:pPr>
              <w:autoSpaceDE w:val="0"/>
              <w:autoSpaceDN w:val="0"/>
              <w:adjustRightInd w:val="0"/>
              <w:rPr>
                <w:sz w:val="20"/>
                <w:szCs w:val="20"/>
                <w:lang w:eastAsia="en-US"/>
              </w:rPr>
            </w:pPr>
            <w:r>
              <w:rPr>
                <w:sz w:val="20"/>
                <w:szCs w:val="20"/>
                <w:lang w:eastAsia="en-US"/>
              </w:rPr>
              <w:t>0. six</w:t>
            </w:r>
          </w:p>
          <w:p w14:paraId="17D588C7" w14:textId="77777777" w:rsidR="002820A5" w:rsidRDefault="002820A5" w:rsidP="002820A5">
            <w:pPr>
              <w:autoSpaceDE w:val="0"/>
              <w:autoSpaceDN w:val="0"/>
              <w:adjustRightInd w:val="0"/>
              <w:rPr>
                <w:sz w:val="20"/>
                <w:szCs w:val="20"/>
                <w:lang w:eastAsia="en-US"/>
              </w:rPr>
            </w:pPr>
            <w:r>
              <w:rPr>
                <w:sz w:val="20"/>
                <w:szCs w:val="20"/>
                <w:lang w:eastAsia="en-US"/>
              </w:rPr>
              <w:t>1. five</w:t>
            </w:r>
          </w:p>
          <w:p w14:paraId="75ECEEF7" w14:textId="77777777" w:rsidR="002820A5" w:rsidRDefault="002820A5" w:rsidP="002820A5">
            <w:pPr>
              <w:autoSpaceDE w:val="0"/>
              <w:autoSpaceDN w:val="0"/>
              <w:adjustRightInd w:val="0"/>
              <w:rPr>
                <w:sz w:val="20"/>
                <w:szCs w:val="20"/>
                <w:lang w:eastAsia="en-US"/>
              </w:rPr>
            </w:pPr>
            <w:r>
              <w:rPr>
                <w:sz w:val="20"/>
                <w:szCs w:val="20"/>
                <w:lang w:eastAsia="en-US"/>
              </w:rPr>
              <w:t>2. four or fewer</w:t>
            </w:r>
          </w:p>
        </w:tc>
      </w:tr>
      <w:tr w:rsidR="002820A5" w14:paraId="3A93ABA4" w14:textId="77777777" w:rsidTr="002820A5">
        <w:tc>
          <w:tcPr>
            <w:tcW w:w="312" w:type="pct"/>
            <w:tcBorders>
              <w:top w:val="single" w:sz="4" w:space="0" w:color="auto"/>
              <w:left w:val="single" w:sz="4" w:space="0" w:color="auto"/>
              <w:bottom w:val="single" w:sz="4" w:space="0" w:color="auto"/>
              <w:right w:val="single" w:sz="4" w:space="0" w:color="auto"/>
            </w:tcBorders>
          </w:tcPr>
          <w:p w14:paraId="7BC74BF2" w14:textId="38E8E410" w:rsidR="002820A5" w:rsidRDefault="009E2821" w:rsidP="002820A5">
            <w:pPr>
              <w:rPr>
                <w:color w:val="000000"/>
                <w:sz w:val="20"/>
                <w:szCs w:val="20"/>
                <w:lang w:eastAsia="en-US"/>
              </w:rPr>
            </w:pPr>
            <w:r>
              <w:rPr>
                <w:color w:val="000000"/>
                <w:sz w:val="20"/>
                <w:szCs w:val="20"/>
                <w:lang w:eastAsia="en-US"/>
              </w:rPr>
              <w:t>427</w:t>
            </w:r>
          </w:p>
        </w:tc>
        <w:tc>
          <w:tcPr>
            <w:tcW w:w="4688" w:type="pct"/>
            <w:tcBorders>
              <w:top w:val="single" w:sz="4" w:space="0" w:color="auto"/>
              <w:left w:val="single" w:sz="4" w:space="0" w:color="auto"/>
              <w:bottom w:val="single" w:sz="4" w:space="0" w:color="auto"/>
              <w:right w:val="single" w:sz="4" w:space="0" w:color="auto"/>
            </w:tcBorders>
            <w:vAlign w:val="bottom"/>
            <w:hideMark/>
          </w:tcPr>
          <w:p w14:paraId="27B98B6F" w14:textId="77777777" w:rsidR="002820A5" w:rsidRDefault="002820A5" w:rsidP="002820A5">
            <w:pPr>
              <w:autoSpaceDE w:val="0"/>
              <w:autoSpaceDN w:val="0"/>
              <w:adjustRightInd w:val="0"/>
              <w:rPr>
                <w:b/>
                <w:sz w:val="20"/>
                <w:szCs w:val="20"/>
                <w:lang w:eastAsia="en-US"/>
              </w:rPr>
            </w:pPr>
            <w:r>
              <w:rPr>
                <w:b/>
                <w:sz w:val="20"/>
                <w:szCs w:val="20"/>
                <w:lang w:eastAsia="en-US"/>
              </w:rPr>
              <w:t>Pes, digit V, metatarsals and phalanges:</w:t>
            </w:r>
          </w:p>
          <w:p w14:paraId="1426F95E" w14:textId="6D684FFE"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Clark (1994, ch. 88 modified); Nesbitt (2011, ch. 399 re-phrased); Young et al. (2016, ds 2, ch. 282); </w:t>
            </w:r>
            <w:r>
              <w:rPr>
                <w:i/>
                <w:sz w:val="20"/>
                <w:szCs w:val="20"/>
                <w:lang w:eastAsia="en-US"/>
              </w:rPr>
              <w:t xml:space="preserve">Ristevski et al. (2018, ds 2, ch. 359); Smith et al. (in review, ds 1, ch. 365); </w:t>
            </w:r>
            <w:r>
              <w:rPr>
                <w:i/>
                <w:sz w:val="20"/>
                <w:szCs w:val="20"/>
              </w:rPr>
              <w:t>Ősi et al. (in review, ds 1, ch. 424)</w:t>
            </w:r>
            <w:r>
              <w:rPr>
                <w:i/>
                <w:iCs/>
                <w:color w:val="000000"/>
                <w:sz w:val="20"/>
                <w:szCs w:val="20"/>
                <w:lang w:eastAsia="en-US"/>
              </w:rPr>
              <w:t>.</w:t>
            </w:r>
          </w:p>
          <w:p w14:paraId="544EAD68" w14:textId="2C2D011E"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(0) occurs in non-crocodylomorphs.</w:t>
            </w:r>
          </w:p>
          <w:p w14:paraId="36394F09" w14:textId="27ED03D3"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(1) occurs in ‘sphenosuchians’.</w:t>
            </w:r>
          </w:p>
          <w:p w14:paraId="4F99D579" w14:textId="77777777" w:rsidR="002820A5" w:rsidRDefault="002820A5" w:rsidP="002820A5">
            <w:pPr>
              <w:autoSpaceDE w:val="0"/>
              <w:autoSpaceDN w:val="0"/>
              <w:adjustRightInd w:val="0"/>
              <w:rPr>
                <w:sz w:val="20"/>
                <w:szCs w:val="20"/>
                <w:lang w:eastAsia="en-US"/>
              </w:rPr>
            </w:pPr>
            <w:r>
              <w:rPr>
                <w:i/>
                <w:iCs/>
                <w:color w:val="000000"/>
                <w:sz w:val="20"/>
                <w:szCs w:val="20"/>
                <w:lang w:eastAsia="en-US"/>
              </w:rPr>
              <w:t>State (2) is a putative apomorphy of Crocodyliformes.</w:t>
            </w:r>
          </w:p>
          <w:p w14:paraId="5B9F6E8D" w14:textId="77777777" w:rsidR="002820A5" w:rsidRDefault="002820A5" w:rsidP="002820A5">
            <w:pPr>
              <w:autoSpaceDE w:val="0"/>
              <w:autoSpaceDN w:val="0"/>
              <w:adjustRightInd w:val="0"/>
              <w:rPr>
                <w:sz w:val="20"/>
                <w:szCs w:val="20"/>
                <w:lang w:eastAsia="en-US"/>
              </w:rPr>
            </w:pPr>
            <w:r>
              <w:rPr>
                <w:sz w:val="20"/>
                <w:szCs w:val="20"/>
                <w:lang w:eastAsia="en-US"/>
              </w:rPr>
              <w:t>0. present and ‘‘fully’’ developed first phalanx</w:t>
            </w:r>
          </w:p>
          <w:p w14:paraId="0E611122" w14:textId="77777777" w:rsidR="002820A5" w:rsidRDefault="002820A5" w:rsidP="002820A5">
            <w:pPr>
              <w:autoSpaceDE w:val="0"/>
              <w:autoSpaceDN w:val="0"/>
              <w:adjustRightInd w:val="0"/>
              <w:rPr>
                <w:sz w:val="20"/>
                <w:szCs w:val="20"/>
                <w:lang w:eastAsia="en-US"/>
              </w:rPr>
            </w:pPr>
            <w:r>
              <w:rPr>
                <w:sz w:val="20"/>
                <w:szCs w:val="20"/>
                <w:lang w:eastAsia="en-US"/>
              </w:rPr>
              <w:t>1. present and ‘‘poorly’’ developed first phalanx</w:t>
            </w:r>
          </w:p>
          <w:p w14:paraId="3CDB0D22" w14:textId="77777777" w:rsidR="002820A5" w:rsidRDefault="002820A5" w:rsidP="002820A5">
            <w:pPr>
              <w:autoSpaceDE w:val="0"/>
              <w:autoSpaceDN w:val="0"/>
              <w:adjustRightInd w:val="0"/>
              <w:rPr>
                <w:b/>
                <w:bCs/>
                <w:color w:val="000000"/>
                <w:sz w:val="20"/>
                <w:lang w:eastAsia="en-US"/>
              </w:rPr>
            </w:pPr>
            <w:r>
              <w:rPr>
                <w:sz w:val="20"/>
                <w:szCs w:val="20"/>
                <w:lang w:eastAsia="en-US"/>
              </w:rPr>
              <w:t>2.  without phalanges and metatarsal tapers to a point</w:t>
            </w:r>
          </w:p>
        </w:tc>
      </w:tr>
    </w:tbl>
    <w:p w14:paraId="4E2C87B2" w14:textId="77777777" w:rsidR="004C76BC" w:rsidRDefault="004C76BC" w:rsidP="004C76BC">
      <w:pPr>
        <w:rPr>
          <w:sz w:val="20"/>
          <w:szCs w:val="20"/>
        </w:rPr>
      </w:pPr>
    </w:p>
    <w:p w14:paraId="1D5E9EB1" w14:textId="5764CCA3" w:rsidR="004C76BC" w:rsidRDefault="004C76BC" w:rsidP="004C76BC">
      <w:r>
        <w:rPr>
          <w:b/>
          <w:bCs/>
          <w:color w:val="000000"/>
        </w:rPr>
        <w:t>Dermal ossifications: o</w:t>
      </w:r>
      <w:r>
        <w:rPr>
          <w:b/>
        </w:rPr>
        <w:t xml:space="preserve">steoderms </w:t>
      </w:r>
      <w:r>
        <w:t>(Ch. 42</w:t>
      </w:r>
      <w:r w:rsidR="002820A5">
        <w:t>6</w:t>
      </w:r>
      <w:r>
        <w:t xml:space="preserve"> – 44</w:t>
      </w:r>
      <w:r w:rsidR="002820A5">
        <w:t>9</w:t>
      </w:r>
      <w:r>
        <w:t>; 5.286% of characters)</w:t>
      </w:r>
    </w:p>
    <w:p w14:paraId="51FABCC6" w14:textId="77777777" w:rsidR="004C76BC" w:rsidRDefault="004C76BC" w:rsidP="004C76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3E4810F5"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1B28D4EB"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87CFECF" w14:textId="77777777" w:rsidR="004C76BC" w:rsidRDefault="004C76BC" w:rsidP="00AF438E">
            <w:pPr>
              <w:rPr>
                <w:sz w:val="20"/>
                <w:szCs w:val="20"/>
                <w:lang w:eastAsia="en-US"/>
              </w:rPr>
            </w:pPr>
            <w:r>
              <w:rPr>
                <w:sz w:val="20"/>
                <w:szCs w:val="20"/>
                <w:lang w:eastAsia="en-US"/>
              </w:rPr>
              <w:t>Description</w:t>
            </w:r>
          </w:p>
        </w:tc>
      </w:tr>
      <w:tr w:rsidR="002820A5" w14:paraId="564A30CD"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6DBF64F6" w14:textId="43CD9784" w:rsidR="002820A5" w:rsidRDefault="009E2821" w:rsidP="002820A5">
            <w:pPr>
              <w:rPr>
                <w:sz w:val="20"/>
                <w:szCs w:val="20"/>
                <w:lang w:eastAsia="en-US"/>
              </w:rPr>
            </w:pPr>
            <w:r>
              <w:rPr>
                <w:color w:val="000000"/>
                <w:sz w:val="20"/>
                <w:szCs w:val="20"/>
                <w:lang w:eastAsia="en-US"/>
              </w:rPr>
              <w:t>428</w:t>
            </w:r>
          </w:p>
        </w:tc>
        <w:tc>
          <w:tcPr>
            <w:tcW w:w="0" w:type="auto"/>
            <w:tcBorders>
              <w:top w:val="single" w:sz="4" w:space="0" w:color="auto"/>
              <w:left w:val="single" w:sz="4" w:space="0" w:color="auto"/>
              <w:bottom w:val="single" w:sz="4" w:space="0" w:color="auto"/>
              <w:right w:val="single" w:sz="4" w:space="0" w:color="auto"/>
            </w:tcBorders>
            <w:hideMark/>
          </w:tcPr>
          <w:p w14:paraId="62912907"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Ornamentation (dorsal osteoderms), type of sculpture: (*)</w:t>
            </w:r>
          </w:p>
          <w:p w14:paraId="75DFCE87" w14:textId="47C55334" w:rsidR="002820A5" w:rsidRDefault="002820A5" w:rsidP="002820A5">
            <w:pPr>
              <w:autoSpaceDE w:val="0"/>
              <w:autoSpaceDN w:val="0"/>
              <w:adjustRightInd w:val="0"/>
              <w:rPr>
                <w:bCs/>
                <w:i/>
                <w:color w:val="000000"/>
                <w:sz w:val="20"/>
                <w:lang w:eastAsia="en-US"/>
              </w:rPr>
            </w:pPr>
            <w:r>
              <w:rPr>
                <w:bCs/>
                <w:i/>
                <w:color w:val="000000"/>
                <w:sz w:val="20"/>
                <w:lang w:eastAsia="en-US"/>
              </w:rPr>
              <w:t xml:space="preserve">Ortega </w:t>
            </w:r>
            <w:r>
              <w:rPr>
                <w:bCs/>
                <w:i/>
                <w:iCs/>
                <w:color w:val="000000"/>
                <w:sz w:val="20"/>
                <w:lang w:eastAsia="en-US"/>
              </w:rPr>
              <w:t>et al. (</w:t>
            </w:r>
            <w:r>
              <w:rPr>
                <w:bCs/>
                <w:i/>
                <w:color w:val="000000"/>
                <w:sz w:val="20"/>
                <w:lang w:eastAsia="en-US"/>
              </w:rPr>
              <w:t xml:space="preserve">2000, ch. 111); Andrade et al. (2011, ch. 19); </w:t>
            </w:r>
            <w:r>
              <w:rPr>
                <w:i/>
                <w:sz w:val="20"/>
                <w:szCs w:val="20"/>
                <w:lang w:eastAsia="en-US"/>
              </w:rPr>
              <w:t xml:space="preserve">Ristevski et al. (2018, ds 2, ch. 360); Smith et al. (in review, ds 1, ch. 366); </w:t>
            </w:r>
            <w:r>
              <w:rPr>
                <w:i/>
                <w:sz w:val="20"/>
                <w:szCs w:val="20"/>
              </w:rPr>
              <w:t>Ősi et al. (in review, ds 1, ch. 425)</w:t>
            </w:r>
            <w:r>
              <w:rPr>
                <w:bCs/>
                <w:i/>
                <w:color w:val="000000"/>
                <w:sz w:val="20"/>
                <w:lang w:eastAsia="en-US"/>
              </w:rPr>
              <w:t>.</w:t>
            </w:r>
          </w:p>
          <w:p w14:paraId="2602FAD8" w14:textId="3E923AAA" w:rsidR="002820A5" w:rsidRDefault="002820A5" w:rsidP="002820A5">
            <w:pPr>
              <w:autoSpaceDE w:val="0"/>
              <w:autoSpaceDN w:val="0"/>
              <w:adjustRightInd w:val="0"/>
              <w:rPr>
                <w:i/>
                <w:iCs/>
                <w:color w:val="000000"/>
                <w:sz w:val="20"/>
                <w:lang w:eastAsia="en-US"/>
              </w:rPr>
            </w:pPr>
            <w:r>
              <w:rPr>
                <w:i/>
                <w:iCs/>
                <w:color w:val="000000"/>
                <w:sz w:val="20"/>
                <w:lang w:eastAsia="en-US"/>
              </w:rPr>
              <w:t xml:space="preserve">Ornamentation on the osteoderms is always present, and only in two possible forms. Note that Turner &amp; Buckley (2008) considered that </w:t>
            </w:r>
            <w:r>
              <w:rPr>
                <w:color w:val="000000"/>
                <w:sz w:val="20"/>
                <w:lang w:eastAsia="en-US"/>
              </w:rPr>
              <w:t xml:space="preserve">Araripesuchus gomesii </w:t>
            </w:r>
            <w:r>
              <w:rPr>
                <w:i/>
                <w:iCs/>
                <w:color w:val="000000"/>
                <w:sz w:val="20"/>
                <w:lang w:eastAsia="en-US"/>
              </w:rPr>
              <w:t xml:space="preserve">and (possibly) </w:t>
            </w:r>
            <w:r>
              <w:rPr>
                <w:color w:val="000000"/>
                <w:sz w:val="20"/>
                <w:lang w:eastAsia="en-US"/>
              </w:rPr>
              <w:t xml:space="preserve">A. tsangatsangana </w:t>
            </w:r>
            <w:r>
              <w:rPr>
                <w:i/>
                <w:iCs/>
                <w:color w:val="000000"/>
                <w:sz w:val="20"/>
                <w:lang w:eastAsia="en-US"/>
              </w:rPr>
              <w:t>displayed the ‘fleur de lys’ pattern (anterolaterally and anteromedially directed “ridges”; Osmólska et al., 1997), according to the character by Pol &amp; Norell (2004b, ch188). We consider that this pattern regards the disposition of the sculpturing (fabric), not the type of sculpturing.</w:t>
            </w:r>
          </w:p>
          <w:p w14:paraId="5B5DF63A"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3EBBED08" w14:textId="77777777" w:rsidR="002820A5" w:rsidRDefault="002820A5" w:rsidP="002820A5">
            <w:pPr>
              <w:autoSpaceDE w:val="0"/>
              <w:autoSpaceDN w:val="0"/>
              <w:adjustRightInd w:val="0"/>
              <w:rPr>
                <w:color w:val="000000"/>
                <w:sz w:val="20"/>
                <w:lang w:eastAsia="en-US"/>
              </w:rPr>
            </w:pPr>
            <w:r>
              <w:rPr>
                <w:color w:val="000000"/>
                <w:sz w:val="20"/>
                <w:lang w:eastAsia="en-US"/>
              </w:rPr>
              <w:t>0. vermiform-dendritic pattern</w:t>
            </w:r>
          </w:p>
          <w:p w14:paraId="4A811D34" w14:textId="77777777" w:rsidR="002820A5" w:rsidRDefault="002820A5" w:rsidP="002820A5">
            <w:pPr>
              <w:rPr>
                <w:sz w:val="20"/>
                <w:szCs w:val="20"/>
                <w:lang w:eastAsia="en-US"/>
              </w:rPr>
            </w:pPr>
            <w:r>
              <w:rPr>
                <w:color w:val="000000"/>
                <w:sz w:val="20"/>
                <w:lang w:eastAsia="en-US"/>
              </w:rPr>
              <w:t>1. pitted pattern</w:t>
            </w:r>
          </w:p>
        </w:tc>
      </w:tr>
      <w:tr w:rsidR="002820A5" w14:paraId="59F029DB" w14:textId="77777777" w:rsidTr="002820A5">
        <w:tc>
          <w:tcPr>
            <w:tcW w:w="0" w:type="auto"/>
            <w:tcBorders>
              <w:top w:val="single" w:sz="4" w:space="0" w:color="auto"/>
              <w:left w:val="single" w:sz="4" w:space="0" w:color="auto"/>
              <w:bottom w:val="single" w:sz="4" w:space="0" w:color="auto"/>
              <w:right w:val="single" w:sz="4" w:space="0" w:color="auto"/>
            </w:tcBorders>
          </w:tcPr>
          <w:p w14:paraId="773F0B4D" w14:textId="1624A3C4" w:rsidR="002820A5" w:rsidRDefault="009E2821" w:rsidP="002820A5">
            <w:pPr>
              <w:rPr>
                <w:color w:val="000000"/>
                <w:sz w:val="20"/>
                <w:szCs w:val="20"/>
                <w:lang w:eastAsia="en-US"/>
              </w:rPr>
            </w:pPr>
            <w:r>
              <w:rPr>
                <w:color w:val="000000"/>
                <w:sz w:val="20"/>
                <w:szCs w:val="20"/>
                <w:lang w:eastAsia="en-US"/>
              </w:rPr>
              <w:t>429</w:t>
            </w:r>
          </w:p>
        </w:tc>
        <w:tc>
          <w:tcPr>
            <w:tcW w:w="0" w:type="auto"/>
            <w:tcBorders>
              <w:top w:val="single" w:sz="4" w:space="0" w:color="auto"/>
              <w:left w:val="single" w:sz="4" w:space="0" w:color="auto"/>
              <w:bottom w:val="single" w:sz="4" w:space="0" w:color="auto"/>
              <w:right w:val="single" w:sz="4" w:space="0" w:color="auto"/>
            </w:tcBorders>
            <w:vAlign w:val="bottom"/>
            <w:hideMark/>
          </w:tcPr>
          <w:p w14:paraId="48A17937" w14:textId="77777777" w:rsidR="002820A5" w:rsidRDefault="002820A5" w:rsidP="002820A5">
            <w:pPr>
              <w:rPr>
                <w:b/>
                <w:color w:val="000000"/>
                <w:sz w:val="20"/>
                <w:szCs w:val="20"/>
                <w:lang w:eastAsia="en-US"/>
              </w:rPr>
            </w:pPr>
            <w:r>
              <w:rPr>
                <w:b/>
                <w:color w:val="000000"/>
                <w:sz w:val="20"/>
                <w:szCs w:val="20"/>
                <w:lang w:eastAsia="en-US"/>
              </w:rPr>
              <w:t>Ornamentation (dorsal osteoderms), distribution of pits on dorsal surface: (*)</w:t>
            </w:r>
          </w:p>
          <w:p w14:paraId="75B410B6" w14:textId="20BF1689" w:rsidR="002820A5" w:rsidRDefault="002820A5" w:rsidP="002820A5">
            <w:pPr>
              <w:autoSpaceDE w:val="0"/>
              <w:autoSpaceDN w:val="0"/>
              <w:adjustRightInd w:val="0"/>
              <w:rPr>
                <w:i/>
                <w:sz w:val="20"/>
                <w:szCs w:val="20"/>
                <w:lang w:eastAsia="en-US"/>
              </w:rPr>
            </w:pPr>
            <w:r>
              <w:rPr>
                <w:i/>
                <w:sz w:val="20"/>
                <w:szCs w:val="20"/>
                <w:lang w:eastAsia="en-US"/>
              </w:rPr>
              <w:t xml:space="preserve">Young et al. (2011, ch. 185 modified); Young et al. (2013a, ch. 201 modified); Young et al. (2012, ch. 239 modified); Young (2014, ch. 250 modified); Young et al. (2016, ds 2, ch. 297 modified); Ristevski et al. (2018, ds 2, ch. 361 modified); Smith et al. (in review, ds 1, ch. 367); </w:t>
            </w:r>
            <w:r>
              <w:rPr>
                <w:i/>
                <w:sz w:val="20"/>
                <w:szCs w:val="20"/>
              </w:rPr>
              <w:t>Ősi et al. (in review, ds 1, ch. 426)</w:t>
            </w:r>
            <w:r>
              <w:rPr>
                <w:i/>
                <w:sz w:val="20"/>
                <w:szCs w:val="20"/>
                <w:lang w:eastAsia="en-US"/>
              </w:rPr>
              <w:t>.</w:t>
            </w:r>
          </w:p>
          <w:p w14:paraId="17F21F3D" w14:textId="77777777" w:rsidR="002820A5" w:rsidRDefault="002820A5" w:rsidP="002820A5">
            <w:pPr>
              <w:rPr>
                <w:i/>
                <w:color w:val="000000"/>
                <w:sz w:val="20"/>
                <w:szCs w:val="20"/>
                <w:lang w:eastAsia="en-US"/>
              </w:rPr>
            </w:pPr>
            <w:r>
              <w:rPr>
                <w:i/>
                <w:color w:val="000000"/>
                <w:sz w:val="20"/>
                <w:szCs w:val="20"/>
                <w:lang w:eastAsia="en-US"/>
              </w:rPr>
              <w:t xml:space="preserve">State (2) is a putative autapomorphy of </w:t>
            </w:r>
            <w:r>
              <w:rPr>
                <w:iCs/>
                <w:sz w:val="20"/>
                <w:szCs w:val="20"/>
                <w:lang w:eastAsia="en-US"/>
              </w:rPr>
              <w:t>Magyarosuchus fitosi</w:t>
            </w:r>
            <w:r>
              <w:rPr>
                <w:i/>
                <w:color w:val="000000"/>
                <w:sz w:val="20"/>
                <w:szCs w:val="20"/>
                <w:lang w:eastAsia="en-US"/>
              </w:rPr>
              <w:t>.</w:t>
            </w:r>
          </w:p>
          <w:p w14:paraId="3EA52A39" w14:textId="77777777" w:rsidR="002820A5" w:rsidRDefault="002820A5" w:rsidP="002820A5">
            <w:pPr>
              <w:rPr>
                <w:color w:val="000000"/>
                <w:sz w:val="20"/>
                <w:szCs w:val="20"/>
                <w:lang w:eastAsia="en-US"/>
              </w:rPr>
            </w:pPr>
            <w:r>
              <w:rPr>
                <w:i/>
                <w:color w:val="000000"/>
                <w:sz w:val="20"/>
                <w:szCs w:val="20"/>
                <w:lang w:eastAsia="en-US"/>
              </w:rPr>
              <w:t>State (3) is a putative apomorphy of Machimosaurini</w:t>
            </w:r>
            <w:r>
              <w:rPr>
                <w:color w:val="000000"/>
                <w:sz w:val="20"/>
                <w:szCs w:val="20"/>
                <w:lang w:eastAsia="en-US"/>
              </w:rPr>
              <w:t>.</w:t>
            </w:r>
          </w:p>
          <w:p w14:paraId="615195FC" w14:textId="0AE16B5F" w:rsidR="002820A5" w:rsidRDefault="002820A5" w:rsidP="002820A5">
            <w:pPr>
              <w:rPr>
                <w:color w:val="000000"/>
                <w:sz w:val="20"/>
                <w:szCs w:val="20"/>
                <w:lang w:eastAsia="en-US"/>
              </w:rPr>
            </w:pPr>
            <w:r>
              <w:rPr>
                <w:i/>
                <w:sz w:val="20"/>
                <w:szCs w:val="20"/>
              </w:rPr>
              <w:t>Ősi et al. (in review)</w:t>
            </w:r>
            <w:r>
              <w:rPr>
                <w:i/>
                <w:color w:val="000000"/>
                <w:sz w:val="20"/>
                <w:szCs w:val="20"/>
                <w:lang w:eastAsia="en-US"/>
              </w:rPr>
              <w:t xml:space="preserve"> added state (2) to accommodate the unusual osteoderm pit morphology seen in </w:t>
            </w:r>
            <w:r>
              <w:rPr>
                <w:iCs/>
                <w:sz w:val="20"/>
                <w:szCs w:val="20"/>
                <w:lang w:eastAsia="en-US"/>
              </w:rPr>
              <w:t>Magyarosuchus fitosi</w:t>
            </w:r>
            <w:r>
              <w:rPr>
                <w:i/>
                <w:color w:val="000000"/>
                <w:sz w:val="20"/>
                <w:szCs w:val="20"/>
                <w:lang w:eastAsia="en-US"/>
              </w:rPr>
              <w:t>.</w:t>
            </w:r>
          </w:p>
          <w:p w14:paraId="11F3D71E"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 or pitted ornamentation.</w:t>
            </w:r>
          </w:p>
          <w:p w14:paraId="529042F5" w14:textId="77777777" w:rsidR="002820A5" w:rsidRDefault="002820A5" w:rsidP="002820A5">
            <w:pPr>
              <w:rPr>
                <w:color w:val="000000"/>
                <w:sz w:val="20"/>
                <w:szCs w:val="20"/>
                <w:lang w:eastAsia="en-US"/>
              </w:rPr>
            </w:pPr>
            <w:r>
              <w:rPr>
                <w:color w:val="000000"/>
                <w:sz w:val="20"/>
                <w:szCs w:val="20"/>
                <w:lang w:eastAsia="en-US"/>
              </w:rPr>
              <w:t>0. small round to ellipsoid pits, very densely distributed</w:t>
            </w:r>
          </w:p>
          <w:p w14:paraId="03659F87" w14:textId="77777777" w:rsidR="002820A5" w:rsidRDefault="002820A5" w:rsidP="002820A5">
            <w:pPr>
              <w:rPr>
                <w:color w:val="000000"/>
                <w:sz w:val="20"/>
                <w:szCs w:val="20"/>
                <w:lang w:eastAsia="en-US"/>
              </w:rPr>
            </w:pPr>
            <w:r>
              <w:rPr>
                <w:color w:val="000000"/>
                <w:sz w:val="20"/>
                <w:szCs w:val="20"/>
                <w:lang w:eastAsia="en-US"/>
              </w:rPr>
              <w:t>1. large round to ellipsoid pits, well separated from one another</w:t>
            </w:r>
          </w:p>
          <w:p w14:paraId="6CA5AE72" w14:textId="77777777" w:rsidR="002820A5" w:rsidRDefault="002820A5" w:rsidP="002820A5">
            <w:pPr>
              <w:rPr>
                <w:color w:val="000000"/>
                <w:sz w:val="20"/>
                <w:szCs w:val="20"/>
                <w:lang w:eastAsia="en-US"/>
              </w:rPr>
            </w:pPr>
            <w:r>
              <w:rPr>
                <w:color w:val="000000"/>
                <w:sz w:val="20"/>
                <w:szCs w:val="20"/>
                <w:lang w:eastAsia="en-US"/>
              </w:rPr>
              <w:t>2. irregularly shaped pits (including circular, ellipsoid, bean-shaped, triangular and quadrangular shapes), with an extreme variation in size (from small to very large), with elongate pits present on the ventrolateral surface running from the keel to the lateral margin</w:t>
            </w:r>
          </w:p>
          <w:p w14:paraId="2B22324B" w14:textId="77777777" w:rsidR="002820A5" w:rsidRDefault="002820A5" w:rsidP="002820A5">
            <w:pPr>
              <w:rPr>
                <w:color w:val="000000"/>
                <w:sz w:val="20"/>
                <w:szCs w:val="20"/>
                <w:lang w:eastAsia="en-US"/>
              </w:rPr>
            </w:pPr>
            <w:r>
              <w:rPr>
                <w:color w:val="000000"/>
                <w:sz w:val="20"/>
                <w:szCs w:val="20"/>
                <w:lang w:eastAsia="en-US"/>
              </w:rPr>
              <w:t>3. pits variable in size and length, from small to large, but on osteoderms with a keel, the pits can become elongate grooves, especially along the lateral margins</w:t>
            </w:r>
          </w:p>
        </w:tc>
      </w:tr>
      <w:tr w:rsidR="002820A5" w14:paraId="6DF07311" w14:textId="77777777" w:rsidTr="002820A5">
        <w:tc>
          <w:tcPr>
            <w:tcW w:w="0" w:type="auto"/>
            <w:tcBorders>
              <w:top w:val="single" w:sz="4" w:space="0" w:color="auto"/>
              <w:left w:val="single" w:sz="4" w:space="0" w:color="auto"/>
              <w:bottom w:val="single" w:sz="4" w:space="0" w:color="auto"/>
              <w:right w:val="single" w:sz="4" w:space="0" w:color="auto"/>
            </w:tcBorders>
          </w:tcPr>
          <w:p w14:paraId="6D82A2C1" w14:textId="115583F8" w:rsidR="002820A5" w:rsidRDefault="009E2821" w:rsidP="002820A5">
            <w:pPr>
              <w:rPr>
                <w:color w:val="000000"/>
                <w:sz w:val="20"/>
                <w:szCs w:val="20"/>
                <w:lang w:eastAsia="en-US"/>
              </w:rPr>
            </w:pPr>
            <w:r>
              <w:rPr>
                <w:color w:val="000000"/>
                <w:sz w:val="20"/>
                <w:szCs w:val="20"/>
                <w:lang w:eastAsia="en-US"/>
              </w:rPr>
              <w:t>430</w:t>
            </w:r>
          </w:p>
        </w:tc>
        <w:tc>
          <w:tcPr>
            <w:tcW w:w="0" w:type="auto"/>
            <w:tcBorders>
              <w:top w:val="single" w:sz="4" w:space="0" w:color="auto"/>
              <w:left w:val="single" w:sz="4" w:space="0" w:color="auto"/>
              <w:bottom w:val="single" w:sz="4" w:space="0" w:color="auto"/>
              <w:right w:val="single" w:sz="4" w:space="0" w:color="auto"/>
            </w:tcBorders>
            <w:vAlign w:val="bottom"/>
            <w:hideMark/>
          </w:tcPr>
          <w:p w14:paraId="47AAAB0B" w14:textId="77777777" w:rsidR="002820A5" w:rsidRDefault="002820A5" w:rsidP="002820A5">
            <w:pPr>
              <w:autoSpaceDE w:val="0"/>
              <w:autoSpaceDN w:val="0"/>
              <w:adjustRightInd w:val="0"/>
              <w:rPr>
                <w:b/>
                <w:sz w:val="20"/>
                <w:szCs w:val="20"/>
                <w:lang w:eastAsia="en-US"/>
              </w:rPr>
            </w:pPr>
            <w:r>
              <w:rPr>
                <w:b/>
                <w:sz w:val="20"/>
                <w:szCs w:val="20"/>
                <w:lang w:eastAsia="en-US"/>
              </w:rPr>
              <w:t xml:space="preserve">Presacral osteoderms, dorsal to the vertebral column: </w:t>
            </w:r>
          </w:p>
          <w:p w14:paraId="7970923E" w14:textId="61DAFDCB" w:rsidR="002820A5" w:rsidRDefault="002820A5" w:rsidP="002820A5">
            <w:pPr>
              <w:rPr>
                <w:i/>
                <w:color w:val="000000"/>
                <w:sz w:val="20"/>
                <w:szCs w:val="20"/>
                <w:lang w:eastAsia="en-US"/>
              </w:rPr>
            </w:pPr>
            <w:r>
              <w:rPr>
                <w:bCs/>
                <w:i/>
                <w:sz w:val="20"/>
                <w:szCs w:val="20"/>
                <w:lang w:eastAsia="en-US"/>
              </w:rPr>
              <w:t xml:space="preserve">Clark (1994, ch. 100 modified); Brochu (1999, ch. 39 part); </w:t>
            </w:r>
            <w:r>
              <w:rPr>
                <w:i/>
                <w:color w:val="000000"/>
                <w:sz w:val="20"/>
                <w:szCs w:val="20"/>
                <w:lang w:eastAsia="en-US"/>
              </w:rPr>
              <w:t xml:space="preserve">Young (2006, ch. 51); Wilkinson et al. (2008, ch. 80); </w:t>
            </w:r>
            <w:r>
              <w:rPr>
                <w:i/>
                <w:sz w:val="20"/>
                <w:szCs w:val="20"/>
                <w:lang w:eastAsia="en-US"/>
              </w:rPr>
              <w:t xml:space="preserve">Young &amp; Andrade (2009, ch. 80); </w:t>
            </w:r>
            <w:r>
              <w:rPr>
                <w:bCs/>
                <w:i/>
                <w:sz w:val="20"/>
                <w:szCs w:val="20"/>
                <w:lang w:eastAsia="en-US"/>
              </w:rPr>
              <w:t>Andrade et al. (2011, ch. 468 part);</w:t>
            </w:r>
            <w:r>
              <w:rPr>
                <w:i/>
                <w:sz w:val="20"/>
                <w:szCs w:val="20"/>
                <w:lang w:eastAsia="en-US"/>
              </w:rPr>
              <w:t xml:space="preserve"> </w:t>
            </w:r>
            <w:r>
              <w:rPr>
                <w:i/>
                <w:color w:val="000000"/>
                <w:sz w:val="20"/>
                <w:szCs w:val="20"/>
                <w:lang w:eastAsia="en-US"/>
              </w:rPr>
              <w:t xml:space="preserve">Nesbitt (2011, ch. 401); Young et al. (2011, ch. 80); Young et al. (2013a, ch. 196 part); Young et al. (2012, ch. 232 part); Young (2014, ch. 243 part); Wilberg (2015b, ch. 382); Young et al. (2016, ds 2, ch. 285); Wilberg (2017, ch. 394); </w:t>
            </w:r>
            <w:r>
              <w:rPr>
                <w:i/>
                <w:sz w:val="20"/>
                <w:szCs w:val="20"/>
                <w:lang w:eastAsia="en-US"/>
              </w:rPr>
              <w:t xml:space="preserve">Ristevski et al. (2018, ds 2, ch. 362); Smith et al. (in review, ds 1, ch. 368); </w:t>
            </w:r>
            <w:r>
              <w:rPr>
                <w:i/>
                <w:sz w:val="20"/>
                <w:szCs w:val="20"/>
              </w:rPr>
              <w:t>Ősi et al. (in review, ds 1, ch. 427)</w:t>
            </w:r>
            <w:r>
              <w:rPr>
                <w:i/>
                <w:color w:val="000000"/>
                <w:sz w:val="20"/>
                <w:szCs w:val="20"/>
                <w:lang w:eastAsia="en-US"/>
              </w:rPr>
              <w:t>.</w:t>
            </w:r>
          </w:p>
          <w:p w14:paraId="6EA75F23" w14:textId="77777777" w:rsidR="002820A5" w:rsidRDefault="002820A5" w:rsidP="002820A5">
            <w:pPr>
              <w:rPr>
                <w:i/>
                <w:color w:val="000000"/>
                <w:sz w:val="20"/>
                <w:szCs w:val="20"/>
                <w:lang w:eastAsia="en-US"/>
              </w:rPr>
            </w:pPr>
            <w:r>
              <w:rPr>
                <w:i/>
                <w:color w:val="000000"/>
                <w:sz w:val="20"/>
                <w:szCs w:val="20"/>
                <w:lang w:eastAsia="en-US"/>
              </w:rPr>
              <w:t xml:space="preserve">State (0) occurs in </w:t>
            </w:r>
            <w:r>
              <w:rPr>
                <w:color w:val="000000"/>
                <w:sz w:val="20"/>
                <w:szCs w:val="20"/>
                <w:lang w:eastAsia="en-US"/>
              </w:rPr>
              <w:t xml:space="preserve">Junggarsuchus </w:t>
            </w:r>
            <w:r>
              <w:rPr>
                <w:i/>
                <w:color w:val="000000"/>
                <w:sz w:val="20"/>
                <w:szCs w:val="20"/>
                <w:lang w:eastAsia="en-US"/>
              </w:rPr>
              <w:t>and Metriorhynchidae.</w:t>
            </w:r>
          </w:p>
          <w:p w14:paraId="25F9C36B" w14:textId="77777777" w:rsidR="002820A5" w:rsidRDefault="002820A5" w:rsidP="002820A5">
            <w:pPr>
              <w:rPr>
                <w:sz w:val="20"/>
                <w:szCs w:val="20"/>
                <w:lang w:eastAsia="en-US"/>
              </w:rPr>
            </w:pPr>
            <w:r>
              <w:rPr>
                <w:sz w:val="20"/>
                <w:szCs w:val="20"/>
                <w:lang w:eastAsia="en-US"/>
              </w:rPr>
              <w:t>0. absent</w:t>
            </w:r>
          </w:p>
          <w:p w14:paraId="79CAA387" w14:textId="77777777" w:rsidR="002820A5" w:rsidRDefault="002820A5" w:rsidP="002820A5">
            <w:pPr>
              <w:rPr>
                <w:sz w:val="20"/>
                <w:szCs w:val="20"/>
                <w:lang w:eastAsia="en-US"/>
              </w:rPr>
            </w:pPr>
            <w:r>
              <w:rPr>
                <w:sz w:val="20"/>
                <w:szCs w:val="20"/>
                <w:lang w:eastAsia="en-US"/>
              </w:rPr>
              <w:t>1. present</w:t>
            </w:r>
          </w:p>
        </w:tc>
      </w:tr>
      <w:tr w:rsidR="002820A5" w14:paraId="2EED98D6" w14:textId="77777777" w:rsidTr="002820A5">
        <w:tc>
          <w:tcPr>
            <w:tcW w:w="0" w:type="auto"/>
            <w:tcBorders>
              <w:top w:val="single" w:sz="4" w:space="0" w:color="auto"/>
              <w:left w:val="single" w:sz="4" w:space="0" w:color="auto"/>
              <w:bottom w:val="single" w:sz="4" w:space="0" w:color="auto"/>
              <w:right w:val="single" w:sz="4" w:space="0" w:color="auto"/>
            </w:tcBorders>
          </w:tcPr>
          <w:p w14:paraId="3C7B4B49" w14:textId="75A1697C" w:rsidR="002820A5" w:rsidRDefault="009E2821" w:rsidP="002820A5">
            <w:pPr>
              <w:rPr>
                <w:color w:val="000000"/>
                <w:sz w:val="20"/>
                <w:szCs w:val="20"/>
                <w:lang w:eastAsia="en-US"/>
              </w:rPr>
            </w:pPr>
            <w:r>
              <w:rPr>
                <w:color w:val="000000"/>
                <w:sz w:val="20"/>
                <w:szCs w:val="20"/>
                <w:lang w:eastAsia="en-US"/>
              </w:rPr>
              <w:t>431</w:t>
            </w:r>
          </w:p>
        </w:tc>
        <w:tc>
          <w:tcPr>
            <w:tcW w:w="0" w:type="auto"/>
            <w:tcBorders>
              <w:top w:val="single" w:sz="4" w:space="0" w:color="auto"/>
              <w:left w:val="single" w:sz="4" w:space="0" w:color="auto"/>
              <w:bottom w:val="single" w:sz="4" w:space="0" w:color="auto"/>
              <w:right w:val="single" w:sz="4" w:space="0" w:color="auto"/>
            </w:tcBorders>
            <w:vAlign w:val="bottom"/>
            <w:hideMark/>
          </w:tcPr>
          <w:p w14:paraId="61040FF3" w14:textId="77777777" w:rsidR="002820A5" w:rsidRDefault="002820A5" w:rsidP="002820A5">
            <w:pPr>
              <w:autoSpaceDE w:val="0"/>
              <w:autoSpaceDN w:val="0"/>
              <w:adjustRightInd w:val="0"/>
              <w:rPr>
                <w:b/>
                <w:sz w:val="20"/>
                <w:szCs w:val="20"/>
                <w:lang w:eastAsia="en-US"/>
              </w:rPr>
            </w:pPr>
            <w:r>
              <w:rPr>
                <w:b/>
                <w:sz w:val="20"/>
                <w:szCs w:val="20"/>
                <w:lang w:eastAsia="en-US"/>
              </w:rPr>
              <w:t>Presacral ventral osteoderms (= gastral osteoderms), form a carapace in the trunk region:</w:t>
            </w:r>
          </w:p>
          <w:p w14:paraId="73E4D4B6" w14:textId="72130E1E"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 xml:space="preserve">Young (2006, ch. 50 modified); Wilkinson et al. (2008, ch. 79 modified); </w:t>
            </w:r>
            <w:r>
              <w:rPr>
                <w:i/>
                <w:sz w:val="20"/>
                <w:szCs w:val="20"/>
                <w:lang w:eastAsia="en-US"/>
              </w:rPr>
              <w:t xml:space="preserve">Young &amp; Andrade (2009, ch. 79 modified); </w:t>
            </w:r>
            <w:r>
              <w:rPr>
                <w:bCs/>
                <w:i/>
                <w:sz w:val="20"/>
                <w:szCs w:val="20"/>
                <w:lang w:eastAsia="en-US"/>
              </w:rPr>
              <w:t>Andrade et al. (2011, ch. 468 part);</w:t>
            </w:r>
            <w:r>
              <w:rPr>
                <w:i/>
                <w:sz w:val="20"/>
                <w:szCs w:val="20"/>
                <w:lang w:eastAsia="en-US"/>
              </w:rPr>
              <w:t xml:space="preserve"> </w:t>
            </w:r>
            <w:r>
              <w:rPr>
                <w:i/>
                <w:iCs/>
                <w:color w:val="000000"/>
                <w:sz w:val="20"/>
                <w:szCs w:val="20"/>
                <w:lang w:eastAsia="en-US"/>
              </w:rPr>
              <w:t xml:space="preserve">Nesbitt (2011, ch. 409 re-phrased); Young et al. (2011, ch. 79 modified); Young et al. (2013a, ch. 199); Young et al. (2012, ch. 236 modified); Young (2014, ch. 247 modified); Young et al. (2016, ds 2, ch. 294); </w:t>
            </w:r>
            <w:r>
              <w:rPr>
                <w:i/>
                <w:sz w:val="20"/>
                <w:szCs w:val="20"/>
                <w:lang w:eastAsia="en-US"/>
              </w:rPr>
              <w:t xml:space="preserve">Ristevski et al. (2018, ds 2, ch. 374); Smith et al. (in review, ds 1, ch. 380); </w:t>
            </w:r>
            <w:r>
              <w:rPr>
                <w:i/>
                <w:sz w:val="20"/>
                <w:szCs w:val="20"/>
              </w:rPr>
              <w:t>Ősi et al. (in review, ds 1, ch. 428)</w:t>
            </w:r>
            <w:r>
              <w:rPr>
                <w:i/>
                <w:iCs/>
                <w:color w:val="000000"/>
                <w:sz w:val="20"/>
                <w:szCs w:val="20"/>
                <w:lang w:eastAsia="en-US"/>
              </w:rPr>
              <w:t>.</w:t>
            </w:r>
          </w:p>
          <w:p w14:paraId="2CC1387D" w14:textId="77777777" w:rsidR="002820A5" w:rsidRDefault="002820A5" w:rsidP="002820A5">
            <w:pPr>
              <w:rPr>
                <w:i/>
                <w:sz w:val="20"/>
                <w:szCs w:val="20"/>
                <w:lang w:eastAsia="en-US"/>
              </w:rPr>
            </w:pPr>
            <w:r>
              <w:rPr>
                <w:i/>
                <w:sz w:val="20"/>
                <w:szCs w:val="20"/>
                <w:lang w:eastAsia="en-US"/>
              </w:rPr>
              <w:t>Crocodyliformes have state (1), although with reversions.</w:t>
            </w:r>
          </w:p>
          <w:p w14:paraId="0BA0DC52" w14:textId="77777777" w:rsidR="002820A5" w:rsidRDefault="002820A5" w:rsidP="002820A5">
            <w:pPr>
              <w:rPr>
                <w:sz w:val="20"/>
                <w:szCs w:val="20"/>
                <w:lang w:eastAsia="en-US"/>
              </w:rPr>
            </w:pPr>
            <w:r>
              <w:rPr>
                <w:sz w:val="20"/>
                <w:szCs w:val="20"/>
                <w:lang w:eastAsia="en-US"/>
              </w:rPr>
              <w:t>0. absent</w:t>
            </w:r>
          </w:p>
          <w:p w14:paraId="3530DF27" w14:textId="77777777" w:rsidR="002820A5" w:rsidRDefault="002820A5" w:rsidP="002820A5">
            <w:pPr>
              <w:autoSpaceDE w:val="0"/>
              <w:autoSpaceDN w:val="0"/>
              <w:adjustRightInd w:val="0"/>
              <w:rPr>
                <w:b/>
                <w:sz w:val="20"/>
                <w:szCs w:val="20"/>
                <w:lang w:eastAsia="en-US"/>
              </w:rPr>
            </w:pPr>
            <w:r>
              <w:rPr>
                <w:sz w:val="20"/>
                <w:szCs w:val="20"/>
                <w:lang w:eastAsia="en-US"/>
              </w:rPr>
              <w:t>1. present</w:t>
            </w:r>
          </w:p>
        </w:tc>
      </w:tr>
      <w:tr w:rsidR="002820A5" w14:paraId="09F1CC5A" w14:textId="77777777" w:rsidTr="002820A5">
        <w:tc>
          <w:tcPr>
            <w:tcW w:w="0" w:type="auto"/>
            <w:tcBorders>
              <w:top w:val="single" w:sz="4" w:space="0" w:color="auto"/>
              <w:left w:val="single" w:sz="4" w:space="0" w:color="auto"/>
              <w:bottom w:val="single" w:sz="4" w:space="0" w:color="auto"/>
              <w:right w:val="single" w:sz="4" w:space="0" w:color="auto"/>
            </w:tcBorders>
          </w:tcPr>
          <w:p w14:paraId="6C0D1006" w14:textId="2FC48BE0" w:rsidR="002820A5" w:rsidRDefault="009E2821" w:rsidP="002820A5">
            <w:pPr>
              <w:rPr>
                <w:color w:val="000000"/>
                <w:sz w:val="20"/>
                <w:szCs w:val="20"/>
                <w:lang w:eastAsia="en-US"/>
              </w:rPr>
            </w:pPr>
            <w:r>
              <w:rPr>
                <w:color w:val="000000"/>
                <w:sz w:val="20"/>
                <w:szCs w:val="20"/>
                <w:lang w:eastAsia="en-US"/>
              </w:rPr>
              <w:t>432</w:t>
            </w:r>
          </w:p>
        </w:tc>
        <w:tc>
          <w:tcPr>
            <w:tcW w:w="0" w:type="auto"/>
            <w:tcBorders>
              <w:top w:val="single" w:sz="4" w:space="0" w:color="auto"/>
              <w:left w:val="single" w:sz="4" w:space="0" w:color="auto"/>
              <w:bottom w:val="single" w:sz="4" w:space="0" w:color="auto"/>
              <w:right w:val="single" w:sz="4" w:space="0" w:color="auto"/>
            </w:tcBorders>
            <w:vAlign w:val="bottom"/>
            <w:hideMark/>
          </w:tcPr>
          <w:p w14:paraId="4C2C9E8E" w14:textId="77777777" w:rsidR="002820A5" w:rsidRDefault="002820A5" w:rsidP="002820A5">
            <w:pPr>
              <w:autoSpaceDE w:val="0"/>
              <w:autoSpaceDN w:val="0"/>
              <w:adjustRightInd w:val="0"/>
              <w:rPr>
                <w:b/>
                <w:bCs/>
                <w:color w:val="000000"/>
                <w:sz w:val="20"/>
                <w:szCs w:val="22"/>
                <w:lang w:eastAsia="en-US"/>
              </w:rPr>
            </w:pPr>
            <w:r>
              <w:rPr>
                <w:b/>
                <w:bCs/>
                <w:color w:val="000000"/>
                <w:sz w:val="20"/>
                <w:szCs w:val="22"/>
                <w:lang w:eastAsia="en-US"/>
              </w:rPr>
              <w:t>Nuchal armour, relation of nuchal osteoderms with the remaining dorsal armour and skull: (*)</w:t>
            </w:r>
          </w:p>
          <w:p w14:paraId="66CB8879" w14:textId="69CC6060" w:rsidR="002820A5" w:rsidRDefault="002820A5" w:rsidP="002820A5">
            <w:pPr>
              <w:autoSpaceDE w:val="0"/>
              <w:autoSpaceDN w:val="0"/>
              <w:adjustRightInd w:val="0"/>
              <w:rPr>
                <w:bCs/>
                <w:i/>
                <w:color w:val="000000"/>
                <w:sz w:val="20"/>
                <w:szCs w:val="22"/>
                <w:lang w:eastAsia="en-US"/>
              </w:rPr>
            </w:pPr>
            <w:r>
              <w:rPr>
                <w:bCs/>
                <w:i/>
                <w:color w:val="000000"/>
                <w:sz w:val="20"/>
                <w:szCs w:val="22"/>
                <w:lang w:eastAsia="en-US"/>
              </w:rPr>
              <w:t xml:space="preserve">Brochu (1999, ch. 38 modified, part); Andrade et al. (2011, ch. 469); </w:t>
            </w:r>
            <w:r>
              <w:rPr>
                <w:i/>
                <w:sz w:val="20"/>
                <w:szCs w:val="20"/>
                <w:lang w:eastAsia="en-US"/>
              </w:rPr>
              <w:t xml:space="preserve">Ristevski et al. (2018, ds 2, ch. 363); Smith et al. (in review, ds 1, ch. 369); </w:t>
            </w:r>
            <w:r>
              <w:rPr>
                <w:i/>
                <w:sz w:val="20"/>
                <w:szCs w:val="20"/>
              </w:rPr>
              <w:t>Ősi et al. (in review, ds 1, ch. 429)</w:t>
            </w:r>
            <w:r>
              <w:rPr>
                <w:bCs/>
                <w:i/>
                <w:color w:val="000000"/>
                <w:sz w:val="20"/>
                <w:szCs w:val="22"/>
                <w:lang w:eastAsia="en-US"/>
              </w:rPr>
              <w:t>.</w:t>
            </w:r>
          </w:p>
          <w:p w14:paraId="293F7076" w14:textId="77777777" w:rsidR="002820A5" w:rsidRDefault="002820A5" w:rsidP="002820A5">
            <w:pPr>
              <w:autoSpaceDE w:val="0"/>
              <w:autoSpaceDN w:val="0"/>
              <w:adjustRightInd w:val="0"/>
              <w:rPr>
                <w:color w:val="000000"/>
                <w:sz w:val="20"/>
                <w:szCs w:val="22"/>
                <w:lang w:eastAsia="en-US"/>
              </w:rPr>
            </w:pPr>
            <w:r>
              <w:rPr>
                <w:i/>
                <w:iCs/>
                <w:color w:val="000000"/>
                <w:sz w:val="20"/>
                <w:szCs w:val="22"/>
                <w:lang w:eastAsia="en-US"/>
              </w:rPr>
              <w:t xml:space="preserve">Note that a similar character was devised by Ortega et al. (2000, ch. 109), but to unite the undescribed Itaborai form and </w:t>
            </w:r>
            <w:r>
              <w:rPr>
                <w:color w:val="000000"/>
                <w:sz w:val="20"/>
                <w:szCs w:val="22"/>
                <w:lang w:eastAsia="en-US"/>
              </w:rPr>
              <w:t>Sebecus</w:t>
            </w:r>
            <w:r>
              <w:rPr>
                <w:i/>
                <w:iCs/>
                <w:color w:val="000000"/>
                <w:sz w:val="20"/>
                <w:szCs w:val="22"/>
                <w:lang w:eastAsia="en-US"/>
              </w:rPr>
              <w:t xml:space="preserve">. </w:t>
            </w:r>
            <w:r>
              <w:rPr>
                <w:i/>
                <w:color w:val="000000"/>
                <w:sz w:val="20"/>
                <w:szCs w:val="22"/>
                <w:lang w:eastAsia="en-US"/>
              </w:rPr>
              <w:t xml:space="preserve">See also McAliley </w:t>
            </w:r>
            <w:r>
              <w:rPr>
                <w:i/>
                <w:iCs/>
                <w:color w:val="000000"/>
                <w:sz w:val="20"/>
                <w:szCs w:val="22"/>
                <w:lang w:eastAsia="en-US"/>
              </w:rPr>
              <w:t xml:space="preserve">et al. </w:t>
            </w:r>
            <w:r>
              <w:rPr>
                <w:i/>
                <w:color w:val="000000"/>
                <w:sz w:val="20"/>
                <w:szCs w:val="22"/>
                <w:lang w:eastAsia="en-US"/>
              </w:rPr>
              <w:t>(2006)</w:t>
            </w:r>
            <w:r>
              <w:rPr>
                <w:color w:val="000000"/>
                <w:sz w:val="20"/>
                <w:szCs w:val="22"/>
                <w:lang w:eastAsia="en-US"/>
              </w:rPr>
              <w:t xml:space="preserve"> </w:t>
            </w:r>
            <w:r>
              <w:rPr>
                <w:i/>
                <w:color w:val="000000"/>
                <w:sz w:val="20"/>
                <w:szCs w:val="22"/>
                <w:lang w:eastAsia="en-US"/>
              </w:rPr>
              <w:t>for discussion on</w:t>
            </w:r>
            <w:r>
              <w:rPr>
                <w:i/>
                <w:iCs/>
                <w:color w:val="000000"/>
                <w:sz w:val="20"/>
                <w:szCs w:val="22"/>
                <w:lang w:eastAsia="en-US"/>
              </w:rPr>
              <w:t xml:space="preserve"> </w:t>
            </w:r>
            <w:r>
              <w:rPr>
                <w:i/>
                <w:color w:val="000000"/>
                <w:sz w:val="20"/>
                <w:szCs w:val="22"/>
                <w:lang w:eastAsia="en-US"/>
              </w:rPr>
              <w:t>eusuchians</w:t>
            </w:r>
            <w:r>
              <w:rPr>
                <w:color w:val="000000"/>
                <w:sz w:val="20"/>
                <w:szCs w:val="22"/>
                <w:lang w:eastAsia="en-US"/>
              </w:rPr>
              <w:t>.</w:t>
            </w:r>
          </w:p>
          <w:p w14:paraId="01CA24EE"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42F76B91"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0. large nuchal shields continuous from postoccipital region to trunk armour, with any given osteoderm contacting the anterior and posterior elements (except for the first postoccipital shield)</w:t>
            </w:r>
          </w:p>
          <w:p w14:paraId="28E680DB"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1. large nuchal shields continuous with trunk armour, but not reaching the postoccipital region</w:t>
            </w:r>
          </w:p>
          <w:p w14:paraId="2DEA209C"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2. large nuchal shields discontinuous with dorsal trunk armour and absent from postoccipital region</w:t>
            </w:r>
          </w:p>
        </w:tc>
      </w:tr>
      <w:tr w:rsidR="002820A5" w14:paraId="6CC1C2C9" w14:textId="77777777" w:rsidTr="002820A5">
        <w:tc>
          <w:tcPr>
            <w:tcW w:w="0" w:type="auto"/>
            <w:tcBorders>
              <w:top w:val="single" w:sz="4" w:space="0" w:color="auto"/>
              <w:left w:val="single" w:sz="4" w:space="0" w:color="auto"/>
              <w:bottom w:val="single" w:sz="4" w:space="0" w:color="auto"/>
              <w:right w:val="single" w:sz="4" w:space="0" w:color="auto"/>
            </w:tcBorders>
          </w:tcPr>
          <w:p w14:paraId="1C395DB5" w14:textId="02579667" w:rsidR="002820A5" w:rsidRDefault="009E2821" w:rsidP="002820A5">
            <w:pPr>
              <w:rPr>
                <w:color w:val="000000"/>
                <w:sz w:val="20"/>
                <w:szCs w:val="20"/>
                <w:lang w:eastAsia="en-US"/>
              </w:rPr>
            </w:pPr>
            <w:r>
              <w:rPr>
                <w:color w:val="000000"/>
                <w:sz w:val="20"/>
                <w:szCs w:val="20"/>
                <w:lang w:eastAsia="en-US"/>
              </w:rPr>
              <w:t>433</w:t>
            </w:r>
          </w:p>
        </w:tc>
        <w:tc>
          <w:tcPr>
            <w:tcW w:w="0" w:type="auto"/>
            <w:tcBorders>
              <w:top w:val="single" w:sz="4" w:space="0" w:color="auto"/>
              <w:left w:val="single" w:sz="4" w:space="0" w:color="auto"/>
              <w:bottom w:val="single" w:sz="4" w:space="0" w:color="auto"/>
              <w:right w:val="single" w:sz="4" w:space="0" w:color="auto"/>
            </w:tcBorders>
            <w:vAlign w:val="bottom"/>
            <w:hideMark/>
          </w:tcPr>
          <w:p w14:paraId="5FCCA764" w14:textId="77777777" w:rsidR="002820A5" w:rsidRDefault="002820A5" w:rsidP="002820A5">
            <w:pPr>
              <w:autoSpaceDE w:val="0"/>
              <w:autoSpaceDN w:val="0"/>
              <w:adjustRightInd w:val="0"/>
              <w:rPr>
                <w:b/>
                <w:bCs/>
                <w:color w:val="000000"/>
                <w:sz w:val="20"/>
                <w:szCs w:val="22"/>
                <w:lang w:eastAsia="en-US"/>
              </w:rPr>
            </w:pPr>
            <w:r>
              <w:rPr>
                <w:b/>
                <w:bCs/>
                <w:color w:val="000000"/>
                <w:sz w:val="20"/>
                <w:szCs w:val="22"/>
                <w:lang w:eastAsia="en-US"/>
              </w:rPr>
              <w:t>Nuchal armour, number and arrangement of nuchal shields: (*)</w:t>
            </w:r>
          </w:p>
          <w:p w14:paraId="493EA1D6" w14:textId="28110BE4" w:rsidR="002820A5" w:rsidRDefault="002820A5" w:rsidP="002820A5">
            <w:pPr>
              <w:autoSpaceDE w:val="0"/>
              <w:autoSpaceDN w:val="0"/>
              <w:adjustRightInd w:val="0"/>
              <w:rPr>
                <w:bCs/>
                <w:i/>
                <w:color w:val="000000"/>
                <w:sz w:val="20"/>
                <w:szCs w:val="22"/>
                <w:lang w:eastAsia="en-US"/>
              </w:rPr>
            </w:pPr>
            <w:r>
              <w:rPr>
                <w:bCs/>
                <w:i/>
                <w:color w:val="000000"/>
                <w:sz w:val="20"/>
                <w:szCs w:val="22"/>
                <w:lang w:eastAsia="en-US"/>
              </w:rPr>
              <w:t xml:space="preserve">Brochu (1999, ch. 38 modified &amp; revised in part); Andrade et al. (2011, ch. 470); </w:t>
            </w:r>
            <w:r>
              <w:rPr>
                <w:i/>
                <w:sz w:val="20"/>
                <w:szCs w:val="20"/>
                <w:lang w:eastAsia="en-US"/>
              </w:rPr>
              <w:t xml:space="preserve">Ristevski et al. (2018, ds 2, ch. 364); Smith et al. (in review, ds 1, ch. 370); </w:t>
            </w:r>
            <w:r>
              <w:rPr>
                <w:i/>
                <w:sz w:val="20"/>
                <w:szCs w:val="20"/>
              </w:rPr>
              <w:t>Ősi et al. (in review, ds 1, ch. 430)</w:t>
            </w:r>
            <w:r>
              <w:rPr>
                <w:bCs/>
                <w:i/>
                <w:color w:val="000000"/>
                <w:sz w:val="20"/>
                <w:szCs w:val="22"/>
                <w:lang w:eastAsia="en-US"/>
              </w:rPr>
              <w:t>.</w:t>
            </w:r>
          </w:p>
          <w:p w14:paraId="02D367E9" w14:textId="77777777" w:rsidR="002820A5" w:rsidRDefault="002820A5" w:rsidP="002820A5">
            <w:pPr>
              <w:autoSpaceDE w:val="0"/>
              <w:autoSpaceDN w:val="0"/>
              <w:adjustRightInd w:val="0"/>
              <w:rPr>
                <w:i/>
                <w:color w:val="000000"/>
                <w:sz w:val="20"/>
                <w:szCs w:val="22"/>
                <w:lang w:eastAsia="en-US"/>
              </w:rPr>
            </w:pPr>
            <w:r>
              <w:rPr>
                <w:i/>
                <w:iCs/>
                <w:color w:val="000000"/>
                <w:sz w:val="20"/>
                <w:szCs w:val="22"/>
                <w:lang w:eastAsia="en-US"/>
              </w:rPr>
              <w:t>State (3), and the terminology 'cervical shield' is according to Marinho &amp; Carvalho (2009).</w:t>
            </w:r>
            <w:r>
              <w:rPr>
                <w:iCs/>
                <w:color w:val="000000"/>
                <w:sz w:val="20"/>
                <w:szCs w:val="22"/>
                <w:lang w:eastAsia="en-US"/>
              </w:rPr>
              <w:t xml:space="preserve"> </w:t>
            </w:r>
            <w:r>
              <w:rPr>
                <w:i/>
                <w:color w:val="000000"/>
                <w:sz w:val="20"/>
                <w:szCs w:val="22"/>
                <w:lang w:eastAsia="en-US"/>
              </w:rPr>
              <w:t xml:space="preserve">See also McAliley </w:t>
            </w:r>
            <w:r>
              <w:rPr>
                <w:i/>
                <w:iCs/>
                <w:color w:val="000000"/>
                <w:sz w:val="20"/>
                <w:szCs w:val="22"/>
                <w:lang w:eastAsia="en-US"/>
              </w:rPr>
              <w:t xml:space="preserve">et al. </w:t>
            </w:r>
            <w:r>
              <w:rPr>
                <w:i/>
                <w:color w:val="000000"/>
                <w:sz w:val="20"/>
                <w:szCs w:val="22"/>
                <w:lang w:eastAsia="en-US"/>
              </w:rPr>
              <w:t>(2006) for discussion on eusuchians.</w:t>
            </w:r>
          </w:p>
          <w:p w14:paraId="03460EF8"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 or that lack a distinct nuchal shield (i.e. thalattosuchians).</w:t>
            </w:r>
          </w:p>
          <w:p w14:paraId="31B8F1DA"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0. four paramedian nuchal shields, sided by two accessory shields, all enlarged relative to the remaining neck dermal armour</w:t>
            </w:r>
          </w:p>
          <w:p w14:paraId="1F22F3B0"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1. four paramedian nuchal shields enlarged relative to remaining neck shields, and no accessory shield enlarged</w:t>
            </w:r>
          </w:p>
          <w:p w14:paraId="1AEB5B51"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2. eight (or more) shields, arranged in two paramedian rows, enlarged relative to remaining neck shields, with no accessory shield enlarged</w:t>
            </w:r>
          </w:p>
          <w:p w14:paraId="521AE4A1"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3. ten or more median osteoderms, combined with several lateral osteoderms, composing a distinct cervical shield</w:t>
            </w:r>
          </w:p>
        </w:tc>
      </w:tr>
      <w:tr w:rsidR="002820A5" w14:paraId="19A4F27B" w14:textId="77777777" w:rsidTr="002820A5">
        <w:tc>
          <w:tcPr>
            <w:tcW w:w="0" w:type="auto"/>
            <w:tcBorders>
              <w:top w:val="single" w:sz="4" w:space="0" w:color="auto"/>
              <w:left w:val="single" w:sz="4" w:space="0" w:color="auto"/>
              <w:bottom w:val="single" w:sz="4" w:space="0" w:color="auto"/>
              <w:right w:val="single" w:sz="4" w:space="0" w:color="auto"/>
            </w:tcBorders>
          </w:tcPr>
          <w:p w14:paraId="605A921A" w14:textId="05D96258" w:rsidR="002820A5" w:rsidRDefault="009E2821" w:rsidP="002820A5">
            <w:pPr>
              <w:rPr>
                <w:color w:val="000000"/>
                <w:sz w:val="20"/>
                <w:szCs w:val="20"/>
                <w:lang w:eastAsia="en-US"/>
              </w:rPr>
            </w:pPr>
            <w:r>
              <w:rPr>
                <w:color w:val="000000"/>
                <w:sz w:val="20"/>
                <w:szCs w:val="20"/>
                <w:lang w:eastAsia="en-US"/>
              </w:rPr>
              <w:t>434</w:t>
            </w:r>
          </w:p>
        </w:tc>
        <w:tc>
          <w:tcPr>
            <w:tcW w:w="0" w:type="auto"/>
            <w:tcBorders>
              <w:top w:val="single" w:sz="4" w:space="0" w:color="auto"/>
              <w:left w:val="single" w:sz="4" w:space="0" w:color="auto"/>
              <w:bottom w:val="single" w:sz="4" w:space="0" w:color="auto"/>
              <w:right w:val="single" w:sz="4" w:space="0" w:color="auto"/>
            </w:tcBorders>
            <w:vAlign w:val="bottom"/>
            <w:hideMark/>
          </w:tcPr>
          <w:p w14:paraId="0DA3DDAB" w14:textId="77777777" w:rsidR="002820A5" w:rsidRDefault="002820A5" w:rsidP="002820A5">
            <w:pPr>
              <w:autoSpaceDE w:val="0"/>
              <w:autoSpaceDN w:val="0"/>
              <w:adjustRightInd w:val="0"/>
              <w:rPr>
                <w:b/>
                <w:bCs/>
                <w:color w:val="000000"/>
                <w:sz w:val="20"/>
                <w:szCs w:val="22"/>
                <w:lang w:eastAsia="en-US"/>
              </w:rPr>
            </w:pPr>
            <w:r>
              <w:rPr>
                <w:b/>
                <w:bCs/>
                <w:color w:val="000000"/>
                <w:sz w:val="20"/>
                <w:szCs w:val="22"/>
                <w:lang w:eastAsia="en-US"/>
              </w:rPr>
              <w:t>Nuchal armour, morphology of nuchal shields relative to the remaining trunk dermal armour: (*)</w:t>
            </w:r>
          </w:p>
          <w:p w14:paraId="627BA403" w14:textId="794371E2" w:rsidR="002820A5" w:rsidRDefault="002820A5" w:rsidP="002820A5">
            <w:pPr>
              <w:autoSpaceDE w:val="0"/>
              <w:autoSpaceDN w:val="0"/>
              <w:adjustRightInd w:val="0"/>
              <w:rPr>
                <w:bCs/>
                <w:i/>
                <w:color w:val="000000"/>
                <w:sz w:val="20"/>
                <w:szCs w:val="22"/>
                <w:lang w:eastAsia="en-US"/>
              </w:rPr>
            </w:pPr>
            <w:r>
              <w:rPr>
                <w:bCs/>
                <w:i/>
                <w:color w:val="000000"/>
                <w:sz w:val="20"/>
                <w:szCs w:val="22"/>
                <w:lang w:eastAsia="en-US"/>
              </w:rPr>
              <w:t xml:space="preserve">Brochu (1999, ch. 38 modified in part); Andrade et al. (2011, ch. 471); </w:t>
            </w:r>
            <w:r>
              <w:rPr>
                <w:i/>
                <w:sz w:val="20"/>
                <w:szCs w:val="20"/>
                <w:lang w:eastAsia="en-US"/>
              </w:rPr>
              <w:t xml:space="preserve">Ristevski et al. (2018, ds 2, ch. 365); Smith et al. (in review, ds 1, ch. 371); </w:t>
            </w:r>
            <w:r>
              <w:rPr>
                <w:i/>
                <w:sz w:val="20"/>
                <w:szCs w:val="20"/>
              </w:rPr>
              <w:t>Ősi et al. (in review, ds 1, ch. 431)</w:t>
            </w:r>
            <w:r>
              <w:rPr>
                <w:bCs/>
                <w:i/>
                <w:color w:val="000000"/>
                <w:sz w:val="20"/>
                <w:szCs w:val="22"/>
                <w:lang w:eastAsia="en-US"/>
              </w:rPr>
              <w:t>.</w:t>
            </w:r>
          </w:p>
          <w:p w14:paraId="3C4FFE73" w14:textId="77777777" w:rsidR="002820A5" w:rsidRDefault="002820A5" w:rsidP="002820A5">
            <w:pPr>
              <w:autoSpaceDE w:val="0"/>
              <w:autoSpaceDN w:val="0"/>
              <w:adjustRightInd w:val="0"/>
              <w:rPr>
                <w:bCs/>
                <w:i/>
                <w:color w:val="000000"/>
                <w:sz w:val="20"/>
                <w:szCs w:val="22"/>
                <w:lang w:eastAsia="en-US"/>
              </w:rPr>
            </w:pPr>
            <w:r>
              <w:rPr>
                <w:bCs/>
                <w:i/>
                <w:color w:val="000000"/>
                <w:sz w:val="20"/>
                <w:szCs w:val="22"/>
                <w:lang w:eastAsia="en-US"/>
              </w:rPr>
              <w:t xml:space="preserve">State (1) occurs in </w:t>
            </w:r>
            <w:r>
              <w:rPr>
                <w:bCs/>
                <w:color w:val="000000"/>
                <w:sz w:val="20"/>
                <w:szCs w:val="22"/>
                <w:lang w:eastAsia="en-US"/>
              </w:rPr>
              <w:t xml:space="preserve">Armadilosuchus </w:t>
            </w:r>
            <w:r>
              <w:rPr>
                <w:bCs/>
                <w:i/>
                <w:color w:val="000000"/>
                <w:sz w:val="20"/>
                <w:szCs w:val="22"/>
                <w:lang w:eastAsia="en-US"/>
              </w:rPr>
              <w:t>and Susisuchidae + Eusuchia (with a reversal in gavialoids).</w:t>
            </w:r>
          </w:p>
          <w:p w14:paraId="63E1692D" w14:textId="77777777" w:rsidR="002820A5" w:rsidRDefault="002820A5" w:rsidP="002820A5">
            <w:pPr>
              <w:autoSpaceDE w:val="0"/>
              <w:autoSpaceDN w:val="0"/>
              <w:adjustRightInd w:val="0"/>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98CD6A9"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0. nuchal and dorsal trunk shields undifferentiated, morphology grading continuously</w:t>
            </w:r>
          </w:p>
          <w:p w14:paraId="0B140024" w14:textId="77777777" w:rsidR="002820A5" w:rsidRDefault="002820A5" w:rsidP="002820A5">
            <w:pPr>
              <w:autoSpaceDE w:val="0"/>
              <w:autoSpaceDN w:val="0"/>
              <w:adjustRightInd w:val="0"/>
              <w:rPr>
                <w:color w:val="000000"/>
                <w:sz w:val="20"/>
                <w:szCs w:val="22"/>
                <w:lang w:eastAsia="en-US"/>
              </w:rPr>
            </w:pPr>
            <w:r>
              <w:rPr>
                <w:color w:val="000000"/>
                <w:sz w:val="20"/>
                <w:szCs w:val="22"/>
                <w:lang w:eastAsia="en-US"/>
              </w:rPr>
              <w:t>1. nuchal shields clearly differentiated from dorsal trunk shields by size and general</w:t>
            </w:r>
          </w:p>
          <w:p w14:paraId="19562A64" w14:textId="77777777" w:rsidR="002820A5" w:rsidRDefault="002820A5" w:rsidP="002820A5">
            <w:pPr>
              <w:autoSpaceDE w:val="0"/>
              <w:autoSpaceDN w:val="0"/>
              <w:adjustRightInd w:val="0"/>
              <w:rPr>
                <w:b/>
                <w:sz w:val="20"/>
                <w:szCs w:val="20"/>
                <w:lang w:eastAsia="en-US"/>
              </w:rPr>
            </w:pPr>
            <w:r>
              <w:rPr>
                <w:color w:val="000000"/>
                <w:sz w:val="20"/>
                <w:szCs w:val="22"/>
                <w:lang w:eastAsia="en-US"/>
              </w:rPr>
              <w:t>morphology (regardless of contact between nuchal and trunk series)</w:t>
            </w:r>
          </w:p>
        </w:tc>
      </w:tr>
      <w:tr w:rsidR="002820A5" w14:paraId="2195329F" w14:textId="77777777" w:rsidTr="002820A5">
        <w:tc>
          <w:tcPr>
            <w:tcW w:w="0" w:type="auto"/>
            <w:tcBorders>
              <w:top w:val="single" w:sz="4" w:space="0" w:color="auto"/>
              <w:left w:val="single" w:sz="4" w:space="0" w:color="auto"/>
              <w:bottom w:val="single" w:sz="4" w:space="0" w:color="auto"/>
              <w:right w:val="single" w:sz="4" w:space="0" w:color="auto"/>
            </w:tcBorders>
          </w:tcPr>
          <w:p w14:paraId="67F71C57" w14:textId="36902401" w:rsidR="002820A5" w:rsidRDefault="009E2821" w:rsidP="002820A5">
            <w:pPr>
              <w:rPr>
                <w:color w:val="000000"/>
                <w:sz w:val="20"/>
                <w:szCs w:val="20"/>
                <w:lang w:eastAsia="en-US"/>
              </w:rPr>
            </w:pPr>
            <w:r>
              <w:rPr>
                <w:color w:val="000000"/>
                <w:sz w:val="20"/>
                <w:szCs w:val="20"/>
                <w:lang w:eastAsia="en-US"/>
              </w:rPr>
              <w:t>435</w:t>
            </w:r>
          </w:p>
        </w:tc>
        <w:tc>
          <w:tcPr>
            <w:tcW w:w="0" w:type="auto"/>
            <w:tcBorders>
              <w:top w:val="single" w:sz="4" w:space="0" w:color="auto"/>
              <w:left w:val="single" w:sz="4" w:space="0" w:color="auto"/>
              <w:bottom w:val="single" w:sz="4" w:space="0" w:color="auto"/>
              <w:right w:val="single" w:sz="4" w:space="0" w:color="auto"/>
            </w:tcBorders>
            <w:vAlign w:val="bottom"/>
            <w:hideMark/>
          </w:tcPr>
          <w:p w14:paraId="0E0736A3" w14:textId="4EC54DE3" w:rsidR="002820A5" w:rsidRDefault="002820A5" w:rsidP="002820A5">
            <w:pPr>
              <w:autoSpaceDE w:val="0"/>
              <w:autoSpaceDN w:val="0"/>
              <w:adjustRightInd w:val="0"/>
              <w:rPr>
                <w:b/>
                <w:bCs/>
                <w:color w:val="000000"/>
                <w:sz w:val="20"/>
                <w:lang w:eastAsia="en-US"/>
              </w:rPr>
            </w:pPr>
            <w:r>
              <w:rPr>
                <w:b/>
                <w:bCs/>
                <w:color w:val="000000"/>
                <w:sz w:val="20"/>
                <w:lang w:eastAsia="en-US"/>
              </w:rPr>
              <w:t>Presacral dorsal armour, presence of an anterior process (= anterolateral process, = stylofoveal process) to articulate with the anterior adjacent osteoderm, in medial dorsal elements: (*)</w:t>
            </w:r>
          </w:p>
          <w:p w14:paraId="45C7B673" w14:textId="49EAD31C" w:rsidR="002820A5" w:rsidRDefault="002820A5" w:rsidP="002820A5">
            <w:pPr>
              <w:rPr>
                <w:bCs/>
                <w:i/>
                <w:color w:val="000000"/>
                <w:sz w:val="20"/>
                <w:szCs w:val="22"/>
                <w:lang w:eastAsia="en-US"/>
              </w:rPr>
            </w:pPr>
            <w:r>
              <w:rPr>
                <w:bCs/>
                <w:i/>
                <w:sz w:val="20"/>
                <w:szCs w:val="20"/>
                <w:lang w:eastAsia="en-US"/>
              </w:rPr>
              <w:t xml:space="preserve">Norell &amp; Clark (1990, ch. 13 revised); Clark (1994, ch. 96 modified); Brochu (1999, ch. 40 revised); Ortega </w:t>
            </w:r>
            <w:r>
              <w:rPr>
                <w:bCs/>
                <w:i/>
                <w:iCs/>
                <w:sz w:val="20"/>
                <w:szCs w:val="20"/>
                <w:lang w:eastAsia="en-US"/>
              </w:rPr>
              <w:t>et al. (</w:t>
            </w:r>
            <w:r>
              <w:rPr>
                <w:bCs/>
                <w:i/>
                <w:sz w:val="20"/>
                <w:szCs w:val="20"/>
                <w:lang w:eastAsia="en-US"/>
              </w:rPr>
              <w:t xml:space="preserve">2000, ch. 113 revised); </w:t>
            </w:r>
            <w:r>
              <w:rPr>
                <w:bCs/>
                <w:i/>
                <w:color w:val="000000"/>
                <w:sz w:val="20"/>
                <w:szCs w:val="22"/>
                <w:lang w:eastAsia="en-US"/>
              </w:rPr>
              <w:t xml:space="preserve">Andrade et al. (2011, ch. 477 modified); Young et al. (2011, ch. 184); Young et al. (2013a, ch. 198); Young et al. (2012, ch. 233 modified); Young (2014, ch. 244); Young et al. (2016, ds 2, ch. 286); </w:t>
            </w:r>
            <w:r>
              <w:rPr>
                <w:i/>
                <w:sz w:val="20"/>
                <w:szCs w:val="20"/>
                <w:lang w:eastAsia="en-US"/>
              </w:rPr>
              <w:t xml:space="preserve">Ristevski et al. (2018, ds 1, ch. 483; ds 2, ch. 366 modified); Smith et al. (in review, ds 1, ch. 372; </w:t>
            </w:r>
            <w:r>
              <w:rPr>
                <w:bCs/>
                <w:i/>
                <w:color w:val="000000"/>
                <w:sz w:val="20"/>
                <w:szCs w:val="22"/>
                <w:lang w:eastAsia="en-US"/>
              </w:rPr>
              <w:t>ds</w:t>
            </w:r>
            <w:r>
              <w:rPr>
                <w:i/>
                <w:sz w:val="20"/>
                <w:szCs w:val="20"/>
                <w:lang w:eastAsia="en-US"/>
              </w:rPr>
              <w:t xml:space="preserve"> 2, ch. 483); </w:t>
            </w:r>
            <w:r>
              <w:rPr>
                <w:i/>
                <w:sz w:val="20"/>
                <w:szCs w:val="20"/>
              </w:rPr>
              <w:t>Ősi et al. (in review, ds 1, ch. 432)</w:t>
            </w:r>
            <w:r>
              <w:rPr>
                <w:bCs/>
                <w:i/>
                <w:sz w:val="20"/>
                <w:szCs w:val="20"/>
                <w:lang w:eastAsia="en-US"/>
              </w:rPr>
              <w:t>.</w:t>
            </w:r>
          </w:p>
          <w:p w14:paraId="19AF2C33" w14:textId="77777777" w:rsidR="002820A5" w:rsidRDefault="002820A5" w:rsidP="002820A5">
            <w:pPr>
              <w:rPr>
                <w:i/>
                <w:color w:val="000000"/>
                <w:sz w:val="20"/>
                <w:szCs w:val="22"/>
                <w:lang w:eastAsia="en-US"/>
              </w:rPr>
            </w:pPr>
            <w:r>
              <w:rPr>
                <w:i/>
                <w:color w:val="000000"/>
                <w:sz w:val="20"/>
                <w:szCs w:val="22"/>
                <w:lang w:eastAsia="en-US"/>
              </w:rPr>
              <w:t>Scores for a similar morphology as Nesbitt (2011, ch. 403).</w:t>
            </w:r>
          </w:p>
          <w:p w14:paraId="703F72DF" w14:textId="77777777" w:rsidR="002820A5" w:rsidRDefault="002820A5" w:rsidP="002820A5">
            <w:pPr>
              <w:rPr>
                <w:i/>
                <w:color w:val="000000"/>
                <w:sz w:val="20"/>
                <w:szCs w:val="20"/>
                <w:lang w:eastAsia="en-US"/>
              </w:rPr>
            </w:pPr>
            <w:r>
              <w:rPr>
                <w:i/>
                <w:color w:val="000000"/>
                <w:sz w:val="20"/>
                <w:szCs w:val="20"/>
                <w:lang w:eastAsia="en-US"/>
              </w:rPr>
              <w:t>Note that this process does not include the lateral processes seen in dyrosaurids, as they articulate with the accessory osteoderms.</w:t>
            </w:r>
          </w:p>
          <w:p w14:paraId="4D26C6C1" w14:textId="77777777" w:rsidR="002820A5" w:rsidRDefault="002820A5" w:rsidP="002820A5">
            <w:pPr>
              <w:rPr>
                <w:i/>
                <w:color w:val="000000"/>
                <w:sz w:val="20"/>
                <w:szCs w:val="20"/>
                <w:lang w:eastAsia="en-US"/>
              </w:rPr>
            </w:pPr>
            <w:r>
              <w:rPr>
                <w:i/>
                <w:color w:val="000000"/>
                <w:sz w:val="20"/>
                <w:szCs w:val="20"/>
                <w:lang w:eastAsia="en-US"/>
              </w:rPr>
              <w:t xml:space="preserve">State (2) is a putative apomorphy of </w:t>
            </w:r>
            <w:r>
              <w:rPr>
                <w:iCs/>
                <w:sz w:val="20"/>
                <w:szCs w:val="20"/>
                <w:lang w:eastAsia="en-US"/>
              </w:rPr>
              <w:t>Magyarosuchus fitosi</w:t>
            </w:r>
            <w:r>
              <w:rPr>
                <w:i/>
                <w:color w:val="000000"/>
                <w:sz w:val="20"/>
                <w:szCs w:val="20"/>
                <w:lang w:eastAsia="en-US"/>
              </w:rPr>
              <w:t>.</w:t>
            </w:r>
          </w:p>
          <w:p w14:paraId="63A3A9C3" w14:textId="77777777" w:rsidR="002820A5" w:rsidRDefault="002820A5" w:rsidP="002820A5">
            <w:pPr>
              <w:rPr>
                <w:i/>
                <w:color w:val="000000"/>
                <w:sz w:val="20"/>
                <w:szCs w:val="20"/>
                <w:lang w:eastAsia="en-US"/>
              </w:rPr>
            </w:pPr>
            <w:r>
              <w:rPr>
                <w:i/>
                <w:color w:val="000000"/>
                <w:sz w:val="20"/>
                <w:szCs w:val="20"/>
                <w:lang w:eastAsia="en-US"/>
              </w:rPr>
              <w:t xml:space="preserve">Here we modified this character by adding state (2), which is a modification of the distinct ‘peg-like’ anterolateral process seen in </w:t>
            </w:r>
            <w:r>
              <w:rPr>
                <w:iCs/>
                <w:sz w:val="20"/>
                <w:szCs w:val="20"/>
                <w:lang w:eastAsia="en-US"/>
              </w:rPr>
              <w:t>Magyarosuchus fitosi</w:t>
            </w:r>
            <w:r>
              <w:rPr>
                <w:i/>
                <w:color w:val="000000"/>
                <w:sz w:val="20"/>
                <w:szCs w:val="20"/>
                <w:lang w:eastAsia="en-US"/>
              </w:rPr>
              <w:t>.</w:t>
            </w:r>
          </w:p>
          <w:p w14:paraId="18B47AE7"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EDBBA52" w14:textId="77777777" w:rsidR="002820A5" w:rsidRDefault="002820A5" w:rsidP="002820A5">
            <w:pPr>
              <w:rPr>
                <w:color w:val="000000"/>
                <w:sz w:val="20"/>
                <w:szCs w:val="20"/>
                <w:lang w:eastAsia="en-US"/>
              </w:rPr>
            </w:pPr>
            <w:r>
              <w:rPr>
                <w:color w:val="000000"/>
                <w:sz w:val="20"/>
                <w:szCs w:val="20"/>
                <w:lang w:eastAsia="en-US"/>
              </w:rPr>
              <w:t>0. absent</w:t>
            </w:r>
          </w:p>
          <w:p w14:paraId="2E87C3CA" w14:textId="77777777" w:rsidR="002820A5" w:rsidRDefault="002820A5" w:rsidP="002820A5">
            <w:pPr>
              <w:rPr>
                <w:color w:val="000000"/>
                <w:sz w:val="20"/>
                <w:szCs w:val="20"/>
                <w:lang w:eastAsia="en-US"/>
              </w:rPr>
            </w:pPr>
            <w:r>
              <w:rPr>
                <w:color w:val="000000"/>
                <w:sz w:val="20"/>
                <w:szCs w:val="20"/>
                <w:lang w:eastAsia="en-US"/>
              </w:rPr>
              <w:t>1. present, as a distinct ‘peg-like’ process</w:t>
            </w:r>
          </w:p>
          <w:p w14:paraId="296EFAB8" w14:textId="77777777" w:rsidR="002820A5" w:rsidRDefault="002820A5" w:rsidP="002820A5">
            <w:pPr>
              <w:rPr>
                <w:color w:val="000000"/>
                <w:sz w:val="20"/>
                <w:szCs w:val="20"/>
                <w:lang w:eastAsia="en-US"/>
              </w:rPr>
            </w:pPr>
            <w:r>
              <w:rPr>
                <w:color w:val="000000"/>
                <w:sz w:val="20"/>
                <w:szCs w:val="20"/>
                <w:lang w:eastAsia="en-US"/>
              </w:rPr>
              <w:t>2. present, but as an indistinct process, no longer being distinctly ‘peg-like’, as their lateral margin is contiguous with that of the osteoderm ventrolateral surface</w:t>
            </w:r>
          </w:p>
        </w:tc>
      </w:tr>
      <w:tr w:rsidR="002820A5" w14:paraId="6EF92DBC" w14:textId="77777777" w:rsidTr="002820A5">
        <w:tc>
          <w:tcPr>
            <w:tcW w:w="0" w:type="auto"/>
            <w:tcBorders>
              <w:top w:val="single" w:sz="4" w:space="0" w:color="auto"/>
              <w:left w:val="single" w:sz="4" w:space="0" w:color="auto"/>
              <w:bottom w:val="single" w:sz="4" w:space="0" w:color="auto"/>
              <w:right w:val="single" w:sz="4" w:space="0" w:color="auto"/>
            </w:tcBorders>
          </w:tcPr>
          <w:p w14:paraId="73C3C611" w14:textId="24453B1B" w:rsidR="002820A5" w:rsidRDefault="009E2821" w:rsidP="002820A5">
            <w:pPr>
              <w:rPr>
                <w:color w:val="000000"/>
                <w:sz w:val="20"/>
                <w:szCs w:val="20"/>
                <w:lang w:eastAsia="en-US"/>
              </w:rPr>
            </w:pPr>
            <w:r>
              <w:rPr>
                <w:color w:val="000000"/>
                <w:sz w:val="20"/>
                <w:szCs w:val="20"/>
                <w:lang w:eastAsia="en-US"/>
              </w:rPr>
              <w:t>436</w:t>
            </w:r>
          </w:p>
        </w:tc>
        <w:tc>
          <w:tcPr>
            <w:tcW w:w="0" w:type="auto"/>
            <w:tcBorders>
              <w:top w:val="single" w:sz="4" w:space="0" w:color="auto"/>
              <w:left w:val="single" w:sz="4" w:space="0" w:color="auto"/>
              <w:bottom w:val="single" w:sz="4" w:space="0" w:color="auto"/>
              <w:right w:val="single" w:sz="4" w:space="0" w:color="auto"/>
            </w:tcBorders>
            <w:vAlign w:val="bottom"/>
            <w:hideMark/>
          </w:tcPr>
          <w:p w14:paraId="38925EE1"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Presacral dorsal armour, surface of only the paravertebral osteoderms: (*)</w:t>
            </w:r>
          </w:p>
          <w:p w14:paraId="624EBC5F" w14:textId="282854F7" w:rsidR="002820A5" w:rsidRDefault="002820A5" w:rsidP="002820A5">
            <w:pPr>
              <w:autoSpaceDE w:val="0"/>
              <w:autoSpaceDN w:val="0"/>
              <w:adjustRightInd w:val="0"/>
              <w:rPr>
                <w:bCs/>
                <w:i/>
                <w:color w:val="000000"/>
                <w:sz w:val="20"/>
                <w:lang w:eastAsia="en-US"/>
              </w:rPr>
            </w:pPr>
            <w:r>
              <w:rPr>
                <w:bCs/>
                <w:i/>
                <w:color w:val="000000"/>
                <w:sz w:val="20"/>
                <w:lang w:eastAsia="en-US"/>
              </w:rPr>
              <w:t xml:space="preserve">Andrade et al. (2011, ch. 476); Nesbitt (2011, ch. 404); Young et al. (2012, ch. 235); Young (2014, ch. 246); Young et al. (2016, ds 2, ch. 287); </w:t>
            </w:r>
            <w:r>
              <w:rPr>
                <w:i/>
                <w:sz w:val="20"/>
                <w:szCs w:val="20"/>
                <w:lang w:eastAsia="en-US"/>
              </w:rPr>
              <w:t xml:space="preserve">Ristevski et al. (2018, ds 2, ch. 367); Smith et al. (in review, ds 1, ch. 373); </w:t>
            </w:r>
            <w:r>
              <w:rPr>
                <w:i/>
                <w:sz w:val="20"/>
                <w:szCs w:val="20"/>
              </w:rPr>
              <w:t>Ősi et al. (in review, ds 1, ch. 433)</w:t>
            </w:r>
            <w:r>
              <w:rPr>
                <w:bCs/>
                <w:i/>
                <w:color w:val="000000"/>
                <w:sz w:val="20"/>
                <w:lang w:eastAsia="en-US"/>
              </w:rPr>
              <w:t>.</w:t>
            </w:r>
          </w:p>
          <w:p w14:paraId="019D722A" w14:textId="77777777" w:rsidR="002820A5" w:rsidRDefault="002820A5" w:rsidP="002820A5">
            <w:pPr>
              <w:rPr>
                <w:i/>
                <w:color w:val="000000"/>
                <w:sz w:val="20"/>
                <w:szCs w:val="20"/>
                <w:lang w:eastAsia="en-US"/>
              </w:rPr>
            </w:pPr>
            <w:r>
              <w:rPr>
                <w:i/>
                <w:color w:val="000000"/>
                <w:sz w:val="20"/>
                <w:szCs w:val="20"/>
                <w:lang w:eastAsia="en-US"/>
              </w:rPr>
              <w:t>Crocodile-line archosaurs including, basal crocodylomorphs, have state (1).</w:t>
            </w:r>
          </w:p>
          <w:p w14:paraId="10316D15" w14:textId="77777777" w:rsidR="002820A5" w:rsidRDefault="002820A5" w:rsidP="002820A5">
            <w:pPr>
              <w:rPr>
                <w:i/>
                <w:color w:val="000000"/>
                <w:sz w:val="20"/>
                <w:szCs w:val="20"/>
                <w:lang w:eastAsia="en-US"/>
              </w:rPr>
            </w:pPr>
            <w:r>
              <w:rPr>
                <w:i/>
                <w:color w:val="000000"/>
                <w:sz w:val="20"/>
                <w:szCs w:val="20"/>
                <w:lang w:eastAsia="en-US"/>
              </w:rPr>
              <w:t xml:space="preserve">In Thalattosuchia </w:t>
            </w:r>
            <w:r>
              <w:rPr>
                <w:color w:val="000000"/>
                <w:sz w:val="20"/>
                <w:szCs w:val="20"/>
                <w:lang w:eastAsia="en-US"/>
              </w:rPr>
              <w:t>Teleosaurus</w:t>
            </w:r>
            <w:r>
              <w:rPr>
                <w:i/>
                <w:color w:val="000000"/>
                <w:sz w:val="20"/>
                <w:szCs w:val="20"/>
                <w:lang w:eastAsia="en-US"/>
              </w:rPr>
              <w:t xml:space="preserve"> and </w:t>
            </w:r>
            <w:r>
              <w:rPr>
                <w:color w:val="000000"/>
                <w:sz w:val="20"/>
                <w:szCs w:val="20"/>
                <w:lang w:eastAsia="en-US"/>
              </w:rPr>
              <w:t>Platysuchus</w:t>
            </w:r>
            <w:r>
              <w:rPr>
                <w:i/>
                <w:color w:val="000000"/>
                <w:sz w:val="20"/>
                <w:szCs w:val="20"/>
                <w:lang w:eastAsia="en-US"/>
              </w:rPr>
              <w:t xml:space="preserve"> also have state (1).</w:t>
            </w:r>
          </w:p>
          <w:p w14:paraId="53327E78"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32A9DA4" w14:textId="77777777" w:rsidR="002820A5" w:rsidRDefault="002820A5" w:rsidP="002820A5">
            <w:pPr>
              <w:autoSpaceDE w:val="0"/>
              <w:autoSpaceDN w:val="0"/>
              <w:adjustRightInd w:val="0"/>
              <w:rPr>
                <w:color w:val="000000"/>
                <w:sz w:val="20"/>
                <w:lang w:eastAsia="en-US"/>
              </w:rPr>
            </w:pPr>
            <w:r>
              <w:rPr>
                <w:color w:val="000000"/>
                <w:sz w:val="20"/>
                <w:lang w:eastAsia="en-US"/>
              </w:rPr>
              <w:t>0. either weakly arched or mostly straight, forming a flat osteoderm, either keeled or not</w:t>
            </w:r>
          </w:p>
          <w:p w14:paraId="24EE8F38" w14:textId="77777777" w:rsidR="002820A5" w:rsidRDefault="002820A5" w:rsidP="002820A5">
            <w:pPr>
              <w:rPr>
                <w:color w:val="000000"/>
                <w:sz w:val="18"/>
                <w:szCs w:val="20"/>
                <w:lang w:eastAsia="en-US"/>
              </w:rPr>
            </w:pPr>
            <w:r>
              <w:rPr>
                <w:color w:val="000000"/>
                <w:sz w:val="20"/>
                <w:lang w:eastAsia="en-US"/>
              </w:rPr>
              <w:t>1. osteoderm either strongly curved, with convex surface, partially embracing the vertebrae from side to side, or the curvature is restricted to a distinct bend near the lateral edge</w:t>
            </w:r>
          </w:p>
        </w:tc>
      </w:tr>
      <w:tr w:rsidR="002820A5" w14:paraId="63EAF027" w14:textId="77777777" w:rsidTr="002820A5">
        <w:tc>
          <w:tcPr>
            <w:tcW w:w="0" w:type="auto"/>
            <w:tcBorders>
              <w:top w:val="single" w:sz="4" w:space="0" w:color="auto"/>
              <w:left w:val="single" w:sz="4" w:space="0" w:color="auto"/>
              <w:bottom w:val="single" w:sz="4" w:space="0" w:color="auto"/>
              <w:right w:val="single" w:sz="4" w:space="0" w:color="auto"/>
            </w:tcBorders>
          </w:tcPr>
          <w:p w14:paraId="685C6FB1" w14:textId="0D22C916" w:rsidR="002820A5" w:rsidRDefault="009E2821" w:rsidP="002820A5">
            <w:pPr>
              <w:rPr>
                <w:color w:val="000000"/>
                <w:sz w:val="20"/>
                <w:szCs w:val="20"/>
                <w:lang w:eastAsia="en-US"/>
              </w:rPr>
            </w:pPr>
            <w:r>
              <w:rPr>
                <w:color w:val="000000"/>
                <w:sz w:val="20"/>
                <w:szCs w:val="20"/>
                <w:lang w:eastAsia="en-US"/>
              </w:rPr>
              <w:t>437</w:t>
            </w:r>
          </w:p>
        </w:tc>
        <w:tc>
          <w:tcPr>
            <w:tcW w:w="0" w:type="auto"/>
            <w:tcBorders>
              <w:top w:val="single" w:sz="4" w:space="0" w:color="auto"/>
              <w:left w:val="single" w:sz="4" w:space="0" w:color="auto"/>
              <w:bottom w:val="single" w:sz="4" w:space="0" w:color="auto"/>
              <w:right w:val="single" w:sz="4" w:space="0" w:color="auto"/>
            </w:tcBorders>
            <w:vAlign w:val="bottom"/>
            <w:hideMark/>
          </w:tcPr>
          <w:p w14:paraId="3D35D6CE" w14:textId="77777777" w:rsidR="002820A5" w:rsidRDefault="002820A5" w:rsidP="002820A5">
            <w:pPr>
              <w:rPr>
                <w:b/>
                <w:bCs/>
                <w:sz w:val="20"/>
                <w:szCs w:val="20"/>
                <w:lang w:eastAsia="en-US"/>
              </w:rPr>
            </w:pPr>
            <w:r>
              <w:rPr>
                <w:b/>
                <w:bCs/>
                <w:color w:val="000000"/>
                <w:sz w:val="20"/>
                <w:lang w:eastAsia="en-US"/>
              </w:rPr>
              <w:t>Presacral dorsal armour</w:t>
            </w:r>
            <w:r>
              <w:rPr>
                <w:b/>
                <w:bCs/>
                <w:sz w:val="20"/>
                <w:szCs w:val="20"/>
                <w:lang w:eastAsia="en-US"/>
              </w:rPr>
              <w:t>, biserial or tetraserial dorsal shield: (*)</w:t>
            </w:r>
          </w:p>
          <w:p w14:paraId="557E8031" w14:textId="1405307E" w:rsidR="002820A5" w:rsidRDefault="002820A5" w:rsidP="002820A5">
            <w:pPr>
              <w:autoSpaceDE w:val="0"/>
              <w:autoSpaceDN w:val="0"/>
              <w:adjustRightInd w:val="0"/>
              <w:rPr>
                <w:i/>
                <w:sz w:val="20"/>
                <w:szCs w:val="20"/>
                <w:lang w:eastAsia="en-US"/>
              </w:rPr>
            </w:pPr>
            <w:r>
              <w:rPr>
                <w:i/>
                <w:sz w:val="20"/>
                <w:szCs w:val="20"/>
                <w:lang w:eastAsia="en-US"/>
              </w:rPr>
              <w:t xml:space="preserve">Young &amp; Andrade (2009, ch. 147 part); Young et al. (2011, ch. 147 part); Young et al. (2013a, ch. 197 part); Young et al. (2012, ch. 232 part); Young (2014, ch. 243 part); Young et al. (2016, ds 2, ch. 289); Ristevski et al. (2018, ds 2, ch. 368); Smith et al. (in review, ds 1, ch. 374); </w:t>
            </w:r>
            <w:r>
              <w:rPr>
                <w:i/>
                <w:sz w:val="20"/>
                <w:szCs w:val="20"/>
              </w:rPr>
              <w:t>Ősi et al. (in review, ds 1, ch. 434)</w:t>
            </w:r>
            <w:r>
              <w:rPr>
                <w:i/>
                <w:sz w:val="20"/>
                <w:szCs w:val="20"/>
                <w:lang w:eastAsia="en-US"/>
              </w:rPr>
              <w:t>.</w:t>
            </w:r>
          </w:p>
          <w:p w14:paraId="7108AC18" w14:textId="77777777" w:rsidR="002820A5" w:rsidRDefault="002820A5" w:rsidP="002820A5">
            <w:pPr>
              <w:rPr>
                <w:i/>
                <w:color w:val="000000"/>
                <w:sz w:val="20"/>
                <w:szCs w:val="20"/>
                <w:lang w:eastAsia="en-US"/>
              </w:rPr>
            </w:pPr>
            <w:r>
              <w:rPr>
                <w:i/>
                <w:color w:val="000000"/>
                <w:sz w:val="20"/>
                <w:szCs w:val="20"/>
                <w:lang w:eastAsia="en-US"/>
              </w:rPr>
              <w:t>Susisuchidae + Eusuchia have state (1).</w:t>
            </w:r>
          </w:p>
          <w:p w14:paraId="74BEFBD1"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DCF7EBB" w14:textId="77777777" w:rsidR="002820A5" w:rsidRDefault="002820A5" w:rsidP="002820A5">
            <w:pPr>
              <w:rPr>
                <w:sz w:val="20"/>
                <w:szCs w:val="20"/>
                <w:lang w:eastAsia="en-US"/>
              </w:rPr>
            </w:pPr>
            <w:r>
              <w:rPr>
                <w:sz w:val="20"/>
                <w:szCs w:val="20"/>
                <w:lang w:eastAsia="en-US"/>
              </w:rPr>
              <w:t>0. biserial dorsal shield (one pair of paramedian osteoderms per row)</w:t>
            </w:r>
          </w:p>
          <w:p w14:paraId="7C3DA4DF" w14:textId="77777777" w:rsidR="002820A5" w:rsidRDefault="002820A5" w:rsidP="002820A5">
            <w:pPr>
              <w:autoSpaceDE w:val="0"/>
              <w:autoSpaceDN w:val="0"/>
              <w:adjustRightInd w:val="0"/>
              <w:rPr>
                <w:b/>
                <w:sz w:val="20"/>
                <w:szCs w:val="20"/>
                <w:lang w:eastAsia="en-US"/>
              </w:rPr>
            </w:pPr>
            <w:r>
              <w:rPr>
                <w:sz w:val="20"/>
                <w:szCs w:val="20"/>
                <w:lang w:eastAsia="en-US"/>
              </w:rPr>
              <w:t>1. tetraserial dorsal shield (two pairs of paramedian osterderms per row)</w:t>
            </w:r>
          </w:p>
        </w:tc>
      </w:tr>
      <w:tr w:rsidR="002820A5" w14:paraId="6ACBF15E" w14:textId="77777777" w:rsidTr="002820A5">
        <w:tc>
          <w:tcPr>
            <w:tcW w:w="0" w:type="auto"/>
            <w:tcBorders>
              <w:top w:val="single" w:sz="4" w:space="0" w:color="auto"/>
              <w:left w:val="single" w:sz="4" w:space="0" w:color="auto"/>
              <w:bottom w:val="single" w:sz="4" w:space="0" w:color="auto"/>
              <w:right w:val="single" w:sz="4" w:space="0" w:color="auto"/>
            </w:tcBorders>
          </w:tcPr>
          <w:p w14:paraId="470BECCC" w14:textId="266A696C" w:rsidR="002820A5" w:rsidRDefault="009E2821" w:rsidP="002820A5">
            <w:pPr>
              <w:rPr>
                <w:color w:val="000000"/>
                <w:sz w:val="20"/>
                <w:szCs w:val="20"/>
                <w:lang w:eastAsia="en-US"/>
              </w:rPr>
            </w:pPr>
            <w:r>
              <w:rPr>
                <w:color w:val="000000"/>
                <w:sz w:val="20"/>
                <w:szCs w:val="20"/>
                <w:lang w:eastAsia="en-US"/>
              </w:rPr>
              <w:t>438</w:t>
            </w:r>
          </w:p>
        </w:tc>
        <w:tc>
          <w:tcPr>
            <w:tcW w:w="0" w:type="auto"/>
            <w:tcBorders>
              <w:top w:val="single" w:sz="4" w:space="0" w:color="auto"/>
              <w:left w:val="single" w:sz="4" w:space="0" w:color="auto"/>
              <w:bottom w:val="single" w:sz="4" w:space="0" w:color="auto"/>
              <w:right w:val="single" w:sz="4" w:space="0" w:color="auto"/>
            </w:tcBorders>
            <w:vAlign w:val="bottom"/>
            <w:hideMark/>
          </w:tcPr>
          <w:p w14:paraId="2F8825C7" w14:textId="77777777" w:rsidR="002820A5" w:rsidRDefault="002820A5" w:rsidP="002820A5">
            <w:pPr>
              <w:rPr>
                <w:b/>
                <w:bCs/>
                <w:sz w:val="20"/>
                <w:szCs w:val="20"/>
                <w:lang w:eastAsia="en-US"/>
              </w:rPr>
            </w:pPr>
            <w:r>
              <w:rPr>
                <w:b/>
                <w:bCs/>
                <w:color w:val="000000"/>
                <w:sz w:val="20"/>
                <w:lang w:eastAsia="en-US"/>
              </w:rPr>
              <w:t>Presacral dorsal armour</w:t>
            </w:r>
            <w:r>
              <w:rPr>
                <w:b/>
                <w:bCs/>
                <w:sz w:val="20"/>
                <w:szCs w:val="20"/>
                <w:lang w:eastAsia="en-US"/>
              </w:rPr>
              <w:t>, presence of accessory osteoderm columns that do not have a peg-like articulation with the paramedian column, and which are smaller in size than the paramedian column(s): (ORDERED) (*)</w:t>
            </w:r>
          </w:p>
          <w:p w14:paraId="151E0AB4" w14:textId="3C7A5B1B" w:rsidR="002820A5" w:rsidRDefault="002820A5" w:rsidP="002820A5">
            <w:pPr>
              <w:autoSpaceDE w:val="0"/>
              <w:autoSpaceDN w:val="0"/>
              <w:adjustRightInd w:val="0"/>
              <w:rPr>
                <w:bCs/>
                <w:i/>
                <w:color w:val="000000"/>
                <w:sz w:val="20"/>
                <w:lang w:eastAsia="en-US"/>
              </w:rPr>
            </w:pPr>
            <w:r>
              <w:rPr>
                <w:i/>
                <w:sz w:val="20"/>
                <w:szCs w:val="20"/>
                <w:lang w:eastAsia="en-US"/>
              </w:rPr>
              <w:t xml:space="preserve">Ristevski et al. (2018, ds 2, ch. 369); Smith et al. (in review, ds 1, ch. 375); </w:t>
            </w:r>
            <w:r>
              <w:rPr>
                <w:i/>
                <w:sz w:val="20"/>
                <w:szCs w:val="20"/>
              </w:rPr>
              <w:t>Ősi et al. (in review, ds 1, ch. 435)</w:t>
            </w:r>
            <w:r>
              <w:rPr>
                <w:i/>
                <w:sz w:val="20"/>
                <w:szCs w:val="20"/>
                <w:lang w:eastAsia="en-US"/>
              </w:rPr>
              <w:t>.</w:t>
            </w:r>
          </w:p>
          <w:p w14:paraId="3C8D52D7" w14:textId="77777777" w:rsidR="002820A5" w:rsidRDefault="002820A5" w:rsidP="002820A5">
            <w:pPr>
              <w:autoSpaceDE w:val="0"/>
              <w:autoSpaceDN w:val="0"/>
              <w:adjustRightInd w:val="0"/>
              <w:rPr>
                <w:bCs/>
                <w:i/>
                <w:color w:val="000000"/>
                <w:sz w:val="20"/>
                <w:lang w:eastAsia="en-US"/>
              </w:rPr>
            </w:pPr>
            <w:r>
              <w:rPr>
                <w:bCs/>
                <w:i/>
                <w:color w:val="000000"/>
                <w:sz w:val="20"/>
                <w:lang w:eastAsia="en-US"/>
              </w:rPr>
              <w:t>This character is an amalgam of Andrade et al. (2011, ch. 472 + 473) and Young et al. (2016, ds 2, ch. 290).</w:t>
            </w:r>
          </w:p>
          <w:p w14:paraId="14AFC578" w14:textId="77777777" w:rsidR="002820A5" w:rsidRDefault="002820A5" w:rsidP="002820A5">
            <w:pPr>
              <w:autoSpaceDE w:val="0"/>
              <w:autoSpaceDN w:val="0"/>
              <w:adjustRightInd w:val="0"/>
              <w:rPr>
                <w:bCs/>
                <w:i/>
                <w:color w:val="000000"/>
                <w:sz w:val="20"/>
                <w:lang w:eastAsia="en-US"/>
              </w:rPr>
            </w:pPr>
            <w:r>
              <w:rPr>
                <w:bCs/>
                <w:i/>
                <w:sz w:val="20"/>
                <w:szCs w:val="20"/>
                <w:lang w:eastAsia="en-US"/>
              </w:rPr>
              <w:t xml:space="preserve">Similar to the character in: Norell &amp; Clark (1990, ch. 12 modified); Brochu (1999, ch. 37 modified); Ortega </w:t>
            </w:r>
            <w:r>
              <w:rPr>
                <w:bCs/>
                <w:i/>
                <w:iCs/>
                <w:sz w:val="20"/>
                <w:szCs w:val="20"/>
                <w:lang w:eastAsia="en-US"/>
              </w:rPr>
              <w:t>et al. (</w:t>
            </w:r>
            <w:r>
              <w:rPr>
                <w:bCs/>
                <w:i/>
                <w:sz w:val="20"/>
                <w:szCs w:val="20"/>
                <w:lang w:eastAsia="en-US"/>
              </w:rPr>
              <w:t>2000, ch. 107).</w:t>
            </w:r>
          </w:p>
          <w:p w14:paraId="36374B62" w14:textId="77777777" w:rsidR="002820A5" w:rsidRDefault="002820A5" w:rsidP="002820A5">
            <w:pPr>
              <w:rPr>
                <w:bCs/>
                <w:i/>
                <w:sz w:val="20"/>
                <w:szCs w:val="20"/>
                <w:lang w:eastAsia="en-US"/>
              </w:rPr>
            </w:pPr>
            <w:r>
              <w:rPr>
                <w:bCs/>
                <w:i/>
                <w:sz w:val="20"/>
                <w:szCs w:val="20"/>
                <w:lang w:eastAsia="en-US"/>
              </w:rPr>
              <w:t>This character does not consider the accessory osteoderms of dyrosaurids to be homologous (see character relating to the ‘lateral process’).</w:t>
            </w:r>
          </w:p>
          <w:p w14:paraId="0253D0B0" w14:textId="77777777" w:rsidR="002820A5" w:rsidRDefault="002820A5" w:rsidP="002820A5">
            <w:pPr>
              <w:rPr>
                <w:bCs/>
                <w:i/>
                <w:sz w:val="20"/>
                <w:szCs w:val="20"/>
                <w:lang w:eastAsia="en-US"/>
              </w:rPr>
            </w:pPr>
            <w:r>
              <w:rPr>
                <w:bCs/>
                <w:i/>
                <w:sz w:val="20"/>
                <w:szCs w:val="20"/>
                <w:lang w:eastAsia="en-US"/>
              </w:rPr>
              <w:t>This character does not consider the accessory osteoderms of notosuchians to be homologous, as their accessory osteoderms can retain the same size and shape as the paramedian column.</w:t>
            </w:r>
          </w:p>
          <w:p w14:paraId="64799A7F" w14:textId="77777777" w:rsidR="002820A5" w:rsidRDefault="002820A5" w:rsidP="002820A5">
            <w:pPr>
              <w:rPr>
                <w:bCs/>
                <w:i/>
                <w:sz w:val="20"/>
                <w:szCs w:val="20"/>
                <w:lang w:eastAsia="en-US"/>
              </w:rPr>
            </w:pPr>
            <w:r>
              <w:rPr>
                <w:bCs/>
                <w:i/>
                <w:sz w:val="20"/>
                <w:szCs w:val="20"/>
                <w:lang w:eastAsia="en-US"/>
              </w:rPr>
              <w:t>State (1) occurs in Bernissaartidae, Susisuchidae, and Eusuchia.</w:t>
            </w:r>
          </w:p>
          <w:p w14:paraId="2828DA93" w14:textId="77777777" w:rsidR="002820A5" w:rsidRDefault="002820A5" w:rsidP="002820A5">
            <w:pPr>
              <w:rPr>
                <w:bCs/>
                <w:sz w:val="20"/>
                <w:szCs w:val="20"/>
                <w:lang w:eastAsia="en-US"/>
              </w:rPr>
            </w:pPr>
            <w:r>
              <w:rPr>
                <w:bCs/>
                <w:i/>
                <w:sz w:val="20"/>
                <w:szCs w:val="20"/>
                <w:lang w:eastAsia="en-US"/>
              </w:rPr>
              <w:t xml:space="preserve">State (2) occurs in </w:t>
            </w:r>
            <w:r>
              <w:rPr>
                <w:bCs/>
                <w:sz w:val="20"/>
                <w:szCs w:val="20"/>
                <w:lang w:eastAsia="en-US"/>
              </w:rPr>
              <w:t xml:space="preserve">Brachychampsa </w:t>
            </w:r>
            <w:r>
              <w:rPr>
                <w:bCs/>
                <w:i/>
                <w:sz w:val="20"/>
                <w:szCs w:val="20"/>
                <w:lang w:eastAsia="en-US"/>
              </w:rPr>
              <w:t>and</w:t>
            </w:r>
            <w:r>
              <w:rPr>
                <w:bCs/>
                <w:sz w:val="20"/>
                <w:szCs w:val="20"/>
                <w:lang w:eastAsia="en-US"/>
              </w:rPr>
              <w:t xml:space="preserve"> Alligator mississippiensis.</w:t>
            </w:r>
          </w:p>
          <w:p w14:paraId="4255FB1D"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778F6CD6" w14:textId="77777777" w:rsidR="002820A5" w:rsidRDefault="002820A5" w:rsidP="002820A5">
            <w:pPr>
              <w:autoSpaceDE w:val="0"/>
              <w:autoSpaceDN w:val="0"/>
              <w:adjustRightInd w:val="0"/>
              <w:rPr>
                <w:color w:val="000000"/>
                <w:sz w:val="20"/>
                <w:lang w:eastAsia="en-US"/>
              </w:rPr>
            </w:pPr>
            <w:r>
              <w:rPr>
                <w:color w:val="000000"/>
                <w:sz w:val="20"/>
                <w:lang w:eastAsia="en-US"/>
              </w:rPr>
              <w:t>0. absent (either has: two paravertebral medial columns, the gobiosuchid, or notosuchian. or dyrosaurid morphology)</w:t>
            </w:r>
          </w:p>
          <w:p w14:paraId="544F3DC2" w14:textId="77777777" w:rsidR="002820A5" w:rsidRDefault="002820A5" w:rsidP="002820A5">
            <w:pPr>
              <w:autoSpaceDE w:val="0"/>
              <w:autoSpaceDN w:val="0"/>
              <w:adjustRightInd w:val="0"/>
              <w:rPr>
                <w:color w:val="000000"/>
                <w:sz w:val="20"/>
                <w:lang w:eastAsia="en-US"/>
              </w:rPr>
            </w:pPr>
            <w:r>
              <w:rPr>
                <w:color w:val="000000"/>
                <w:sz w:val="20"/>
                <w:lang w:eastAsia="en-US"/>
              </w:rPr>
              <w:t>1. present, a lateral accessory column on either of the paramedian columns</w:t>
            </w:r>
          </w:p>
          <w:p w14:paraId="7F012A97" w14:textId="77777777" w:rsidR="002820A5" w:rsidRDefault="002820A5" w:rsidP="002820A5">
            <w:pPr>
              <w:autoSpaceDE w:val="0"/>
              <w:autoSpaceDN w:val="0"/>
              <w:adjustRightInd w:val="0"/>
              <w:rPr>
                <w:b/>
                <w:sz w:val="20"/>
                <w:szCs w:val="20"/>
                <w:lang w:eastAsia="en-US"/>
              </w:rPr>
            </w:pPr>
            <w:r>
              <w:rPr>
                <w:color w:val="000000"/>
                <w:sz w:val="20"/>
                <w:lang w:eastAsia="en-US"/>
              </w:rPr>
              <w:t>2. present, two lateral accessory columns on either of the paramedian columns</w:t>
            </w:r>
          </w:p>
        </w:tc>
      </w:tr>
      <w:tr w:rsidR="002820A5" w14:paraId="03292254" w14:textId="77777777" w:rsidTr="002820A5">
        <w:tc>
          <w:tcPr>
            <w:tcW w:w="0" w:type="auto"/>
            <w:tcBorders>
              <w:top w:val="single" w:sz="4" w:space="0" w:color="auto"/>
              <w:left w:val="single" w:sz="4" w:space="0" w:color="auto"/>
              <w:bottom w:val="single" w:sz="4" w:space="0" w:color="auto"/>
              <w:right w:val="single" w:sz="4" w:space="0" w:color="auto"/>
            </w:tcBorders>
          </w:tcPr>
          <w:p w14:paraId="2CF78F92" w14:textId="65DA6F61" w:rsidR="002820A5" w:rsidRDefault="009E2821" w:rsidP="002820A5">
            <w:pPr>
              <w:rPr>
                <w:color w:val="000000"/>
                <w:sz w:val="20"/>
                <w:szCs w:val="20"/>
                <w:lang w:eastAsia="en-US"/>
              </w:rPr>
            </w:pPr>
            <w:r>
              <w:rPr>
                <w:color w:val="000000"/>
                <w:sz w:val="20"/>
                <w:szCs w:val="20"/>
                <w:lang w:eastAsia="en-US"/>
              </w:rPr>
              <w:t>439</w:t>
            </w:r>
          </w:p>
        </w:tc>
        <w:tc>
          <w:tcPr>
            <w:tcW w:w="0" w:type="auto"/>
            <w:tcBorders>
              <w:top w:val="single" w:sz="4" w:space="0" w:color="auto"/>
              <w:left w:val="single" w:sz="4" w:space="0" w:color="auto"/>
              <w:bottom w:val="single" w:sz="4" w:space="0" w:color="auto"/>
              <w:right w:val="single" w:sz="4" w:space="0" w:color="auto"/>
            </w:tcBorders>
            <w:vAlign w:val="bottom"/>
            <w:hideMark/>
          </w:tcPr>
          <w:p w14:paraId="304BA796" w14:textId="77777777" w:rsidR="002820A5" w:rsidRDefault="002820A5" w:rsidP="002820A5">
            <w:pPr>
              <w:rPr>
                <w:b/>
                <w:sz w:val="20"/>
                <w:szCs w:val="20"/>
                <w:lang w:eastAsia="en-US"/>
              </w:rPr>
            </w:pPr>
            <w:r>
              <w:rPr>
                <w:b/>
                <w:bCs/>
                <w:color w:val="000000"/>
                <w:sz w:val="20"/>
                <w:lang w:eastAsia="en-US"/>
              </w:rPr>
              <w:t>Presacral dorsal armour</w:t>
            </w:r>
            <w:r>
              <w:rPr>
                <w:b/>
                <w:sz w:val="20"/>
                <w:szCs w:val="20"/>
                <w:lang w:eastAsia="en-US"/>
              </w:rPr>
              <w:t>, presence of accessory osteoderm column that has a peg-like articulation with the paramedian column (through a ‘lateral process’ derived from the anterolateral margin of the paramedian osteoderms): (*)</w:t>
            </w:r>
          </w:p>
          <w:p w14:paraId="6168ED46" w14:textId="49DE22F0" w:rsidR="002820A5" w:rsidRDefault="002820A5" w:rsidP="002820A5">
            <w:pPr>
              <w:rPr>
                <w:i/>
                <w:sz w:val="20"/>
                <w:szCs w:val="20"/>
                <w:lang w:eastAsia="en-US"/>
              </w:rPr>
            </w:pPr>
            <w:r>
              <w:rPr>
                <w:i/>
                <w:sz w:val="20"/>
                <w:szCs w:val="20"/>
                <w:lang w:eastAsia="en-US"/>
              </w:rPr>
              <w:t xml:space="preserve">Jouve et al. (2008, ch. 37 modified); </w:t>
            </w:r>
            <w:r>
              <w:rPr>
                <w:bCs/>
                <w:i/>
                <w:sz w:val="20"/>
                <w:szCs w:val="20"/>
                <w:lang w:eastAsia="en-US"/>
              </w:rPr>
              <w:t xml:space="preserve">Hastings et al. (2010, ch. 82 modified); Young et al. (2016, ds 2, ch. 291); </w:t>
            </w:r>
            <w:r>
              <w:rPr>
                <w:i/>
                <w:sz w:val="20"/>
                <w:szCs w:val="20"/>
                <w:lang w:eastAsia="en-US"/>
              </w:rPr>
              <w:t xml:space="preserve">Ristevski et al. (2018, ds 2, ch. 370); Smith et al. (in review, ds 1, ch. 376); </w:t>
            </w:r>
            <w:r>
              <w:rPr>
                <w:i/>
                <w:sz w:val="20"/>
                <w:szCs w:val="20"/>
              </w:rPr>
              <w:t>Ősi et al. (in review, ds 1, ch. 436)</w:t>
            </w:r>
            <w:r>
              <w:rPr>
                <w:bCs/>
                <w:i/>
                <w:sz w:val="20"/>
                <w:szCs w:val="20"/>
                <w:lang w:eastAsia="en-US"/>
              </w:rPr>
              <w:t>.</w:t>
            </w:r>
          </w:p>
          <w:p w14:paraId="116370B9" w14:textId="77777777" w:rsidR="002820A5" w:rsidRDefault="002820A5" w:rsidP="002820A5">
            <w:pPr>
              <w:rPr>
                <w:i/>
                <w:sz w:val="20"/>
                <w:szCs w:val="20"/>
                <w:lang w:eastAsia="en-US"/>
              </w:rPr>
            </w:pPr>
            <w:r>
              <w:rPr>
                <w:i/>
                <w:sz w:val="20"/>
                <w:szCs w:val="20"/>
                <w:lang w:eastAsia="en-US"/>
              </w:rPr>
              <w:t>State (1) occurs in dyrosaurids.</w:t>
            </w:r>
          </w:p>
          <w:p w14:paraId="2EE817F7" w14:textId="77777777" w:rsidR="002820A5" w:rsidRDefault="002820A5" w:rsidP="002820A5">
            <w:pPr>
              <w:rPr>
                <w:i/>
                <w:sz w:val="20"/>
                <w:szCs w:val="20"/>
                <w:lang w:eastAsia="en-US"/>
              </w:rPr>
            </w:pPr>
            <w:r>
              <w:rPr>
                <w:i/>
                <w:sz w:val="20"/>
                <w:szCs w:val="20"/>
                <w:lang w:eastAsia="en-US"/>
              </w:rPr>
              <w:t>This character was applied to test the homology of accessory osteoderms in dyrosaurids.</w:t>
            </w:r>
          </w:p>
          <w:p w14:paraId="18EC1F65"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357D362A" w14:textId="77777777" w:rsidR="002820A5" w:rsidRDefault="002820A5" w:rsidP="002820A5">
            <w:pPr>
              <w:rPr>
                <w:sz w:val="20"/>
                <w:szCs w:val="20"/>
                <w:lang w:eastAsia="en-US"/>
              </w:rPr>
            </w:pPr>
            <w:r>
              <w:rPr>
                <w:sz w:val="20"/>
                <w:szCs w:val="20"/>
                <w:lang w:eastAsia="en-US"/>
              </w:rPr>
              <w:t>0. absent (either has: two paravertebral medial columns, the gobiosuchid or notosuchian or the advanced neosuchian morphology)</w:t>
            </w:r>
          </w:p>
          <w:p w14:paraId="1F93C63F" w14:textId="77777777" w:rsidR="002820A5" w:rsidRDefault="002820A5" w:rsidP="002820A5">
            <w:pPr>
              <w:rPr>
                <w:b/>
                <w:color w:val="000000"/>
                <w:sz w:val="20"/>
                <w:szCs w:val="20"/>
                <w:lang w:eastAsia="en-US"/>
              </w:rPr>
            </w:pPr>
            <w:r>
              <w:rPr>
                <w:sz w:val="20"/>
                <w:szCs w:val="20"/>
                <w:lang w:eastAsia="en-US"/>
              </w:rPr>
              <w:t>1. present, a lateral accessory column on either side of the paramedian columns, with articulations</w:t>
            </w:r>
          </w:p>
        </w:tc>
      </w:tr>
      <w:tr w:rsidR="002820A5" w14:paraId="2C2D0BE9" w14:textId="77777777" w:rsidTr="002820A5">
        <w:tc>
          <w:tcPr>
            <w:tcW w:w="0" w:type="auto"/>
            <w:tcBorders>
              <w:top w:val="single" w:sz="4" w:space="0" w:color="auto"/>
              <w:left w:val="single" w:sz="4" w:space="0" w:color="auto"/>
              <w:bottom w:val="single" w:sz="4" w:space="0" w:color="auto"/>
              <w:right w:val="single" w:sz="4" w:space="0" w:color="auto"/>
            </w:tcBorders>
          </w:tcPr>
          <w:p w14:paraId="5C168FE9" w14:textId="37B9FD1D" w:rsidR="002820A5" w:rsidRDefault="009E2821" w:rsidP="002820A5">
            <w:pPr>
              <w:rPr>
                <w:color w:val="000000"/>
                <w:sz w:val="20"/>
                <w:szCs w:val="20"/>
                <w:lang w:eastAsia="en-US"/>
              </w:rPr>
            </w:pPr>
            <w:r>
              <w:rPr>
                <w:color w:val="000000"/>
                <w:sz w:val="20"/>
                <w:szCs w:val="20"/>
                <w:lang w:eastAsia="en-US"/>
              </w:rPr>
              <w:t>440</w:t>
            </w:r>
          </w:p>
        </w:tc>
        <w:tc>
          <w:tcPr>
            <w:tcW w:w="0" w:type="auto"/>
            <w:tcBorders>
              <w:top w:val="single" w:sz="4" w:space="0" w:color="auto"/>
              <w:left w:val="single" w:sz="4" w:space="0" w:color="auto"/>
              <w:bottom w:val="single" w:sz="4" w:space="0" w:color="auto"/>
              <w:right w:val="single" w:sz="4" w:space="0" w:color="auto"/>
            </w:tcBorders>
            <w:vAlign w:val="bottom"/>
            <w:hideMark/>
          </w:tcPr>
          <w:p w14:paraId="689BBB9B" w14:textId="77777777" w:rsidR="002820A5" w:rsidRDefault="002820A5" w:rsidP="002820A5">
            <w:pPr>
              <w:rPr>
                <w:b/>
                <w:sz w:val="20"/>
                <w:szCs w:val="20"/>
                <w:lang w:eastAsia="en-US"/>
              </w:rPr>
            </w:pPr>
            <w:r>
              <w:rPr>
                <w:b/>
                <w:bCs/>
                <w:sz w:val="20"/>
                <w:szCs w:val="20"/>
                <w:lang w:eastAsia="en-US"/>
              </w:rPr>
              <w:t xml:space="preserve">Presacral dorsal armour, </w:t>
            </w:r>
            <w:r>
              <w:rPr>
                <w:b/>
                <w:sz w:val="20"/>
                <w:szCs w:val="20"/>
                <w:lang w:eastAsia="en-US"/>
              </w:rPr>
              <w:t>presence of accessory osteoderm columns, anteriorly two lateral accessory columns which increase to four accessory columns in the trunk region: (*)</w:t>
            </w:r>
          </w:p>
          <w:p w14:paraId="3979119C" w14:textId="5D3F39D7" w:rsidR="002820A5" w:rsidRDefault="002820A5" w:rsidP="002820A5">
            <w:pPr>
              <w:rPr>
                <w:i/>
                <w:sz w:val="20"/>
                <w:szCs w:val="20"/>
                <w:lang w:eastAsia="en-US"/>
              </w:rPr>
            </w:pPr>
            <w:r>
              <w:rPr>
                <w:i/>
                <w:sz w:val="20"/>
                <w:szCs w:val="20"/>
                <w:lang w:eastAsia="en-US"/>
              </w:rPr>
              <w:t xml:space="preserve">Ristevski et al. (2018, ds 1, ch. 477); Smith et al. (in review, ds 2, ch. 477); </w:t>
            </w:r>
            <w:r>
              <w:rPr>
                <w:i/>
                <w:sz w:val="20"/>
                <w:szCs w:val="20"/>
              </w:rPr>
              <w:t>Ősi et al. (in review, ds 1, ch. 437).</w:t>
            </w:r>
          </w:p>
          <w:p w14:paraId="74A56184" w14:textId="77777777" w:rsidR="002820A5" w:rsidRDefault="002820A5" w:rsidP="002820A5">
            <w:pPr>
              <w:rPr>
                <w:i/>
                <w:sz w:val="20"/>
                <w:szCs w:val="20"/>
                <w:lang w:eastAsia="en-US"/>
              </w:rPr>
            </w:pPr>
            <w:r>
              <w:rPr>
                <w:i/>
                <w:sz w:val="20"/>
                <w:szCs w:val="20"/>
                <w:lang w:eastAsia="en-US"/>
              </w:rPr>
              <w:t xml:space="preserve">State (1) occurs in </w:t>
            </w:r>
            <w:r>
              <w:rPr>
                <w:sz w:val="20"/>
                <w:szCs w:val="20"/>
                <w:lang w:eastAsia="en-US"/>
              </w:rPr>
              <w:t>Gobiosuchus</w:t>
            </w:r>
            <w:r>
              <w:rPr>
                <w:i/>
                <w:sz w:val="20"/>
                <w:szCs w:val="20"/>
                <w:lang w:eastAsia="en-US"/>
              </w:rPr>
              <w:t>.</w:t>
            </w:r>
          </w:p>
          <w:p w14:paraId="079AE89D"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5CDA72A0" w14:textId="77777777" w:rsidR="002820A5" w:rsidRDefault="002820A5" w:rsidP="002820A5">
            <w:pPr>
              <w:rPr>
                <w:sz w:val="20"/>
                <w:szCs w:val="20"/>
                <w:lang w:eastAsia="en-US"/>
              </w:rPr>
            </w:pPr>
            <w:r>
              <w:rPr>
                <w:sz w:val="20"/>
                <w:szCs w:val="20"/>
                <w:lang w:eastAsia="en-US"/>
              </w:rPr>
              <w:t>0. absent (either has: two paravertebral medial columns, only two accessory columns, or the notosuchian morphology)</w:t>
            </w:r>
          </w:p>
          <w:p w14:paraId="436C48AE" w14:textId="77777777" w:rsidR="002820A5" w:rsidRDefault="002820A5" w:rsidP="002820A5">
            <w:pPr>
              <w:rPr>
                <w:b/>
                <w:bCs/>
                <w:color w:val="000000"/>
                <w:sz w:val="20"/>
                <w:lang w:eastAsia="en-US"/>
              </w:rPr>
            </w:pPr>
            <w:r>
              <w:rPr>
                <w:sz w:val="20"/>
                <w:szCs w:val="20"/>
                <w:lang w:eastAsia="en-US"/>
              </w:rPr>
              <w:t>1. present</w:t>
            </w:r>
          </w:p>
        </w:tc>
      </w:tr>
      <w:tr w:rsidR="002820A5" w14:paraId="7F519BE3" w14:textId="77777777" w:rsidTr="002820A5">
        <w:tc>
          <w:tcPr>
            <w:tcW w:w="0" w:type="auto"/>
            <w:tcBorders>
              <w:top w:val="single" w:sz="4" w:space="0" w:color="auto"/>
              <w:left w:val="single" w:sz="4" w:space="0" w:color="auto"/>
              <w:bottom w:val="single" w:sz="4" w:space="0" w:color="auto"/>
              <w:right w:val="single" w:sz="4" w:space="0" w:color="auto"/>
            </w:tcBorders>
          </w:tcPr>
          <w:p w14:paraId="572EB52C" w14:textId="181EF646" w:rsidR="002820A5" w:rsidRDefault="009E2821" w:rsidP="002820A5">
            <w:pPr>
              <w:rPr>
                <w:color w:val="000000"/>
                <w:sz w:val="20"/>
                <w:szCs w:val="20"/>
                <w:lang w:eastAsia="en-US"/>
              </w:rPr>
            </w:pPr>
            <w:r>
              <w:rPr>
                <w:sz w:val="20"/>
                <w:szCs w:val="20"/>
                <w:lang w:eastAsia="en-US"/>
              </w:rPr>
              <w:t>441</w:t>
            </w:r>
          </w:p>
        </w:tc>
        <w:tc>
          <w:tcPr>
            <w:tcW w:w="0" w:type="auto"/>
            <w:tcBorders>
              <w:top w:val="single" w:sz="4" w:space="0" w:color="auto"/>
              <w:left w:val="single" w:sz="4" w:space="0" w:color="auto"/>
              <w:bottom w:val="single" w:sz="4" w:space="0" w:color="auto"/>
              <w:right w:val="single" w:sz="4" w:space="0" w:color="auto"/>
            </w:tcBorders>
            <w:vAlign w:val="bottom"/>
            <w:hideMark/>
          </w:tcPr>
          <w:p w14:paraId="35E9366C" w14:textId="77777777" w:rsidR="002820A5" w:rsidRDefault="002820A5" w:rsidP="002820A5">
            <w:pPr>
              <w:rPr>
                <w:b/>
                <w:color w:val="000000"/>
                <w:sz w:val="20"/>
                <w:szCs w:val="20"/>
                <w:lang w:eastAsia="en-US"/>
              </w:rPr>
            </w:pPr>
            <w:r>
              <w:rPr>
                <w:b/>
                <w:bCs/>
                <w:color w:val="000000"/>
                <w:sz w:val="20"/>
                <w:lang w:eastAsia="en-US"/>
              </w:rPr>
              <w:t>Presacral dorsal armour,</w:t>
            </w:r>
            <w:r>
              <w:rPr>
                <w:b/>
                <w:color w:val="000000"/>
                <w:sz w:val="20"/>
                <w:szCs w:val="20"/>
                <w:lang w:eastAsia="en-US"/>
              </w:rPr>
              <w:t xml:space="preserve"> dimensions of the thoracic osteoderms: (*)</w:t>
            </w:r>
          </w:p>
          <w:p w14:paraId="4ED9941E" w14:textId="0424FA9C" w:rsidR="002820A5" w:rsidRDefault="002820A5" w:rsidP="002820A5">
            <w:pPr>
              <w:rPr>
                <w:i/>
                <w:color w:val="000000"/>
                <w:sz w:val="20"/>
                <w:szCs w:val="20"/>
                <w:lang w:eastAsia="en-US"/>
              </w:rPr>
            </w:pPr>
            <w:r>
              <w:rPr>
                <w:i/>
                <w:color w:val="000000"/>
                <w:sz w:val="20"/>
                <w:szCs w:val="20"/>
                <w:lang w:eastAsia="en-US"/>
              </w:rPr>
              <w:t xml:space="preserve">Clark (1994, ch. 95 modified); Nesbitt (2011, ch. 407); Young et al. (2012, ch. 234); Young (2014, ch. 245); Young et al. (2016, ds 2, ch. 292); Wilberg (2017, ch. 395 part); </w:t>
            </w:r>
            <w:r>
              <w:rPr>
                <w:i/>
                <w:sz w:val="20"/>
                <w:szCs w:val="20"/>
                <w:lang w:eastAsia="en-US"/>
              </w:rPr>
              <w:t xml:space="preserve">Ristevski et al. (2018, ds 2, ch. 371); Smith et al. (in review, ds 1, ch. 377); </w:t>
            </w:r>
            <w:r>
              <w:rPr>
                <w:i/>
                <w:sz w:val="20"/>
                <w:szCs w:val="20"/>
              </w:rPr>
              <w:t>Ősi et al. (in review, ds 1, ch. 438)</w:t>
            </w:r>
            <w:r>
              <w:rPr>
                <w:i/>
                <w:color w:val="000000"/>
                <w:sz w:val="20"/>
                <w:szCs w:val="20"/>
                <w:lang w:eastAsia="en-US"/>
              </w:rPr>
              <w:t>.</w:t>
            </w:r>
          </w:p>
          <w:p w14:paraId="0C14164C" w14:textId="77777777" w:rsidR="002820A5" w:rsidRDefault="002820A5" w:rsidP="002820A5">
            <w:pPr>
              <w:rPr>
                <w:i/>
                <w:color w:val="000000"/>
                <w:sz w:val="20"/>
                <w:szCs w:val="20"/>
                <w:lang w:eastAsia="en-US"/>
              </w:rPr>
            </w:pPr>
            <w:r>
              <w:rPr>
                <w:i/>
                <w:color w:val="000000"/>
                <w:sz w:val="20"/>
                <w:szCs w:val="20"/>
                <w:lang w:eastAsia="en-US"/>
              </w:rPr>
              <w:t xml:space="preserve">Crocodile-line archosaurs, including basal crocodylomorphs, have state (1). </w:t>
            </w:r>
          </w:p>
          <w:p w14:paraId="79A81B73" w14:textId="77777777" w:rsidR="002820A5" w:rsidRDefault="002820A5" w:rsidP="002820A5">
            <w:pPr>
              <w:rPr>
                <w:i/>
                <w:color w:val="000000"/>
                <w:sz w:val="20"/>
                <w:szCs w:val="20"/>
                <w:lang w:eastAsia="en-US"/>
              </w:rPr>
            </w:pPr>
            <w:r>
              <w:rPr>
                <w:i/>
                <w:color w:val="000000"/>
                <w:sz w:val="20"/>
                <w:szCs w:val="20"/>
                <w:lang w:eastAsia="en-US"/>
              </w:rPr>
              <w:t>In Thalattosuchia, cervical osteoderms can be either state (0) or (1), so Young et al. (2016, ds 2) altered this character not to include the cervical osteoderms.</w:t>
            </w:r>
          </w:p>
          <w:p w14:paraId="413213AC" w14:textId="77777777" w:rsidR="002820A5" w:rsidRDefault="002820A5" w:rsidP="002820A5">
            <w:pPr>
              <w:rPr>
                <w:i/>
                <w:color w:val="000000"/>
                <w:sz w:val="20"/>
                <w:szCs w:val="20"/>
                <w:lang w:eastAsia="en-US"/>
              </w:rPr>
            </w:pPr>
            <w:r>
              <w:rPr>
                <w:i/>
                <w:color w:val="000000"/>
                <w:sz w:val="20"/>
                <w:szCs w:val="20"/>
                <w:lang w:eastAsia="en-US"/>
              </w:rPr>
              <w:t>Crocodyliformes have state (2).</w:t>
            </w:r>
          </w:p>
          <w:p w14:paraId="392981EE"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086A5624" w14:textId="77777777" w:rsidR="002820A5" w:rsidRDefault="002820A5" w:rsidP="002820A5">
            <w:pPr>
              <w:rPr>
                <w:color w:val="000000"/>
                <w:sz w:val="20"/>
                <w:szCs w:val="20"/>
                <w:lang w:eastAsia="en-US"/>
              </w:rPr>
            </w:pPr>
            <w:r>
              <w:rPr>
                <w:color w:val="000000"/>
                <w:sz w:val="20"/>
                <w:szCs w:val="20"/>
                <w:lang w:eastAsia="en-US"/>
              </w:rPr>
              <w:t>0. square shaped, length and width approximately equal</w:t>
            </w:r>
          </w:p>
          <w:p w14:paraId="72774BE9" w14:textId="77777777" w:rsidR="002820A5" w:rsidRDefault="002820A5" w:rsidP="002820A5">
            <w:pPr>
              <w:rPr>
                <w:color w:val="000000"/>
                <w:sz w:val="20"/>
                <w:szCs w:val="20"/>
                <w:lang w:eastAsia="en-US"/>
              </w:rPr>
            </w:pPr>
            <w:r>
              <w:rPr>
                <w:color w:val="000000"/>
                <w:sz w:val="20"/>
                <w:szCs w:val="20"/>
                <w:lang w:eastAsia="en-US"/>
              </w:rPr>
              <w:t>1. longer than wide</w:t>
            </w:r>
          </w:p>
          <w:p w14:paraId="65A8299F" w14:textId="77777777" w:rsidR="002820A5" w:rsidRDefault="002820A5" w:rsidP="002820A5">
            <w:pPr>
              <w:rPr>
                <w:color w:val="000000"/>
                <w:sz w:val="20"/>
                <w:szCs w:val="20"/>
                <w:lang w:eastAsia="en-US"/>
              </w:rPr>
            </w:pPr>
            <w:r>
              <w:rPr>
                <w:color w:val="000000"/>
                <w:sz w:val="20"/>
                <w:szCs w:val="20"/>
                <w:lang w:eastAsia="en-US"/>
              </w:rPr>
              <w:t>2. wider than long</w:t>
            </w:r>
          </w:p>
        </w:tc>
      </w:tr>
      <w:tr w:rsidR="002820A5" w14:paraId="41CA5EB2" w14:textId="77777777" w:rsidTr="002820A5">
        <w:tc>
          <w:tcPr>
            <w:tcW w:w="0" w:type="auto"/>
            <w:tcBorders>
              <w:top w:val="single" w:sz="4" w:space="0" w:color="auto"/>
              <w:left w:val="single" w:sz="4" w:space="0" w:color="auto"/>
              <w:bottom w:val="single" w:sz="4" w:space="0" w:color="auto"/>
              <w:right w:val="single" w:sz="4" w:space="0" w:color="auto"/>
            </w:tcBorders>
          </w:tcPr>
          <w:p w14:paraId="78D65F94" w14:textId="64AB3D69" w:rsidR="002820A5" w:rsidRDefault="009E2821" w:rsidP="002820A5">
            <w:pPr>
              <w:rPr>
                <w:color w:val="000000"/>
                <w:sz w:val="20"/>
                <w:szCs w:val="20"/>
                <w:lang w:eastAsia="en-US"/>
              </w:rPr>
            </w:pPr>
            <w:r>
              <w:rPr>
                <w:sz w:val="20"/>
                <w:szCs w:val="20"/>
                <w:lang w:eastAsia="en-US"/>
              </w:rPr>
              <w:t>442</w:t>
            </w:r>
          </w:p>
        </w:tc>
        <w:tc>
          <w:tcPr>
            <w:tcW w:w="0" w:type="auto"/>
            <w:tcBorders>
              <w:top w:val="single" w:sz="4" w:space="0" w:color="auto"/>
              <w:left w:val="single" w:sz="4" w:space="0" w:color="auto"/>
              <w:bottom w:val="single" w:sz="4" w:space="0" w:color="auto"/>
              <w:right w:val="single" w:sz="4" w:space="0" w:color="auto"/>
            </w:tcBorders>
            <w:vAlign w:val="bottom"/>
            <w:hideMark/>
          </w:tcPr>
          <w:p w14:paraId="531DA461" w14:textId="77777777" w:rsidR="002820A5" w:rsidRDefault="002820A5" w:rsidP="002820A5">
            <w:pPr>
              <w:rPr>
                <w:b/>
                <w:color w:val="000000"/>
                <w:sz w:val="20"/>
                <w:szCs w:val="20"/>
                <w:lang w:eastAsia="en-US"/>
              </w:rPr>
            </w:pPr>
            <w:r>
              <w:rPr>
                <w:b/>
                <w:bCs/>
                <w:color w:val="000000"/>
                <w:sz w:val="20"/>
                <w:lang w:eastAsia="en-US"/>
              </w:rPr>
              <w:t>Presacral dorsal armour,</w:t>
            </w:r>
            <w:r>
              <w:rPr>
                <w:b/>
                <w:color w:val="000000"/>
                <w:sz w:val="20"/>
                <w:szCs w:val="20"/>
                <w:lang w:eastAsia="en-US"/>
              </w:rPr>
              <w:t xml:space="preserve"> transverse elongation of the thoracic osteoderms: (*)</w:t>
            </w:r>
          </w:p>
          <w:p w14:paraId="33380192" w14:textId="724113AC" w:rsidR="002820A5" w:rsidRDefault="002820A5" w:rsidP="002820A5">
            <w:pPr>
              <w:rPr>
                <w:i/>
                <w:color w:val="000000"/>
                <w:sz w:val="20"/>
                <w:szCs w:val="20"/>
                <w:lang w:eastAsia="en-US"/>
              </w:rPr>
            </w:pPr>
            <w:r>
              <w:rPr>
                <w:i/>
                <w:sz w:val="20"/>
                <w:szCs w:val="20"/>
                <w:lang w:eastAsia="en-US"/>
              </w:rPr>
              <w:t xml:space="preserve">Wilberg (2017, ch. 395 part); Ristevski et al. (2018, ds 2, ch. 372); Smith et al. (in review, ds 1, ch. 378); </w:t>
            </w:r>
            <w:r>
              <w:rPr>
                <w:i/>
                <w:sz w:val="20"/>
                <w:szCs w:val="20"/>
              </w:rPr>
              <w:t>Ősi et al. (in review, ds 1, ch. 439)</w:t>
            </w:r>
            <w:r>
              <w:rPr>
                <w:i/>
                <w:sz w:val="20"/>
                <w:szCs w:val="20"/>
                <w:lang w:eastAsia="en-US"/>
              </w:rPr>
              <w:t>.</w:t>
            </w:r>
          </w:p>
          <w:p w14:paraId="06A0F9D6" w14:textId="77777777" w:rsidR="002820A5" w:rsidRDefault="002820A5" w:rsidP="002820A5">
            <w:pPr>
              <w:rPr>
                <w:i/>
                <w:color w:val="000000"/>
                <w:sz w:val="20"/>
                <w:szCs w:val="20"/>
                <w:lang w:eastAsia="en-US"/>
              </w:rPr>
            </w:pPr>
            <w:r>
              <w:rPr>
                <w:i/>
                <w:color w:val="000000"/>
                <w:sz w:val="20"/>
                <w:szCs w:val="20"/>
                <w:lang w:eastAsia="en-US"/>
              </w:rPr>
              <w:t>State (1) occurs in goniopholidids and pholidosaurids (reversal in dyrosaurids).</w:t>
            </w:r>
          </w:p>
          <w:p w14:paraId="689D3845" w14:textId="77777777" w:rsidR="002820A5" w:rsidRDefault="002820A5" w:rsidP="002820A5">
            <w:pPr>
              <w:rPr>
                <w:i/>
                <w:color w:val="000000"/>
                <w:sz w:val="20"/>
                <w:szCs w:val="20"/>
                <w:lang w:eastAsia="en-US"/>
              </w:rPr>
            </w:pPr>
            <w:r>
              <w:rPr>
                <w:i/>
                <w:color w:val="000000"/>
                <w:sz w:val="20"/>
                <w:szCs w:val="20"/>
                <w:lang w:eastAsia="en-US"/>
              </w:rPr>
              <w:t>This character can only be scored for those osteoderms that overlay the thoracic vertebrae, and come from the middle region of the trunk.</w:t>
            </w:r>
          </w:p>
          <w:p w14:paraId="72848B60"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61E3D9AF" w14:textId="77777777" w:rsidR="002820A5" w:rsidRDefault="002820A5" w:rsidP="002820A5">
            <w:pPr>
              <w:rPr>
                <w:color w:val="000000"/>
                <w:sz w:val="20"/>
                <w:szCs w:val="20"/>
                <w:lang w:eastAsia="en-US"/>
              </w:rPr>
            </w:pPr>
            <w:r>
              <w:rPr>
                <w:color w:val="000000"/>
                <w:sz w:val="20"/>
                <w:szCs w:val="20"/>
                <w:lang w:eastAsia="en-US"/>
              </w:rPr>
              <w:t>0. transverse width of these osteoderms is either small or sub-equal to the anteroposterior length, or only slightly wider</w:t>
            </w:r>
          </w:p>
          <w:p w14:paraId="7D22F97E" w14:textId="77777777" w:rsidR="002820A5" w:rsidRDefault="002820A5" w:rsidP="002820A5">
            <w:pPr>
              <w:rPr>
                <w:color w:val="000000"/>
                <w:sz w:val="20"/>
                <w:szCs w:val="20"/>
                <w:lang w:eastAsia="en-US"/>
              </w:rPr>
            </w:pPr>
            <w:r>
              <w:rPr>
                <w:color w:val="000000"/>
                <w:sz w:val="20"/>
                <w:szCs w:val="20"/>
                <w:lang w:eastAsia="en-US"/>
              </w:rPr>
              <w:t>1. considerably wider than long, such that the transverse width is approximately three times the anteroposterior length</w:t>
            </w:r>
          </w:p>
        </w:tc>
      </w:tr>
      <w:tr w:rsidR="002820A5" w14:paraId="6E1836BF" w14:textId="77777777" w:rsidTr="002820A5">
        <w:tc>
          <w:tcPr>
            <w:tcW w:w="0" w:type="auto"/>
            <w:tcBorders>
              <w:top w:val="single" w:sz="4" w:space="0" w:color="auto"/>
              <w:left w:val="single" w:sz="4" w:space="0" w:color="auto"/>
              <w:bottom w:val="single" w:sz="4" w:space="0" w:color="auto"/>
              <w:right w:val="single" w:sz="4" w:space="0" w:color="auto"/>
            </w:tcBorders>
          </w:tcPr>
          <w:p w14:paraId="0B9F9953" w14:textId="69805D00" w:rsidR="002820A5" w:rsidRDefault="009E2821" w:rsidP="002820A5">
            <w:pPr>
              <w:rPr>
                <w:color w:val="000000"/>
                <w:sz w:val="20"/>
                <w:szCs w:val="20"/>
                <w:lang w:eastAsia="en-US"/>
              </w:rPr>
            </w:pPr>
            <w:r>
              <w:rPr>
                <w:color w:val="000000"/>
                <w:sz w:val="20"/>
                <w:szCs w:val="20"/>
                <w:lang w:eastAsia="en-US"/>
              </w:rPr>
              <w:t>443</w:t>
            </w:r>
          </w:p>
        </w:tc>
        <w:tc>
          <w:tcPr>
            <w:tcW w:w="0" w:type="auto"/>
            <w:tcBorders>
              <w:top w:val="single" w:sz="4" w:space="0" w:color="auto"/>
              <w:left w:val="single" w:sz="4" w:space="0" w:color="auto"/>
              <w:bottom w:val="single" w:sz="4" w:space="0" w:color="auto"/>
              <w:right w:val="single" w:sz="4" w:space="0" w:color="auto"/>
            </w:tcBorders>
            <w:vAlign w:val="bottom"/>
            <w:hideMark/>
          </w:tcPr>
          <w:p w14:paraId="04C9C3A5"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Presacral dorsal armour, type of contact between elements in a row: (*)</w:t>
            </w:r>
          </w:p>
          <w:p w14:paraId="4B635726" w14:textId="65A09296" w:rsidR="002820A5" w:rsidRDefault="002820A5" w:rsidP="002820A5">
            <w:pPr>
              <w:autoSpaceDE w:val="0"/>
              <w:autoSpaceDN w:val="0"/>
              <w:adjustRightInd w:val="0"/>
              <w:rPr>
                <w:bCs/>
                <w:i/>
                <w:color w:val="000000"/>
                <w:sz w:val="20"/>
                <w:lang w:eastAsia="en-US"/>
              </w:rPr>
            </w:pPr>
            <w:r>
              <w:rPr>
                <w:bCs/>
                <w:i/>
                <w:color w:val="000000"/>
                <w:sz w:val="20"/>
                <w:lang w:eastAsia="en-US"/>
              </w:rPr>
              <w:t xml:space="preserve">Clark (1994, ch. 98); Andrade et al. (2011, ch. 474); </w:t>
            </w:r>
            <w:r>
              <w:rPr>
                <w:i/>
                <w:sz w:val="20"/>
                <w:szCs w:val="20"/>
                <w:lang w:eastAsia="en-US"/>
              </w:rPr>
              <w:t xml:space="preserve">Ristevski et al. (2018, ds 2, ch. 373); Smith et al. (in review, ds 1, ch. 379); </w:t>
            </w:r>
            <w:r>
              <w:rPr>
                <w:i/>
                <w:sz w:val="20"/>
                <w:szCs w:val="20"/>
              </w:rPr>
              <w:t>Ősi et al. (in review, ds 1, ch. 440)</w:t>
            </w:r>
            <w:r>
              <w:rPr>
                <w:bCs/>
                <w:i/>
                <w:color w:val="000000"/>
                <w:sz w:val="20"/>
                <w:lang w:eastAsia="en-US"/>
              </w:rPr>
              <w:t>.</w:t>
            </w:r>
          </w:p>
          <w:p w14:paraId="3D132E36" w14:textId="77777777" w:rsidR="002820A5" w:rsidRDefault="002820A5" w:rsidP="002820A5">
            <w:pPr>
              <w:autoSpaceDE w:val="0"/>
              <w:autoSpaceDN w:val="0"/>
              <w:adjustRightInd w:val="0"/>
              <w:rPr>
                <w:bCs/>
                <w:i/>
                <w:color w:val="000000"/>
                <w:sz w:val="20"/>
                <w:lang w:eastAsia="en-US"/>
              </w:rPr>
            </w:pPr>
            <w:r>
              <w:rPr>
                <w:bCs/>
                <w:i/>
                <w:color w:val="000000"/>
                <w:sz w:val="20"/>
                <w:lang w:eastAsia="en-US"/>
              </w:rPr>
              <w:t>State (1) occurs in crown-group Crocodylia.</w:t>
            </w:r>
          </w:p>
          <w:p w14:paraId="23E0AC8E"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7D487C61" w14:textId="77777777" w:rsidR="002820A5" w:rsidRDefault="002820A5" w:rsidP="002820A5">
            <w:pPr>
              <w:autoSpaceDE w:val="0"/>
              <w:autoSpaceDN w:val="0"/>
              <w:adjustRightInd w:val="0"/>
              <w:rPr>
                <w:color w:val="000000"/>
                <w:sz w:val="20"/>
                <w:lang w:eastAsia="en-US"/>
              </w:rPr>
            </w:pPr>
            <w:r>
              <w:rPr>
                <w:color w:val="000000"/>
                <w:sz w:val="20"/>
                <w:lang w:eastAsia="en-US"/>
              </w:rPr>
              <w:t>0. imbricated, any given anterior trunk osteoderm partially overlays its following element</w:t>
            </w:r>
          </w:p>
          <w:p w14:paraId="60D8894D" w14:textId="77777777" w:rsidR="002820A5" w:rsidRDefault="002820A5" w:rsidP="002820A5">
            <w:pPr>
              <w:autoSpaceDE w:val="0"/>
              <w:autoSpaceDN w:val="0"/>
              <w:adjustRightInd w:val="0"/>
              <w:ind w:left="720" w:hanging="720"/>
              <w:rPr>
                <w:sz w:val="20"/>
                <w:szCs w:val="20"/>
                <w:lang w:eastAsia="en-US"/>
              </w:rPr>
            </w:pPr>
            <w:r>
              <w:rPr>
                <w:color w:val="000000"/>
                <w:sz w:val="20"/>
                <w:lang w:eastAsia="en-US"/>
              </w:rPr>
              <w:t>1. sutured, osteoderms do not cover adjacent dermal elements, and are sutured if in contact</w:t>
            </w:r>
          </w:p>
        </w:tc>
      </w:tr>
      <w:tr w:rsidR="002820A5" w14:paraId="02CE1269" w14:textId="77777777" w:rsidTr="002820A5">
        <w:tc>
          <w:tcPr>
            <w:tcW w:w="0" w:type="auto"/>
            <w:tcBorders>
              <w:top w:val="single" w:sz="4" w:space="0" w:color="auto"/>
              <w:left w:val="single" w:sz="4" w:space="0" w:color="auto"/>
              <w:bottom w:val="single" w:sz="4" w:space="0" w:color="auto"/>
              <w:right w:val="single" w:sz="4" w:space="0" w:color="auto"/>
            </w:tcBorders>
          </w:tcPr>
          <w:p w14:paraId="31F92D2E" w14:textId="351616FA" w:rsidR="002820A5" w:rsidRDefault="009E2821" w:rsidP="002820A5">
            <w:pPr>
              <w:rPr>
                <w:color w:val="000000"/>
                <w:sz w:val="20"/>
                <w:szCs w:val="20"/>
                <w:lang w:eastAsia="en-US"/>
              </w:rPr>
            </w:pPr>
            <w:r>
              <w:rPr>
                <w:color w:val="000000"/>
                <w:sz w:val="20"/>
                <w:szCs w:val="20"/>
                <w:lang w:eastAsia="en-US"/>
              </w:rPr>
              <w:t>444</w:t>
            </w:r>
          </w:p>
        </w:tc>
        <w:tc>
          <w:tcPr>
            <w:tcW w:w="0" w:type="auto"/>
            <w:tcBorders>
              <w:top w:val="single" w:sz="4" w:space="0" w:color="auto"/>
              <w:left w:val="single" w:sz="4" w:space="0" w:color="auto"/>
              <w:bottom w:val="single" w:sz="4" w:space="0" w:color="auto"/>
              <w:right w:val="single" w:sz="4" w:space="0" w:color="auto"/>
            </w:tcBorders>
            <w:vAlign w:val="bottom"/>
            <w:hideMark/>
          </w:tcPr>
          <w:p w14:paraId="3F4717DA" w14:textId="77777777"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Presacral dorsal armour, presence of an anteroposteriorly directed keel on the dorsal surface of paramedial elements: (*)</w:t>
            </w:r>
          </w:p>
          <w:p w14:paraId="256ACD61" w14:textId="179702E8" w:rsidR="002820A5" w:rsidRDefault="002820A5" w:rsidP="002820A5">
            <w:pPr>
              <w:autoSpaceDE w:val="0"/>
              <w:autoSpaceDN w:val="0"/>
              <w:adjustRightInd w:val="0"/>
              <w:rPr>
                <w:i/>
                <w:sz w:val="20"/>
                <w:szCs w:val="20"/>
                <w:lang w:eastAsia="en-US"/>
              </w:rPr>
            </w:pPr>
            <w:r>
              <w:rPr>
                <w:bCs/>
                <w:i/>
                <w:color w:val="000000"/>
                <w:sz w:val="20"/>
                <w:szCs w:val="20"/>
                <w:lang w:eastAsia="en-US"/>
              </w:rPr>
              <w:t xml:space="preserve">Buscalioni </w:t>
            </w:r>
            <w:r>
              <w:rPr>
                <w:bCs/>
                <w:i/>
                <w:iCs/>
                <w:color w:val="000000"/>
                <w:sz w:val="20"/>
                <w:szCs w:val="20"/>
                <w:lang w:eastAsia="en-US"/>
              </w:rPr>
              <w:t>et al. (</w:t>
            </w:r>
            <w:r>
              <w:rPr>
                <w:bCs/>
                <w:i/>
                <w:color w:val="000000"/>
                <w:sz w:val="20"/>
                <w:szCs w:val="20"/>
                <w:lang w:eastAsia="en-US"/>
              </w:rPr>
              <w:t xml:space="preserve">1992, ch. 22); Clark (1994, ch. 101 revised, part); Brochu (1999, ch. 35); Andrade et al. (2011, ch. 478); Young et al. (2012, ch. 240 modified); Young (2014, ch. 251 modified); </w:t>
            </w:r>
            <w:r>
              <w:rPr>
                <w:i/>
                <w:sz w:val="20"/>
                <w:szCs w:val="20"/>
                <w:lang w:eastAsia="en-US"/>
              </w:rPr>
              <w:t xml:space="preserve">Young et al. (2016, ds 2, ch. 298 modified); Ristevski et al. (2018, ds 2, ch. 378 modified); Smith et al. (in review, ds 1, ch. 384); </w:t>
            </w:r>
            <w:r>
              <w:rPr>
                <w:i/>
                <w:sz w:val="20"/>
                <w:szCs w:val="20"/>
              </w:rPr>
              <w:t>Ősi et al. (in review, ds 1, ch. 441)</w:t>
            </w:r>
            <w:r>
              <w:rPr>
                <w:i/>
                <w:sz w:val="20"/>
                <w:szCs w:val="20"/>
                <w:lang w:eastAsia="en-US"/>
              </w:rPr>
              <w:t>.</w:t>
            </w:r>
          </w:p>
          <w:p w14:paraId="0D55CB26" w14:textId="77777777" w:rsidR="002820A5" w:rsidRDefault="002820A5" w:rsidP="002820A5">
            <w:pPr>
              <w:rPr>
                <w:i/>
                <w:color w:val="000000"/>
                <w:sz w:val="20"/>
                <w:szCs w:val="20"/>
                <w:lang w:eastAsia="en-US"/>
              </w:rPr>
            </w:pPr>
            <w:r>
              <w:rPr>
                <w:i/>
                <w:color w:val="000000"/>
                <w:sz w:val="20"/>
                <w:szCs w:val="20"/>
                <w:lang w:eastAsia="en-US"/>
              </w:rPr>
              <w:t xml:space="preserve">State (0) occurs in </w:t>
            </w:r>
            <w:r>
              <w:rPr>
                <w:color w:val="000000"/>
                <w:sz w:val="20"/>
                <w:szCs w:val="20"/>
                <w:lang w:eastAsia="en-US"/>
              </w:rPr>
              <w:t>Pelagosaurus.</w:t>
            </w:r>
          </w:p>
          <w:p w14:paraId="2F5F1A2B" w14:textId="77777777" w:rsidR="002820A5" w:rsidRDefault="002820A5" w:rsidP="002820A5">
            <w:pPr>
              <w:rPr>
                <w:i/>
                <w:color w:val="000000"/>
                <w:sz w:val="20"/>
                <w:szCs w:val="20"/>
                <w:lang w:eastAsia="en-US"/>
              </w:rPr>
            </w:pPr>
            <w:r>
              <w:rPr>
                <w:i/>
                <w:color w:val="000000"/>
                <w:sz w:val="20"/>
                <w:szCs w:val="20"/>
                <w:lang w:eastAsia="en-US"/>
              </w:rPr>
              <w:t xml:space="preserve">In Thalattosuchia the cervical and anterior dorsal osteoderms can have reduced keels, which can make it look as though they are absent. However, in </w:t>
            </w:r>
            <w:r>
              <w:rPr>
                <w:color w:val="000000"/>
                <w:sz w:val="20"/>
                <w:szCs w:val="20"/>
                <w:lang w:eastAsia="en-US"/>
              </w:rPr>
              <w:t>Pelagosaurus</w:t>
            </w:r>
            <w:r>
              <w:rPr>
                <w:i/>
                <w:color w:val="000000"/>
                <w:sz w:val="20"/>
                <w:szCs w:val="20"/>
                <w:lang w:eastAsia="en-US"/>
              </w:rPr>
              <w:t>, the anterior dorsal osteoderms lack keels, while the mid dorsal osteoderms are very poorly keeled (hard to discern from the interpit laminae). In Thalattosuchia the sacral and anterior-mid caudal osteoderms have raised keels, which along with the ventral caudal osteoderms are the most readily identifiable.</w:t>
            </w:r>
          </w:p>
          <w:p w14:paraId="6E7BA149"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17E75A2B"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absent on approximately half to all of the paravertebral osteoderms, or if present in the anterior half of the presacral dorsal armour hard to discern from the interpit laminae</w:t>
            </w:r>
          </w:p>
          <w:p w14:paraId="217AE5C9" w14:textId="77777777" w:rsidR="002820A5" w:rsidRDefault="002820A5" w:rsidP="002820A5">
            <w:pPr>
              <w:rPr>
                <w:color w:val="000000"/>
                <w:sz w:val="20"/>
                <w:szCs w:val="20"/>
                <w:lang w:eastAsia="en-US"/>
              </w:rPr>
            </w:pPr>
            <w:r>
              <w:rPr>
                <w:color w:val="000000"/>
                <w:sz w:val="20"/>
                <w:szCs w:val="20"/>
                <w:lang w:eastAsia="en-US"/>
              </w:rPr>
              <w:t>1. present along more than half, to all, of the paravertebral osteoderms</w:t>
            </w:r>
          </w:p>
        </w:tc>
      </w:tr>
      <w:tr w:rsidR="002820A5" w14:paraId="6CCFAC14" w14:textId="77777777" w:rsidTr="002820A5">
        <w:tc>
          <w:tcPr>
            <w:tcW w:w="0" w:type="auto"/>
            <w:tcBorders>
              <w:top w:val="single" w:sz="4" w:space="0" w:color="auto"/>
              <w:left w:val="single" w:sz="4" w:space="0" w:color="auto"/>
              <w:bottom w:val="single" w:sz="4" w:space="0" w:color="auto"/>
              <w:right w:val="single" w:sz="4" w:space="0" w:color="auto"/>
            </w:tcBorders>
          </w:tcPr>
          <w:p w14:paraId="36A4F713" w14:textId="6D4E64EA" w:rsidR="002820A5" w:rsidRDefault="009E2821" w:rsidP="002820A5">
            <w:pPr>
              <w:rPr>
                <w:color w:val="000000"/>
                <w:sz w:val="20"/>
                <w:szCs w:val="20"/>
                <w:lang w:eastAsia="en-US"/>
              </w:rPr>
            </w:pPr>
            <w:r>
              <w:rPr>
                <w:color w:val="000000"/>
                <w:sz w:val="20"/>
                <w:szCs w:val="20"/>
                <w:lang w:eastAsia="en-US"/>
              </w:rPr>
              <w:t>445</w:t>
            </w:r>
          </w:p>
        </w:tc>
        <w:tc>
          <w:tcPr>
            <w:tcW w:w="0" w:type="auto"/>
            <w:tcBorders>
              <w:top w:val="single" w:sz="4" w:space="0" w:color="auto"/>
              <w:left w:val="single" w:sz="4" w:space="0" w:color="auto"/>
              <w:bottom w:val="single" w:sz="4" w:space="0" w:color="auto"/>
              <w:right w:val="single" w:sz="4" w:space="0" w:color="auto"/>
            </w:tcBorders>
            <w:vAlign w:val="bottom"/>
            <w:hideMark/>
          </w:tcPr>
          <w:p w14:paraId="71A75ED5"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Presacral ventral armour, presence of ventral collar scales: (*)</w:t>
            </w:r>
          </w:p>
          <w:p w14:paraId="3CEDF46F" w14:textId="1CE0A4A4" w:rsidR="002820A5" w:rsidRDefault="002820A5" w:rsidP="002820A5">
            <w:pPr>
              <w:autoSpaceDE w:val="0"/>
              <w:autoSpaceDN w:val="0"/>
              <w:adjustRightInd w:val="0"/>
              <w:rPr>
                <w:bCs/>
                <w:i/>
                <w:color w:val="000000"/>
                <w:sz w:val="20"/>
                <w:lang w:eastAsia="en-US"/>
              </w:rPr>
            </w:pPr>
            <w:r>
              <w:rPr>
                <w:bCs/>
                <w:i/>
                <w:color w:val="000000"/>
                <w:sz w:val="20"/>
                <w:lang w:eastAsia="en-US"/>
              </w:rPr>
              <w:t xml:space="preserve">Poe (1997); Brochu (1999, ch. 156); Andrade et al. (2011, ch. 479); </w:t>
            </w:r>
            <w:r>
              <w:rPr>
                <w:i/>
                <w:sz w:val="20"/>
                <w:szCs w:val="20"/>
                <w:lang w:eastAsia="en-US"/>
              </w:rPr>
              <w:t xml:space="preserve">Ristevski et al. (2018, ds 2, ch. 379); Smith et al. (in review, ds 1, ch. 385); </w:t>
            </w:r>
            <w:r>
              <w:rPr>
                <w:i/>
                <w:sz w:val="20"/>
                <w:szCs w:val="20"/>
              </w:rPr>
              <w:t>Ősi et al. (in review, ds 1, ch. 442)</w:t>
            </w:r>
            <w:r>
              <w:rPr>
                <w:bCs/>
                <w:i/>
                <w:color w:val="000000"/>
                <w:sz w:val="20"/>
                <w:lang w:eastAsia="en-US"/>
              </w:rPr>
              <w:t>.</w:t>
            </w:r>
          </w:p>
          <w:p w14:paraId="0FC72543"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osteoderms.</w:t>
            </w:r>
          </w:p>
          <w:p w14:paraId="65ED3422" w14:textId="77777777" w:rsidR="002820A5" w:rsidRDefault="002820A5" w:rsidP="002820A5">
            <w:pPr>
              <w:autoSpaceDE w:val="0"/>
              <w:autoSpaceDN w:val="0"/>
              <w:adjustRightInd w:val="0"/>
              <w:rPr>
                <w:color w:val="000000"/>
                <w:sz w:val="20"/>
                <w:lang w:eastAsia="en-US"/>
              </w:rPr>
            </w:pPr>
            <w:r>
              <w:rPr>
                <w:color w:val="000000"/>
                <w:sz w:val="20"/>
                <w:lang w:eastAsia="en-US"/>
              </w:rPr>
              <w:t>0. absent, no shield enlarged relative to other ventral scales</w:t>
            </w:r>
          </w:p>
          <w:p w14:paraId="57F5F06A" w14:textId="77777777" w:rsidR="002820A5" w:rsidRDefault="002820A5" w:rsidP="002820A5">
            <w:pPr>
              <w:autoSpaceDE w:val="0"/>
              <w:autoSpaceDN w:val="0"/>
              <w:adjustRightInd w:val="0"/>
              <w:rPr>
                <w:color w:val="000000"/>
                <w:sz w:val="20"/>
                <w:lang w:eastAsia="en-US"/>
              </w:rPr>
            </w:pPr>
            <w:r>
              <w:rPr>
                <w:color w:val="000000"/>
                <w:sz w:val="20"/>
                <w:lang w:eastAsia="en-US"/>
              </w:rPr>
              <w:t>1. present, forming a single row of enlarged scales</w:t>
            </w:r>
          </w:p>
          <w:p w14:paraId="1114FA36" w14:textId="77777777" w:rsidR="002820A5" w:rsidRDefault="002820A5" w:rsidP="002820A5">
            <w:pPr>
              <w:autoSpaceDE w:val="0"/>
              <w:autoSpaceDN w:val="0"/>
              <w:adjustRightInd w:val="0"/>
              <w:rPr>
                <w:color w:val="000000"/>
                <w:sz w:val="20"/>
                <w:lang w:eastAsia="en-US"/>
              </w:rPr>
            </w:pPr>
            <w:r>
              <w:rPr>
                <w:color w:val="000000"/>
                <w:sz w:val="20"/>
                <w:lang w:eastAsia="en-US"/>
              </w:rPr>
              <w:t>2. present, forming two parallel rows of enlarged scales</w:t>
            </w:r>
          </w:p>
        </w:tc>
      </w:tr>
      <w:tr w:rsidR="002820A5" w14:paraId="71F8FD7E" w14:textId="77777777" w:rsidTr="002820A5">
        <w:tc>
          <w:tcPr>
            <w:tcW w:w="0" w:type="auto"/>
            <w:tcBorders>
              <w:top w:val="single" w:sz="4" w:space="0" w:color="auto"/>
              <w:left w:val="single" w:sz="4" w:space="0" w:color="auto"/>
              <w:bottom w:val="single" w:sz="4" w:space="0" w:color="auto"/>
              <w:right w:val="single" w:sz="4" w:space="0" w:color="auto"/>
            </w:tcBorders>
          </w:tcPr>
          <w:p w14:paraId="76095986" w14:textId="20D0C6F5" w:rsidR="002820A5" w:rsidRDefault="009E2821" w:rsidP="002820A5">
            <w:pPr>
              <w:rPr>
                <w:color w:val="000000"/>
                <w:sz w:val="20"/>
                <w:szCs w:val="20"/>
                <w:lang w:eastAsia="en-US"/>
              </w:rPr>
            </w:pPr>
            <w:r>
              <w:rPr>
                <w:color w:val="000000"/>
                <w:sz w:val="20"/>
                <w:szCs w:val="20"/>
                <w:lang w:eastAsia="en-US"/>
              </w:rPr>
              <w:t>446</w:t>
            </w:r>
          </w:p>
        </w:tc>
        <w:tc>
          <w:tcPr>
            <w:tcW w:w="0" w:type="auto"/>
            <w:tcBorders>
              <w:top w:val="single" w:sz="4" w:space="0" w:color="auto"/>
              <w:left w:val="single" w:sz="4" w:space="0" w:color="auto"/>
              <w:bottom w:val="single" w:sz="4" w:space="0" w:color="auto"/>
              <w:right w:val="single" w:sz="4" w:space="0" w:color="auto"/>
            </w:tcBorders>
            <w:vAlign w:val="bottom"/>
            <w:hideMark/>
          </w:tcPr>
          <w:p w14:paraId="5FBC5700" w14:textId="77777777" w:rsidR="002820A5" w:rsidRDefault="002820A5" w:rsidP="002820A5">
            <w:pPr>
              <w:autoSpaceDE w:val="0"/>
              <w:autoSpaceDN w:val="0"/>
              <w:adjustRightInd w:val="0"/>
              <w:rPr>
                <w:b/>
                <w:bCs/>
                <w:color w:val="000000"/>
                <w:sz w:val="20"/>
                <w:lang w:eastAsia="en-US"/>
              </w:rPr>
            </w:pPr>
            <w:r>
              <w:rPr>
                <w:b/>
                <w:bCs/>
                <w:color w:val="000000"/>
                <w:sz w:val="20"/>
                <w:lang w:eastAsia="en-US"/>
              </w:rPr>
              <w:t>Presacral ventral armour, presence of paired ossifications:</w:t>
            </w:r>
          </w:p>
          <w:p w14:paraId="57627570" w14:textId="022E5765" w:rsidR="002820A5" w:rsidRDefault="002820A5" w:rsidP="002820A5">
            <w:pPr>
              <w:autoSpaceDE w:val="0"/>
              <w:autoSpaceDN w:val="0"/>
              <w:adjustRightInd w:val="0"/>
              <w:rPr>
                <w:bCs/>
                <w:i/>
                <w:color w:val="000000"/>
                <w:sz w:val="20"/>
                <w:lang w:eastAsia="en-US"/>
              </w:rPr>
            </w:pPr>
            <w:r>
              <w:rPr>
                <w:bCs/>
                <w:i/>
                <w:color w:val="000000"/>
                <w:sz w:val="20"/>
                <w:lang w:eastAsia="en-US"/>
              </w:rPr>
              <w:t xml:space="preserve">Buscalioni </w:t>
            </w:r>
            <w:r>
              <w:rPr>
                <w:bCs/>
                <w:i/>
                <w:iCs/>
                <w:color w:val="000000"/>
                <w:sz w:val="20"/>
                <w:lang w:eastAsia="en-US"/>
              </w:rPr>
              <w:t>et al. (</w:t>
            </w:r>
            <w:r>
              <w:rPr>
                <w:bCs/>
                <w:i/>
                <w:color w:val="000000"/>
                <w:sz w:val="20"/>
                <w:lang w:eastAsia="en-US"/>
              </w:rPr>
              <w:t xml:space="preserve">1992, ch. 21); Brochu (1999, ch. 39); Andrade et al. (2011, ch. 480); </w:t>
            </w:r>
            <w:r>
              <w:rPr>
                <w:i/>
                <w:sz w:val="20"/>
                <w:szCs w:val="20"/>
                <w:lang w:eastAsia="en-US"/>
              </w:rPr>
              <w:t xml:space="preserve">Ristevski et al. (2018, ds 2, ch. 380); Smith et al. (in review, ds 1, ch. 386); </w:t>
            </w:r>
            <w:r>
              <w:rPr>
                <w:i/>
                <w:sz w:val="20"/>
                <w:szCs w:val="20"/>
              </w:rPr>
              <w:t>Ősi et al. (in review, ds 1, ch. 443)</w:t>
            </w:r>
            <w:r>
              <w:rPr>
                <w:bCs/>
                <w:i/>
                <w:color w:val="000000"/>
                <w:sz w:val="20"/>
                <w:lang w:eastAsia="en-US"/>
              </w:rPr>
              <w:t>.</w:t>
            </w:r>
          </w:p>
          <w:p w14:paraId="77402CBD" w14:textId="77777777" w:rsidR="002820A5" w:rsidRDefault="002820A5" w:rsidP="002820A5">
            <w:pPr>
              <w:autoSpaceDE w:val="0"/>
              <w:autoSpaceDN w:val="0"/>
              <w:adjustRightInd w:val="0"/>
              <w:rPr>
                <w:color w:val="000000"/>
                <w:sz w:val="20"/>
                <w:lang w:eastAsia="en-US"/>
              </w:rPr>
            </w:pPr>
            <w:r>
              <w:rPr>
                <w:color w:val="000000"/>
                <w:sz w:val="20"/>
                <w:lang w:eastAsia="en-US"/>
              </w:rPr>
              <w:t>0. single or absent</w:t>
            </w:r>
          </w:p>
          <w:p w14:paraId="740153CE" w14:textId="77777777" w:rsidR="002820A5" w:rsidRDefault="002820A5" w:rsidP="002820A5">
            <w:pPr>
              <w:autoSpaceDE w:val="0"/>
              <w:autoSpaceDN w:val="0"/>
              <w:adjustRightInd w:val="0"/>
              <w:rPr>
                <w:color w:val="000000"/>
                <w:sz w:val="20"/>
                <w:lang w:eastAsia="en-US"/>
              </w:rPr>
            </w:pPr>
            <w:r>
              <w:rPr>
                <w:color w:val="000000"/>
                <w:sz w:val="20"/>
                <w:lang w:eastAsia="en-US"/>
              </w:rPr>
              <w:t>1. present, pairs sutured together</w:t>
            </w:r>
          </w:p>
        </w:tc>
      </w:tr>
      <w:tr w:rsidR="002820A5" w14:paraId="085B9B6D" w14:textId="77777777" w:rsidTr="002820A5">
        <w:tc>
          <w:tcPr>
            <w:tcW w:w="0" w:type="auto"/>
            <w:tcBorders>
              <w:top w:val="single" w:sz="4" w:space="0" w:color="auto"/>
              <w:left w:val="single" w:sz="4" w:space="0" w:color="auto"/>
              <w:bottom w:val="single" w:sz="4" w:space="0" w:color="auto"/>
              <w:right w:val="single" w:sz="4" w:space="0" w:color="auto"/>
            </w:tcBorders>
          </w:tcPr>
          <w:p w14:paraId="7821CE1F" w14:textId="13D0A702" w:rsidR="002820A5" w:rsidRDefault="009E2821" w:rsidP="002820A5">
            <w:pPr>
              <w:rPr>
                <w:color w:val="000000"/>
                <w:sz w:val="20"/>
                <w:szCs w:val="20"/>
                <w:lang w:eastAsia="en-US"/>
              </w:rPr>
            </w:pPr>
            <w:r>
              <w:rPr>
                <w:color w:val="000000"/>
                <w:sz w:val="20"/>
                <w:szCs w:val="20"/>
                <w:lang w:eastAsia="en-US"/>
              </w:rPr>
              <w:t>447</w:t>
            </w:r>
          </w:p>
        </w:tc>
        <w:tc>
          <w:tcPr>
            <w:tcW w:w="0" w:type="auto"/>
            <w:tcBorders>
              <w:top w:val="single" w:sz="4" w:space="0" w:color="auto"/>
              <w:left w:val="single" w:sz="4" w:space="0" w:color="auto"/>
              <w:bottom w:val="single" w:sz="4" w:space="0" w:color="auto"/>
              <w:right w:val="single" w:sz="4" w:space="0" w:color="auto"/>
            </w:tcBorders>
            <w:vAlign w:val="bottom"/>
            <w:hideMark/>
          </w:tcPr>
          <w:p w14:paraId="43ED6523" w14:textId="46DB5D63" w:rsidR="002820A5" w:rsidRDefault="002820A5" w:rsidP="002820A5">
            <w:pPr>
              <w:rPr>
                <w:b/>
                <w:sz w:val="20"/>
                <w:szCs w:val="20"/>
                <w:lang w:eastAsia="en-US"/>
              </w:rPr>
            </w:pPr>
            <w:r>
              <w:rPr>
                <w:b/>
                <w:bCs/>
                <w:sz w:val="20"/>
                <w:szCs w:val="20"/>
                <w:lang w:eastAsia="en-US"/>
              </w:rPr>
              <w:t>Postsacral (= caudal) armour, distribution of dorsal tail osteoderms</w:t>
            </w:r>
            <w:r>
              <w:rPr>
                <w:b/>
                <w:color w:val="000000"/>
                <w:sz w:val="20"/>
                <w:szCs w:val="20"/>
                <w:lang w:eastAsia="en-US"/>
              </w:rPr>
              <w:t>:</w:t>
            </w:r>
          </w:p>
          <w:p w14:paraId="054DBC85" w14:textId="25EA4CBE" w:rsidR="002820A5" w:rsidRDefault="002820A5" w:rsidP="002820A5">
            <w:pPr>
              <w:autoSpaceDE w:val="0"/>
              <w:autoSpaceDN w:val="0"/>
              <w:adjustRightInd w:val="0"/>
              <w:rPr>
                <w:i/>
                <w:sz w:val="20"/>
                <w:szCs w:val="20"/>
                <w:lang w:eastAsia="en-US"/>
              </w:rPr>
            </w:pPr>
            <w:r>
              <w:rPr>
                <w:bCs/>
                <w:i/>
                <w:color w:val="000000"/>
                <w:sz w:val="20"/>
                <w:lang w:eastAsia="en-US"/>
              </w:rPr>
              <w:t xml:space="preserve">Clark (1994, ch. 99 modified); </w:t>
            </w:r>
            <w:r>
              <w:rPr>
                <w:i/>
                <w:sz w:val="20"/>
                <w:szCs w:val="20"/>
                <w:lang w:eastAsia="en-US"/>
              </w:rPr>
              <w:t xml:space="preserve">Young (2006, ch. 49 part); Wilkinson et al. (2008, ch. 78 part); Young &amp; Andrade (2009, ch. 78 part); Young et al. (2011, ch. 78 part); </w:t>
            </w:r>
            <w:r>
              <w:rPr>
                <w:bCs/>
                <w:i/>
                <w:color w:val="000000"/>
                <w:sz w:val="20"/>
                <w:lang w:eastAsia="en-US"/>
              </w:rPr>
              <w:t xml:space="preserve">Young et al. (2013a, ch. 200 part); </w:t>
            </w:r>
            <w:r>
              <w:rPr>
                <w:i/>
                <w:sz w:val="20"/>
                <w:szCs w:val="20"/>
                <w:lang w:eastAsia="en-US"/>
              </w:rPr>
              <w:t>Young et al. (2012, ch. 237</w:t>
            </w:r>
            <w:r>
              <w:rPr>
                <w:bCs/>
                <w:i/>
                <w:color w:val="000000"/>
                <w:sz w:val="20"/>
                <w:lang w:eastAsia="en-US"/>
              </w:rPr>
              <w:t xml:space="preserve"> modified</w:t>
            </w:r>
            <w:r>
              <w:rPr>
                <w:i/>
                <w:sz w:val="20"/>
                <w:szCs w:val="20"/>
                <w:lang w:eastAsia="en-US"/>
              </w:rPr>
              <w:t>); Young (2014, ch. 248</w:t>
            </w:r>
            <w:r>
              <w:rPr>
                <w:bCs/>
                <w:i/>
                <w:color w:val="000000"/>
                <w:sz w:val="20"/>
                <w:lang w:eastAsia="en-US"/>
              </w:rPr>
              <w:t xml:space="preserve"> modified</w:t>
            </w:r>
            <w:r>
              <w:rPr>
                <w:i/>
                <w:sz w:val="20"/>
                <w:szCs w:val="20"/>
                <w:lang w:eastAsia="en-US"/>
              </w:rPr>
              <w:t>); Young et al. (2016, ds 2, ch. 295</w:t>
            </w:r>
            <w:r>
              <w:rPr>
                <w:bCs/>
                <w:i/>
                <w:color w:val="000000"/>
                <w:sz w:val="20"/>
                <w:lang w:eastAsia="en-US"/>
              </w:rPr>
              <w:t xml:space="preserve"> modified</w:t>
            </w:r>
            <w:r>
              <w:rPr>
                <w:i/>
                <w:sz w:val="20"/>
                <w:szCs w:val="20"/>
                <w:lang w:eastAsia="en-US"/>
              </w:rPr>
              <w:t>); Ristevski et al. (2018, ds 2, ch. 375</w:t>
            </w:r>
            <w:r>
              <w:rPr>
                <w:bCs/>
                <w:i/>
                <w:color w:val="000000"/>
                <w:sz w:val="20"/>
                <w:lang w:eastAsia="en-US"/>
              </w:rPr>
              <w:t xml:space="preserve"> modified</w:t>
            </w:r>
            <w:r>
              <w:rPr>
                <w:i/>
                <w:sz w:val="20"/>
                <w:szCs w:val="20"/>
                <w:lang w:eastAsia="en-US"/>
              </w:rPr>
              <w:t xml:space="preserve">); Smith et al. (in review, ds 1, ch. 381 </w:t>
            </w:r>
            <w:r>
              <w:rPr>
                <w:bCs/>
                <w:i/>
                <w:color w:val="000000"/>
                <w:sz w:val="20"/>
                <w:lang w:eastAsia="en-US"/>
              </w:rPr>
              <w:t xml:space="preserve">modified); </w:t>
            </w:r>
            <w:r>
              <w:rPr>
                <w:i/>
                <w:sz w:val="20"/>
                <w:szCs w:val="20"/>
              </w:rPr>
              <w:t>Ősi et al. (in review, ds 1, ch. 444)</w:t>
            </w:r>
            <w:r>
              <w:rPr>
                <w:i/>
                <w:sz w:val="20"/>
                <w:szCs w:val="20"/>
                <w:lang w:eastAsia="en-US"/>
              </w:rPr>
              <w:t>.</w:t>
            </w:r>
          </w:p>
          <w:p w14:paraId="1245F4C3" w14:textId="77777777" w:rsidR="002820A5" w:rsidRDefault="002820A5" w:rsidP="002820A5">
            <w:pPr>
              <w:rPr>
                <w:i/>
                <w:sz w:val="20"/>
                <w:szCs w:val="20"/>
                <w:lang w:eastAsia="en-US"/>
              </w:rPr>
            </w:pPr>
            <w:r>
              <w:rPr>
                <w:i/>
                <w:sz w:val="20"/>
                <w:szCs w:val="20"/>
                <w:lang w:eastAsia="en-US"/>
              </w:rPr>
              <w:t xml:space="preserve">Young et al. (2012) split the dorsal and ventral tail osteoderm character as </w:t>
            </w:r>
            <w:r>
              <w:rPr>
                <w:sz w:val="20"/>
                <w:szCs w:val="20"/>
                <w:lang w:eastAsia="en-US"/>
              </w:rPr>
              <w:t xml:space="preserve">Pelagosaurus </w:t>
            </w:r>
            <w:r>
              <w:rPr>
                <w:i/>
                <w:sz w:val="20"/>
                <w:szCs w:val="20"/>
                <w:lang w:eastAsia="en-US"/>
              </w:rPr>
              <w:t>and</w:t>
            </w:r>
            <w:r>
              <w:rPr>
                <w:sz w:val="20"/>
                <w:szCs w:val="20"/>
                <w:lang w:eastAsia="en-US"/>
              </w:rPr>
              <w:t xml:space="preserve"> Pietraroiasuchus</w:t>
            </w:r>
            <w:r>
              <w:rPr>
                <w:i/>
                <w:sz w:val="20"/>
                <w:szCs w:val="20"/>
                <w:lang w:eastAsia="en-US"/>
              </w:rPr>
              <w:t xml:space="preserve"> lack ventral tail osteoderms, but have dorsal tail osteoderms.</w:t>
            </w:r>
          </w:p>
          <w:p w14:paraId="20CBAA65" w14:textId="77777777" w:rsidR="002820A5" w:rsidRDefault="002820A5" w:rsidP="002820A5">
            <w:pPr>
              <w:rPr>
                <w:sz w:val="20"/>
                <w:szCs w:val="20"/>
                <w:lang w:eastAsia="en-US"/>
              </w:rPr>
            </w:pPr>
            <w:r>
              <w:rPr>
                <w:sz w:val="20"/>
                <w:szCs w:val="20"/>
                <w:lang w:eastAsia="en-US"/>
              </w:rPr>
              <w:t>0. present</w:t>
            </w:r>
          </w:p>
          <w:p w14:paraId="40549818" w14:textId="77777777" w:rsidR="002820A5" w:rsidRDefault="002820A5" w:rsidP="002820A5">
            <w:pPr>
              <w:rPr>
                <w:b/>
                <w:bCs/>
                <w:color w:val="000000"/>
                <w:sz w:val="20"/>
                <w:lang w:eastAsia="en-US"/>
              </w:rPr>
            </w:pPr>
            <w:r>
              <w:rPr>
                <w:sz w:val="20"/>
                <w:szCs w:val="20"/>
                <w:lang w:eastAsia="en-US"/>
              </w:rPr>
              <w:t>1. absent</w:t>
            </w:r>
          </w:p>
        </w:tc>
      </w:tr>
      <w:tr w:rsidR="002820A5" w14:paraId="4738D9AB" w14:textId="77777777" w:rsidTr="002820A5">
        <w:tc>
          <w:tcPr>
            <w:tcW w:w="0" w:type="auto"/>
            <w:tcBorders>
              <w:top w:val="single" w:sz="4" w:space="0" w:color="auto"/>
              <w:left w:val="single" w:sz="4" w:space="0" w:color="auto"/>
              <w:bottom w:val="single" w:sz="4" w:space="0" w:color="auto"/>
              <w:right w:val="single" w:sz="4" w:space="0" w:color="auto"/>
            </w:tcBorders>
          </w:tcPr>
          <w:p w14:paraId="3D665BBF" w14:textId="1E6ECC65" w:rsidR="002820A5" w:rsidRDefault="009E2821" w:rsidP="002820A5">
            <w:pPr>
              <w:rPr>
                <w:color w:val="000000"/>
                <w:sz w:val="20"/>
                <w:szCs w:val="20"/>
                <w:lang w:eastAsia="en-US"/>
              </w:rPr>
            </w:pPr>
            <w:r>
              <w:rPr>
                <w:color w:val="000000"/>
                <w:sz w:val="20"/>
                <w:szCs w:val="20"/>
                <w:lang w:eastAsia="en-US"/>
              </w:rPr>
              <w:t>448</w:t>
            </w:r>
          </w:p>
        </w:tc>
        <w:tc>
          <w:tcPr>
            <w:tcW w:w="0" w:type="auto"/>
            <w:tcBorders>
              <w:top w:val="single" w:sz="4" w:space="0" w:color="auto"/>
              <w:left w:val="single" w:sz="4" w:space="0" w:color="auto"/>
              <w:bottom w:val="single" w:sz="4" w:space="0" w:color="auto"/>
              <w:right w:val="single" w:sz="4" w:space="0" w:color="auto"/>
            </w:tcBorders>
            <w:vAlign w:val="bottom"/>
            <w:hideMark/>
          </w:tcPr>
          <w:p w14:paraId="1ADA7C3D" w14:textId="689A726F" w:rsidR="002820A5" w:rsidRDefault="002820A5" w:rsidP="002820A5">
            <w:pPr>
              <w:rPr>
                <w:b/>
                <w:bCs/>
                <w:sz w:val="20"/>
                <w:szCs w:val="20"/>
                <w:lang w:eastAsia="en-US"/>
              </w:rPr>
            </w:pPr>
            <w:r>
              <w:rPr>
                <w:b/>
                <w:bCs/>
                <w:sz w:val="20"/>
                <w:szCs w:val="20"/>
                <w:lang w:eastAsia="en-US"/>
              </w:rPr>
              <w:t>Postsacral (= caudal) armour, distribution of ventral tail osteoderms:</w:t>
            </w:r>
          </w:p>
          <w:p w14:paraId="4ADCFF6F" w14:textId="09F5B3AC" w:rsidR="002820A5" w:rsidRDefault="002820A5" w:rsidP="002820A5">
            <w:pPr>
              <w:autoSpaceDE w:val="0"/>
              <w:autoSpaceDN w:val="0"/>
              <w:adjustRightInd w:val="0"/>
              <w:rPr>
                <w:i/>
                <w:sz w:val="20"/>
                <w:szCs w:val="20"/>
                <w:lang w:eastAsia="en-US"/>
              </w:rPr>
            </w:pPr>
            <w:r>
              <w:rPr>
                <w:i/>
                <w:sz w:val="20"/>
                <w:szCs w:val="20"/>
                <w:lang w:eastAsia="en-US"/>
              </w:rPr>
              <w:t xml:space="preserve">Young (2006, ch. 49 part); Wilkinson et al. (2008, ch. 78 part); Young &amp; Andrade (2009, ch. 78 part); Young et al. (2011, ch. 78 part); Young et al. (2013a, ch. 200 part); Young et al. (2012, ch. 238); Young (2014, ch. 249); Young et al. (2016, ds 2, ch. 296); Ristevski et al. (2018, ds 2, ch. 376); Smith et al. (in review, ds 1, ch. 382); </w:t>
            </w:r>
            <w:r>
              <w:rPr>
                <w:i/>
                <w:sz w:val="20"/>
                <w:szCs w:val="20"/>
              </w:rPr>
              <w:t>Ősi et al. (in review, ds 1, ch. 445)</w:t>
            </w:r>
            <w:r>
              <w:rPr>
                <w:i/>
                <w:sz w:val="20"/>
                <w:szCs w:val="20"/>
                <w:lang w:eastAsia="en-US"/>
              </w:rPr>
              <w:t>.</w:t>
            </w:r>
          </w:p>
          <w:p w14:paraId="1B4025E9" w14:textId="77777777" w:rsidR="002820A5" w:rsidRDefault="002820A5" w:rsidP="002820A5">
            <w:pPr>
              <w:rPr>
                <w:color w:val="000000"/>
                <w:sz w:val="20"/>
                <w:szCs w:val="20"/>
                <w:lang w:eastAsia="en-US"/>
              </w:rPr>
            </w:pPr>
            <w:r>
              <w:rPr>
                <w:i/>
                <w:color w:val="000000"/>
                <w:sz w:val="20"/>
                <w:szCs w:val="20"/>
                <w:lang w:eastAsia="en-US"/>
              </w:rPr>
              <w:t xml:space="preserve">State (1) is a putative apomorphy of </w:t>
            </w:r>
            <w:r>
              <w:rPr>
                <w:color w:val="000000"/>
                <w:sz w:val="20"/>
                <w:szCs w:val="20"/>
                <w:lang w:eastAsia="en-US"/>
              </w:rPr>
              <w:t xml:space="preserve">Pelagosaurus </w:t>
            </w:r>
            <w:r>
              <w:rPr>
                <w:i/>
                <w:color w:val="000000"/>
                <w:sz w:val="20"/>
                <w:szCs w:val="20"/>
                <w:lang w:eastAsia="en-US"/>
              </w:rPr>
              <w:t xml:space="preserve">+ Metriorhynchidae, and occurs in </w:t>
            </w:r>
            <w:r>
              <w:rPr>
                <w:color w:val="000000"/>
                <w:sz w:val="20"/>
                <w:szCs w:val="20"/>
                <w:lang w:eastAsia="en-US"/>
              </w:rPr>
              <w:t>Pietraroiasuchus.</w:t>
            </w:r>
          </w:p>
          <w:p w14:paraId="06FB144B" w14:textId="77777777" w:rsidR="002820A5" w:rsidRDefault="002820A5" w:rsidP="002820A5">
            <w:pPr>
              <w:rPr>
                <w:bCs/>
                <w:sz w:val="20"/>
                <w:szCs w:val="20"/>
                <w:lang w:eastAsia="en-US"/>
              </w:rPr>
            </w:pPr>
            <w:r>
              <w:rPr>
                <w:bCs/>
                <w:sz w:val="20"/>
                <w:szCs w:val="20"/>
                <w:lang w:eastAsia="en-US"/>
              </w:rPr>
              <w:t>0. present</w:t>
            </w:r>
          </w:p>
          <w:p w14:paraId="69464102" w14:textId="77777777" w:rsidR="002820A5" w:rsidRDefault="002820A5" w:rsidP="002820A5">
            <w:pPr>
              <w:autoSpaceDE w:val="0"/>
              <w:autoSpaceDN w:val="0"/>
              <w:adjustRightInd w:val="0"/>
              <w:rPr>
                <w:b/>
                <w:bCs/>
                <w:color w:val="000000"/>
                <w:sz w:val="20"/>
                <w:lang w:eastAsia="en-US"/>
              </w:rPr>
            </w:pPr>
            <w:r>
              <w:rPr>
                <w:bCs/>
                <w:sz w:val="20"/>
                <w:szCs w:val="20"/>
                <w:lang w:eastAsia="en-US"/>
              </w:rPr>
              <w:t>1. absent</w:t>
            </w:r>
          </w:p>
        </w:tc>
      </w:tr>
      <w:tr w:rsidR="002820A5" w14:paraId="39CE8BD2" w14:textId="77777777" w:rsidTr="002820A5">
        <w:tc>
          <w:tcPr>
            <w:tcW w:w="0" w:type="auto"/>
            <w:tcBorders>
              <w:top w:val="single" w:sz="4" w:space="0" w:color="auto"/>
              <w:left w:val="single" w:sz="4" w:space="0" w:color="auto"/>
              <w:bottom w:val="single" w:sz="4" w:space="0" w:color="auto"/>
              <w:right w:val="single" w:sz="4" w:space="0" w:color="auto"/>
            </w:tcBorders>
          </w:tcPr>
          <w:p w14:paraId="6B035D32" w14:textId="044F810A" w:rsidR="002820A5" w:rsidRDefault="009E2821" w:rsidP="002820A5">
            <w:pPr>
              <w:rPr>
                <w:color w:val="000000"/>
                <w:sz w:val="20"/>
                <w:szCs w:val="20"/>
                <w:lang w:eastAsia="en-US"/>
              </w:rPr>
            </w:pPr>
            <w:r>
              <w:rPr>
                <w:color w:val="000000"/>
                <w:sz w:val="20"/>
                <w:szCs w:val="20"/>
                <w:lang w:eastAsia="en-US"/>
              </w:rPr>
              <w:t>449</w:t>
            </w:r>
          </w:p>
        </w:tc>
        <w:tc>
          <w:tcPr>
            <w:tcW w:w="0" w:type="auto"/>
            <w:tcBorders>
              <w:top w:val="single" w:sz="4" w:space="0" w:color="auto"/>
              <w:left w:val="single" w:sz="4" w:space="0" w:color="auto"/>
              <w:bottom w:val="single" w:sz="4" w:space="0" w:color="auto"/>
              <w:right w:val="single" w:sz="4" w:space="0" w:color="auto"/>
            </w:tcBorders>
            <w:vAlign w:val="bottom"/>
            <w:hideMark/>
          </w:tcPr>
          <w:p w14:paraId="7B1B2C77" w14:textId="08250A82" w:rsidR="002820A5" w:rsidRDefault="002820A5" w:rsidP="002820A5">
            <w:pPr>
              <w:autoSpaceDE w:val="0"/>
              <w:autoSpaceDN w:val="0"/>
              <w:adjustRightInd w:val="0"/>
              <w:rPr>
                <w:b/>
                <w:bCs/>
                <w:color w:val="000000"/>
                <w:sz w:val="20"/>
                <w:lang w:eastAsia="en-US"/>
              </w:rPr>
            </w:pPr>
            <w:r>
              <w:rPr>
                <w:b/>
                <w:bCs/>
                <w:color w:val="000000"/>
                <w:sz w:val="20"/>
                <w:lang w:eastAsia="en-US"/>
              </w:rPr>
              <w:t>Postsacral (= caudal) armour, distribution when present: (*)</w:t>
            </w:r>
          </w:p>
          <w:p w14:paraId="5C85C13F" w14:textId="6E767E07" w:rsidR="002820A5" w:rsidRDefault="002820A5" w:rsidP="002820A5">
            <w:pPr>
              <w:autoSpaceDE w:val="0"/>
              <w:autoSpaceDN w:val="0"/>
              <w:adjustRightInd w:val="0"/>
              <w:rPr>
                <w:bCs/>
                <w:i/>
                <w:color w:val="000000"/>
                <w:sz w:val="20"/>
                <w:lang w:eastAsia="en-US"/>
              </w:rPr>
            </w:pPr>
            <w:r>
              <w:rPr>
                <w:bCs/>
                <w:i/>
                <w:color w:val="000000"/>
                <w:sz w:val="20"/>
                <w:lang w:eastAsia="en-US"/>
              </w:rPr>
              <w:t xml:space="preserve">Clark (1994, ch. 99 modified); Young (2006, ch. 49 part); Wilkinson et al. (2008, ch. 78 part); </w:t>
            </w:r>
            <w:r>
              <w:rPr>
                <w:i/>
                <w:sz w:val="20"/>
                <w:szCs w:val="20"/>
                <w:lang w:eastAsia="en-US"/>
              </w:rPr>
              <w:t xml:space="preserve">Young &amp; Andrade (2009, ch. 78 part); </w:t>
            </w:r>
            <w:r>
              <w:rPr>
                <w:bCs/>
                <w:i/>
                <w:color w:val="000000"/>
                <w:sz w:val="20"/>
                <w:lang w:eastAsia="en-US"/>
              </w:rPr>
              <w:t xml:space="preserve">Andrade et al. (2011, ch. 481); </w:t>
            </w:r>
            <w:r>
              <w:rPr>
                <w:i/>
                <w:sz w:val="20"/>
                <w:szCs w:val="20"/>
                <w:lang w:eastAsia="en-US"/>
              </w:rPr>
              <w:t xml:space="preserve">Ristevski et al. (2018, ds 2, ch. 377); Smith et al. (in review, ds 1, ch. 383); </w:t>
            </w:r>
            <w:r>
              <w:rPr>
                <w:i/>
                <w:sz w:val="20"/>
                <w:szCs w:val="20"/>
              </w:rPr>
              <w:t>Ősi et al. (in review, ds 1, ch. 446)</w:t>
            </w:r>
            <w:r>
              <w:rPr>
                <w:bCs/>
                <w:i/>
                <w:color w:val="000000"/>
                <w:sz w:val="20"/>
                <w:lang w:eastAsia="en-US"/>
              </w:rPr>
              <w:t>.</w:t>
            </w:r>
          </w:p>
          <w:p w14:paraId="12537D02"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caudal osteoderms.</w:t>
            </w:r>
          </w:p>
          <w:p w14:paraId="27EF7784" w14:textId="77777777" w:rsidR="002820A5" w:rsidRDefault="002820A5" w:rsidP="002820A5">
            <w:pPr>
              <w:autoSpaceDE w:val="0"/>
              <w:autoSpaceDN w:val="0"/>
              <w:adjustRightInd w:val="0"/>
              <w:rPr>
                <w:color w:val="000000"/>
                <w:sz w:val="20"/>
                <w:lang w:eastAsia="en-US"/>
              </w:rPr>
            </w:pPr>
            <w:r>
              <w:rPr>
                <w:color w:val="000000"/>
                <w:sz w:val="20"/>
                <w:lang w:eastAsia="en-US"/>
              </w:rPr>
              <w:t>0. a pair of rows, covering the vertebral column</w:t>
            </w:r>
          </w:p>
          <w:p w14:paraId="28C8C8DD" w14:textId="77777777" w:rsidR="002820A5" w:rsidRDefault="002820A5" w:rsidP="002820A5">
            <w:pPr>
              <w:autoSpaceDE w:val="0"/>
              <w:autoSpaceDN w:val="0"/>
              <w:adjustRightInd w:val="0"/>
              <w:rPr>
                <w:b/>
                <w:bCs/>
                <w:color w:val="000000"/>
                <w:sz w:val="20"/>
                <w:lang w:eastAsia="en-US"/>
              </w:rPr>
            </w:pPr>
            <w:r>
              <w:rPr>
                <w:color w:val="000000"/>
                <w:sz w:val="20"/>
                <w:lang w:eastAsia="en-US"/>
              </w:rPr>
              <w:t>1. several rows, enclosing the tail surface</w:t>
            </w:r>
          </w:p>
        </w:tc>
      </w:tr>
      <w:tr w:rsidR="002820A5" w14:paraId="15B52206" w14:textId="77777777" w:rsidTr="002820A5">
        <w:tc>
          <w:tcPr>
            <w:tcW w:w="0" w:type="auto"/>
            <w:tcBorders>
              <w:top w:val="single" w:sz="4" w:space="0" w:color="auto"/>
              <w:left w:val="single" w:sz="4" w:space="0" w:color="auto"/>
              <w:bottom w:val="single" w:sz="4" w:space="0" w:color="auto"/>
              <w:right w:val="single" w:sz="4" w:space="0" w:color="auto"/>
            </w:tcBorders>
          </w:tcPr>
          <w:p w14:paraId="43D6C058" w14:textId="1133CE27" w:rsidR="002820A5" w:rsidRDefault="002820A5" w:rsidP="002820A5">
            <w:pPr>
              <w:rPr>
                <w:color w:val="000000"/>
                <w:sz w:val="20"/>
                <w:szCs w:val="20"/>
                <w:lang w:eastAsia="en-US"/>
              </w:rPr>
            </w:pPr>
            <w:r>
              <w:rPr>
                <w:color w:val="000000"/>
                <w:sz w:val="20"/>
                <w:szCs w:val="20"/>
                <w:lang w:eastAsia="en-US"/>
              </w:rPr>
              <w:t>4</w:t>
            </w:r>
            <w:r w:rsidR="009E2821">
              <w:rPr>
                <w:color w:val="000000"/>
                <w:sz w:val="20"/>
                <w:szCs w:val="20"/>
                <w:lang w:eastAsia="en-US"/>
              </w:rPr>
              <w:t>50</w:t>
            </w:r>
          </w:p>
        </w:tc>
        <w:tc>
          <w:tcPr>
            <w:tcW w:w="0" w:type="auto"/>
            <w:tcBorders>
              <w:top w:val="single" w:sz="4" w:space="0" w:color="auto"/>
              <w:left w:val="single" w:sz="4" w:space="0" w:color="auto"/>
              <w:bottom w:val="single" w:sz="4" w:space="0" w:color="auto"/>
              <w:right w:val="single" w:sz="4" w:space="0" w:color="auto"/>
            </w:tcBorders>
            <w:vAlign w:val="bottom"/>
            <w:hideMark/>
          </w:tcPr>
          <w:p w14:paraId="209DCDA2" w14:textId="1010CC36" w:rsidR="002820A5" w:rsidRDefault="002820A5" w:rsidP="002820A5">
            <w:pPr>
              <w:autoSpaceDE w:val="0"/>
              <w:autoSpaceDN w:val="0"/>
              <w:adjustRightInd w:val="0"/>
              <w:rPr>
                <w:b/>
                <w:bCs/>
                <w:color w:val="000000"/>
                <w:sz w:val="20"/>
                <w:lang w:eastAsia="en-US"/>
              </w:rPr>
            </w:pPr>
            <w:r>
              <w:rPr>
                <w:b/>
                <w:bCs/>
                <w:color w:val="000000"/>
                <w:sz w:val="20"/>
                <w:lang w:eastAsia="en-US"/>
              </w:rPr>
              <w:t>Postsacral (= caudal) armour, presence of an anteroposteriorly directed keel on the dorsal surface of paramedial elements: (*)</w:t>
            </w:r>
          </w:p>
          <w:p w14:paraId="60E67546" w14:textId="6750B9EA" w:rsidR="002820A5" w:rsidRDefault="002820A5" w:rsidP="002820A5">
            <w:pPr>
              <w:autoSpaceDE w:val="0"/>
              <w:autoSpaceDN w:val="0"/>
              <w:adjustRightInd w:val="0"/>
              <w:rPr>
                <w:bCs/>
                <w:i/>
                <w:color w:val="000000"/>
                <w:sz w:val="20"/>
                <w:lang w:eastAsia="en-US"/>
              </w:rPr>
            </w:pPr>
            <w:r>
              <w:rPr>
                <w:bCs/>
                <w:i/>
                <w:color w:val="000000"/>
                <w:sz w:val="20"/>
                <w:lang w:eastAsia="en-US"/>
              </w:rPr>
              <w:t xml:space="preserve">Clark (1994, ch. 101 revised part); Andrade et al. (2011, ch. 482); </w:t>
            </w:r>
            <w:r>
              <w:rPr>
                <w:i/>
                <w:sz w:val="20"/>
                <w:szCs w:val="20"/>
                <w:lang w:eastAsia="en-US"/>
              </w:rPr>
              <w:t xml:space="preserve">Ristevski et al. (2018, ds 2, ch. 381); Smith et al. (in review, ds 1, ch. 387); </w:t>
            </w:r>
            <w:r>
              <w:rPr>
                <w:i/>
                <w:sz w:val="20"/>
                <w:szCs w:val="20"/>
              </w:rPr>
              <w:t>Ősi et al. (in review, ds 1, ch. 447)</w:t>
            </w:r>
            <w:r>
              <w:rPr>
                <w:bCs/>
                <w:i/>
                <w:color w:val="000000"/>
                <w:sz w:val="20"/>
                <w:lang w:eastAsia="en-US"/>
              </w:rPr>
              <w:t>.</w:t>
            </w:r>
          </w:p>
          <w:p w14:paraId="042DEBD4" w14:textId="77777777" w:rsidR="002820A5" w:rsidRDefault="002820A5" w:rsidP="002820A5">
            <w:pPr>
              <w:rPr>
                <w:sz w:val="20"/>
                <w:szCs w:val="20"/>
                <w:lang w:eastAsia="en-US"/>
              </w:rPr>
            </w:pPr>
            <w:r>
              <w:rPr>
                <w:i/>
                <w:sz w:val="20"/>
                <w:szCs w:val="20"/>
                <w:lang w:eastAsia="en-US"/>
              </w:rPr>
              <w:t>This character is not</w:t>
            </w:r>
            <w:r>
              <w:rPr>
                <w:sz w:val="20"/>
                <w:szCs w:val="20"/>
                <w:lang w:eastAsia="en-US"/>
              </w:rPr>
              <w:t xml:space="preserve"> </w:t>
            </w:r>
            <w:r>
              <w:rPr>
                <w:i/>
                <w:sz w:val="20"/>
                <w:szCs w:val="20"/>
                <w:lang w:eastAsia="en-US"/>
              </w:rPr>
              <w:t>applicable for taxa that lack dorsal osteoderms.</w:t>
            </w:r>
          </w:p>
          <w:p w14:paraId="70BCDEFB" w14:textId="77777777" w:rsidR="002820A5" w:rsidRDefault="002820A5" w:rsidP="002820A5">
            <w:pPr>
              <w:autoSpaceDE w:val="0"/>
              <w:autoSpaceDN w:val="0"/>
              <w:adjustRightInd w:val="0"/>
              <w:rPr>
                <w:color w:val="000000"/>
                <w:sz w:val="20"/>
                <w:lang w:eastAsia="en-US"/>
              </w:rPr>
            </w:pPr>
            <w:r>
              <w:rPr>
                <w:color w:val="000000"/>
                <w:sz w:val="20"/>
                <w:lang w:eastAsia="en-US"/>
              </w:rPr>
              <w:t>0. absent</w:t>
            </w:r>
          </w:p>
          <w:p w14:paraId="18C34184" w14:textId="77777777" w:rsidR="002820A5" w:rsidRDefault="002820A5" w:rsidP="002820A5">
            <w:pPr>
              <w:autoSpaceDE w:val="0"/>
              <w:autoSpaceDN w:val="0"/>
              <w:adjustRightInd w:val="0"/>
              <w:rPr>
                <w:color w:val="000000"/>
                <w:sz w:val="20"/>
                <w:lang w:eastAsia="en-US"/>
              </w:rPr>
            </w:pPr>
            <w:r>
              <w:rPr>
                <w:color w:val="000000"/>
                <w:sz w:val="20"/>
                <w:lang w:eastAsia="en-US"/>
              </w:rPr>
              <w:t>1. present</w:t>
            </w:r>
          </w:p>
        </w:tc>
      </w:tr>
      <w:tr w:rsidR="002820A5" w14:paraId="603CD7B9" w14:textId="77777777" w:rsidTr="002820A5">
        <w:tc>
          <w:tcPr>
            <w:tcW w:w="0" w:type="auto"/>
            <w:tcBorders>
              <w:top w:val="single" w:sz="4" w:space="0" w:color="auto"/>
              <w:left w:val="single" w:sz="4" w:space="0" w:color="auto"/>
              <w:bottom w:val="single" w:sz="4" w:space="0" w:color="auto"/>
              <w:right w:val="single" w:sz="4" w:space="0" w:color="auto"/>
            </w:tcBorders>
          </w:tcPr>
          <w:p w14:paraId="60E6F514" w14:textId="3722A38C" w:rsidR="002820A5" w:rsidRDefault="009E2821" w:rsidP="002820A5">
            <w:pPr>
              <w:rPr>
                <w:color w:val="000000"/>
                <w:sz w:val="20"/>
                <w:szCs w:val="20"/>
                <w:lang w:eastAsia="en-US"/>
              </w:rPr>
            </w:pPr>
            <w:r>
              <w:rPr>
                <w:sz w:val="20"/>
                <w:szCs w:val="20"/>
                <w:lang w:eastAsia="en-US"/>
              </w:rPr>
              <w:t>451</w:t>
            </w:r>
          </w:p>
        </w:tc>
        <w:tc>
          <w:tcPr>
            <w:tcW w:w="0" w:type="auto"/>
            <w:tcBorders>
              <w:top w:val="single" w:sz="4" w:space="0" w:color="auto"/>
              <w:left w:val="single" w:sz="4" w:space="0" w:color="auto"/>
              <w:bottom w:val="single" w:sz="4" w:space="0" w:color="auto"/>
              <w:right w:val="single" w:sz="4" w:space="0" w:color="auto"/>
            </w:tcBorders>
            <w:vAlign w:val="bottom"/>
            <w:hideMark/>
          </w:tcPr>
          <w:p w14:paraId="1754E340" w14:textId="77777777" w:rsidR="002820A5" w:rsidRDefault="002820A5" w:rsidP="002820A5">
            <w:pPr>
              <w:autoSpaceDE w:val="0"/>
              <w:autoSpaceDN w:val="0"/>
              <w:adjustRightInd w:val="0"/>
              <w:rPr>
                <w:b/>
                <w:sz w:val="20"/>
                <w:szCs w:val="20"/>
                <w:lang w:eastAsia="en-US"/>
              </w:rPr>
            </w:pPr>
            <w:r>
              <w:rPr>
                <w:b/>
                <w:sz w:val="20"/>
                <w:szCs w:val="20"/>
                <w:lang w:eastAsia="en-US"/>
              </w:rPr>
              <w:t xml:space="preserve">Appendicular armour, presence of osteoderms on the limbs (at least in part): </w:t>
            </w:r>
          </w:p>
          <w:p w14:paraId="2E9EBFB4" w14:textId="508AB586" w:rsidR="002820A5" w:rsidRDefault="002820A5" w:rsidP="002820A5">
            <w:pPr>
              <w:rPr>
                <w:i/>
                <w:color w:val="000000"/>
                <w:sz w:val="20"/>
                <w:szCs w:val="20"/>
                <w:lang w:eastAsia="en-US"/>
              </w:rPr>
            </w:pPr>
            <w:r>
              <w:rPr>
                <w:i/>
                <w:color w:val="000000"/>
                <w:sz w:val="20"/>
                <w:szCs w:val="20"/>
                <w:lang w:eastAsia="en-US"/>
              </w:rPr>
              <w:t xml:space="preserve">Pol &amp; Norell (2004b, ch. 190); Nesbitt (2011, ch. 405); Young et al. (2016, ds 2, ch. 288); Wilberg (2017, ch. 406); </w:t>
            </w:r>
            <w:r>
              <w:rPr>
                <w:i/>
                <w:sz w:val="20"/>
                <w:szCs w:val="20"/>
                <w:lang w:eastAsia="en-US"/>
              </w:rPr>
              <w:t xml:space="preserve">Ristevski et al. (2018, ds 2, ch. 382); Smith et al. (in review, ds 1, ch. 388); </w:t>
            </w:r>
            <w:r>
              <w:rPr>
                <w:i/>
                <w:sz w:val="20"/>
                <w:szCs w:val="20"/>
              </w:rPr>
              <w:t>Ősi et al. (in review, ds 1, ch. 448)</w:t>
            </w:r>
            <w:r>
              <w:rPr>
                <w:i/>
                <w:color w:val="000000"/>
                <w:sz w:val="20"/>
                <w:szCs w:val="20"/>
                <w:lang w:eastAsia="en-US"/>
              </w:rPr>
              <w:t>.</w:t>
            </w:r>
          </w:p>
          <w:p w14:paraId="1B2D31BD" w14:textId="77777777" w:rsidR="002820A5" w:rsidRDefault="002820A5" w:rsidP="002820A5">
            <w:pPr>
              <w:rPr>
                <w:i/>
                <w:color w:val="000000"/>
                <w:sz w:val="20"/>
                <w:szCs w:val="20"/>
                <w:lang w:eastAsia="en-US"/>
              </w:rPr>
            </w:pPr>
            <w:r>
              <w:rPr>
                <w:i/>
                <w:color w:val="000000"/>
                <w:sz w:val="20"/>
                <w:szCs w:val="20"/>
                <w:lang w:eastAsia="en-US"/>
              </w:rPr>
              <w:t>Crocodyliformes have state (1), but perhaps with reversals in some clades.</w:t>
            </w:r>
          </w:p>
          <w:p w14:paraId="2FD9CEDE" w14:textId="77777777" w:rsidR="002820A5" w:rsidRDefault="002820A5" w:rsidP="002820A5">
            <w:pPr>
              <w:rPr>
                <w:i/>
                <w:color w:val="000000"/>
                <w:sz w:val="20"/>
                <w:szCs w:val="20"/>
                <w:lang w:eastAsia="en-US"/>
              </w:rPr>
            </w:pPr>
            <w:r>
              <w:rPr>
                <w:i/>
                <w:color w:val="000000"/>
                <w:sz w:val="20"/>
                <w:szCs w:val="20"/>
                <w:lang w:eastAsia="en-US"/>
              </w:rPr>
              <w:t>Limb osteoderms are rarely preserved, but have been mentioned for some dyrosaurids and advanced neosuchians.</w:t>
            </w:r>
          </w:p>
          <w:p w14:paraId="51E1DEC2" w14:textId="77777777" w:rsidR="002820A5" w:rsidRDefault="002820A5" w:rsidP="002820A5">
            <w:pPr>
              <w:autoSpaceDE w:val="0"/>
              <w:autoSpaceDN w:val="0"/>
              <w:adjustRightInd w:val="0"/>
              <w:rPr>
                <w:sz w:val="20"/>
                <w:szCs w:val="20"/>
                <w:lang w:eastAsia="en-US"/>
              </w:rPr>
            </w:pPr>
            <w:r>
              <w:rPr>
                <w:sz w:val="20"/>
                <w:szCs w:val="20"/>
                <w:lang w:eastAsia="en-US"/>
              </w:rPr>
              <w:t>0. absent</w:t>
            </w:r>
          </w:p>
          <w:p w14:paraId="612B9696" w14:textId="77777777" w:rsidR="002820A5" w:rsidRDefault="002820A5" w:rsidP="002820A5">
            <w:pPr>
              <w:autoSpaceDE w:val="0"/>
              <w:autoSpaceDN w:val="0"/>
              <w:adjustRightInd w:val="0"/>
              <w:rPr>
                <w:rFonts w:ascii="AdvP497E2" w:hAnsi="AdvP497E2" w:cs="AdvP497E2"/>
                <w:sz w:val="19"/>
                <w:szCs w:val="19"/>
                <w:lang w:eastAsia="en-US"/>
              </w:rPr>
            </w:pPr>
            <w:r>
              <w:rPr>
                <w:sz w:val="20"/>
                <w:szCs w:val="20"/>
                <w:lang w:eastAsia="en-US"/>
              </w:rPr>
              <w:t>1. present</w:t>
            </w:r>
          </w:p>
        </w:tc>
      </w:tr>
    </w:tbl>
    <w:p w14:paraId="192CCF3E" w14:textId="77777777" w:rsidR="004C76BC" w:rsidRDefault="004C76BC" w:rsidP="004C76BC">
      <w:pPr>
        <w:rPr>
          <w:b/>
          <w:color w:val="000000"/>
        </w:rPr>
      </w:pPr>
    </w:p>
    <w:p w14:paraId="67173ABD" w14:textId="476ED7E7" w:rsidR="004C76BC" w:rsidRDefault="004C76BC" w:rsidP="004C76BC">
      <w:r>
        <w:rPr>
          <w:b/>
          <w:bCs/>
          <w:color w:val="000000"/>
        </w:rPr>
        <w:t xml:space="preserve">Dermal ossifications: gastralia </w:t>
      </w:r>
      <w:r>
        <w:t>(Ch. 4</w:t>
      </w:r>
      <w:r w:rsidR="002820A5">
        <w:t>50</w:t>
      </w:r>
      <w:r>
        <w:t>; 0.22% of characters)</w:t>
      </w:r>
    </w:p>
    <w:p w14:paraId="01354DDD" w14:textId="77777777" w:rsidR="004C76BC" w:rsidRDefault="004C76BC" w:rsidP="004C76BC">
      <w:pPr>
        <w:autoSpaceDE w:val="0"/>
        <w:autoSpaceDN w:val="0"/>
        <w:adjustRightInd w:val="0"/>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1CA7B935" w14:textId="77777777" w:rsidTr="00AF438E">
        <w:tc>
          <w:tcPr>
            <w:tcW w:w="285" w:type="pct"/>
            <w:tcBorders>
              <w:top w:val="single" w:sz="4" w:space="0" w:color="auto"/>
              <w:left w:val="single" w:sz="4" w:space="0" w:color="auto"/>
              <w:bottom w:val="single" w:sz="4" w:space="0" w:color="auto"/>
              <w:right w:val="single" w:sz="4" w:space="0" w:color="auto"/>
            </w:tcBorders>
            <w:hideMark/>
          </w:tcPr>
          <w:p w14:paraId="74F8CBA8" w14:textId="77777777" w:rsidR="004C76BC" w:rsidRDefault="004C76BC" w:rsidP="00AF438E">
            <w:pPr>
              <w:rPr>
                <w:sz w:val="20"/>
                <w:szCs w:val="20"/>
                <w:lang w:eastAsia="en-US"/>
              </w:rPr>
            </w:pPr>
            <w:r>
              <w:rPr>
                <w:sz w:val="20"/>
                <w:szCs w:val="20"/>
                <w:lang w:eastAsia="en-US"/>
              </w:rPr>
              <w:t>#</w:t>
            </w:r>
          </w:p>
        </w:tc>
        <w:tc>
          <w:tcPr>
            <w:tcW w:w="4715" w:type="pct"/>
            <w:tcBorders>
              <w:top w:val="single" w:sz="4" w:space="0" w:color="auto"/>
              <w:left w:val="single" w:sz="4" w:space="0" w:color="auto"/>
              <w:bottom w:val="single" w:sz="4" w:space="0" w:color="auto"/>
              <w:right w:val="single" w:sz="4" w:space="0" w:color="auto"/>
            </w:tcBorders>
            <w:hideMark/>
          </w:tcPr>
          <w:p w14:paraId="07A9EAF7" w14:textId="77777777" w:rsidR="004C76BC" w:rsidRDefault="004C76BC" w:rsidP="00AF438E">
            <w:pPr>
              <w:rPr>
                <w:sz w:val="20"/>
                <w:szCs w:val="20"/>
                <w:lang w:eastAsia="en-US"/>
              </w:rPr>
            </w:pPr>
            <w:r>
              <w:rPr>
                <w:sz w:val="20"/>
                <w:szCs w:val="20"/>
                <w:lang w:eastAsia="en-US"/>
              </w:rPr>
              <w:t>Description</w:t>
            </w:r>
          </w:p>
        </w:tc>
      </w:tr>
      <w:tr w:rsidR="004C76BC" w14:paraId="2CB39094" w14:textId="77777777" w:rsidTr="00AF438E">
        <w:tc>
          <w:tcPr>
            <w:tcW w:w="285" w:type="pct"/>
            <w:tcBorders>
              <w:top w:val="single" w:sz="4" w:space="0" w:color="auto"/>
              <w:left w:val="single" w:sz="4" w:space="0" w:color="auto"/>
              <w:bottom w:val="single" w:sz="4" w:space="0" w:color="auto"/>
              <w:right w:val="single" w:sz="4" w:space="0" w:color="auto"/>
            </w:tcBorders>
            <w:hideMark/>
          </w:tcPr>
          <w:p w14:paraId="6978F7EC" w14:textId="752CBCFF" w:rsidR="004C76BC" w:rsidRDefault="009E2821" w:rsidP="00AF438E">
            <w:pPr>
              <w:rPr>
                <w:sz w:val="20"/>
                <w:szCs w:val="20"/>
                <w:lang w:eastAsia="en-US"/>
              </w:rPr>
            </w:pPr>
            <w:r>
              <w:rPr>
                <w:color w:val="000000"/>
                <w:sz w:val="20"/>
                <w:szCs w:val="20"/>
                <w:lang w:eastAsia="en-US"/>
              </w:rPr>
              <w:t>452</w:t>
            </w:r>
          </w:p>
        </w:tc>
        <w:tc>
          <w:tcPr>
            <w:tcW w:w="4715" w:type="pct"/>
            <w:tcBorders>
              <w:top w:val="single" w:sz="4" w:space="0" w:color="auto"/>
              <w:left w:val="single" w:sz="4" w:space="0" w:color="auto"/>
              <w:bottom w:val="single" w:sz="4" w:space="0" w:color="auto"/>
              <w:right w:val="single" w:sz="4" w:space="0" w:color="auto"/>
            </w:tcBorders>
            <w:hideMark/>
          </w:tcPr>
          <w:p w14:paraId="60CC187C" w14:textId="77777777" w:rsidR="004C76BC" w:rsidRDefault="004C76BC" w:rsidP="00AF438E">
            <w:pPr>
              <w:autoSpaceDE w:val="0"/>
              <w:autoSpaceDN w:val="0"/>
              <w:adjustRightInd w:val="0"/>
              <w:rPr>
                <w:rFonts w:eastAsiaTheme="minorHAnsi"/>
                <w:b/>
                <w:sz w:val="20"/>
                <w:szCs w:val="20"/>
                <w:lang w:eastAsia="en-US"/>
              </w:rPr>
            </w:pPr>
            <w:r>
              <w:rPr>
                <w:rFonts w:eastAsiaTheme="minorHAnsi"/>
                <w:b/>
                <w:sz w:val="20"/>
                <w:szCs w:val="20"/>
                <w:lang w:eastAsia="en-US"/>
              </w:rPr>
              <w:t xml:space="preserve">Gastralia: </w:t>
            </w:r>
          </w:p>
          <w:p w14:paraId="10D441A3" w14:textId="76CAB325" w:rsidR="004C76BC" w:rsidRDefault="004C76BC" w:rsidP="00AF438E">
            <w:pPr>
              <w:autoSpaceDE w:val="0"/>
              <w:autoSpaceDN w:val="0"/>
              <w:adjustRightInd w:val="0"/>
              <w:rPr>
                <w:rFonts w:eastAsiaTheme="minorHAnsi"/>
                <w:i/>
                <w:sz w:val="20"/>
                <w:szCs w:val="20"/>
                <w:lang w:eastAsia="en-US"/>
              </w:rPr>
            </w:pPr>
            <w:r>
              <w:rPr>
                <w:rFonts w:eastAsiaTheme="minorHAnsi"/>
                <w:i/>
                <w:sz w:val="20"/>
                <w:szCs w:val="20"/>
                <w:lang w:eastAsia="en-US"/>
              </w:rPr>
              <w:t xml:space="preserve">Nesbitt (2011, ch. 412); </w:t>
            </w:r>
            <w:r>
              <w:rPr>
                <w:i/>
                <w:sz w:val="20"/>
                <w:szCs w:val="20"/>
                <w:lang w:eastAsia="en-US"/>
              </w:rPr>
              <w:t>Ristevski et al. (2018, ds 2, ch. 383); Smith et al. (in review, ds 1, ch. 389)</w:t>
            </w:r>
            <w:r w:rsidR="00524E0E">
              <w:rPr>
                <w:i/>
                <w:sz w:val="20"/>
                <w:szCs w:val="20"/>
                <w:lang w:eastAsia="en-US"/>
              </w:rPr>
              <w:t xml:space="preserve">; </w:t>
            </w:r>
            <w:r w:rsidR="00524E0E">
              <w:rPr>
                <w:i/>
                <w:sz w:val="20"/>
                <w:szCs w:val="20"/>
              </w:rPr>
              <w:t>Ősi et al. (in review, ds 1, ch. 449)</w:t>
            </w:r>
            <w:r>
              <w:rPr>
                <w:rFonts w:eastAsiaTheme="minorHAnsi"/>
                <w:i/>
                <w:sz w:val="20"/>
                <w:szCs w:val="20"/>
                <w:lang w:eastAsia="en-US"/>
              </w:rPr>
              <w:t>.</w:t>
            </w:r>
          </w:p>
          <w:p w14:paraId="39E6D5F8" w14:textId="77777777" w:rsidR="004C76BC" w:rsidRDefault="004C76BC" w:rsidP="00AF438E">
            <w:pPr>
              <w:autoSpaceDE w:val="0"/>
              <w:autoSpaceDN w:val="0"/>
              <w:adjustRightInd w:val="0"/>
              <w:rPr>
                <w:rFonts w:eastAsiaTheme="minorHAnsi"/>
                <w:i/>
                <w:sz w:val="20"/>
                <w:szCs w:val="20"/>
                <w:lang w:eastAsia="en-US"/>
              </w:rPr>
            </w:pPr>
            <w:r>
              <w:rPr>
                <w:rFonts w:eastAsiaTheme="minorHAnsi"/>
                <w:i/>
                <w:sz w:val="20"/>
                <w:szCs w:val="20"/>
                <w:lang w:eastAsia="en-US"/>
              </w:rPr>
              <w:t xml:space="preserve">State (0) occurs in Postosuchus, ‘sphenosuchians’, and </w:t>
            </w:r>
            <w:r>
              <w:rPr>
                <w:rFonts w:eastAsiaTheme="minorHAnsi"/>
                <w:sz w:val="20"/>
                <w:szCs w:val="20"/>
                <w:lang w:eastAsia="en-US"/>
              </w:rPr>
              <w:t>Protosuchus</w:t>
            </w:r>
            <w:r>
              <w:rPr>
                <w:rFonts w:eastAsiaTheme="minorHAnsi"/>
                <w:i/>
                <w:sz w:val="20"/>
                <w:szCs w:val="20"/>
                <w:lang w:eastAsia="en-US"/>
              </w:rPr>
              <w:t>.</w:t>
            </w:r>
          </w:p>
          <w:p w14:paraId="67AB5712" w14:textId="77777777" w:rsidR="004C76BC" w:rsidRDefault="004C76BC" w:rsidP="00AF438E">
            <w:pPr>
              <w:autoSpaceDE w:val="0"/>
              <w:autoSpaceDN w:val="0"/>
              <w:adjustRightInd w:val="0"/>
              <w:rPr>
                <w:rFonts w:eastAsiaTheme="minorHAnsi"/>
                <w:i/>
                <w:sz w:val="20"/>
                <w:szCs w:val="20"/>
                <w:lang w:eastAsia="en-US"/>
              </w:rPr>
            </w:pPr>
            <w:r>
              <w:rPr>
                <w:rFonts w:eastAsiaTheme="minorHAnsi"/>
                <w:i/>
                <w:sz w:val="20"/>
                <w:szCs w:val="20"/>
                <w:lang w:eastAsia="en-US"/>
              </w:rPr>
              <w:t xml:space="preserve">State (1) occurs in crocodyliforms more derived than </w:t>
            </w:r>
            <w:r>
              <w:rPr>
                <w:rFonts w:eastAsiaTheme="minorHAnsi"/>
                <w:sz w:val="20"/>
                <w:szCs w:val="20"/>
                <w:lang w:eastAsia="en-US"/>
              </w:rPr>
              <w:t>Protosuchus</w:t>
            </w:r>
            <w:r>
              <w:rPr>
                <w:rFonts w:eastAsiaTheme="minorHAnsi"/>
                <w:i/>
                <w:sz w:val="20"/>
                <w:szCs w:val="20"/>
                <w:lang w:eastAsia="en-US"/>
              </w:rPr>
              <w:t>.</w:t>
            </w:r>
          </w:p>
          <w:p w14:paraId="33382E6C" w14:textId="77777777" w:rsidR="004C76BC" w:rsidRDefault="004C76BC" w:rsidP="00AF438E">
            <w:pPr>
              <w:autoSpaceDE w:val="0"/>
              <w:autoSpaceDN w:val="0"/>
              <w:adjustRightInd w:val="0"/>
              <w:rPr>
                <w:rFonts w:eastAsiaTheme="minorHAnsi"/>
                <w:sz w:val="20"/>
                <w:szCs w:val="20"/>
                <w:lang w:eastAsia="en-US"/>
              </w:rPr>
            </w:pPr>
            <w:r>
              <w:rPr>
                <w:i/>
                <w:sz w:val="20"/>
                <w:szCs w:val="20"/>
                <w:lang w:eastAsia="en-US"/>
              </w:rPr>
              <w:t xml:space="preserve">State (2) occurs in </w:t>
            </w:r>
            <w:r>
              <w:rPr>
                <w:sz w:val="20"/>
                <w:szCs w:val="20"/>
                <w:lang w:eastAsia="en-US"/>
              </w:rPr>
              <w:t>Simosuchus.</w:t>
            </w:r>
          </w:p>
          <w:p w14:paraId="0D59B9C2" w14:textId="77777777" w:rsidR="004C76BC" w:rsidRDefault="004C76BC" w:rsidP="00AF438E">
            <w:pPr>
              <w:autoSpaceDE w:val="0"/>
              <w:autoSpaceDN w:val="0"/>
              <w:adjustRightInd w:val="0"/>
              <w:rPr>
                <w:rFonts w:eastAsiaTheme="minorHAnsi"/>
                <w:sz w:val="20"/>
                <w:szCs w:val="20"/>
                <w:lang w:eastAsia="en-US"/>
              </w:rPr>
            </w:pPr>
            <w:r>
              <w:rPr>
                <w:rFonts w:eastAsiaTheme="minorHAnsi"/>
                <w:sz w:val="20"/>
                <w:szCs w:val="20"/>
                <w:lang w:eastAsia="en-US"/>
              </w:rPr>
              <w:t>0. forming extensive ventral basket with closely packed elements</w:t>
            </w:r>
          </w:p>
          <w:p w14:paraId="4637F6C2" w14:textId="77777777" w:rsidR="004C76BC" w:rsidRDefault="004C76BC" w:rsidP="00AF438E">
            <w:pPr>
              <w:autoSpaceDE w:val="0"/>
              <w:autoSpaceDN w:val="0"/>
              <w:adjustRightInd w:val="0"/>
              <w:rPr>
                <w:rFonts w:eastAsiaTheme="minorHAnsi"/>
                <w:sz w:val="20"/>
                <w:szCs w:val="20"/>
                <w:lang w:eastAsia="en-US"/>
              </w:rPr>
            </w:pPr>
            <w:r>
              <w:rPr>
                <w:rFonts w:eastAsiaTheme="minorHAnsi"/>
                <w:sz w:val="20"/>
                <w:szCs w:val="20"/>
                <w:lang w:eastAsia="en-US"/>
              </w:rPr>
              <w:t>1. well-separated</w:t>
            </w:r>
          </w:p>
          <w:p w14:paraId="6C023B8D" w14:textId="77777777" w:rsidR="004C76BC" w:rsidRDefault="004C76BC" w:rsidP="00AF438E">
            <w:pPr>
              <w:autoSpaceDE w:val="0"/>
              <w:autoSpaceDN w:val="0"/>
              <w:adjustRightInd w:val="0"/>
              <w:rPr>
                <w:rFonts w:ascii="AdvP497E2" w:eastAsiaTheme="minorHAnsi" w:hAnsi="AdvP497E2" w:cs="AdvP497E2"/>
                <w:sz w:val="19"/>
                <w:szCs w:val="19"/>
                <w:lang w:eastAsia="en-US"/>
              </w:rPr>
            </w:pPr>
            <w:r>
              <w:rPr>
                <w:rFonts w:eastAsiaTheme="minorHAnsi"/>
                <w:sz w:val="20"/>
                <w:szCs w:val="20"/>
                <w:lang w:eastAsia="en-US"/>
              </w:rPr>
              <w:t>2. absent</w:t>
            </w:r>
          </w:p>
        </w:tc>
      </w:tr>
    </w:tbl>
    <w:p w14:paraId="7FBE3715" w14:textId="77777777" w:rsidR="004C76BC" w:rsidRDefault="004C76BC" w:rsidP="004C76BC">
      <w:pPr>
        <w:rPr>
          <w:b/>
          <w:color w:val="000000"/>
        </w:rPr>
      </w:pPr>
    </w:p>
    <w:p w14:paraId="3F541F1C" w14:textId="42CFF710" w:rsidR="004C76BC" w:rsidRDefault="004C76BC" w:rsidP="004C76BC">
      <w:r>
        <w:rPr>
          <w:b/>
          <w:bCs/>
          <w:color w:val="000000"/>
        </w:rPr>
        <w:t xml:space="preserve">Soft tissue </w:t>
      </w:r>
      <w:r>
        <w:t>(Ch. 45</w:t>
      </w:r>
      <w:r w:rsidR="002820A5">
        <w:t>1</w:t>
      </w:r>
      <w:r>
        <w:t xml:space="preserve"> – 454; </w:t>
      </w:r>
      <w:r w:rsidR="00BC2ECE">
        <w:t>0</w:t>
      </w:r>
      <w:r>
        <w:t>.</w:t>
      </w:r>
      <w:r w:rsidR="00BC2ECE">
        <w:t>881</w:t>
      </w:r>
      <w:r>
        <w:t>% of characters)</w:t>
      </w:r>
    </w:p>
    <w:p w14:paraId="1FBF5D0C" w14:textId="77777777" w:rsidR="00990626" w:rsidRDefault="00990626" w:rsidP="00990626">
      <w:pPr>
        <w:rPr>
          <w:i/>
        </w:rPr>
      </w:pPr>
      <w:r>
        <w:rPr>
          <w:i/>
        </w:rPr>
        <w:t>[Herein soft tissue characters are only scorable for extant taxa]</w:t>
      </w:r>
    </w:p>
    <w:p w14:paraId="193A4007" w14:textId="77777777" w:rsidR="004C76BC" w:rsidRDefault="004C76BC" w:rsidP="004C76BC">
      <w:pPr>
        <w:autoSpaceDE w:val="0"/>
        <w:autoSpaceDN w:val="0"/>
        <w:adjustRightInd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00"/>
      </w:tblGrid>
      <w:tr w:rsidR="004C76BC" w14:paraId="11E5761C"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6AB711A0" w14:textId="77777777" w:rsidR="004C76BC" w:rsidRDefault="004C76BC" w:rsidP="00AF438E">
            <w:pPr>
              <w:rPr>
                <w:sz w:val="20"/>
                <w:szCs w:val="20"/>
                <w:lang w:eastAsia="en-US"/>
              </w:rPr>
            </w:pPr>
            <w:r>
              <w:rPr>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C2C131A" w14:textId="77777777" w:rsidR="004C76BC" w:rsidRDefault="004C76BC" w:rsidP="00AF438E">
            <w:pPr>
              <w:rPr>
                <w:sz w:val="20"/>
                <w:szCs w:val="20"/>
                <w:lang w:eastAsia="en-US"/>
              </w:rPr>
            </w:pPr>
            <w:r>
              <w:rPr>
                <w:sz w:val="20"/>
                <w:szCs w:val="20"/>
                <w:lang w:eastAsia="en-US"/>
              </w:rPr>
              <w:t>Description</w:t>
            </w:r>
          </w:p>
        </w:tc>
      </w:tr>
      <w:tr w:rsidR="002820A5" w14:paraId="20200686"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2AF0C359" w14:textId="31AF112B" w:rsidR="002820A5" w:rsidRDefault="009E2821" w:rsidP="002820A5">
            <w:pPr>
              <w:rPr>
                <w:sz w:val="20"/>
                <w:szCs w:val="20"/>
                <w:lang w:eastAsia="en-US"/>
              </w:rPr>
            </w:pPr>
            <w:r>
              <w:rPr>
                <w:color w:val="000000"/>
                <w:sz w:val="20"/>
                <w:szCs w:val="20"/>
                <w:lang w:eastAsia="en-US"/>
              </w:rPr>
              <w:t>453</w:t>
            </w:r>
          </w:p>
        </w:tc>
        <w:tc>
          <w:tcPr>
            <w:tcW w:w="0" w:type="auto"/>
            <w:tcBorders>
              <w:top w:val="single" w:sz="4" w:space="0" w:color="auto"/>
              <w:left w:val="single" w:sz="4" w:space="0" w:color="auto"/>
              <w:bottom w:val="single" w:sz="4" w:space="0" w:color="auto"/>
              <w:right w:val="single" w:sz="4" w:space="0" w:color="auto"/>
            </w:tcBorders>
            <w:hideMark/>
          </w:tcPr>
          <w:p w14:paraId="7183097E" w14:textId="31242F60" w:rsidR="002820A5" w:rsidRDefault="002820A5" w:rsidP="002820A5">
            <w:pPr>
              <w:widowControl w:val="0"/>
              <w:autoSpaceDE w:val="0"/>
              <w:autoSpaceDN w:val="0"/>
              <w:adjustRightInd w:val="0"/>
              <w:rPr>
                <w:b/>
                <w:sz w:val="20"/>
                <w:szCs w:val="20"/>
                <w:lang w:eastAsia="en-US"/>
              </w:rPr>
            </w:pPr>
            <w:r>
              <w:rPr>
                <w:b/>
                <w:sz w:val="20"/>
                <w:szCs w:val="20"/>
                <w:lang w:eastAsia="en-US"/>
              </w:rPr>
              <w:t>Iris colour: (*)</w:t>
            </w:r>
          </w:p>
          <w:p w14:paraId="4B1010A6" w14:textId="2DD3183E" w:rsidR="002820A5" w:rsidRDefault="002820A5" w:rsidP="002820A5">
            <w:pPr>
              <w:widowControl w:val="0"/>
              <w:autoSpaceDE w:val="0"/>
              <w:autoSpaceDN w:val="0"/>
              <w:adjustRightInd w:val="0"/>
              <w:rPr>
                <w:i/>
                <w:sz w:val="20"/>
                <w:szCs w:val="20"/>
                <w:lang w:eastAsia="en-US"/>
              </w:rPr>
            </w:pPr>
            <w:r>
              <w:rPr>
                <w:i/>
                <w:sz w:val="20"/>
                <w:szCs w:val="20"/>
                <w:lang w:eastAsia="en-US"/>
              </w:rPr>
              <w:t xml:space="preserve">Brochu &amp; Storrs (2012, ch. 182); Narváez et al. (2015, ch. 182); </w:t>
            </w:r>
            <w:r>
              <w:rPr>
                <w:i/>
                <w:sz w:val="20"/>
                <w:szCs w:val="20"/>
              </w:rPr>
              <w:t>Ősi et al. (in review, ds 1, ch. 450)</w:t>
            </w:r>
            <w:r>
              <w:rPr>
                <w:i/>
                <w:sz w:val="20"/>
                <w:szCs w:val="20"/>
                <w:lang w:eastAsia="en-US"/>
              </w:rPr>
              <w:t>.</w:t>
            </w:r>
          </w:p>
          <w:p w14:paraId="425B7D1B" w14:textId="77777777" w:rsidR="002820A5" w:rsidRDefault="002820A5" w:rsidP="002820A5">
            <w:pPr>
              <w:widowControl w:val="0"/>
              <w:autoSpaceDE w:val="0"/>
              <w:autoSpaceDN w:val="0"/>
              <w:adjustRightInd w:val="0"/>
              <w:rPr>
                <w:sz w:val="20"/>
                <w:szCs w:val="20"/>
                <w:lang w:eastAsia="en-US"/>
              </w:rPr>
            </w:pPr>
            <w:r>
              <w:rPr>
                <w:i/>
                <w:sz w:val="20"/>
                <w:szCs w:val="20"/>
                <w:lang w:eastAsia="en-US"/>
              </w:rPr>
              <w:t>State (0) occurs in</w:t>
            </w:r>
            <w:r>
              <w:rPr>
                <w:sz w:val="20"/>
                <w:szCs w:val="20"/>
                <w:lang w:eastAsia="en-US"/>
              </w:rPr>
              <w:t xml:space="preserve"> Mecistops, Crocodylus, Caiman, Melanosuchus, Gavialis </w:t>
            </w:r>
            <w:r>
              <w:rPr>
                <w:i/>
                <w:sz w:val="20"/>
                <w:szCs w:val="20"/>
                <w:lang w:eastAsia="en-US"/>
              </w:rPr>
              <w:t>and</w:t>
            </w:r>
            <w:r>
              <w:rPr>
                <w:sz w:val="20"/>
                <w:szCs w:val="20"/>
                <w:lang w:eastAsia="en-US"/>
              </w:rPr>
              <w:t xml:space="preserve"> Alligator mississippiensis.</w:t>
            </w:r>
          </w:p>
          <w:p w14:paraId="4ADB559E" w14:textId="77777777" w:rsidR="002820A5" w:rsidRDefault="002820A5" w:rsidP="002820A5">
            <w:pPr>
              <w:widowControl w:val="0"/>
              <w:autoSpaceDE w:val="0"/>
              <w:autoSpaceDN w:val="0"/>
              <w:adjustRightInd w:val="0"/>
              <w:rPr>
                <w:sz w:val="20"/>
                <w:szCs w:val="20"/>
                <w:lang w:eastAsia="en-US"/>
              </w:rPr>
            </w:pPr>
            <w:r>
              <w:rPr>
                <w:i/>
                <w:sz w:val="20"/>
                <w:szCs w:val="20"/>
                <w:lang w:eastAsia="en-US"/>
              </w:rPr>
              <w:t>State (1) occurs in</w:t>
            </w:r>
            <w:r>
              <w:rPr>
                <w:sz w:val="20"/>
                <w:szCs w:val="20"/>
                <w:lang w:eastAsia="en-US"/>
              </w:rPr>
              <w:t xml:space="preserve"> Osteolameus, Tomistoma, Paleosuchus </w:t>
            </w:r>
            <w:r>
              <w:rPr>
                <w:i/>
                <w:sz w:val="20"/>
                <w:szCs w:val="20"/>
                <w:lang w:eastAsia="en-US"/>
              </w:rPr>
              <w:t>and</w:t>
            </w:r>
            <w:r>
              <w:rPr>
                <w:sz w:val="20"/>
                <w:szCs w:val="20"/>
                <w:lang w:eastAsia="en-US"/>
              </w:rPr>
              <w:t xml:space="preserve"> Alligator sinensis.</w:t>
            </w:r>
          </w:p>
          <w:p w14:paraId="5B705BF3" w14:textId="77777777" w:rsidR="002820A5" w:rsidRDefault="002820A5" w:rsidP="002820A5">
            <w:pPr>
              <w:widowControl w:val="0"/>
              <w:autoSpaceDE w:val="0"/>
              <w:autoSpaceDN w:val="0"/>
              <w:adjustRightInd w:val="0"/>
              <w:rPr>
                <w:i/>
                <w:sz w:val="20"/>
                <w:szCs w:val="20"/>
                <w:lang w:eastAsia="en-US"/>
              </w:rPr>
            </w:pPr>
            <w:r>
              <w:rPr>
                <w:i/>
                <w:sz w:val="20"/>
                <w:szCs w:val="20"/>
                <w:lang w:eastAsia="en-US"/>
              </w:rPr>
              <w:t>This character cannot be scored for fossil taxa.</w:t>
            </w:r>
          </w:p>
          <w:p w14:paraId="0084530C" w14:textId="77777777" w:rsidR="002820A5" w:rsidRDefault="002820A5" w:rsidP="002820A5">
            <w:pPr>
              <w:widowControl w:val="0"/>
              <w:autoSpaceDE w:val="0"/>
              <w:autoSpaceDN w:val="0"/>
              <w:adjustRightInd w:val="0"/>
              <w:rPr>
                <w:i/>
                <w:sz w:val="20"/>
                <w:szCs w:val="20"/>
                <w:lang w:eastAsia="en-US"/>
              </w:rPr>
            </w:pPr>
            <w:r>
              <w:rPr>
                <w:i/>
                <w:sz w:val="20"/>
                <w:szCs w:val="20"/>
                <w:lang w:eastAsia="en-US"/>
              </w:rPr>
              <w:t>All data from Brochu &amp; Storrs (2012) and Narváez et al. (2015).</w:t>
            </w:r>
          </w:p>
          <w:p w14:paraId="6F7297B2" w14:textId="77777777" w:rsidR="002820A5" w:rsidRDefault="002820A5" w:rsidP="002820A5">
            <w:pPr>
              <w:widowControl w:val="0"/>
              <w:autoSpaceDE w:val="0"/>
              <w:autoSpaceDN w:val="0"/>
              <w:adjustRightInd w:val="0"/>
              <w:rPr>
                <w:sz w:val="20"/>
                <w:szCs w:val="20"/>
                <w:lang w:eastAsia="en-US"/>
              </w:rPr>
            </w:pPr>
            <w:r>
              <w:rPr>
                <w:sz w:val="20"/>
                <w:szCs w:val="20"/>
                <w:lang w:eastAsia="en-US"/>
              </w:rPr>
              <w:t xml:space="preserve">0. greenish/yellowish </w:t>
            </w:r>
          </w:p>
          <w:p w14:paraId="1A328B8B" w14:textId="77777777" w:rsidR="002820A5" w:rsidRDefault="002820A5" w:rsidP="002820A5">
            <w:pPr>
              <w:rPr>
                <w:sz w:val="20"/>
                <w:szCs w:val="20"/>
                <w:lang w:eastAsia="en-US"/>
              </w:rPr>
            </w:pPr>
            <w:r>
              <w:rPr>
                <w:sz w:val="20"/>
                <w:szCs w:val="20"/>
                <w:lang w:eastAsia="en-US"/>
              </w:rPr>
              <w:t>1. brown</w:t>
            </w:r>
          </w:p>
        </w:tc>
      </w:tr>
      <w:tr w:rsidR="002820A5" w14:paraId="2974DC63" w14:textId="77777777" w:rsidTr="002820A5">
        <w:tc>
          <w:tcPr>
            <w:tcW w:w="0" w:type="auto"/>
            <w:tcBorders>
              <w:top w:val="single" w:sz="4" w:space="0" w:color="auto"/>
              <w:left w:val="single" w:sz="4" w:space="0" w:color="auto"/>
              <w:bottom w:val="single" w:sz="4" w:space="0" w:color="auto"/>
              <w:right w:val="single" w:sz="4" w:space="0" w:color="auto"/>
            </w:tcBorders>
          </w:tcPr>
          <w:p w14:paraId="07A710E9" w14:textId="6B41DFBA" w:rsidR="002820A5" w:rsidRDefault="009E2821" w:rsidP="002820A5">
            <w:pPr>
              <w:rPr>
                <w:color w:val="000000"/>
                <w:sz w:val="20"/>
                <w:szCs w:val="20"/>
                <w:lang w:eastAsia="en-US"/>
              </w:rPr>
            </w:pPr>
            <w:r>
              <w:rPr>
                <w:color w:val="000000"/>
                <w:sz w:val="20"/>
                <w:szCs w:val="20"/>
                <w:lang w:eastAsia="en-US"/>
              </w:rPr>
              <w:t>454</w:t>
            </w:r>
          </w:p>
        </w:tc>
        <w:tc>
          <w:tcPr>
            <w:tcW w:w="0" w:type="auto"/>
            <w:tcBorders>
              <w:top w:val="single" w:sz="4" w:space="0" w:color="auto"/>
              <w:left w:val="single" w:sz="4" w:space="0" w:color="auto"/>
              <w:bottom w:val="single" w:sz="4" w:space="0" w:color="auto"/>
              <w:right w:val="single" w:sz="4" w:space="0" w:color="auto"/>
            </w:tcBorders>
            <w:vAlign w:val="bottom"/>
            <w:hideMark/>
          </w:tcPr>
          <w:p w14:paraId="2F406009" w14:textId="29D8FFBE"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Tongue, presence of keratinised surface: (*)</w:t>
            </w:r>
          </w:p>
          <w:p w14:paraId="53B1053F" w14:textId="19FF44D2"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Brochu (1999, ch. 159); Andrade et al. (2011, ch. 483); </w:t>
            </w:r>
            <w:r>
              <w:rPr>
                <w:i/>
                <w:sz w:val="20"/>
                <w:szCs w:val="20"/>
                <w:lang w:eastAsia="en-US"/>
              </w:rPr>
              <w:t xml:space="preserve">Ristevski et al. (2018, ds 2, ch. 384); Smith et al. (in review, ds 1, ch. 390); </w:t>
            </w:r>
            <w:r>
              <w:rPr>
                <w:i/>
                <w:sz w:val="20"/>
                <w:szCs w:val="20"/>
              </w:rPr>
              <w:t>Ősi et al. (in review, ds 1, ch. 451)</w:t>
            </w:r>
            <w:r>
              <w:rPr>
                <w:bCs/>
                <w:i/>
                <w:color w:val="000000"/>
                <w:sz w:val="20"/>
                <w:szCs w:val="20"/>
                <w:lang w:eastAsia="en-US"/>
              </w:rPr>
              <w:t>.</w:t>
            </w:r>
          </w:p>
          <w:p w14:paraId="492322C5" w14:textId="3F4602E5"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(1) is a putative apomorphy of Alligatoridae/Alligatoroidea.</w:t>
            </w:r>
          </w:p>
          <w:p w14:paraId="34BB5354" w14:textId="77777777" w:rsidR="002820A5" w:rsidRDefault="002820A5" w:rsidP="002820A5">
            <w:pPr>
              <w:autoSpaceDE w:val="0"/>
              <w:autoSpaceDN w:val="0"/>
              <w:adjustRightInd w:val="0"/>
              <w:rPr>
                <w:i/>
                <w:iCs/>
                <w:color w:val="000000"/>
                <w:sz w:val="20"/>
                <w:szCs w:val="20"/>
                <w:lang w:eastAsia="en-US"/>
              </w:rPr>
            </w:pPr>
            <w:r>
              <w:rPr>
                <w:i/>
                <w:sz w:val="20"/>
                <w:szCs w:val="20"/>
                <w:lang w:eastAsia="en-US"/>
              </w:rPr>
              <w:t>This character cannot be scored for fossil taxa.</w:t>
            </w:r>
          </w:p>
          <w:p w14:paraId="63F9B415" w14:textId="77777777"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Originally based on Taplin &amp; Grigg (1989), apud Brochu (1999).</w:t>
            </w:r>
          </w:p>
          <w:p w14:paraId="7D7E85A2"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absent</w:t>
            </w:r>
          </w:p>
          <w:p w14:paraId="79D9894A"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1. presence</w:t>
            </w:r>
          </w:p>
        </w:tc>
      </w:tr>
      <w:tr w:rsidR="002820A5" w14:paraId="0384B594" w14:textId="77777777" w:rsidTr="002820A5">
        <w:tc>
          <w:tcPr>
            <w:tcW w:w="0" w:type="auto"/>
            <w:tcBorders>
              <w:top w:val="single" w:sz="4" w:space="0" w:color="auto"/>
              <w:left w:val="single" w:sz="4" w:space="0" w:color="auto"/>
              <w:bottom w:val="single" w:sz="4" w:space="0" w:color="auto"/>
              <w:right w:val="single" w:sz="4" w:space="0" w:color="auto"/>
            </w:tcBorders>
          </w:tcPr>
          <w:p w14:paraId="0337893A" w14:textId="53B87CC6" w:rsidR="002820A5" w:rsidRDefault="009E2821" w:rsidP="002820A5">
            <w:pPr>
              <w:rPr>
                <w:color w:val="000000"/>
                <w:sz w:val="20"/>
                <w:szCs w:val="20"/>
                <w:lang w:eastAsia="en-US"/>
              </w:rPr>
            </w:pPr>
            <w:r>
              <w:rPr>
                <w:color w:val="000000"/>
                <w:sz w:val="20"/>
                <w:szCs w:val="20"/>
                <w:lang w:eastAsia="en-US"/>
              </w:rPr>
              <w:t>455</w:t>
            </w:r>
          </w:p>
        </w:tc>
        <w:tc>
          <w:tcPr>
            <w:tcW w:w="0" w:type="auto"/>
            <w:tcBorders>
              <w:top w:val="single" w:sz="4" w:space="0" w:color="auto"/>
              <w:left w:val="single" w:sz="4" w:space="0" w:color="auto"/>
              <w:bottom w:val="single" w:sz="4" w:space="0" w:color="auto"/>
              <w:right w:val="single" w:sz="4" w:space="0" w:color="auto"/>
            </w:tcBorders>
            <w:vAlign w:val="bottom"/>
            <w:hideMark/>
          </w:tcPr>
          <w:p w14:paraId="04981F96" w14:textId="6406F8EE" w:rsidR="002820A5" w:rsidRDefault="002820A5" w:rsidP="002820A5">
            <w:pPr>
              <w:autoSpaceDE w:val="0"/>
              <w:autoSpaceDN w:val="0"/>
              <w:adjustRightInd w:val="0"/>
              <w:rPr>
                <w:b/>
                <w:bCs/>
                <w:color w:val="000000"/>
                <w:sz w:val="20"/>
                <w:szCs w:val="20"/>
                <w:lang w:eastAsia="en-US"/>
              </w:rPr>
            </w:pPr>
            <w:r>
              <w:rPr>
                <w:b/>
                <w:bCs/>
                <w:color w:val="000000"/>
                <w:sz w:val="20"/>
                <w:szCs w:val="20"/>
                <w:lang w:eastAsia="en-US"/>
              </w:rPr>
              <w:t>Functional lingual salt glands, presence: (*)</w:t>
            </w:r>
          </w:p>
          <w:p w14:paraId="5B0062BC" w14:textId="5D6A1426"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based on Taplin (1985); Taplin </w:t>
            </w:r>
            <w:r>
              <w:rPr>
                <w:i/>
                <w:iCs/>
                <w:color w:val="000000"/>
                <w:sz w:val="20"/>
                <w:szCs w:val="20"/>
                <w:lang w:eastAsia="en-US"/>
              </w:rPr>
              <w:t>&amp; Grigg</w:t>
            </w:r>
            <w:r>
              <w:rPr>
                <w:bCs/>
                <w:i/>
                <w:iCs/>
                <w:color w:val="000000"/>
                <w:sz w:val="20"/>
                <w:szCs w:val="20"/>
                <w:lang w:eastAsia="en-US"/>
              </w:rPr>
              <w:t xml:space="preserve"> (</w:t>
            </w:r>
            <w:r>
              <w:rPr>
                <w:bCs/>
                <w:i/>
                <w:color w:val="000000"/>
                <w:sz w:val="20"/>
                <w:szCs w:val="20"/>
                <w:lang w:eastAsia="en-US"/>
              </w:rPr>
              <w:t xml:space="preserve">1989); Brochu (2007); Andrade et al. (2011, ch. 484); </w:t>
            </w:r>
            <w:r>
              <w:rPr>
                <w:i/>
                <w:sz w:val="20"/>
                <w:szCs w:val="20"/>
                <w:lang w:eastAsia="en-US"/>
              </w:rPr>
              <w:t xml:space="preserve">Ristevski et al. (2018, ds 2, ch. 385); Smith et al. (in review, ds 1, ch. 391); </w:t>
            </w:r>
            <w:r>
              <w:rPr>
                <w:i/>
                <w:sz w:val="20"/>
                <w:szCs w:val="20"/>
              </w:rPr>
              <w:t>Ősi et al. (in review, ds 1, ch. 452)</w:t>
            </w:r>
            <w:r>
              <w:rPr>
                <w:bCs/>
                <w:i/>
                <w:color w:val="000000"/>
                <w:sz w:val="20"/>
                <w:szCs w:val="20"/>
                <w:lang w:eastAsia="en-US"/>
              </w:rPr>
              <w:t>.</w:t>
            </w:r>
          </w:p>
          <w:p w14:paraId="38D89B55" w14:textId="7BE9DC1C" w:rsidR="002820A5" w:rsidRDefault="002820A5" w:rsidP="002820A5">
            <w:pPr>
              <w:autoSpaceDE w:val="0"/>
              <w:autoSpaceDN w:val="0"/>
              <w:adjustRightInd w:val="0"/>
              <w:rPr>
                <w:i/>
                <w:iCs/>
                <w:color w:val="000000"/>
                <w:sz w:val="20"/>
                <w:szCs w:val="20"/>
                <w:lang w:eastAsia="en-US"/>
              </w:rPr>
            </w:pPr>
            <w:r>
              <w:rPr>
                <w:i/>
                <w:iCs/>
                <w:color w:val="000000"/>
                <w:sz w:val="20"/>
                <w:szCs w:val="20"/>
                <w:lang w:eastAsia="en-US"/>
              </w:rPr>
              <w:t>State (0) is a putative apomorphy of Alligatoridae.</w:t>
            </w:r>
          </w:p>
          <w:p w14:paraId="68838314" w14:textId="77777777" w:rsidR="002820A5" w:rsidRDefault="002820A5" w:rsidP="002820A5">
            <w:pPr>
              <w:autoSpaceDE w:val="0"/>
              <w:autoSpaceDN w:val="0"/>
              <w:adjustRightInd w:val="0"/>
              <w:rPr>
                <w:i/>
                <w:iCs/>
                <w:color w:val="000000"/>
                <w:sz w:val="20"/>
                <w:szCs w:val="20"/>
                <w:lang w:eastAsia="en-US"/>
              </w:rPr>
            </w:pPr>
            <w:r>
              <w:rPr>
                <w:i/>
                <w:sz w:val="20"/>
                <w:szCs w:val="20"/>
                <w:lang w:eastAsia="en-US"/>
              </w:rPr>
              <w:t>This character cannot be scored for fossil taxa.</w:t>
            </w:r>
          </w:p>
          <w:p w14:paraId="68CBDCA6"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absent</w:t>
            </w:r>
          </w:p>
          <w:p w14:paraId="6FDCC529"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1. present</w:t>
            </w:r>
          </w:p>
        </w:tc>
      </w:tr>
      <w:tr w:rsidR="002820A5" w14:paraId="4A561C12" w14:textId="77777777" w:rsidTr="00AF438E">
        <w:tc>
          <w:tcPr>
            <w:tcW w:w="0" w:type="auto"/>
            <w:tcBorders>
              <w:top w:val="single" w:sz="4" w:space="0" w:color="auto"/>
              <w:left w:val="single" w:sz="4" w:space="0" w:color="auto"/>
              <w:bottom w:val="single" w:sz="4" w:space="0" w:color="auto"/>
              <w:right w:val="single" w:sz="4" w:space="0" w:color="auto"/>
            </w:tcBorders>
            <w:hideMark/>
          </w:tcPr>
          <w:p w14:paraId="2DDA8B0F" w14:textId="28E6FAC8" w:rsidR="002820A5" w:rsidRDefault="009E2821" w:rsidP="002820A5">
            <w:pPr>
              <w:rPr>
                <w:color w:val="000000"/>
                <w:sz w:val="20"/>
                <w:szCs w:val="20"/>
                <w:lang w:eastAsia="en-US"/>
              </w:rPr>
            </w:pPr>
            <w:r>
              <w:rPr>
                <w:color w:val="000000"/>
                <w:sz w:val="20"/>
                <w:szCs w:val="20"/>
                <w:lang w:eastAsia="en-US"/>
              </w:rPr>
              <w:t>456</w:t>
            </w:r>
          </w:p>
        </w:tc>
        <w:tc>
          <w:tcPr>
            <w:tcW w:w="0" w:type="auto"/>
            <w:tcBorders>
              <w:top w:val="single" w:sz="4" w:space="0" w:color="auto"/>
              <w:left w:val="single" w:sz="4" w:space="0" w:color="auto"/>
              <w:bottom w:val="single" w:sz="4" w:space="0" w:color="auto"/>
              <w:right w:val="single" w:sz="4" w:space="0" w:color="auto"/>
            </w:tcBorders>
            <w:vAlign w:val="bottom"/>
            <w:hideMark/>
          </w:tcPr>
          <w:p w14:paraId="3415833C" w14:textId="3352A4A5" w:rsidR="002820A5" w:rsidRDefault="002820A5" w:rsidP="002820A5">
            <w:pPr>
              <w:autoSpaceDE w:val="0"/>
              <w:autoSpaceDN w:val="0"/>
              <w:adjustRightInd w:val="0"/>
              <w:rPr>
                <w:b/>
                <w:bCs/>
                <w:color w:val="000000"/>
                <w:sz w:val="20"/>
                <w:szCs w:val="20"/>
                <w:lang w:eastAsia="en-US"/>
              </w:rPr>
            </w:pPr>
            <w:r>
              <w:rPr>
                <w:b/>
                <w:bCs/>
                <w:i/>
                <w:color w:val="000000"/>
                <w:sz w:val="20"/>
                <w:szCs w:val="20"/>
                <w:lang w:eastAsia="en-US"/>
              </w:rPr>
              <w:t>M. caudofemoralis</w:t>
            </w:r>
            <w:r>
              <w:rPr>
                <w:b/>
                <w:bCs/>
                <w:color w:val="000000"/>
                <w:sz w:val="20"/>
                <w:szCs w:val="20"/>
                <w:lang w:eastAsia="en-US"/>
              </w:rPr>
              <w:t>, morphology: (*)</w:t>
            </w:r>
          </w:p>
          <w:p w14:paraId="385864E5" w14:textId="43E8C1E8"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 xml:space="preserve">Frey </w:t>
            </w:r>
            <w:r>
              <w:rPr>
                <w:bCs/>
                <w:i/>
                <w:iCs/>
                <w:color w:val="000000"/>
                <w:sz w:val="20"/>
                <w:szCs w:val="20"/>
                <w:lang w:eastAsia="en-US"/>
              </w:rPr>
              <w:t>et al. (</w:t>
            </w:r>
            <w:r>
              <w:rPr>
                <w:bCs/>
                <w:i/>
                <w:color w:val="000000"/>
                <w:sz w:val="20"/>
                <w:szCs w:val="20"/>
                <w:lang w:eastAsia="en-US"/>
              </w:rPr>
              <w:t xml:space="preserve">1989); Brochu (1999, ch. 160); Andrade et al. (2011, ch. 486); </w:t>
            </w:r>
            <w:r>
              <w:rPr>
                <w:i/>
                <w:sz w:val="20"/>
                <w:szCs w:val="20"/>
                <w:lang w:eastAsia="en-US"/>
              </w:rPr>
              <w:t xml:space="preserve">Brochu &amp; Storrs (2012, ch. 37); Narváez et al. (2015, ch. 37); Ristevski et al. (2018, ds 2, ch. 387); Smith et al. (in review, ds 1, ch. 393); </w:t>
            </w:r>
            <w:r>
              <w:rPr>
                <w:i/>
                <w:sz w:val="20"/>
                <w:szCs w:val="20"/>
              </w:rPr>
              <w:t>Ősi et al. (in review, ds 1, ch. 454)</w:t>
            </w:r>
            <w:r>
              <w:rPr>
                <w:bCs/>
                <w:i/>
                <w:color w:val="000000"/>
                <w:sz w:val="20"/>
                <w:szCs w:val="20"/>
                <w:lang w:eastAsia="en-US"/>
              </w:rPr>
              <w:t>.</w:t>
            </w:r>
          </w:p>
          <w:p w14:paraId="322385B3" w14:textId="55AE24F8" w:rsidR="002820A5" w:rsidRDefault="002820A5" w:rsidP="002820A5">
            <w:pPr>
              <w:autoSpaceDE w:val="0"/>
              <w:autoSpaceDN w:val="0"/>
              <w:adjustRightInd w:val="0"/>
              <w:rPr>
                <w:bCs/>
                <w:color w:val="000000"/>
                <w:sz w:val="20"/>
                <w:szCs w:val="20"/>
                <w:lang w:eastAsia="en-US"/>
              </w:rPr>
            </w:pPr>
            <w:r>
              <w:rPr>
                <w:bCs/>
                <w:i/>
                <w:color w:val="000000"/>
                <w:sz w:val="20"/>
                <w:szCs w:val="20"/>
                <w:lang w:eastAsia="en-US"/>
              </w:rPr>
              <w:t xml:space="preserve">State (0) occurs in </w:t>
            </w:r>
            <w:r>
              <w:rPr>
                <w:bCs/>
                <w:color w:val="000000"/>
                <w:sz w:val="20"/>
                <w:szCs w:val="20"/>
                <w:lang w:eastAsia="en-US"/>
              </w:rPr>
              <w:t>Gavialis.</w:t>
            </w:r>
          </w:p>
          <w:p w14:paraId="17CCFC12" w14:textId="77777777" w:rsidR="002820A5" w:rsidRDefault="002820A5" w:rsidP="002820A5">
            <w:pPr>
              <w:autoSpaceDE w:val="0"/>
              <w:autoSpaceDN w:val="0"/>
              <w:adjustRightInd w:val="0"/>
              <w:rPr>
                <w:bCs/>
                <w:i/>
                <w:color w:val="000000"/>
                <w:sz w:val="20"/>
                <w:szCs w:val="20"/>
                <w:lang w:eastAsia="en-US"/>
              </w:rPr>
            </w:pPr>
            <w:r>
              <w:rPr>
                <w:bCs/>
                <w:i/>
                <w:color w:val="000000"/>
                <w:sz w:val="20"/>
                <w:szCs w:val="20"/>
                <w:lang w:eastAsia="en-US"/>
              </w:rPr>
              <w:t>State (1) is known for all other extant crocodylians.</w:t>
            </w:r>
          </w:p>
          <w:p w14:paraId="21266329" w14:textId="77777777" w:rsidR="002820A5" w:rsidRDefault="002820A5" w:rsidP="002820A5">
            <w:pPr>
              <w:autoSpaceDE w:val="0"/>
              <w:autoSpaceDN w:val="0"/>
              <w:adjustRightInd w:val="0"/>
              <w:rPr>
                <w:i/>
                <w:iCs/>
                <w:color w:val="000000"/>
                <w:sz w:val="20"/>
                <w:szCs w:val="20"/>
                <w:lang w:eastAsia="en-US"/>
              </w:rPr>
            </w:pPr>
            <w:r>
              <w:rPr>
                <w:i/>
                <w:sz w:val="20"/>
                <w:szCs w:val="20"/>
                <w:lang w:eastAsia="en-US"/>
              </w:rPr>
              <w:t>This character cannot be scored for fossil taxa.</w:t>
            </w:r>
          </w:p>
          <w:p w14:paraId="2DEF026D"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0. with single head</w:t>
            </w:r>
          </w:p>
          <w:p w14:paraId="453CD8CD" w14:textId="77777777" w:rsidR="002820A5" w:rsidRDefault="002820A5" w:rsidP="002820A5">
            <w:pPr>
              <w:autoSpaceDE w:val="0"/>
              <w:autoSpaceDN w:val="0"/>
              <w:adjustRightInd w:val="0"/>
              <w:rPr>
                <w:color w:val="000000"/>
                <w:sz w:val="20"/>
                <w:szCs w:val="20"/>
                <w:lang w:eastAsia="en-US"/>
              </w:rPr>
            </w:pPr>
            <w:r>
              <w:rPr>
                <w:color w:val="000000"/>
                <w:sz w:val="20"/>
                <w:szCs w:val="20"/>
                <w:lang w:eastAsia="en-US"/>
              </w:rPr>
              <w:t>1. with double head (</w:t>
            </w:r>
            <w:r>
              <w:rPr>
                <w:i/>
                <w:color w:val="000000"/>
                <w:sz w:val="20"/>
                <w:szCs w:val="20"/>
                <w:lang w:eastAsia="en-US"/>
              </w:rPr>
              <w:t>longus</w:t>
            </w:r>
            <w:r>
              <w:rPr>
                <w:color w:val="000000"/>
                <w:sz w:val="20"/>
                <w:szCs w:val="20"/>
                <w:lang w:eastAsia="en-US"/>
              </w:rPr>
              <w:t xml:space="preserve"> and </w:t>
            </w:r>
            <w:r>
              <w:rPr>
                <w:i/>
                <w:color w:val="000000"/>
                <w:sz w:val="20"/>
                <w:szCs w:val="20"/>
                <w:lang w:eastAsia="en-US"/>
              </w:rPr>
              <w:t>brevis</w:t>
            </w:r>
            <w:r>
              <w:rPr>
                <w:color w:val="000000"/>
                <w:sz w:val="20"/>
                <w:szCs w:val="20"/>
                <w:lang w:eastAsia="en-US"/>
              </w:rPr>
              <w:t>)</w:t>
            </w:r>
          </w:p>
        </w:tc>
      </w:tr>
    </w:tbl>
    <w:p w14:paraId="647FB215" w14:textId="77777777" w:rsidR="004C76BC" w:rsidRDefault="004C76BC" w:rsidP="004C76BC">
      <w:pPr>
        <w:rPr>
          <w:b/>
          <w:color w:val="000000"/>
        </w:rPr>
      </w:pPr>
    </w:p>
    <w:p w14:paraId="75107CD1" w14:textId="77777777" w:rsidR="00497CE3" w:rsidRDefault="00497CE3">
      <w:pPr>
        <w:sectPr w:rsidR="00497CE3">
          <w:pgSz w:w="11906" w:h="16838"/>
          <w:pgMar w:top="1440" w:right="1440" w:bottom="1440" w:left="1440" w:header="708" w:footer="708" w:gutter="0"/>
          <w:cols w:space="708"/>
          <w:docGrid w:linePitch="360"/>
        </w:sectPr>
      </w:pPr>
    </w:p>
    <w:p w14:paraId="1FCAC5F9" w14:textId="69A0931B" w:rsidR="00497CE3" w:rsidRDefault="00497CE3" w:rsidP="00497CE3">
      <w:pPr>
        <w:rPr>
          <w:rFonts w:eastAsiaTheme="minorHAnsi"/>
          <w:b/>
          <w:sz w:val="28"/>
        </w:rPr>
      </w:pPr>
      <w:r>
        <w:rPr>
          <w:b/>
          <w:sz w:val="28"/>
        </w:rPr>
        <w:t>S3) Character and OTUs breakdowns of the merged, and parent, datasets</w:t>
      </w:r>
    </w:p>
    <w:p w14:paraId="411996CE" w14:textId="77777777" w:rsidR="00497CE3" w:rsidRDefault="00497CE3" w:rsidP="00497CE3">
      <w:pPr>
        <w:rPr>
          <w:sz w:val="10"/>
        </w:rPr>
      </w:pPr>
    </w:p>
    <w:p w14:paraId="0DBB4344" w14:textId="1F847891" w:rsidR="00497CE3" w:rsidRDefault="00497CE3" w:rsidP="00497CE3">
      <w:r>
        <w:rPr>
          <w:b/>
          <w:i/>
        </w:rPr>
        <w:t>Table (S3.1).</w:t>
      </w:r>
      <w:r>
        <w:t xml:space="preserve"> Character break-down from the iterations of the Hastings dataset, ultimately merged into the Hastings and Young (H+Y) matrix. Hastings </w:t>
      </w:r>
      <w:r>
        <w:rPr>
          <w:i/>
        </w:rPr>
        <w:t>et al</w:t>
      </w:r>
      <w:r>
        <w:t xml:space="preserve">. (2015) utilised two datasets: 1) Hastings </w:t>
      </w:r>
      <w:r>
        <w:rPr>
          <w:i/>
        </w:rPr>
        <w:t>et al</w:t>
      </w:r>
      <w:r>
        <w:t xml:space="preserve">. (2010, 2011); and 2) adapted from Jouve </w:t>
      </w:r>
      <w:r>
        <w:rPr>
          <w:i/>
        </w:rPr>
        <w:t>et al</w:t>
      </w:r>
      <w:r>
        <w:t xml:space="preserve">. (2006). Young </w:t>
      </w:r>
      <w:r>
        <w:rPr>
          <w:i/>
        </w:rPr>
        <w:t>et al</w:t>
      </w:r>
      <w:r>
        <w:t xml:space="preserve">. (2016) utilised two datasets: 1) first iteration of a merged dataset, an updated version of the matrix of Hastings </w:t>
      </w:r>
      <w:r>
        <w:rPr>
          <w:i/>
        </w:rPr>
        <w:t>et al</w:t>
      </w:r>
      <w:r>
        <w:t>. (2015) with characters used by Young; and 2) an updated version of Young (2014) matrix.</w:t>
      </w:r>
    </w:p>
    <w:tbl>
      <w:tblPr>
        <w:tblStyle w:val="TableGrid"/>
        <w:tblpPr w:leftFromText="180" w:rightFromText="180" w:vertAnchor="text" w:tblpY="1"/>
        <w:tblOverlap w:val="never"/>
        <w:tblW w:w="4623" w:type="pct"/>
        <w:tblInd w:w="0" w:type="dxa"/>
        <w:tblLook w:val="04A0" w:firstRow="1" w:lastRow="0" w:firstColumn="1" w:lastColumn="0" w:noHBand="0" w:noVBand="1"/>
      </w:tblPr>
      <w:tblGrid>
        <w:gridCol w:w="4248"/>
        <w:gridCol w:w="3260"/>
        <w:gridCol w:w="2412"/>
        <w:gridCol w:w="2976"/>
      </w:tblGrid>
      <w:tr w:rsidR="00497CE3" w14:paraId="29070917"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641046CA" w14:textId="77777777" w:rsidR="00497CE3" w:rsidRDefault="00497CE3" w:rsidP="00497CE3">
            <w:r>
              <w:t>Type of characters</w:t>
            </w:r>
          </w:p>
        </w:tc>
        <w:tc>
          <w:tcPr>
            <w:tcW w:w="1264" w:type="pct"/>
            <w:tcBorders>
              <w:top w:val="single" w:sz="4" w:space="0" w:color="auto"/>
              <w:left w:val="single" w:sz="4" w:space="0" w:color="auto"/>
              <w:bottom w:val="single" w:sz="4" w:space="0" w:color="auto"/>
              <w:right w:val="single" w:sz="4" w:space="0" w:color="auto"/>
            </w:tcBorders>
            <w:hideMark/>
          </w:tcPr>
          <w:p w14:paraId="5F78B156" w14:textId="77777777" w:rsidR="00497CE3" w:rsidRDefault="00497CE3" w:rsidP="00497CE3">
            <w:pPr>
              <w:jc w:val="center"/>
            </w:pPr>
            <w:r>
              <w:t xml:space="preserve">Hastings </w:t>
            </w:r>
            <w:r>
              <w:rPr>
                <w:i/>
              </w:rPr>
              <w:t>et al</w:t>
            </w:r>
            <w:r>
              <w:t>. (2010, 2011, 2015, ds 1-Hastings)</w:t>
            </w:r>
          </w:p>
        </w:tc>
        <w:tc>
          <w:tcPr>
            <w:tcW w:w="935" w:type="pct"/>
            <w:tcBorders>
              <w:top w:val="single" w:sz="4" w:space="0" w:color="auto"/>
              <w:left w:val="single" w:sz="4" w:space="0" w:color="auto"/>
              <w:bottom w:val="single" w:sz="4" w:space="0" w:color="auto"/>
              <w:right w:val="single" w:sz="4" w:space="0" w:color="auto"/>
            </w:tcBorders>
            <w:hideMark/>
          </w:tcPr>
          <w:p w14:paraId="3438170B" w14:textId="77777777" w:rsidR="00497CE3" w:rsidRDefault="00497CE3" w:rsidP="00497CE3">
            <w:pPr>
              <w:jc w:val="center"/>
            </w:pPr>
            <w:r>
              <w:t xml:space="preserve">Hastings </w:t>
            </w:r>
            <w:r>
              <w:rPr>
                <w:i/>
              </w:rPr>
              <w:t>et al</w:t>
            </w:r>
            <w:r>
              <w:t>. (2015, ds 2-Jouve)</w:t>
            </w:r>
          </w:p>
        </w:tc>
        <w:tc>
          <w:tcPr>
            <w:tcW w:w="1154" w:type="pct"/>
            <w:tcBorders>
              <w:top w:val="single" w:sz="4" w:space="0" w:color="auto"/>
              <w:left w:val="single" w:sz="4" w:space="0" w:color="auto"/>
              <w:bottom w:val="single" w:sz="4" w:space="0" w:color="auto"/>
              <w:right w:val="single" w:sz="4" w:space="0" w:color="auto"/>
            </w:tcBorders>
            <w:hideMark/>
          </w:tcPr>
          <w:p w14:paraId="66D8E2ED" w14:textId="77777777" w:rsidR="00497CE3" w:rsidRDefault="00497CE3" w:rsidP="00497CE3">
            <w:pPr>
              <w:jc w:val="center"/>
              <w:rPr>
                <w:i/>
              </w:rPr>
            </w:pPr>
            <w:r>
              <w:t xml:space="preserve">Young </w:t>
            </w:r>
            <w:r>
              <w:rPr>
                <w:i/>
              </w:rPr>
              <w:t>et</w:t>
            </w:r>
          </w:p>
          <w:p w14:paraId="29868773" w14:textId="77777777" w:rsidR="00497CE3" w:rsidRDefault="00497CE3" w:rsidP="00497CE3">
            <w:pPr>
              <w:jc w:val="center"/>
              <w:rPr>
                <w:highlight w:val="yellow"/>
              </w:rPr>
            </w:pPr>
            <w:r>
              <w:rPr>
                <w:i/>
              </w:rPr>
              <w:t>al</w:t>
            </w:r>
            <w:r>
              <w:t>. (2016, ds 1-Hastings)</w:t>
            </w:r>
          </w:p>
        </w:tc>
      </w:tr>
      <w:tr w:rsidR="00497CE3" w14:paraId="10E4DE7A"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0DF487AF" w14:textId="77777777" w:rsidR="00497CE3" w:rsidRDefault="00497CE3" w:rsidP="00497CE3">
            <w:r>
              <w:t>Skull geometry &amp; dimensions</w:t>
            </w:r>
          </w:p>
        </w:tc>
        <w:tc>
          <w:tcPr>
            <w:tcW w:w="1264" w:type="pct"/>
            <w:tcBorders>
              <w:top w:val="single" w:sz="4" w:space="0" w:color="auto"/>
              <w:left w:val="single" w:sz="4" w:space="0" w:color="auto"/>
              <w:bottom w:val="single" w:sz="4" w:space="0" w:color="auto"/>
              <w:right w:val="single" w:sz="4" w:space="0" w:color="auto"/>
            </w:tcBorders>
            <w:hideMark/>
          </w:tcPr>
          <w:p w14:paraId="7905ED42" w14:textId="77777777" w:rsidR="00497CE3" w:rsidRDefault="00497CE3" w:rsidP="00497CE3">
            <w:pPr>
              <w:jc w:val="center"/>
            </w:pPr>
            <w:r>
              <w:t>1</w:t>
            </w:r>
          </w:p>
        </w:tc>
        <w:tc>
          <w:tcPr>
            <w:tcW w:w="935" w:type="pct"/>
            <w:tcBorders>
              <w:top w:val="single" w:sz="4" w:space="0" w:color="auto"/>
              <w:left w:val="single" w:sz="4" w:space="0" w:color="auto"/>
              <w:bottom w:val="single" w:sz="4" w:space="0" w:color="auto"/>
              <w:right w:val="single" w:sz="4" w:space="0" w:color="auto"/>
            </w:tcBorders>
            <w:hideMark/>
          </w:tcPr>
          <w:p w14:paraId="736BEF04" w14:textId="77777777" w:rsidR="00497CE3" w:rsidRDefault="00497CE3" w:rsidP="00497CE3">
            <w:pPr>
              <w:jc w:val="center"/>
            </w:pPr>
            <w:r>
              <w:t>3</w:t>
            </w:r>
          </w:p>
        </w:tc>
        <w:tc>
          <w:tcPr>
            <w:tcW w:w="1154" w:type="pct"/>
            <w:tcBorders>
              <w:top w:val="single" w:sz="4" w:space="0" w:color="auto"/>
              <w:left w:val="single" w:sz="4" w:space="0" w:color="auto"/>
              <w:bottom w:val="single" w:sz="4" w:space="0" w:color="auto"/>
              <w:right w:val="single" w:sz="4" w:space="0" w:color="auto"/>
            </w:tcBorders>
            <w:hideMark/>
          </w:tcPr>
          <w:p w14:paraId="0EBD57FB" w14:textId="77777777" w:rsidR="00497CE3" w:rsidRDefault="00497CE3" w:rsidP="00497CE3">
            <w:pPr>
              <w:jc w:val="center"/>
              <w:rPr>
                <w:highlight w:val="yellow"/>
              </w:rPr>
            </w:pPr>
            <w:r>
              <w:t>1</w:t>
            </w:r>
          </w:p>
        </w:tc>
      </w:tr>
      <w:tr w:rsidR="00497CE3" w14:paraId="6DEA3CED"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37379AD4" w14:textId="77777777" w:rsidR="00497CE3" w:rsidRDefault="00497CE3" w:rsidP="00497CE3">
            <w:r>
              <w:t>Craniomandibular ornamentation</w:t>
            </w:r>
          </w:p>
        </w:tc>
        <w:tc>
          <w:tcPr>
            <w:tcW w:w="1264" w:type="pct"/>
            <w:tcBorders>
              <w:top w:val="single" w:sz="4" w:space="0" w:color="auto"/>
              <w:left w:val="single" w:sz="4" w:space="0" w:color="auto"/>
              <w:bottom w:val="single" w:sz="4" w:space="0" w:color="auto"/>
              <w:right w:val="single" w:sz="4" w:space="0" w:color="auto"/>
            </w:tcBorders>
            <w:hideMark/>
          </w:tcPr>
          <w:p w14:paraId="6B3B8CCE" w14:textId="77777777" w:rsidR="00497CE3" w:rsidRDefault="00497CE3" w:rsidP="00497CE3">
            <w:pPr>
              <w:jc w:val="center"/>
            </w:pPr>
            <w:r>
              <w:t>2</w:t>
            </w:r>
          </w:p>
        </w:tc>
        <w:tc>
          <w:tcPr>
            <w:tcW w:w="935" w:type="pct"/>
            <w:tcBorders>
              <w:top w:val="single" w:sz="4" w:space="0" w:color="auto"/>
              <w:left w:val="single" w:sz="4" w:space="0" w:color="auto"/>
              <w:bottom w:val="single" w:sz="4" w:space="0" w:color="auto"/>
              <w:right w:val="single" w:sz="4" w:space="0" w:color="auto"/>
            </w:tcBorders>
            <w:hideMark/>
          </w:tcPr>
          <w:p w14:paraId="6695BA36" w14:textId="77777777" w:rsidR="00497CE3" w:rsidRDefault="00497CE3" w:rsidP="00497CE3">
            <w:pPr>
              <w:jc w:val="center"/>
            </w:pPr>
            <w:r>
              <w:t>3</w:t>
            </w:r>
          </w:p>
        </w:tc>
        <w:tc>
          <w:tcPr>
            <w:tcW w:w="1154" w:type="pct"/>
            <w:tcBorders>
              <w:top w:val="single" w:sz="4" w:space="0" w:color="auto"/>
              <w:left w:val="single" w:sz="4" w:space="0" w:color="auto"/>
              <w:bottom w:val="single" w:sz="4" w:space="0" w:color="auto"/>
              <w:right w:val="single" w:sz="4" w:space="0" w:color="auto"/>
            </w:tcBorders>
            <w:hideMark/>
          </w:tcPr>
          <w:p w14:paraId="1915A1BB" w14:textId="77777777" w:rsidR="00497CE3" w:rsidRDefault="00497CE3" w:rsidP="00497CE3">
            <w:pPr>
              <w:jc w:val="center"/>
              <w:rPr>
                <w:highlight w:val="yellow"/>
              </w:rPr>
            </w:pPr>
            <w:r>
              <w:t>2</w:t>
            </w:r>
          </w:p>
        </w:tc>
      </w:tr>
      <w:tr w:rsidR="00497CE3" w14:paraId="61907D46"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4E304091" w14:textId="77777777" w:rsidR="00497CE3" w:rsidRDefault="00497CE3" w:rsidP="00497CE3">
            <w:r>
              <w:t>Cranial rostrum</w:t>
            </w:r>
          </w:p>
        </w:tc>
        <w:tc>
          <w:tcPr>
            <w:tcW w:w="1264" w:type="pct"/>
            <w:tcBorders>
              <w:top w:val="single" w:sz="4" w:space="0" w:color="auto"/>
              <w:left w:val="single" w:sz="4" w:space="0" w:color="auto"/>
              <w:bottom w:val="single" w:sz="4" w:space="0" w:color="auto"/>
              <w:right w:val="single" w:sz="4" w:space="0" w:color="auto"/>
            </w:tcBorders>
            <w:hideMark/>
          </w:tcPr>
          <w:p w14:paraId="2C29C6E1" w14:textId="77777777" w:rsidR="00497CE3" w:rsidRDefault="00497CE3" w:rsidP="00497CE3">
            <w:pPr>
              <w:jc w:val="center"/>
            </w:pPr>
            <w:r>
              <w:t>17</w:t>
            </w:r>
          </w:p>
        </w:tc>
        <w:tc>
          <w:tcPr>
            <w:tcW w:w="935" w:type="pct"/>
            <w:tcBorders>
              <w:top w:val="single" w:sz="4" w:space="0" w:color="auto"/>
              <w:left w:val="single" w:sz="4" w:space="0" w:color="auto"/>
              <w:bottom w:val="single" w:sz="4" w:space="0" w:color="auto"/>
              <w:right w:val="single" w:sz="4" w:space="0" w:color="auto"/>
            </w:tcBorders>
            <w:hideMark/>
          </w:tcPr>
          <w:p w14:paraId="59BF7529" w14:textId="77777777" w:rsidR="00497CE3" w:rsidRDefault="00497CE3" w:rsidP="00497CE3">
            <w:pPr>
              <w:jc w:val="center"/>
              <w:rPr>
                <w:color w:val="FF0000"/>
              </w:rPr>
            </w:pPr>
            <w:r>
              <w:t>32</w:t>
            </w:r>
          </w:p>
        </w:tc>
        <w:tc>
          <w:tcPr>
            <w:tcW w:w="1154" w:type="pct"/>
            <w:tcBorders>
              <w:top w:val="single" w:sz="4" w:space="0" w:color="auto"/>
              <w:left w:val="single" w:sz="4" w:space="0" w:color="auto"/>
              <w:bottom w:val="single" w:sz="4" w:space="0" w:color="auto"/>
              <w:right w:val="single" w:sz="4" w:space="0" w:color="auto"/>
            </w:tcBorders>
            <w:hideMark/>
          </w:tcPr>
          <w:p w14:paraId="20FE946A" w14:textId="77777777" w:rsidR="00497CE3" w:rsidRDefault="00497CE3" w:rsidP="00497CE3">
            <w:pPr>
              <w:jc w:val="center"/>
              <w:rPr>
                <w:highlight w:val="yellow"/>
              </w:rPr>
            </w:pPr>
            <w:r>
              <w:t>19</w:t>
            </w:r>
          </w:p>
        </w:tc>
      </w:tr>
      <w:tr w:rsidR="00497CE3" w14:paraId="0B844C1C"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7F22CD4D" w14:textId="77777777" w:rsidR="00497CE3" w:rsidRDefault="00497CE3" w:rsidP="00497CE3">
            <w:r>
              <w:t>Skull roof</w:t>
            </w:r>
          </w:p>
        </w:tc>
        <w:tc>
          <w:tcPr>
            <w:tcW w:w="1264" w:type="pct"/>
            <w:tcBorders>
              <w:top w:val="single" w:sz="4" w:space="0" w:color="auto"/>
              <w:left w:val="single" w:sz="4" w:space="0" w:color="auto"/>
              <w:bottom w:val="single" w:sz="4" w:space="0" w:color="auto"/>
              <w:right w:val="single" w:sz="4" w:space="0" w:color="auto"/>
            </w:tcBorders>
            <w:hideMark/>
          </w:tcPr>
          <w:p w14:paraId="752B123C" w14:textId="77777777" w:rsidR="00497CE3" w:rsidRDefault="00497CE3" w:rsidP="00497CE3">
            <w:pPr>
              <w:jc w:val="center"/>
            </w:pPr>
            <w:r>
              <w:t>11</w:t>
            </w:r>
          </w:p>
        </w:tc>
        <w:tc>
          <w:tcPr>
            <w:tcW w:w="935" w:type="pct"/>
            <w:tcBorders>
              <w:top w:val="single" w:sz="4" w:space="0" w:color="auto"/>
              <w:left w:val="single" w:sz="4" w:space="0" w:color="auto"/>
              <w:bottom w:val="single" w:sz="4" w:space="0" w:color="auto"/>
              <w:right w:val="single" w:sz="4" w:space="0" w:color="auto"/>
            </w:tcBorders>
            <w:hideMark/>
          </w:tcPr>
          <w:p w14:paraId="10676D07" w14:textId="77777777" w:rsidR="00497CE3" w:rsidRDefault="00497CE3" w:rsidP="00497CE3">
            <w:pPr>
              <w:jc w:val="center"/>
              <w:rPr>
                <w:color w:val="FF0000"/>
              </w:rPr>
            </w:pPr>
            <w:r>
              <w:t>24</w:t>
            </w:r>
          </w:p>
        </w:tc>
        <w:tc>
          <w:tcPr>
            <w:tcW w:w="1154" w:type="pct"/>
            <w:tcBorders>
              <w:top w:val="single" w:sz="4" w:space="0" w:color="auto"/>
              <w:left w:val="single" w:sz="4" w:space="0" w:color="auto"/>
              <w:bottom w:val="single" w:sz="4" w:space="0" w:color="auto"/>
              <w:right w:val="single" w:sz="4" w:space="0" w:color="auto"/>
            </w:tcBorders>
            <w:hideMark/>
          </w:tcPr>
          <w:p w14:paraId="6ACE684D" w14:textId="77777777" w:rsidR="00497CE3" w:rsidRDefault="00497CE3" w:rsidP="00497CE3">
            <w:pPr>
              <w:jc w:val="center"/>
              <w:rPr>
                <w:highlight w:val="yellow"/>
              </w:rPr>
            </w:pPr>
            <w:r>
              <w:t>21</w:t>
            </w:r>
          </w:p>
        </w:tc>
      </w:tr>
      <w:tr w:rsidR="00497CE3" w14:paraId="7C3E6BC2"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6D6884A4" w14:textId="77777777" w:rsidR="00497CE3" w:rsidRDefault="00497CE3" w:rsidP="00497CE3">
            <w:r>
              <w:t>Orbit &amp; temporal region</w:t>
            </w:r>
          </w:p>
        </w:tc>
        <w:tc>
          <w:tcPr>
            <w:tcW w:w="1264" w:type="pct"/>
            <w:tcBorders>
              <w:top w:val="single" w:sz="4" w:space="0" w:color="auto"/>
              <w:left w:val="single" w:sz="4" w:space="0" w:color="auto"/>
              <w:bottom w:val="single" w:sz="4" w:space="0" w:color="auto"/>
              <w:right w:val="single" w:sz="4" w:space="0" w:color="auto"/>
            </w:tcBorders>
            <w:hideMark/>
          </w:tcPr>
          <w:p w14:paraId="5DB589CD" w14:textId="77777777" w:rsidR="00497CE3" w:rsidRDefault="00497CE3" w:rsidP="00497CE3">
            <w:pPr>
              <w:jc w:val="center"/>
            </w:pPr>
            <w:r>
              <w:t>7</w:t>
            </w:r>
          </w:p>
        </w:tc>
        <w:tc>
          <w:tcPr>
            <w:tcW w:w="935" w:type="pct"/>
            <w:tcBorders>
              <w:top w:val="single" w:sz="4" w:space="0" w:color="auto"/>
              <w:left w:val="single" w:sz="4" w:space="0" w:color="auto"/>
              <w:bottom w:val="single" w:sz="4" w:space="0" w:color="auto"/>
              <w:right w:val="single" w:sz="4" w:space="0" w:color="auto"/>
            </w:tcBorders>
            <w:hideMark/>
          </w:tcPr>
          <w:p w14:paraId="187471FD" w14:textId="77777777" w:rsidR="00497CE3" w:rsidRDefault="00497CE3" w:rsidP="00497CE3">
            <w:pPr>
              <w:jc w:val="center"/>
              <w:rPr>
                <w:color w:val="FF0000"/>
              </w:rPr>
            </w:pPr>
            <w:r>
              <w:t>30</w:t>
            </w:r>
          </w:p>
        </w:tc>
        <w:tc>
          <w:tcPr>
            <w:tcW w:w="1154" w:type="pct"/>
            <w:tcBorders>
              <w:top w:val="single" w:sz="4" w:space="0" w:color="auto"/>
              <w:left w:val="single" w:sz="4" w:space="0" w:color="auto"/>
              <w:bottom w:val="single" w:sz="4" w:space="0" w:color="auto"/>
              <w:right w:val="single" w:sz="4" w:space="0" w:color="auto"/>
            </w:tcBorders>
            <w:hideMark/>
          </w:tcPr>
          <w:p w14:paraId="4645BBB2" w14:textId="77777777" w:rsidR="00497CE3" w:rsidRDefault="00497CE3" w:rsidP="00497CE3">
            <w:pPr>
              <w:jc w:val="center"/>
              <w:rPr>
                <w:highlight w:val="yellow"/>
              </w:rPr>
            </w:pPr>
            <w:r>
              <w:t>7</w:t>
            </w:r>
          </w:p>
        </w:tc>
      </w:tr>
      <w:tr w:rsidR="00497CE3" w14:paraId="1FABF7E4"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01B8F85A" w14:textId="77777777" w:rsidR="00497CE3" w:rsidRDefault="00497CE3" w:rsidP="00497CE3">
            <w:r>
              <w:t>Palate &amp; perichoanal structures</w:t>
            </w:r>
          </w:p>
        </w:tc>
        <w:tc>
          <w:tcPr>
            <w:tcW w:w="1264" w:type="pct"/>
            <w:tcBorders>
              <w:top w:val="single" w:sz="4" w:space="0" w:color="auto"/>
              <w:left w:val="single" w:sz="4" w:space="0" w:color="auto"/>
              <w:bottom w:val="single" w:sz="4" w:space="0" w:color="auto"/>
              <w:right w:val="single" w:sz="4" w:space="0" w:color="auto"/>
            </w:tcBorders>
            <w:hideMark/>
          </w:tcPr>
          <w:p w14:paraId="301C4660" w14:textId="77777777" w:rsidR="00497CE3" w:rsidRDefault="00497CE3" w:rsidP="00497CE3">
            <w:pPr>
              <w:jc w:val="center"/>
            </w:pPr>
            <w:r>
              <w:t>4</w:t>
            </w:r>
          </w:p>
        </w:tc>
        <w:tc>
          <w:tcPr>
            <w:tcW w:w="935" w:type="pct"/>
            <w:tcBorders>
              <w:top w:val="single" w:sz="4" w:space="0" w:color="auto"/>
              <w:left w:val="single" w:sz="4" w:space="0" w:color="auto"/>
              <w:bottom w:val="single" w:sz="4" w:space="0" w:color="auto"/>
              <w:right w:val="single" w:sz="4" w:space="0" w:color="auto"/>
            </w:tcBorders>
            <w:hideMark/>
          </w:tcPr>
          <w:p w14:paraId="47C494C3" w14:textId="77777777" w:rsidR="00497CE3" w:rsidRDefault="00497CE3" w:rsidP="00497CE3">
            <w:pPr>
              <w:jc w:val="center"/>
              <w:rPr>
                <w:color w:val="FF0000"/>
              </w:rPr>
            </w:pPr>
            <w:r>
              <w:t>27</w:t>
            </w:r>
          </w:p>
        </w:tc>
        <w:tc>
          <w:tcPr>
            <w:tcW w:w="1154" w:type="pct"/>
            <w:tcBorders>
              <w:top w:val="single" w:sz="4" w:space="0" w:color="auto"/>
              <w:left w:val="single" w:sz="4" w:space="0" w:color="auto"/>
              <w:bottom w:val="single" w:sz="4" w:space="0" w:color="auto"/>
              <w:right w:val="single" w:sz="4" w:space="0" w:color="auto"/>
            </w:tcBorders>
            <w:hideMark/>
          </w:tcPr>
          <w:p w14:paraId="5B8BDD0C" w14:textId="77777777" w:rsidR="00497CE3" w:rsidRDefault="00497CE3" w:rsidP="00497CE3">
            <w:pPr>
              <w:jc w:val="center"/>
              <w:rPr>
                <w:highlight w:val="yellow"/>
              </w:rPr>
            </w:pPr>
            <w:r>
              <w:t>4</w:t>
            </w:r>
          </w:p>
        </w:tc>
      </w:tr>
      <w:tr w:rsidR="00497CE3" w14:paraId="49322C5E"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2351BA33" w14:textId="77777777" w:rsidR="00497CE3" w:rsidRDefault="00497CE3" w:rsidP="00497CE3">
            <w:r>
              <w:t>Occipital</w:t>
            </w:r>
          </w:p>
        </w:tc>
        <w:tc>
          <w:tcPr>
            <w:tcW w:w="1264" w:type="pct"/>
            <w:tcBorders>
              <w:top w:val="single" w:sz="4" w:space="0" w:color="auto"/>
              <w:left w:val="single" w:sz="4" w:space="0" w:color="auto"/>
              <w:bottom w:val="single" w:sz="4" w:space="0" w:color="auto"/>
              <w:right w:val="single" w:sz="4" w:space="0" w:color="auto"/>
            </w:tcBorders>
            <w:hideMark/>
          </w:tcPr>
          <w:p w14:paraId="1160FE3D" w14:textId="77777777" w:rsidR="00497CE3" w:rsidRDefault="00497CE3" w:rsidP="00497CE3">
            <w:pPr>
              <w:jc w:val="center"/>
            </w:pPr>
            <w:r>
              <w:t>5</w:t>
            </w:r>
          </w:p>
        </w:tc>
        <w:tc>
          <w:tcPr>
            <w:tcW w:w="935" w:type="pct"/>
            <w:tcBorders>
              <w:top w:val="single" w:sz="4" w:space="0" w:color="auto"/>
              <w:left w:val="single" w:sz="4" w:space="0" w:color="auto"/>
              <w:bottom w:val="single" w:sz="4" w:space="0" w:color="auto"/>
              <w:right w:val="single" w:sz="4" w:space="0" w:color="auto"/>
            </w:tcBorders>
            <w:hideMark/>
          </w:tcPr>
          <w:p w14:paraId="5106171E" w14:textId="77777777" w:rsidR="00497CE3" w:rsidRDefault="00497CE3" w:rsidP="00497CE3">
            <w:pPr>
              <w:jc w:val="center"/>
              <w:rPr>
                <w:color w:val="FF0000"/>
              </w:rPr>
            </w:pPr>
            <w:r>
              <w:t>9</w:t>
            </w:r>
          </w:p>
        </w:tc>
        <w:tc>
          <w:tcPr>
            <w:tcW w:w="1154" w:type="pct"/>
            <w:tcBorders>
              <w:top w:val="single" w:sz="4" w:space="0" w:color="auto"/>
              <w:left w:val="single" w:sz="4" w:space="0" w:color="auto"/>
              <w:bottom w:val="single" w:sz="4" w:space="0" w:color="auto"/>
              <w:right w:val="single" w:sz="4" w:space="0" w:color="auto"/>
            </w:tcBorders>
            <w:hideMark/>
          </w:tcPr>
          <w:p w14:paraId="71B1B323" w14:textId="77777777" w:rsidR="00497CE3" w:rsidRDefault="00497CE3" w:rsidP="00497CE3">
            <w:pPr>
              <w:jc w:val="center"/>
              <w:rPr>
                <w:highlight w:val="yellow"/>
              </w:rPr>
            </w:pPr>
            <w:r>
              <w:t>5</w:t>
            </w:r>
          </w:p>
        </w:tc>
      </w:tr>
      <w:tr w:rsidR="00497CE3" w14:paraId="5A03D334"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24DCE64B" w14:textId="77777777" w:rsidR="00497CE3" w:rsidRDefault="00497CE3" w:rsidP="00497CE3">
            <w:r>
              <w:t>Braincase, basicranium &amp; suspensorium</w:t>
            </w:r>
          </w:p>
        </w:tc>
        <w:tc>
          <w:tcPr>
            <w:tcW w:w="1264" w:type="pct"/>
            <w:tcBorders>
              <w:top w:val="single" w:sz="4" w:space="0" w:color="auto"/>
              <w:left w:val="single" w:sz="4" w:space="0" w:color="auto"/>
              <w:bottom w:val="single" w:sz="4" w:space="0" w:color="auto"/>
              <w:right w:val="single" w:sz="4" w:space="0" w:color="auto"/>
            </w:tcBorders>
            <w:hideMark/>
          </w:tcPr>
          <w:p w14:paraId="497BA469" w14:textId="77777777" w:rsidR="00497CE3" w:rsidRDefault="00497CE3" w:rsidP="00497CE3">
            <w:pPr>
              <w:jc w:val="center"/>
            </w:pPr>
            <w:r>
              <w:t>8</w:t>
            </w:r>
          </w:p>
        </w:tc>
        <w:tc>
          <w:tcPr>
            <w:tcW w:w="935" w:type="pct"/>
            <w:tcBorders>
              <w:top w:val="single" w:sz="4" w:space="0" w:color="auto"/>
              <w:left w:val="single" w:sz="4" w:space="0" w:color="auto"/>
              <w:bottom w:val="single" w:sz="4" w:space="0" w:color="auto"/>
              <w:right w:val="single" w:sz="4" w:space="0" w:color="auto"/>
            </w:tcBorders>
            <w:hideMark/>
          </w:tcPr>
          <w:p w14:paraId="275F2FD4" w14:textId="77777777" w:rsidR="00497CE3" w:rsidRDefault="00497CE3" w:rsidP="00497CE3">
            <w:pPr>
              <w:jc w:val="center"/>
              <w:rPr>
                <w:color w:val="FF0000"/>
              </w:rPr>
            </w:pPr>
            <w:r>
              <w:t>28</w:t>
            </w:r>
          </w:p>
        </w:tc>
        <w:tc>
          <w:tcPr>
            <w:tcW w:w="1154" w:type="pct"/>
            <w:tcBorders>
              <w:top w:val="single" w:sz="4" w:space="0" w:color="auto"/>
              <w:left w:val="single" w:sz="4" w:space="0" w:color="auto"/>
              <w:bottom w:val="single" w:sz="4" w:space="0" w:color="auto"/>
              <w:right w:val="single" w:sz="4" w:space="0" w:color="auto"/>
            </w:tcBorders>
            <w:hideMark/>
          </w:tcPr>
          <w:p w14:paraId="09BAB023" w14:textId="77777777" w:rsidR="00497CE3" w:rsidRDefault="00497CE3" w:rsidP="00497CE3">
            <w:pPr>
              <w:jc w:val="center"/>
              <w:rPr>
                <w:highlight w:val="yellow"/>
              </w:rPr>
            </w:pPr>
            <w:r>
              <w:t>14</w:t>
            </w:r>
          </w:p>
        </w:tc>
      </w:tr>
      <w:tr w:rsidR="00497CE3" w14:paraId="2B7A1315"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5FCA5D56" w14:textId="77777777" w:rsidR="00497CE3" w:rsidRDefault="00497CE3" w:rsidP="00497CE3">
            <w:r>
              <w:t>Mandibular geometry</w:t>
            </w:r>
          </w:p>
        </w:tc>
        <w:tc>
          <w:tcPr>
            <w:tcW w:w="1264" w:type="pct"/>
            <w:tcBorders>
              <w:top w:val="single" w:sz="4" w:space="0" w:color="auto"/>
              <w:left w:val="single" w:sz="4" w:space="0" w:color="auto"/>
              <w:bottom w:val="single" w:sz="4" w:space="0" w:color="auto"/>
              <w:right w:val="single" w:sz="4" w:space="0" w:color="auto"/>
            </w:tcBorders>
            <w:hideMark/>
          </w:tcPr>
          <w:p w14:paraId="716B9836" w14:textId="77777777" w:rsidR="00497CE3" w:rsidRDefault="00497CE3" w:rsidP="00497CE3">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47BB4601" w14:textId="77777777" w:rsidR="00497CE3" w:rsidRDefault="00497CE3" w:rsidP="00497CE3">
            <w:pPr>
              <w:jc w:val="center"/>
              <w:rPr>
                <w:color w:val="FF0000"/>
              </w:rPr>
            </w:pPr>
            <w:r>
              <w:t>2</w:t>
            </w:r>
          </w:p>
        </w:tc>
        <w:tc>
          <w:tcPr>
            <w:tcW w:w="1154" w:type="pct"/>
            <w:tcBorders>
              <w:top w:val="single" w:sz="4" w:space="0" w:color="auto"/>
              <w:left w:val="single" w:sz="4" w:space="0" w:color="auto"/>
              <w:bottom w:val="single" w:sz="4" w:space="0" w:color="auto"/>
              <w:right w:val="single" w:sz="4" w:space="0" w:color="auto"/>
            </w:tcBorders>
            <w:hideMark/>
          </w:tcPr>
          <w:p w14:paraId="76796DE6" w14:textId="77777777" w:rsidR="00497CE3" w:rsidRDefault="00497CE3" w:rsidP="00497CE3">
            <w:pPr>
              <w:jc w:val="center"/>
              <w:rPr>
                <w:highlight w:val="yellow"/>
              </w:rPr>
            </w:pPr>
            <w:r>
              <w:t>-</w:t>
            </w:r>
          </w:p>
        </w:tc>
      </w:tr>
      <w:tr w:rsidR="00497CE3" w14:paraId="392BB972"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053AD04B" w14:textId="77777777" w:rsidR="00497CE3" w:rsidRDefault="00497CE3" w:rsidP="00497CE3">
            <w:r>
              <w:t>Mandible</w:t>
            </w:r>
          </w:p>
        </w:tc>
        <w:tc>
          <w:tcPr>
            <w:tcW w:w="1264" w:type="pct"/>
            <w:tcBorders>
              <w:top w:val="single" w:sz="4" w:space="0" w:color="auto"/>
              <w:left w:val="single" w:sz="4" w:space="0" w:color="auto"/>
              <w:bottom w:val="single" w:sz="4" w:space="0" w:color="auto"/>
              <w:right w:val="single" w:sz="4" w:space="0" w:color="auto"/>
            </w:tcBorders>
            <w:hideMark/>
          </w:tcPr>
          <w:p w14:paraId="3C55818C" w14:textId="77777777" w:rsidR="00497CE3" w:rsidRDefault="00497CE3" w:rsidP="00497CE3">
            <w:pPr>
              <w:jc w:val="center"/>
            </w:pPr>
            <w:r>
              <w:t>9</w:t>
            </w:r>
          </w:p>
        </w:tc>
        <w:tc>
          <w:tcPr>
            <w:tcW w:w="935" w:type="pct"/>
            <w:tcBorders>
              <w:top w:val="single" w:sz="4" w:space="0" w:color="auto"/>
              <w:left w:val="single" w:sz="4" w:space="0" w:color="auto"/>
              <w:bottom w:val="single" w:sz="4" w:space="0" w:color="auto"/>
              <w:right w:val="single" w:sz="4" w:space="0" w:color="auto"/>
            </w:tcBorders>
            <w:hideMark/>
          </w:tcPr>
          <w:p w14:paraId="3757A975" w14:textId="77777777" w:rsidR="00497CE3" w:rsidRDefault="00497CE3" w:rsidP="00497CE3">
            <w:pPr>
              <w:jc w:val="center"/>
              <w:rPr>
                <w:color w:val="FF0000"/>
              </w:rPr>
            </w:pPr>
            <w:r>
              <w:t>22</w:t>
            </w:r>
          </w:p>
        </w:tc>
        <w:tc>
          <w:tcPr>
            <w:tcW w:w="1154" w:type="pct"/>
            <w:tcBorders>
              <w:top w:val="single" w:sz="4" w:space="0" w:color="auto"/>
              <w:left w:val="single" w:sz="4" w:space="0" w:color="auto"/>
              <w:bottom w:val="single" w:sz="4" w:space="0" w:color="auto"/>
              <w:right w:val="single" w:sz="4" w:space="0" w:color="auto"/>
            </w:tcBorders>
            <w:hideMark/>
          </w:tcPr>
          <w:p w14:paraId="390CBFED" w14:textId="77777777" w:rsidR="00497CE3" w:rsidRDefault="00497CE3" w:rsidP="00497CE3">
            <w:pPr>
              <w:jc w:val="center"/>
              <w:rPr>
                <w:highlight w:val="yellow"/>
              </w:rPr>
            </w:pPr>
            <w:r>
              <w:t>9</w:t>
            </w:r>
          </w:p>
        </w:tc>
      </w:tr>
      <w:tr w:rsidR="00497CE3" w14:paraId="37BBB08D"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5D7615CA" w14:textId="77777777" w:rsidR="00497CE3" w:rsidRDefault="00497CE3" w:rsidP="00497CE3">
            <w:r>
              <w:t>Dental &amp; alveolar</w:t>
            </w:r>
          </w:p>
        </w:tc>
        <w:tc>
          <w:tcPr>
            <w:tcW w:w="1264" w:type="pct"/>
            <w:tcBorders>
              <w:top w:val="single" w:sz="4" w:space="0" w:color="auto"/>
              <w:left w:val="single" w:sz="4" w:space="0" w:color="auto"/>
              <w:bottom w:val="single" w:sz="4" w:space="0" w:color="auto"/>
              <w:right w:val="single" w:sz="4" w:space="0" w:color="auto"/>
            </w:tcBorders>
            <w:hideMark/>
          </w:tcPr>
          <w:p w14:paraId="162EDC3F" w14:textId="77777777" w:rsidR="00497CE3" w:rsidRDefault="00497CE3" w:rsidP="00497CE3">
            <w:pPr>
              <w:jc w:val="center"/>
            </w:pPr>
            <w:r>
              <w:t>17</w:t>
            </w:r>
          </w:p>
        </w:tc>
        <w:tc>
          <w:tcPr>
            <w:tcW w:w="935" w:type="pct"/>
            <w:tcBorders>
              <w:top w:val="single" w:sz="4" w:space="0" w:color="auto"/>
              <w:left w:val="single" w:sz="4" w:space="0" w:color="auto"/>
              <w:bottom w:val="single" w:sz="4" w:space="0" w:color="auto"/>
              <w:right w:val="single" w:sz="4" w:space="0" w:color="auto"/>
            </w:tcBorders>
            <w:hideMark/>
          </w:tcPr>
          <w:p w14:paraId="1EC42C03" w14:textId="77777777" w:rsidR="00497CE3" w:rsidRDefault="00497CE3" w:rsidP="00497CE3">
            <w:pPr>
              <w:jc w:val="center"/>
              <w:rPr>
                <w:color w:val="FF0000"/>
              </w:rPr>
            </w:pPr>
            <w:r>
              <w:t>20</w:t>
            </w:r>
          </w:p>
        </w:tc>
        <w:tc>
          <w:tcPr>
            <w:tcW w:w="1154" w:type="pct"/>
            <w:tcBorders>
              <w:top w:val="single" w:sz="4" w:space="0" w:color="auto"/>
              <w:left w:val="single" w:sz="4" w:space="0" w:color="auto"/>
              <w:bottom w:val="single" w:sz="4" w:space="0" w:color="auto"/>
              <w:right w:val="single" w:sz="4" w:space="0" w:color="auto"/>
            </w:tcBorders>
            <w:hideMark/>
          </w:tcPr>
          <w:p w14:paraId="66D941BC" w14:textId="77777777" w:rsidR="00497CE3" w:rsidRDefault="00497CE3" w:rsidP="00497CE3">
            <w:pPr>
              <w:jc w:val="center"/>
              <w:rPr>
                <w:highlight w:val="yellow"/>
              </w:rPr>
            </w:pPr>
            <w:r>
              <w:t>22</w:t>
            </w:r>
          </w:p>
        </w:tc>
      </w:tr>
      <w:tr w:rsidR="00497CE3" w14:paraId="262A78D0"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3670D03D" w14:textId="77777777" w:rsidR="00497CE3" w:rsidRDefault="00497CE3" w:rsidP="00497CE3">
            <w:r>
              <w:t>Vertebrae &amp; ribs</w:t>
            </w:r>
          </w:p>
        </w:tc>
        <w:tc>
          <w:tcPr>
            <w:tcW w:w="1264" w:type="pct"/>
            <w:tcBorders>
              <w:top w:val="single" w:sz="4" w:space="0" w:color="auto"/>
              <w:left w:val="single" w:sz="4" w:space="0" w:color="auto"/>
              <w:bottom w:val="single" w:sz="4" w:space="0" w:color="auto"/>
              <w:right w:val="single" w:sz="4" w:space="0" w:color="auto"/>
            </w:tcBorders>
            <w:hideMark/>
          </w:tcPr>
          <w:p w14:paraId="20F184C9" w14:textId="77777777" w:rsidR="00497CE3" w:rsidRDefault="00497CE3" w:rsidP="00497CE3">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6C7FD794" w14:textId="77777777" w:rsidR="00497CE3" w:rsidRDefault="00497CE3" w:rsidP="00497CE3">
            <w:pPr>
              <w:jc w:val="center"/>
              <w:rPr>
                <w:color w:val="FF0000"/>
              </w:rPr>
            </w:pPr>
            <w:r>
              <w:t>6</w:t>
            </w:r>
          </w:p>
        </w:tc>
        <w:tc>
          <w:tcPr>
            <w:tcW w:w="1154" w:type="pct"/>
            <w:tcBorders>
              <w:top w:val="single" w:sz="4" w:space="0" w:color="auto"/>
              <w:left w:val="single" w:sz="4" w:space="0" w:color="auto"/>
              <w:bottom w:val="single" w:sz="4" w:space="0" w:color="auto"/>
              <w:right w:val="single" w:sz="4" w:space="0" w:color="auto"/>
            </w:tcBorders>
            <w:hideMark/>
          </w:tcPr>
          <w:p w14:paraId="7F7E2A52" w14:textId="77777777" w:rsidR="00497CE3" w:rsidRDefault="00497CE3" w:rsidP="00497CE3">
            <w:pPr>
              <w:jc w:val="center"/>
              <w:rPr>
                <w:highlight w:val="yellow"/>
              </w:rPr>
            </w:pPr>
            <w:r>
              <w:t>5</w:t>
            </w:r>
          </w:p>
        </w:tc>
      </w:tr>
      <w:tr w:rsidR="00497CE3" w14:paraId="36900679"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46698221" w14:textId="77777777" w:rsidR="00497CE3" w:rsidRDefault="00497CE3" w:rsidP="00497CE3">
            <w:r>
              <w:t>Pectoral girdle &amp; forelimbs</w:t>
            </w:r>
          </w:p>
        </w:tc>
        <w:tc>
          <w:tcPr>
            <w:tcW w:w="1264" w:type="pct"/>
            <w:tcBorders>
              <w:top w:val="single" w:sz="4" w:space="0" w:color="auto"/>
              <w:left w:val="single" w:sz="4" w:space="0" w:color="auto"/>
              <w:bottom w:val="single" w:sz="4" w:space="0" w:color="auto"/>
              <w:right w:val="single" w:sz="4" w:space="0" w:color="auto"/>
            </w:tcBorders>
            <w:hideMark/>
          </w:tcPr>
          <w:p w14:paraId="58B1F92A" w14:textId="77777777" w:rsidR="00497CE3" w:rsidRDefault="00497CE3" w:rsidP="00497CE3">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3EB09D8B" w14:textId="77777777" w:rsidR="00497CE3" w:rsidRDefault="00497CE3" w:rsidP="00497CE3">
            <w:pPr>
              <w:jc w:val="center"/>
              <w:rPr>
                <w:color w:val="FF0000"/>
              </w:rPr>
            </w:pPr>
            <w:r>
              <w:t>11</w:t>
            </w:r>
          </w:p>
        </w:tc>
        <w:tc>
          <w:tcPr>
            <w:tcW w:w="1154" w:type="pct"/>
            <w:tcBorders>
              <w:top w:val="single" w:sz="4" w:space="0" w:color="auto"/>
              <w:left w:val="single" w:sz="4" w:space="0" w:color="auto"/>
              <w:bottom w:val="single" w:sz="4" w:space="0" w:color="auto"/>
              <w:right w:val="single" w:sz="4" w:space="0" w:color="auto"/>
            </w:tcBorders>
            <w:hideMark/>
          </w:tcPr>
          <w:p w14:paraId="1898BCCF" w14:textId="77777777" w:rsidR="00497CE3" w:rsidRDefault="00497CE3" w:rsidP="00497CE3">
            <w:pPr>
              <w:jc w:val="center"/>
              <w:rPr>
                <w:highlight w:val="yellow"/>
              </w:rPr>
            </w:pPr>
            <w:r>
              <w:t>2</w:t>
            </w:r>
          </w:p>
        </w:tc>
      </w:tr>
      <w:tr w:rsidR="00497CE3" w14:paraId="084B9AEC"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4E552F6A" w14:textId="77777777" w:rsidR="00497CE3" w:rsidRDefault="00497CE3" w:rsidP="00497CE3">
            <w:r>
              <w:t>Pelvic girdle &amp; hind limbs</w:t>
            </w:r>
          </w:p>
        </w:tc>
        <w:tc>
          <w:tcPr>
            <w:tcW w:w="1264" w:type="pct"/>
            <w:tcBorders>
              <w:top w:val="single" w:sz="4" w:space="0" w:color="auto"/>
              <w:left w:val="single" w:sz="4" w:space="0" w:color="auto"/>
              <w:bottom w:val="single" w:sz="4" w:space="0" w:color="auto"/>
              <w:right w:val="single" w:sz="4" w:space="0" w:color="auto"/>
            </w:tcBorders>
            <w:hideMark/>
          </w:tcPr>
          <w:p w14:paraId="3508DF15" w14:textId="77777777" w:rsidR="00497CE3" w:rsidRDefault="00497CE3" w:rsidP="00497CE3">
            <w:pPr>
              <w:jc w:val="center"/>
            </w:pPr>
            <w:r>
              <w:t>-</w:t>
            </w:r>
          </w:p>
        </w:tc>
        <w:tc>
          <w:tcPr>
            <w:tcW w:w="935" w:type="pct"/>
            <w:tcBorders>
              <w:top w:val="single" w:sz="4" w:space="0" w:color="auto"/>
              <w:left w:val="single" w:sz="4" w:space="0" w:color="auto"/>
              <w:bottom w:val="single" w:sz="4" w:space="0" w:color="auto"/>
              <w:right w:val="single" w:sz="4" w:space="0" w:color="auto"/>
            </w:tcBorders>
            <w:hideMark/>
          </w:tcPr>
          <w:p w14:paraId="3062FFD9" w14:textId="77777777" w:rsidR="00497CE3" w:rsidRDefault="00497CE3" w:rsidP="00497CE3">
            <w:pPr>
              <w:jc w:val="center"/>
              <w:rPr>
                <w:color w:val="FF0000"/>
              </w:rPr>
            </w:pPr>
            <w:r>
              <w:t>7</w:t>
            </w:r>
          </w:p>
        </w:tc>
        <w:tc>
          <w:tcPr>
            <w:tcW w:w="1154" w:type="pct"/>
            <w:tcBorders>
              <w:top w:val="single" w:sz="4" w:space="0" w:color="auto"/>
              <w:left w:val="single" w:sz="4" w:space="0" w:color="auto"/>
              <w:bottom w:val="single" w:sz="4" w:space="0" w:color="auto"/>
              <w:right w:val="single" w:sz="4" w:space="0" w:color="auto"/>
            </w:tcBorders>
            <w:hideMark/>
          </w:tcPr>
          <w:p w14:paraId="60FDEBCA" w14:textId="77777777" w:rsidR="00497CE3" w:rsidRDefault="00497CE3" w:rsidP="00497CE3">
            <w:pPr>
              <w:jc w:val="center"/>
              <w:rPr>
                <w:highlight w:val="yellow"/>
              </w:rPr>
            </w:pPr>
            <w:r>
              <w:t>1</w:t>
            </w:r>
          </w:p>
        </w:tc>
      </w:tr>
      <w:tr w:rsidR="00497CE3" w14:paraId="10ADC4F2"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578310D9" w14:textId="77777777" w:rsidR="00497CE3" w:rsidRDefault="00497CE3" w:rsidP="00497CE3">
            <w:r>
              <w:t>Osteoderms</w:t>
            </w:r>
          </w:p>
        </w:tc>
        <w:tc>
          <w:tcPr>
            <w:tcW w:w="1264" w:type="pct"/>
            <w:tcBorders>
              <w:top w:val="single" w:sz="4" w:space="0" w:color="auto"/>
              <w:left w:val="single" w:sz="4" w:space="0" w:color="auto"/>
              <w:bottom w:val="single" w:sz="4" w:space="0" w:color="auto"/>
              <w:right w:val="single" w:sz="4" w:space="0" w:color="auto"/>
            </w:tcBorders>
            <w:hideMark/>
          </w:tcPr>
          <w:p w14:paraId="5A2A28C0" w14:textId="77777777" w:rsidR="00497CE3" w:rsidRDefault="00497CE3" w:rsidP="00497CE3">
            <w:pPr>
              <w:jc w:val="center"/>
            </w:pPr>
            <w:r>
              <w:t>1</w:t>
            </w:r>
          </w:p>
        </w:tc>
        <w:tc>
          <w:tcPr>
            <w:tcW w:w="935" w:type="pct"/>
            <w:tcBorders>
              <w:top w:val="single" w:sz="4" w:space="0" w:color="auto"/>
              <w:left w:val="single" w:sz="4" w:space="0" w:color="auto"/>
              <w:bottom w:val="single" w:sz="4" w:space="0" w:color="auto"/>
              <w:right w:val="single" w:sz="4" w:space="0" w:color="auto"/>
            </w:tcBorders>
            <w:hideMark/>
          </w:tcPr>
          <w:p w14:paraId="1E6A3860" w14:textId="77777777" w:rsidR="00497CE3" w:rsidRDefault="00497CE3" w:rsidP="00497CE3">
            <w:pPr>
              <w:jc w:val="center"/>
              <w:rPr>
                <w:color w:val="FF0000"/>
              </w:rPr>
            </w:pPr>
            <w:r>
              <w:t>10</w:t>
            </w:r>
          </w:p>
        </w:tc>
        <w:tc>
          <w:tcPr>
            <w:tcW w:w="1154" w:type="pct"/>
            <w:tcBorders>
              <w:top w:val="single" w:sz="4" w:space="0" w:color="auto"/>
              <w:left w:val="single" w:sz="4" w:space="0" w:color="auto"/>
              <w:bottom w:val="single" w:sz="4" w:space="0" w:color="auto"/>
              <w:right w:val="single" w:sz="4" w:space="0" w:color="auto"/>
            </w:tcBorders>
            <w:hideMark/>
          </w:tcPr>
          <w:p w14:paraId="6C01808E" w14:textId="77777777" w:rsidR="00497CE3" w:rsidRDefault="00497CE3" w:rsidP="00497CE3">
            <w:pPr>
              <w:jc w:val="center"/>
              <w:rPr>
                <w:highlight w:val="yellow"/>
              </w:rPr>
            </w:pPr>
            <w:r>
              <w:t>8</w:t>
            </w:r>
          </w:p>
        </w:tc>
      </w:tr>
      <w:tr w:rsidR="00497CE3" w14:paraId="49B52BF0" w14:textId="77777777" w:rsidTr="00497CE3">
        <w:tc>
          <w:tcPr>
            <w:tcW w:w="1647" w:type="pct"/>
            <w:tcBorders>
              <w:top w:val="single" w:sz="4" w:space="0" w:color="auto"/>
              <w:left w:val="single" w:sz="4" w:space="0" w:color="auto"/>
              <w:bottom w:val="single" w:sz="4" w:space="0" w:color="auto"/>
              <w:right w:val="nil"/>
            </w:tcBorders>
            <w:shd w:val="clear" w:color="auto" w:fill="F2F2F2" w:themeFill="background1" w:themeFillShade="F2"/>
          </w:tcPr>
          <w:p w14:paraId="7569270B" w14:textId="77777777" w:rsidR="00497CE3" w:rsidRDefault="00497CE3" w:rsidP="00497CE3">
            <w:pPr>
              <w:rPr>
                <w:sz w:val="12"/>
                <w:szCs w:val="16"/>
                <w:highlight w:val="green"/>
              </w:rPr>
            </w:pPr>
          </w:p>
        </w:tc>
        <w:tc>
          <w:tcPr>
            <w:tcW w:w="1264" w:type="pct"/>
            <w:tcBorders>
              <w:top w:val="single" w:sz="4" w:space="0" w:color="auto"/>
              <w:left w:val="nil"/>
              <w:bottom w:val="single" w:sz="4" w:space="0" w:color="auto"/>
              <w:right w:val="nil"/>
            </w:tcBorders>
            <w:shd w:val="clear" w:color="auto" w:fill="F2F2F2" w:themeFill="background1" w:themeFillShade="F2"/>
          </w:tcPr>
          <w:p w14:paraId="5E0BB480" w14:textId="77777777" w:rsidR="00497CE3" w:rsidRDefault="00497CE3" w:rsidP="00497CE3">
            <w:pPr>
              <w:jc w:val="center"/>
              <w:rPr>
                <w:sz w:val="12"/>
                <w:szCs w:val="16"/>
                <w:highlight w:val="green"/>
              </w:rPr>
            </w:pPr>
          </w:p>
        </w:tc>
        <w:tc>
          <w:tcPr>
            <w:tcW w:w="935" w:type="pct"/>
            <w:tcBorders>
              <w:top w:val="single" w:sz="4" w:space="0" w:color="auto"/>
              <w:left w:val="single" w:sz="4" w:space="0" w:color="auto"/>
              <w:bottom w:val="single" w:sz="4" w:space="0" w:color="auto"/>
              <w:right w:val="nil"/>
            </w:tcBorders>
            <w:shd w:val="clear" w:color="auto" w:fill="F2F2F2" w:themeFill="background1" w:themeFillShade="F2"/>
          </w:tcPr>
          <w:p w14:paraId="021874BC" w14:textId="77777777" w:rsidR="00497CE3" w:rsidRDefault="00497CE3" w:rsidP="00497CE3">
            <w:pPr>
              <w:jc w:val="center"/>
              <w:rPr>
                <w:sz w:val="12"/>
                <w:szCs w:val="16"/>
                <w:highlight w:val="green"/>
              </w:rPr>
            </w:pPr>
          </w:p>
        </w:tc>
        <w:tc>
          <w:tcPr>
            <w:tcW w:w="1154" w:type="pct"/>
            <w:tcBorders>
              <w:top w:val="single" w:sz="4" w:space="0" w:color="auto"/>
              <w:left w:val="nil"/>
              <w:bottom w:val="single" w:sz="4" w:space="0" w:color="auto"/>
              <w:right w:val="single" w:sz="4" w:space="0" w:color="auto"/>
            </w:tcBorders>
            <w:shd w:val="clear" w:color="auto" w:fill="F2F2F2" w:themeFill="background1" w:themeFillShade="F2"/>
          </w:tcPr>
          <w:p w14:paraId="7F4308CA" w14:textId="77777777" w:rsidR="00497CE3" w:rsidRDefault="00497CE3" w:rsidP="00497CE3">
            <w:pPr>
              <w:jc w:val="center"/>
              <w:rPr>
                <w:sz w:val="12"/>
                <w:szCs w:val="16"/>
                <w:highlight w:val="green"/>
              </w:rPr>
            </w:pPr>
          </w:p>
        </w:tc>
      </w:tr>
      <w:tr w:rsidR="00497CE3" w14:paraId="73A0B714"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46637F03" w14:textId="77777777" w:rsidR="00497CE3" w:rsidRDefault="00497CE3" w:rsidP="00497CE3">
            <w:pPr>
              <w:rPr>
                <w:b/>
              </w:rPr>
            </w:pPr>
            <w:r>
              <w:rPr>
                <w:b/>
              </w:rPr>
              <w:t>Total character number</w:t>
            </w:r>
          </w:p>
        </w:tc>
        <w:tc>
          <w:tcPr>
            <w:tcW w:w="1264" w:type="pct"/>
            <w:tcBorders>
              <w:top w:val="single" w:sz="4" w:space="0" w:color="auto"/>
              <w:left w:val="single" w:sz="4" w:space="0" w:color="auto"/>
              <w:bottom w:val="single" w:sz="4" w:space="0" w:color="auto"/>
              <w:right w:val="single" w:sz="4" w:space="0" w:color="auto"/>
            </w:tcBorders>
            <w:hideMark/>
          </w:tcPr>
          <w:p w14:paraId="720C7459" w14:textId="77777777" w:rsidR="00497CE3" w:rsidRDefault="00497CE3" w:rsidP="00497CE3">
            <w:pPr>
              <w:jc w:val="center"/>
              <w:rPr>
                <w:b/>
              </w:rPr>
            </w:pPr>
            <w:r>
              <w:rPr>
                <w:b/>
              </w:rPr>
              <w:t>82</w:t>
            </w:r>
          </w:p>
        </w:tc>
        <w:tc>
          <w:tcPr>
            <w:tcW w:w="935" w:type="pct"/>
            <w:tcBorders>
              <w:top w:val="single" w:sz="4" w:space="0" w:color="auto"/>
              <w:left w:val="single" w:sz="4" w:space="0" w:color="auto"/>
              <w:bottom w:val="single" w:sz="4" w:space="0" w:color="auto"/>
              <w:right w:val="single" w:sz="4" w:space="0" w:color="auto"/>
            </w:tcBorders>
            <w:hideMark/>
          </w:tcPr>
          <w:p w14:paraId="62D86780" w14:textId="77777777" w:rsidR="00497CE3" w:rsidRDefault="00497CE3" w:rsidP="00497CE3">
            <w:pPr>
              <w:jc w:val="center"/>
              <w:rPr>
                <w:b/>
              </w:rPr>
            </w:pPr>
            <w:r>
              <w:rPr>
                <w:b/>
              </w:rPr>
              <w:t>234</w:t>
            </w:r>
          </w:p>
        </w:tc>
        <w:tc>
          <w:tcPr>
            <w:tcW w:w="1154" w:type="pct"/>
            <w:tcBorders>
              <w:top w:val="single" w:sz="4" w:space="0" w:color="auto"/>
              <w:left w:val="single" w:sz="4" w:space="0" w:color="auto"/>
              <w:bottom w:val="single" w:sz="4" w:space="0" w:color="auto"/>
              <w:right w:val="single" w:sz="4" w:space="0" w:color="auto"/>
            </w:tcBorders>
            <w:hideMark/>
          </w:tcPr>
          <w:p w14:paraId="23078C5E" w14:textId="77777777" w:rsidR="00497CE3" w:rsidRDefault="00497CE3" w:rsidP="00497CE3">
            <w:pPr>
              <w:jc w:val="center"/>
              <w:rPr>
                <w:b/>
                <w:highlight w:val="yellow"/>
              </w:rPr>
            </w:pPr>
            <w:r>
              <w:rPr>
                <w:b/>
              </w:rPr>
              <w:t>120</w:t>
            </w:r>
          </w:p>
        </w:tc>
      </w:tr>
      <w:tr w:rsidR="00497CE3" w14:paraId="6C1C696C" w14:textId="77777777" w:rsidTr="00497CE3">
        <w:tc>
          <w:tcPr>
            <w:tcW w:w="1647" w:type="pct"/>
            <w:tcBorders>
              <w:top w:val="single" w:sz="4" w:space="0" w:color="auto"/>
              <w:left w:val="single" w:sz="4" w:space="0" w:color="auto"/>
              <w:bottom w:val="single" w:sz="4" w:space="0" w:color="auto"/>
              <w:right w:val="nil"/>
            </w:tcBorders>
            <w:shd w:val="clear" w:color="auto" w:fill="F2F2F2" w:themeFill="background1" w:themeFillShade="F2"/>
          </w:tcPr>
          <w:p w14:paraId="779C7EA9" w14:textId="77777777" w:rsidR="00497CE3" w:rsidRDefault="00497CE3" w:rsidP="00497CE3">
            <w:pPr>
              <w:rPr>
                <w:b/>
                <w:sz w:val="12"/>
                <w:szCs w:val="16"/>
              </w:rPr>
            </w:pPr>
          </w:p>
        </w:tc>
        <w:tc>
          <w:tcPr>
            <w:tcW w:w="1264" w:type="pct"/>
            <w:tcBorders>
              <w:top w:val="single" w:sz="4" w:space="0" w:color="auto"/>
              <w:left w:val="nil"/>
              <w:bottom w:val="single" w:sz="4" w:space="0" w:color="auto"/>
              <w:right w:val="nil"/>
            </w:tcBorders>
            <w:shd w:val="clear" w:color="auto" w:fill="F2F2F2" w:themeFill="background1" w:themeFillShade="F2"/>
          </w:tcPr>
          <w:p w14:paraId="49B41819" w14:textId="77777777" w:rsidR="00497CE3" w:rsidRDefault="00497CE3" w:rsidP="00497CE3">
            <w:pPr>
              <w:jc w:val="center"/>
              <w:rPr>
                <w:b/>
                <w:sz w:val="12"/>
                <w:szCs w:val="16"/>
              </w:rPr>
            </w:pPr>
          </w:p>
        </w:tc>
        <w:tc>
          <w:tcPr>
            <w:tcW w:w="935" w:type="pct"/>
            <w:tcBorders>
              <w:top w:val="single" w:sz="4" w:space="0" w:color="auto"/>
              <w:left w:val="nil"/>
              <w:bottom w:val="single" w:sz="4" w:space="0" w:color="auto"/>
              <w:right w:val="nil"/>
            </w:tcBorders>
            <w:shd w:val="clear" w:color="auto" w:fill="F2F2F2" w:themeFill="background1" w:themeFillShade="F2"/>
          </w:tcPr>
          <w:p w14:paraId="1D0D56EB" w14:textId="77777777" w:rsidR="00497CE3" w:rsidRDefault="00497CE3" w:rsidP="00497CE3">
            <w:pPr>
              <w:jc w:val="center"/>
              <w:rPr>
                <w:b/>
                <w:sz w:val="12"/>
                <w:szCs w:val="16"/>
              </w:rPr>
            </w:pPr>
          </w:p>
        </w:tc>
        <w:tc>
          <w:tcPr>
            <w:tcW w:w="1154" w:type="pct"/>
            <w:tcBorders>
              <w:top w:val="single" w:sz="4" w:space="0" w:color="auto"/>
              <w:left w:val="nil"/>
              <w:bottom w:val="single" w:sz="4" w:space="0" w:color="auto"/>
              <w:right w:val="single" w:sz="4" w:space="0" w:color="auto"/>
            </w:tcBorders>
            <w:shd w:val="clear" w:color="auto" w:fill="F2F2F2" w:themeFill="background1" w:themeFillShade="F2"/>
          </w:tcPr>
          <w:p w14:paraId="23CC3510" w14:textId="77777777" w:rsidR="00497CE3" w:rsidRDefault="00497CE3" w:rsidP="00497CE3">
            <w:pPr>
              <w:jc w:val="center"/>
              <w:rPr>
                <w:b/>
                <w:sz w:val="12"/>
                <w:szCs w:val="16"/>
                <w:highlight w:val="yellow"/>
              </w:rPr>
            </w:pPr>
          </w:p>
        </w:tc>
      </w:tr>
      <w:tr w:rsidR="00497CE3" w14:paraId="0EEC6E5C"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1905406F" w14:textId="77777777" w:rsidR="00497CE3" w:rsidRDefault="00497CE3" w:rsidP="00497CE3">
            <w:pPr>
              <w:rPr>
                <w:b/>
                <w:i/>
              </w:rPr>
            </w:pPr>
            <w:r>
              <w:rPr>
                <w:b/>
                <w:i/>
              </w:rPr>
              <w:t>Total dental+craniomandibular</w:t>
            </w:r>
          </w:p>
        </w:tc>
        <w:tc>
          <w:tcPr>
            <w:tcW w:w="1264" w:type="pct"/>
            <w:tcBorders>
              <w:top w:val="single" w:sz="4" w:space="0" w:color="auto"/>
              <w:left w:val="single" w:sz="4" w:space="0" w:color="auto"/>
              <w:bottom w:val="single" w:sz="4" w:space="0" w:color="auto"/>
              <w:right w:val="single" w:sz="4" w:space="0" w:color="auto"/>
            </w:tcBorders>
            <w:hideMark/>
          </w:tcPr>
          <w:p w14:paraId="7985A0E3" w14:textId="77777777" w:rsidR="00497CE3" w:rsidRDefault="00497CE3" w:rsidP="00497CE3">
            <w:pPr>
              <w:jc w:val="center"/>
              <w:rPr>
                <w:b/>
              </w:rPr>
            </w:pPr>
            <w:r>
              <w:rPr>
                <w:b/>
              </w:rPr>
              <w:t>81</w:t>
            </w:r>
          </w:p>
        </w:tc>
        <w:tc>
          <w:tcPr>
            <w:tcW w:w="935" w:type="pct"/>
            <w:tcBorders>
              <w:top w:val="single" w:sz="4" w:space="0" w:color="auto"/>
              <w:left w:val="single" w:sz="4" w:space="0" w:color="auto"/>
              <w:bottom w:val="single" w:sz="4" w:space="0" w:color="auto"/>
              <w:right w:val="single" w:sz="4" w:space="0" w:color="auto"/>
            </w:tcBorders>
            <w:hideMark/>
          </w:tcPr>
          <w:p w14:paraId="167A1802" w14:textId="77777777" w:rsidR="00497CE3" w:rsidRDefault="00497CE3" w:rsidP="00497CE3">
            <w:pPr>
              <w:jc w:val="center"/>
              <w:rPr>
                <w:b/>
              </w:rPr>
            </w:pPr>
            <w:r>
              <w:rPr>
                <w:b/>
              </w:rPr>
              <w:t>200</w:t>
            </w:r>
          </w:p>
        </w:tc>
        <w:tc>
          <w:tcPr>
            <w:tcW w:w="1154" w:type="pct"/>
            <w:tcBorders>
              <w:top w:val="single" w:sz="4" w:space="0" w:color="auto"/>
              <w:left w:val="single" w:sz="4" w:space="0" w:color="auto"/>
              <w:bottom w:val="single" w:sz="4" w:space="0" w:color="auto"/>
              <w:right w:val="single" w:sz="4" w:space="0" w:color="auto"/>
            </w:tcBorders>
            <w:hideMark/>
          </w:tcPr>
          <w:p w14:paraId="64F7BBCC" w14:textId="77777777" w:rsidR="00497CE3" w:rsidRDefault="00497CE3" w:rsidP="00497CE3">
            <w:pPr>
              <w:jc w:val="center"/>
              <w:rPr>
                <w:b/>
                <w:highlight w:val="yellow"/>
              </w:rPr>
            </w:pPr>
            <w:r>
              <w:rPr>
                <w:b/>
              </w:rPr>
              <w:t>104</w:t>
            </w:r>
          </w:p>
        </w:tc>
      </w:tr>
      <w:tr w:rsidR="00497CE3" w14:paraId="04964CE4"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1F526C75" w14:textId="77777777" w:rsidR="00497CE3" w:rsidRDefault="00497CE3" w:rsidP="00497CE3">
            <w:pPr>
              <w:rPr>
                <w:b/>
                <w:i/>
              </w:rPr>
            </w:pPr>
            <w:r>
              <w:rPr>
                <w:b/>
                <w:i/>
              </w:rPr>
              <w:t>Total post-cranial</w:t>
            </w:r>
          </w:p>
        </w:tc>
        <w:tc>
          <w:tcPr>
            <w:tcW w:w="1264" w:type="pct"/>
            <w:tcBorders>
              <w:top w:val="single" w:sz="4" w:space="0" w:color="auto"/>
              <w:left w:val="single" w:sz="4" w:space="0" w:color="auto"/>
              <w:bottom w:val="single" w:sz="4" w:space="0" w:color="auto"/>
              <w:right w:val="single" w:sz="4" w:space="0" w:color="auto"/>
            </w:tcBorders>
            <w:hideMark/>
          </w:tcPr>
          <w:p w14:paraId="38177E59" w14:textId="77777777" w:rsidR="00497CE3" w:rsidRDefault="00497CE3" w:rsidP="00497CE3">
            <w:pPr>
              <w:jc w:val="center"/>
              <w:rPr>
                <w:b/>
              </w:rPr>
            </w:pPr>
            <w:r>
              <w:rPr>
                <w:b/>
              </w:rPr>
              <w:t>1</w:t>
            </w:r>
          </w:p>
        </w:tc>
        <w:tc>
          <w:tcPr>
            <w:tcW w:w="935" w:type="pct"/>
            <w:tcBorders>
              <w:top w:val="single" w:sz="4" w:space="0" w:color="auto"/>
              <w:left w:val="single" w:sz="4" w:space="0" w:color="auto"/>
              <w:bottom w:val="single" w:sz="4" w:space="0" w:color="auto"/>
              <w:right w:val="single" w:sz="4" w:space="0" w:color="auto"/>
            </w:tcBorders>
            <w:hideMark/>
          </w:tcPr>
          <w:p w14:paraId="7856FEDC" w14:textId="77777777" w:rsidR="00497CE3" w:rsidRDefault="00497CE3" w:rsidP="00497CE3">
            <w:pPr>
              <w:jc w:val="center"/>
              <w:rPr>
                <w:b/>
              </w:rPr>
            </w:pPr>
            <w:r>
              <w:rPr>
                <w:b/>
              </w:rPr>
              <w:t>34</w:t>
            </w:r>
          </w:p>
        </w:tc>
        <w:tc>
          <w:tcPr>
            <w:tcW w:w="1154" w:type="pct"/>
            <w:tcBorders>
              <w:top w:val="single" w:sz="4" w:space="0" w:color="auto"/>
              <w:left w:val="single" w:sz="4" w:space="0" w:color="auto"/>
              <w:bottom w:val="single" w:sz="4" w:space="0" w:color="auto"/>
              <w:right w:val="single" w:sz="4" w:space="0" w:color="auto"/>
            </w:tcBorders>
            <w:hideMark/>
          </w:tcPr>
          <w:p w14:paraId="3C7C38A8" w14:textId="77777777" w:rsidR="00497CE3" w:rsidRDefault="00497CE3" w:rsidP="00497CE3">
            <w:pPr>
              <w:jc w:val="center"/>
              <w:rPr>
                <w:b/>
                <w:highlight w:val="yellow"/>
              </w:rPr>
            </w:pPr>
            <w:r>
              <w:rPr>
                <w:b/>
              </w:rPr>
              <w:t>16</w:t>
            </w:r>
          </w:p>
        </w:tc>
      </w:tr>
      <w:tr w:rsidR="00497CE3" w14:paraId="44F0D3FC" w14:textId="77777777" w:rsidTr="00497CE3">
        <w:tc>
          <w:tcPr>
            <w:tcW w:w="1647" w:type="pct"/>
            <w:tcBorders>
              <w:top w:val="single" w:sz="4" w:space="0" w:color="auto"/>
              <w:left w:val="single" w:sz="4" w:space="0" w:color="auto"/>
              <w:bottom w:val="single" w:sz="4" w:space="0" w:color="auto"/>
              <w:right w:val="nil"/>
            </w:tcBorders>
            <w:shd w:val="clear" w:color="auto" w:fill="F2F2F2" w:themeFill="background1" w:themeFillShade="F2"/>
          </w:tcPr>
          <w:p w14:paraId="151081BA" w14:textId="77777777" w:rsidR="00497CE3" w:rsidRDefault="00497CE3" w:rsidP="00497CE3">
            <w:pPr>
              <w:rPr>
                <w:b/>
                <w:sz w:val="12"/>
                <w:szCs w:val="16"/>
              </w:rPr>
            </w:pPr>
          </w:p>
        </w:tc>
        <w:tc>
          <w:tcPr>
            <w:tcW w:w="1264" w:type="pct"/>
            <w:tcBorders>
              <w:top w:val="single" w:sz="4" w:space="0" w:color="auto"/>
              <w:left w:val="nil"/>
              <w:bottom w:val="single" w:sz="4" w:space="0" w:color="auto"/>
              <w:right w:val="nil"/>
            </w:tcBorders>
            <w:shd w:val="clear" w:color="auto" w:fill="F2F2F2" w:themeFill="background1" w:themeFillShade="F2"/>
          </w:tcPr>
          <w:p w14:paraId="354D6735" w14:textId="77777777" w:rsidR="00497CE3" w:rsidRDefault="00497CE3" w:rsidP="00497CE3">
            <w:pPr>
              <w:jc w:val="center"/>
              <w:rPr>
                <w:b/>
                <w:sz w:val="12"/>
                <w:szCs w:val="16"/>
              </w:rPr>
            </w:pPr>
          </w:p>
        </w:tc>
        <w:tc>
          <w:tcPr>
            <w:tcW w:w="935" w:type="pct"/>
            <w:tcBorders>
              <w:top w:val="single" w:sz="4" w:space="0" w:color="auto"/>
              <w:left w:val="nil"/>
              <w:bottom w:val="single" w:sz="4" w:space="0" w:color="auto"/>
              <w:right w:val="nil"/>
            </w:tcBorders>
            <w:shd w:val="clear" w:color="auto" w:fill="F2F2F2" w:themeFill="background1" w:themeFillShade="F2"/>
          </w:tcPr>
          <w:p w14:paraId="757D1D4A" w14:textId="77777777" w:rsidR="00497CE3" w:rsidRDefault="00497CE3" w:rsidP="00497CE3">
            <w:pPr>
              <w:jc w:val="center"/>
              <w:rPr>
                <w:b/>
                <w:sz w:val="12"/>
                <w:szCs w:val="16"/>
              </w:rPr>
            </w:pPr>
          </w:p>
        </w:tc>
        <w:tc>
          <w:tcPr>
            <w:tcW w:w="1154" w:type="pct"/>
            <w:tcBorders>
              <w:top w:val="single" w:sz="4" w:space="0" w:color="auto"/>
              <w:left w:val="nil"/>
              <w:bottom w:val="single" w:sz="4" w:space="0" w:color="auto"/>
              <w:right w:val="single" w:sz="4" w:space="0" w:color="auto"/>
            </w:tcBorders>
            <w:shd w:val="clear" w:color="auto" w:fill="F2F2F2" w:themeFill="background1" w:themeFillShade="F2"/>
          </w:tcPr>
          <w:p w14:paraId="5BD99332" w14:textId="77777777" w:rsidR="00497CE3" w:rsidRDefault="00497CE3" w:rsidP="00497CE3">
            <w:pPr>
              <w:jc w:val="center"/>
              <w:rPr>
                <w:b/>
                <w:sz w:val="12"/>
                <w:szCs w:val="16"/>
                <w:highlight w:val="yellow"/>
              </w:rPr>
            </w:pPr>
          </w:p>
        </w:tc>
      </w:tr>
      <w:tr w:rsidR="00497CE3" w14:paraId="4008B2BC"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660136D2" w14:textId="77777777" w:rsidR="00497CE3" w:rsidRDefault="00497CE3" w:rsidP="00497CE3">
            <w:pPr>
              <w:rPr>
                <w:b/>
                <w:i/>
              </w:rPr>
            </w:pPr>
            <w:r>
              <w:rPr>
                <w:b/>
                <w:i/>
              </w:rPr>
              <w:t>Dental+craniomandibular osteology %</w:t>
            </w:r>
          </w:p>
        </w:tc>
        <w:tc>
          <w:tcPr>
            <w:tcW w:w="1264" w:type="pct"/>
            <w:tcBorders>
              <w:top w:val="single" w:sz="4" w:space="0" w:color="auto"/>
              <w:left w:val="single" w:sz="4" w:space="0" w:color="auto"/>
              <w:bottom w:val="single" w:sz="4" w:space="0" w:color="auto"/>
              <w:right w:val="single" w:sz="4" w:space="0" w:color="auto"/>
            </w:tcBorders>
            <w:hideMark/>
          </w:tcPr>
          <w:p w14:paraId="57A1130B" w14:textId="77777777" w:rsidR="00497CE3" w:rsidRDefault="00497CE3" w:rsidP="00497CE3">
            <w:pPr>
              <w:jc w:val="center"/>
              <w:rPr>
                <w:b/>
                <w:i/>
              </w:rPr>
            </w:pPr>
            <w:r>
              <w:rPr>
                <w:b/>
                <w:i/>
              </w:rPr>
              <w:t>98.8</w:t>
            </w:r>
          </w:p>
        </w:tc>
        <w:tc>
          <w:tcPr>
            <w:tcW w:w="935" w:type="pct"/>
            <w:tcBorders>
              <w:top w:val="single" w:sz="4" w:space="0" w:color="auto"/>
              <w:left w:val="single" w:sz="4" w:space="0" w:color="auto"/>
              <w:bottom w:val="single" w:sz="4" w:space="0" w:color="auto"/>
              <w:right w:val="single" w:sz="4" w:space="0" w:color="auto"/>
            </w:tcBorders>
            <w:hideMark/>
          </w:tcPr>
          <w:p w14:paraId="59647765" w14:textId="77777777" w:rsidR="00497CE3" w:rsidRDefault="00497CE3" w:rsidP="00497CE3">
            <w:pPr>
              <w:jc w:val="center"/>
              <w:rPr>
                <w:b/>
                <w:i/>
              </w:rPr>
            </w:pPr>
            <w:r>
              <w:rPr>
                <w:b/>
                <w:i/>
              </w:rPr>
              <w:t>85.47</w:t>
            </w:r>
          </w:p>
        </w:tc>
        <w:tc>
          <w:tcPr>
            <w:tcW w:w="1154" w:type="pct"/>
            <w:tcBorders>
              <w:top w:val="single" w:sz="4" w:space="0" w:color="auto"/>
              <w:left w:val="single" w:sz="4" w:space="0" w:color="auto"/>
              <w:bottom w:val="single" w:sz="4" w:space="0" w:color="auto"/>
              <w:right w:val="single" w:sz="4" w:space="0" w:color="auto"/>
            </w:tcBorders>
            <w:hideMark/>
          </w:tcPr>
          <w:p w14:paraId="7E4534D4" w14:textId="77777777" w:rsidR="00497CE3" w:rsidRDefault="00497CE3" w:rsidP="00497CE3">
            <w:pPr>
              <w:jc w:val="center"/>
              <w:rPr>
                <w:b/>
                <w:i/>
                <w:highlight w:val="yellow"/>
              </w:rPr>
            </w:pPr>
            <w:r>
              <w:rPr>
                <w:b/>
                <w:i/>
              </w:rPr>
              <w:t>86.667</w:t>
            </w:r>
          </w:p>
        </w:tc>
      </w:tr>
      <w:tr w:rsidR="00497CE3" w14:paraId="35B29DB5" w14:textId="77777777" w:rsidTr="00497CE3">
        <w:tc>
          <w:tcPr>
            <w:tcW w:w="1647" w:type="pct"/>
            <w:tcBorders>
              <w:top w:val="single" w:sz="4" w:space="0" w:color="auto"/>
              <w:left w:val="single" w:sz="4" w:space="0" w:color="auto"/>
              <w:bottom w:val="single" w:sz="4" w:space="0" w:color="auto"/>
              <w:right w:val="single" w:sz="4" w:space="0" w:color="auto"/>
            </w:tcBorders>
            <w:hideMark/>
          </w:tcPr>
          <w:p w14:paraId="28BDAABE" w14:textId="77777777" w:rsidR="00497CE3" w:rsidRDefault="00497CE3" w:rsidP="00497CE3">
            <w:pPr>
              <w:rPr>
                <w:b/>
                <w:i/>
              </w:rPr>
            </w:pPr>
            <w:r>
              <w:rPr>
                <w:b/>
                <w:i/>
              </w:rPr>
              <w:t>Post-cranial osteology%</w:t>
            </w:r>
          </w:p>
        </w:tc>
        <w:tc>
          <w:tcPr>
            <w:tcW w:w="1264" w:type="pct"/>
            <w:tcBorders>
              <w:top w:val="single" w:sz="4" w:space="0" w:color="auto"/>
              <w:left w:val="single" w:sz="4" w:space="0" w:color="auto"/>
              <w:bottom w:val="single" w:sz="4" w:space="0" w:color="auto"/>
              <w:right w:val="single" w:sz="4" w:space="0" w:color="auto"/>
            </w:tcBorders>
            <w:hideMark/>
          </w:tcPr>
          <w:p w14:paraId="0F4C09B4" w14:textId="77777777" w:rsidR="00497CE3" w:rsidRDefault="00497CE3" w:rsidP="00497CE3">
            <w:pPr>
              <w:jc w:val="center"/>
              <w:rPr>
                <w:b/>
                <w:i/>
              </w:rPr>
            </w:pPr>
            <w:r>
              <w:rPr>
                <w:b/>
                <w:i/>
              </w:rPr>
              <w:t>1.2</w:t>
            </w:r>
          </w:p>
        </w:tc>
        <w:tc>
          <w:tcPr>
            <w:tcW w:w="935" w:type="pct"/>
            <w:tcBorders>
              <w:top w:val="single" w:sz="4" w:space="0" w:color="auto"/>
              <w:left w:val="single" w:sz="4" w:space="0" w:color="auto"/>
              <w:bottom w:val="single" w:sz="4" w:space="0" w:color="auto"/>
              <w:right w:val="single" w:sz="4" w:space="0" w:color="auto"/>
            </w:tcBorders>
            <w:hideMark/>
          </w:tcPr>
          <w:p w14:paraId="731CE739" w14:textId="77777777" w:rsidR="00497CE3" w:rsidRDefault="00497CE3" w:rsidP="00497CE3">
            <w:pPr>
              <w:jc w:val="center"/>
              <w:rPr>
                <w:b/>
                <w:i/>
              </w:rPr>
            </w:pPr>
            <w:r>
              <w:rPr>
                <w:b/>
                <w:i/>
              </w:rPr>
              <w:t>14.53</w:t>
            </w:r>
          </w:p>
        </w:tc>
        <w:tc>
          <w:tcPr>
            <w:tcW w:w="1154" w:type="pct"/>
            <w:tcBorders>
              <w:top w:val="single" w:sz="4" w:space="0" w:color="auto"/>
              <w:left w:val="single" w:sz="4" w:space="0" w:color="auto"/>
              <w:bottom w:val="single" w:sz="4" w:space="0" w:color="auto"/>
              <w:right w:val="single" w:sz="4" w:space="0" w:color="auto"/>
            </w:tcBorders>
            <w:hideMark/>
          </w:tcPr>
          <w:p w14:paraId="36DF75AF" w14:textId="77777777" w:rsidR="00497CE3" w:rsidRDefault="00497CE3" w:rsidP="00497CE3">
            <w:pPr>
              <w:jc w:val="center"/>
              <w:rPr>
                <w:b/>
                <w:i/>
                <w:highlight w:val="yellow"/>
              </w:rPr>
            </w:pPr>
            <w:r>
              <w:rPr>
                <w:b/>
                <w:i/>
              </w:rPr>
              <w:t>13.333</w:t>
            </w:r>
          </w:p>
        </w:tc>
      </w:tr>
    </w:tbl>
    <w:p w14:paraId="2058E825" w14:textId="77777777" w:rsidR="00497CE3" w:rsidRDefault="00497CE3" w:rsidP="00497CE3">
      <w:pPr>
        <w:rPr>
          <w:lang w:eastAsia="en-US"/>
        </w:rPr>
      </w:pPr>
      <w:r>
        <w:br w:type="page"/>
      </w:r>
    </w:p>
    <w:p w14:paraId="0DCEA08C" w14:textId="77777777" w:rsidR="00497CE3" w:rsidRDefault="00497CE3" w:rsidP="00497CE3">
      <w:pPr>
        <w:rPr>
          <w:sz w:val="2"/>
        </w:rPr>
      </w:pPr>
    </w:p>
    <w:p w14:paraId="4AF1CAD0" w14:textId="2A17CE96" w:rsidR="00497CE3" w:rsidRDefault="00497CE3" w:rsidP="00497CE3">
      <w:r>
        <w:rPr>
          <w:b/>
          <w:i/>
        </w:rPr>
        <w:t>Table (S3.2)</w:t>
      </w:r>
      <w:r>
        <w:t xml:space="preserve">. Character break-down from the major different iterations of the Young dataset, ultimately merged into the Hastings and Young (H+Y) matrix. Young </w:t>
      </w:r>
      <w:r>
        <w:rPr>
          <w:i/>
        </w:rPr>
        <w:t>et al</w:t>
      </w:r>
      <w:r>
        <w:t xml:space="preserve">. (2016) utilised two datasets: 1) first iteration of a merged dataset, an updated version of the matrix of Hastings </w:t>
      </w:r>
      <w:r>
        <w:rPr>
          <w:i/>
        </w:rPr>
        <w:t>et al</w:t>
      </w:r>
      <w:r>
        <w:t xml:space="preserve">. (2015) with characters used by Young; and 2) an updated version of Young (2014) matrix. </w:t>
      </w:r>
      <w:r>
        <w:rPr>
          <w:b/>
        </w:rPr>
        <w:t>*</w:t>
      </w:r>
      <w:r>
        <w:t xml:space="preserve"> note, the analysis for Young </w:t>
      </w:r>
      <w:r>
        <w:rPr>
          <w:i/>
        </w:rPr>
        <w:t>et al</w:t>
      </w:r>
      <w:r>
        <w:t xml:space="preserve">. (2013a) is actually a precursor to the Young </w:t>
      </w:r>
      <w:r>
        <w:rPr>
          <w:i/>
        </w:rPr>
        <w:t>et al</w:t>
      </w:r>
      <w:r>
        <w:t>. (2012) paper, which ended up being published first.</w:t>
      </w:r>
    </w:p>
    <w:tbl>
      <w:tblPr>
        <w:tblStyle w:val="TableGrid"/>
        <w:tblW w:w="5000" w:type="pct"/>
        <w:tblInd w:w="0" w:type="dxa"/>
        <w:tblLook w:val="04A0" w:firstRow="1" w:lastRow="0" w:firstColumn="1" w:lastColumn="0" w:noHBand="0" w:noVBand="1"/>
      </w:tblPr>
      <w:tblGrid>
        <w:gridCol w:w="3822"/>
        <w:gridCol w:w="851"/>
        <w:gridCol w:w="1275"/>
        <w:gridCol w:w="1559"/>
        <w:gridCol w:w="1135"/>
        <w:gridCol w:w="1417"/>
        <w:gridCol w:w="1205"/>
        <w:gridCol w:w="1342"/>
        <w:gridCol w:w="1342"/>
      </w:tblGrid>
      <w:tr w:rsidR="00497CE3" w14:paraId="2A254ED0"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38FE70FE" w14:textId="77777777" w:rsidR="00497CE3" w:rsidRDefault="00497CE3" w:rsidP="00497CE3">
            <w:pPr>
              <w:rPr>
                <w:sz w:val="22"/>
              </w:rPr>
            </w:pPr>
            <w:r>
              <w:rPr>
                <w:sz w:val="22"/>
              </w:rPr>
              <w:t>Type of characters</w:t>
            </w:r>
          </w:p>
        </w:tc>
        <w:tc>
          <w:tcPr>
            <w:tcW w:w="305" w:type="pct"/>
            <w:tcBorders>
              <w:top w:val="single" w:sz="4" w:space="0" w:color="auto"/>
              <w:left w:val="single" w:sz="4" w:space="0" w:color="auto"/>
              <w:bottom w:val="single" w:sz="4" w:space="0" w:color="auto"/>
              <w:right w:val="single" w:sz="4" w:space="0" w:color="auto"/>
            </w:tcBorders>
            <w:hideMark/>
          </w:tcPr>
          <w:p w14:paraId="14419B8A" w14:textId="77777777" w:rsidR="00497CE3" w:rsidRDefault="00497CE3" w:rsidP="00497CE3">
            <w:pPr>
              <w:jc w:val="center"/>
              <w:rPr>
                <w:sz w:val="22"/>
              </w:rPr>
            </w:pPr>
            <w:r>
              <w:rPr>
                <w:sz w:val="22"/>
              </w:rPr>
              <w:t>Young</w:t>
            </w:r>
          </w:p>
          <w:p w14:paraId="33F8B9C0" w14:textId="77777777" w:rsidR="00497CE3" w:rsidRDefault="00497CE3" w:rsidP="00497CE3">
            <w:pPr>
              <w:jc w:val="center"/>
              <w:rPr>
                <w:sz w:val="22"/>
              </w:rPr>
            </w:pPr>
            <w:r>
              <w:rPr>
                <w:sz w:val="22"/>
              </w:rPr>
              <w:t>(2006)</w:t>
            </w:r>
          </w:p>
        </w:tc>
        <w:tc>
          <w:tcPr>
            <w:tcW w:w="457" w:type="pct"/>
            <w:tcBorders>
              <w:top w:val="single" w:sz="4" w:space="0" w:color="auto"/>
              <w:left w:val="single" w:sz="4" w:space="0" w:color="auto"/>
              <w:bottom w:val="single" w:sz="4" w:space="0" w:color="auto"/>
              <w:right w:val="single" w:sz="4" w:space="0" w:color="auto"/>
            </w:tcBorders>
            <w:hideMark/>
          </w:tcPr>
          <w:p w14:paraId="67FAD290" w14:textId="77777777" w:rsidR="00497CE3" w:rsidRDefault="00497CE3" w:rsidP="00497CE3">
            <w:pPr>
              <w:jc w:val="center"/>
              <w:rPr>
                <w:sz w:val="22"/>
              </w:rPr>
            </w:pPr>
            <w:r>
              <w:rPr>
                <w:sz w:val="22"/>
              </w:rPr>
              <w:t>Wilkinson</w:t>
            </w:r>
          </w:p>
          <w:p w14:paraId="1C6CDA06" w14:textId="77777777" w:rsidR="00497CE3" w:rsidRDefault="00497CE3" w:rsidP="00497CE3">
            <w:pPr>
              <w:jc w:val="center"/>
              <w:rPr>
                <w:sz w:val="22"/>
              </w:rPr>
            </w:pPr>
            <w:r>
              <w:rPr>
                <w:i/>
                <w:sz w:val="22"/>
              </w:rPr>
              <w:t>et al</w:t>
            </w:r>
            <w:r>
              <w:rPr>
                <w:sz w:val="22"/>
              </w:rPr>
              <w:t>. (2008)</w:t>
            </w:r>
          </w:p>
        </w:tc>
        <w:tc>
          <w:tcPr>
            <w:tcW w:w="559" w:type="pct"/>
            <w:tcBorders>
              <w:top w:val="single" w:sz="4" w:space="0" w:color="auto"/>
              <w:left w:val="single" w:sz="4" w:space="0" w:color="auto"/>
              <w:bottom w:val="single" w:sz="4" w:space="0" w:color="auto"/>
              <w:right w:val="single" w:sz="4" w:space="0" w:color="auto"/>
            </w:tcBorders>
            <w:hideMark/>
          </w:tcPr>
          <w:p w14:paraId="16F4C763" w14:textId="77777777" w:rsidR="00497CE3" w:rsidRDefault="00497CE3" w:rsidP="00497CE3">
            <w:pPr>
              <w:jc w:val="center"/>
              <w:rPr>
                <w:sz w:val="22"/>
              </w:rPr>
            </w:pPr>
            <w:r>
              <w:rPr>
                <w:sz w:val="22"/>
              </w:rPr>
              <w:t>Young (2009) / Young &amp;</w:t>
            </w:r>
          </w:p>
          <w:p w14:paraId="4791E513" w14:textId="77777777" w:rsidR="00497CE3" w:rsidRDefault="00497CE3" w:rsidP="00497CE3">
            <w:pPr>
              <w:jc w:val="center"/>
              <w:rPr>
                <w:sz w:val="22"/>
              </w:rPr>
            </w:pPr>
            <w:r>
              <w:rPr>
                <w:sz w:val="22"/>
              </w:rPr>
              <w:t>Andrade (2009)</w:t>
            </w:r>
          </w:p>
        </w:tc>
        <w:tc>
          <w:tcPr>
            <w:tcW w:w="407" w:type="pct"/>
            <w:tcBorders>
              <w:top w:val="single" w:sz="4" w:space="0" w:color="auto"/>
              <w:left w:val="single" w:sz="4" w:space="0" w:color="auto"/>
              <w:bottom w:val="single" w:sz="4" w:space="0" w:color="auto"/>
              <w:right w:val="single" w:sz="4" w:space="0" w:color="auto"/>
            </w:tcBorders>
            <w:hideMark/>
          </w:tcPr>
          <w:p w14:paraId="430DE803" w14:textId="77777777" w:rsidR="00497CE3" w:rsidRDefault="00497CE3" w:rsidP="00497CE3">
            <w:pPr>
              <w:jc w:val="center"/>
              <w:rPr>
                <w:sz w:val="22"/>
              </w:rPr>
            </w:pPr>
            <w:r>
              <w:rPr>
                <w:sz w:val="22"/>
              </w:rPr>
              <w:t xml:space="preserve">Young </w:t>
            </w:r>
            <w:r>
              <w:rPr>
                <w:i/>
                <w:sz w:val="22"/>
              </w:rPr>
              <w:t>et al</w:t>
            </w:r>
            <w:r>
              <w:rPr>
                <w:sz w:val="22"/>
              </w:rPr>
              <w:t>. (2011)</w:t>
            </w:r>
          </w:p>
        </w:tc>
        <w:tc>
          <w:tcPr>
            <w:tcW w:w="508" w:type="pct"/>
            <w:tcBorders>
              <w:top w:val="single" w:sz="4" w:space="0" w:color="auto"/>
              <w:left w:val="single" w:sz="4" w:space="0" w:color="auto"/>
              <w:bottom w:val="single" w:sz="4" w:space="0" w:color="auto"/>
              <w:right w:val="single" w:sz="4" w:space="0" w:color="auto"/>
            </w:tcBorders>
            <w:hideMark/>
          </w:tcPr>
          <w:p w14:paraId="078A9A54" w14:textId="77777777" w:rsidR="00497CE3" w:rsidRDefault="00497CE3" w:rsidP="00497CE3">
            <w:pPr>
              <w:jc w:val="center"/>
              <w:rPr>
                <w:sz w:val="22"/>
              </w:rPr>
            </w:pPr>
            <w:r>
              <w:rPr>
                <w:sz w:val="22"/>
              </w:rPr>
              <w:t xml:space="preserve">Young </w:t>
            </w:r>
            <w:r>
              <w:rPr>
                <w:i/>
                <w:sz w:val="22"/>
              </w:rPr>
              <w:t>et al</w:t>
            </w:r>
            <w:r>
              <w:rPr>
                <w:sz w:val="22"/>
              </w:rPr>
              <w:t xml:space="preserve">. (2013a) </w:t>
            </w:r>
            <w:r>
              <w:rPr>
                <w:b/>
                <w:sz w:val="22"/>
              </w:rPr>
              <w:t>*</w:t>
            </w:r>
          </w:p>
        </w:tc>
        <w:tc>
          <w:tcPr>
            <w:tcW w:w="432" w:type="pct"/>
            <w:tcBorders>
              <w:top w:val="single" w:sz="4" w:space="0" w:color="auto"/>
              <w:left w:val="single" w:sz="4" w:space="0" w:color="auto"/>
              <w:bottom w:val="single" w:sz="4" w:space="0" w:color="auto"/>
              <w:right w:val="single" w:sz="4" w:space="0" w:color="auto"/>
            </w:tcBorders>
            <w:hideMark/>
          </w:tcPr>
          <w:p w14:paraId="6B4F36D2" w14:textId="77777777" w:rsidR="00497CE3" w:rsidRDefault="00497CE3" w:rsidP="00497CE3">
            <w:pPr>
              <w:jc w:val="center"/>
              <w:rPr>
                <w:i/>
                <w:sz w:val="22"/>
              </w:rPr>
            </w:pPr>
            <w:r>
              <w:rPr>
                <w:sz w:val="22"/>
              </w:rPr>
              <w:t xml:space="preserve">Young </w:t>
            </w:r>
            <w:r>
              <w:rPr>
                <w:i/>
                <w:sz w:val="22"/>
              </w:rPr>
              <w:t>et</w:t>
            </w:r>
          </w:p>
          <w:p w14:paraId="58F6F9DE" w14:textId="77777777" w:rsidR="00497CE3" w:rsidRDefault="00497CE3" w:rsidP="00497CE3">
            <w:pPr>
              <w:jc w:val="center"/>
              <w:rPr>
                <w:sz w:val="22"/>
              </w:rPr>
            </w:pPr>
            <w:r>
              <w:rPr>
                <w:i/>
                <w:sz w:val="22"/>
              </w:rPr>
              <w:t>al</w:t>
            </w:r>
            <w:r>
              <w:rPr>
                <w:sz w:val="22"/>
              </w:rPr>
              <w:t>. (2012)</w:t>
            </w:r>
          </w:p>
        </w:tc>
        <w:tc>
          <w:tcPr>
            <w:tcW w:w="481" w:type="pct"/>
            <w:tcBorders>
              <w:top w:val="single" w:sz="4" w:space="0" w:color="auto"/>
              <w:left w:val="single" w:sz="4" w:space="0" w:color="auto"/>
              <w:bottom w:val="single" w:sz="4" w:space="0" w:color="auto"/>
              <w:right w:val="single" w:sz="4" w:space="0" w:color="auto"/>
            </w:tcBorders>
            <w:hideMark/>
          </w:tcPr>
          <w:p w14:paraId="15DCA2ED" w14:textId="77777777" w:rsidR="00497CE3" w:rsidRDefault="00497CE3" w:rsidP="00497CE3">
            <w:pPr>
              <w:jc w:val="center"/>
              <w:rPr>
                <w:sz w:val="22"/>
              </w:rPr>
            </w:pPr>
            <w:r>
              <w:rPr>
                <w:sz w:val="22"/>
              </w:rPr>
              <w:t xml:space="preserve">Young </w:t>
            </w:r>
            <w:r>
              <w:rPr>
                <w:i/>
                <w:sz w:val="22"/>
              </w:rPr>
              <w:t>et al</w:t>
            </w:r>
            <w:r>
              <w:rPr>
                <w:sz w:val="22"/>
              </w:rPr>
              <w:t>. (2013b) / Young (2014)</w:t>
            </w:r>
          </w:p>
        </w:tc>
        <w:tc>
          <w:tcPr>
            <w:tcW w:w="481" w:type="pct"/>
            <w:tcBorders>
              <w:top w:val="single" w:sz="4" w:space="0" w:color="auto"/>
              <w:left w:val="single" w:sz="4" w:space="0" w:color="auto"/>
              <w:bottom w:val="single" w:sz="4" w:space="0" w:color="auto"/>
              <w:right w:val="single" w:sz="4" w:space="0" w:color="auto"/>
            </w:tcBorders>
            <w:hideMark/>
          </w:tcPr>
          <w:p w14:paraId="4C631971" w14:textId="77777777" w:rsidR="00497CE3" w:rsidRDefault="00497CE3" w:rsidP="00497CE3">
            <w:pPr>
              <w:jc w:val="center"/>
              <w:rPr>
                <w:i/>
                <w:sz w:val="22"/>
              </w:rPr>
            </w:pPr>
            <w:r>
              <w:rPr>
                <w:sz w:val="22"/>
              </w:rPr>
              <w:t xml:space="preserve">Young </w:t>
            </w:r>
            <w:r>
              <w:rPr>
                <w:i/>
                <w:sz w:val="22"/>
              </w:rPr>
              <w:t>et</w:t>
            </w:r>
          </w:p>
          <w:p w14:paraId="10D3D880" w14:textId="77777777" w:rsidR="00497CE3" w:rsidRDefault="00497CE3" w:rsidP="00497CE3">
            <w:pPr>
              <w:jc w:val="center"/>
              <w:rPr>
                <w:sz w:val="22"/>
              </w:rPr>
            </w:pPr>
            <w:r>
              <w:rPr>
                <w:i/>
                <w:sz w:val="22"/>
              </w:rPr>
              <w:t>al</w:t>
            </w:r>
            <w:r>
              <w:rPr>
                <w:sz w:val="22"/>
              </w:rPr>
              <w:t>. (2016, ds2-Young)</w:t>
            </w:r>
          </w:p>
        </w:tc>
      </w:tr>
      <w:tr w:rsidR="00497CE3" w14:paraId="5A311C5A"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744D50C2" w14:textId="77777777" w:rsidR="00497CE3" w:rsidRDefault="00497CE3" w:rsidP="00497CE3">
            <w:pPr>
              <w:rPr>
                <w:sz w:val="22"/>
              </w:rPr>
            </w:pPr>
            <w:r>
              <w:rPr>
                <w:sz w:val="22"/>
              </w:rPr>
              <w:t>Skull geometry &amp; dimensions</w:t>
            </w:r>
          </w:p>
        </w:tc>
        <w:tc>
          <w:tcPr>
            <w:tcW w:w="305" w:type="pct"/>
            <w:tcBorders>
              <w:top w:val="single" w:sz="4" w:space="0" w:color="auto"/>
              <w:left w:val="single" w:sz="4" w:space="0" w:color="auto"/>
              <w:bottom w:val="single" w:sz="4" w:space="0" w:color="auto"/>
              <w:right w:val="single" w:sz="4" w:space="0" w:color="auto"/>
            </w:tcBorders>
            <w:hideMark/>
          </w:tcPr>
          <w:p w14:paraId="55202274" w14:textId="77777777" w:rsidR="00497CE3" w:rsidRDefault="00497CE3" w:rsidP="00497CE3">
            <w:pPr>
              <w:jc w:val="center"/>
              <w:rPr>
                <w:sz w:val="22"/>
              </w:rPr>
            </w:pPr>
            <w:r>
              <w:rPr>
                <w:sz w:val="22"/>
              </w:rPr>
              <w:t>1</w:t>
            </w:r>
          </w:p>
        </w:tc>
        <w:tc>
          <w:tcPr>
            <w:tcW w:w="457" w:type="pct"/>
            <w:tcBorders>
              <w:top w:val="single" w:sz="4" w:space="0" w:color="auto"/>
              <w:left w:val="single" w:sz="4" w:space="0" w:color="auto"/>
              <w:bottom w:val="single" w:sz="4" w:space="0" w:color="auto"/>
              <w:right w:val="single" w:sz="4" w:space="0" w:color="auto"/>
            </w:tcBorders>
            <w:hideMark/>
          </w:tcPr>
          <w:p w14:paraId="4CD69F45" w14:textId="77777777" w:rsidR="00497CE3" w:rsidRDefault="00497CE3" w:rsidP="00497CE3">
            <w:pPr>
              <w:jc w:val="center"/>
              <w:rPr>
                <w:sz w:val="22"/>
              </w:rPr>
            </w:pPr>
            <w:r>
              <w:rPr>
                <w:sz w:val="22"/>
              </w:rPr>
              <w:t>1</w:t>
            </w:r>
          </w:p>
        </w:tc>
        <w:tc>
          <w:tcPr>
            <w:tcW w:w="559" w:type="pct"/>
            <w:tcBorders>
              <w:top w:val="single" w:sz="4" w:space="0" w:color="auto"/>
              <w:left w:val="single" w:sz="4" w:space="0" w:color="auto"/>
              <w:bottom w:val="single" w:sz="4" w:space="0" w:color="auto"/>
              <w:right w:val="single" w:sz="4" w:space="0" w:color="auto"/>
            </w:tcBorders>
            <w:hideMark/>
          </w:tcPr>
          <w:p w14:paraId="60A8FFD1" w14:textId="77777777" w:rsidR="00497CE3" w:rsidRDefault="00497CE3" w:rsidP="00497CE3">
            <w:pPr>
              <w:jc w:val="center"/>
              <w:rPr>
                <w:sz w:val="22"/>
              </w:rPr>
            </w:pPr>
            <w:r>
              <w:rPr>
                <w:sz w:val="22"/>
              </w:rPr>
              <w:t>1</w:t>
            </w:r>
          </w:p>
        </w:tc>
        <w:tc>
          <w:tcPr>
            <w:tcW w:w="407" w:type="pct"/>
            <w:tcBorders>
              <w:top w:val="single" w:sz="4" w:space="0" w:color="auto"/>
              <w:left w:val="single" w:sz="4" w:space="0" w:color="auto"/>
              <w:bottom w:val="single" w:sz="4" w:space="0" w:color="auto"/>
              <w:right w:val="single" w:sz="4" w:space="0" w:color="auto"/>
            </w:tcBorders>
            <w:hideMark/>
          </w:tcPr>
          <w:p w14:paraId="4E6AE864" w14:textId="77777777" w:rsidR="00497CE3" w:rsidRDefault="00497CE3" w:rsidP="00497CE3">
            <w:pPr>
              <w:jc w:val="center"/>
              <w:rPr>
                <w:sz w:val="22"/>
              </w:rPr>
            </w:pPr>
            <w:r>
              <w:rPr>
                <w:sz w:val="22"/>
              </w:rPr>
              <w:t>1</w:t>
            </w:r>
          </w:p>
        </w:tc>
        <w:tc>
          <w:tcPr>
            <w:tcW w:w="508" w:type="pct"/>
            <w:tcBorders>
              <w:top w:val="single" w:sz="4" w:space="0" w:color="auto"/>
              <w:left w:val="single" w:sz="4" w:space="0" w:color="auto"/>
              <w:bottom w:val="single" w:sz="4" w:space="0" w:color="auto"/>
              <w:right w:val="single" w:sz="4" w:space="0" w:color="auto"/>
            </w:tcBorders>
            <w:hideMark/>
          </w:tcPr>
          <w:p w14:paraId="76621AA4" w14:textId="77777777" w:rsidR="00497CE3" w:rsidRDefault="00497CE3" w:rsidP="00497CE3">
            <w:pPr>
              <w:jc w:val="center"/>
              <w:rPr>
                <w:sz w:val="22"/>
              </w:rPr>
            </w:pPr>
            <w:r>
              <w:rPr>
                <w:sz w:val="22"/>
              </w:rPr>
              <w:t>1</w:t>
            </w:r>
          </w:p>
        </w:tc>
        <w:tc>
          <w:tcPr>
            <w:tcW w:w="432" w:type="pct"/>
            <w:tcBorders>
              <w:top w:val="single" w:sz="4" w:space="0" w:color="auto"/>
              <w:left w:val="single" w:sz="4" w:space="0" w:color="auto"/>
              <w:bottom w:val="single" w:sz="4" w:space="0" w:color="auto"/>
              <w:right w:val="single" w:sz="4" w:space="0" w:color="auto"/>
            </w:tcBorders>
            <w:hideMark/>
          </w:tcPr>
          <w:p w14:paraId="2CA50F5F" w14:textId="77777777" w:rsidR="00497CE3" w:rsidRDefault="00497CE3" w:rsidP="00497CE3">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hideMark/>
          </w:tcPr>
          <w:p w14:paraId="534B8AD9" w14:textId="77777777" w:rsidR="00497CE3" w:rsidRDefault="00497CE3" w:rsidP="00497CE3">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hideMark/>
          </w:tcPr>
          <w:p w14:paraId="141A90C9" w14:textId="77777777" w:rsidR="00497CE3" w:rsidRDefault="00497CE3" w:rsidP="00497CE3">
            <w:pPr>
              <w:jc w:val="center"/>
              <w:rPr>
                <w:sz w:val="22"/>
              </w:rPr>
            </w:pPr>
            <w:r>
              <w:rPr>
                <w:sz w:val="22"/>
              </w:rPr>
              <w:t>5</w:t>
            </w:r>
          </w:p>
        </w:tc>
      </w:tr>
      <w:tr w:rsidR="00497CE3" w14:paraId="37D08B5E"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29197E6A" w14:textId="77777777" w:rsidR="00497CE3" w:rsidRDefault="00497CE3" w:rsidP="00497CE3">
            <w:pPr>
              <w:rPr>
                <w:sz w:val="22"/>
              </w:rPr>
            </w:pPr>
            <w:r>
              <w:rPr>
                <w:sz w:val="22"/>
              </w:rPr>
              <w:t>Craniomandibular ornamentation</w:t>
            </w:r>
          </w:p>
        </w:tc>
        <w:tc>
          <w:tcPr>
            <w:tcW w:w="305" w:type="pct"/>
            <w:tcBorders>
              <w:top w:val="single" w:sz="4" w:space="0" w:color="auto"/>
              <w:left w:val="single" w:sz="4" w:space="0" w:color="auto"/>
              <w:bottom w:val="single" w:sz="4" w:space="0" w:color="auto"/>
              <w:right w:val="single" w:sz="4" w:space="0" w:color="auto"/>
            </w:tcBorders>
            <w:hideMark/>
          </w:tcPr>
          <w:p w14:paraId="52137A8E" w14:textId="77777777" w:rsidR="00497CE3" w:rsidRDefault="00497CE3" w:rsidP="00497CE3">
            <w:pPr>
              <w:jc w:val="center"/>
              <w:rPr>
                <w:sz w:val="22"/>
              </w:rPr>
            </w:pPr>
            <w:r>
              <w:rPr>
                <w:sz w:val="22"/>
              </w:rPr>
              <w:t>1</w:t>
            </w:r>
          </w:p>
        </w:tc>
        <w:tc>
          <w:tcPr>
            <w:tcW w:w="457" w:type="pct"/>
            <w:tcBorders>
              <w:top w:val="single" w:sz="4" w:space="0" w:color="auto"/>
              <w:left w:val="single" w:sz="4" w:space="0" w:color="auto"/>
              <w:bottom w:val="single" w:sz="4" w:space="0" w:color="auto"/>
              <w:right w:val="single" w:sz="4" w:space="0" w:color="auto"/>
            </w:tcBorders>
            <w:hideMark/>
          </w:tcPr>
          <w:p w14:paraId="50516F74" w14:textId="77777777" w:rsidR="00497CE3" w:rsidRDefault="00497CE3" w:rsidP="00497CE3">
            <w:pPr>
              <w:jc w:val="center"/>
              <w:rPr>
                <w:sz w:val="22"/>
              </w:rPr>
            </w:pPr>
            <w:r>
              <w:rPr>
                <w:sz w:val="22"/>
              </w:rPr>
              <w:t>1</w:t>
            </w:r>
          </w:p>
        </w:tc>
        <w:tc>
          <w:tcPr>
            <w:tcW w:w="559" w:type="pct"/>
            <w:tcBorders>
              <w:top w:val="single" w:sz="4" w:space="0" w:color="auto"/>
              <w:left w:val="single" w:sz="4" w:space="0" w:color="auto"/>
              <w:bottom w:val="single" w:sz="4" w:space="0" w:color="auto"/>
              <w:right w:val="single" w:sz="4" w:space="0" w:color="auto"/>
            </w:tcBorders>
            <w:hideMark/>
          </w:tcPr>
          <w:p w14:paraId="5F2D951F" w14:textId="77777777" w:rsidR="00497CE3" w:rsidRDefault="00497CE3" w:rsidP="00497CE3">
            <w:pPr>
              <w:jc w:val="center"/>
              <w:rPr>
                <w:sz w:val="22"/>
              </w:rPr>
            </w:pPr>
            <w:r>
              <w:rPr>
                <w:sz w:val="22"/>
              </w:rPr>
              <w:t>2</w:t>
            </w:r>
          </w:p>
        </w:tc>
        <w:tc>
          <w:tcPr>
            <w:tcW w:w="407" w:type="pct"/>
            <w:tcBorders>
              <w:top w:val="single" w:sz="4" w:space="0" w:color="auto"/>
              <w:left w:val="single" w:sz="4" w:space="0" w:color="auto"/>
              <w:bottom w:val="single" w:sz="4" w:space="0" w:color="auto"/>
              <w:right w:val="single" w:sz="4" w:space="0" w:color="auto"/>
            </w:tcBorders>
            <w:hideMark/>
          </w:tcPr>
          <w:p w14:paraId="72BEBA3F" w14:textId="77777777" w:rsidR="00497CE3" w:rsidRDefault="00497CE3" w:rsidP="00497CE3">
            <w:pPr>
              <w:jc w:val="center"/>
              <w:rPr>
                <w:sz w:val="22"/>
              </w:rPr>
            </w:pPr>
            <w:r>
              <w:rPr>
                <w:sz w:val="22"/>
              </w:rPr>
              <w:t>2</w:t>
            </w:r>
          </w:p>
        </w:tc>
        <w:tc>
          <w:tcPr>
            <w:tcW w:w="508" w:type="pct"/>
            <w:tcBorders>
              <w:top w:val="single" w:sz="4" w:space="0" w:color="auto"/>
              <w:left w:val="single" w:sz="4" w:space="0" w:color="auto"/>
              <w:bottom w:val="single" w:sz="4" w:space="0" w:color="auto"/>
              <w:right w:val="single" w:sz="4" w:space="0" w:color="auto"/>
            </w:tcBorders>
            <w:hideMark/>
          </w:tcPr>
          <w:p w14:paraId="19FC09FC" w14:textId="77777777" w:rsidR="00497CE3" w:rsidRDefault="00497CE3" w:rsidP="00497CE3">
            <w:pPr>
              <w:jc w:val="center"/>
              <w:rPr>
                <w:sz w:val="22"/>
              </w:rPr>
            </w:pPr>
            <w:r>
              <w:rPr>
                <w:sz w:val="22"/>
              </w:rPr>
              <w:t>2</w:t>
            </w:r>
          </w:p>
        </w:tc>
        <w:tc>
          <w:tcPr>
            <w:tcW w:w="432" w:type="pct"/>
            <w:tcBorders>
              <w:top w:val="single" w:sz="4" w:space="0" w:color="auto"/>
              <w:left w:val="single" w:sz="4" w:space="0" w:color="auto"/>
              <w:bottom w:val="single" w:sz="4" w:space="0" w:color="auto"/>
              <w:right w:val="single" w:sz="4" w:space="0" w:color="auto"/>
            </w:tcBorders>
            <w:hideMark/>
          </w:tcPr>
          <w:p w14:paraId="7517CF34" w14:textId="77777777" w:rsidR="00497CE3" w:rsidRDefault="00497CE3" w:rsidP="00497CE3">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2D74E2BF" w14:textId="77777777" w:rsidR="00497CE3" w:rsidRDefault="00497CE3" w:rsidP="00497CE3">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782B7FBE" w14:textId="77777777" w:rsidR="00497CE3" w:rsidRDefault="00497CE3" w:rsidP="00497CE3">
            <w:pPr>
              <w:jc w:val="center"/>
              <w:rPr>
                <w:sz w:val="22"/>
              </w:rPr>
            </w:pPr>
            <w:r>
              <w:rPr>
                <w:sz w:val="22"/>
              </w:rPr>
              <w:t>2</w:t>
            </w:r>
          </w:p>
        </w:tc>
      </w:tr>
      <w:tr w:rsidR="00497CE3" w14:paraId="4C998B59" w14:textId="77777777" w:rsidTr="00497CE3">
        <w:tc>
          <w:tcPr>
            <w:tcW w:w="1370" w:type="pct"/>
            <w:tcBorders>
              <w:top w:val="single" w:sz="4" w:space="0" w:color="auto"/>
              <w:left w:val="single" w:sz="4" w:space="0" w:color="auto"/>
              <w:bottom w:val="single" w:sz="4" w:space="0" w:color="auto"/>
              <w:right w:val="single" w:sz="4" w:space="0" w:color="auto"/>
            </w:tcBorders>
          </w:tcPr>
          <w:p w14:paraId="567F6BFD" w14:textId="77777777" w:rsidR="00497CE3" w:rsidRPr="00A617AC" w:rsidRDefault="00497CE3" w:rsidP="00497CE3">
            <w:pPr>
              <w:rPr>
                <w:sz w:val="22"/>
              </w:rPr>
            </w:pPr>
            <w:r w:rsidRPr="00A617AC">
              <w:rPr>
                <w:sz w:val="22"/>
              </w:rPr>
              <w:t>Craniomandibular pneumaticity</w:t>
            </w:r>
          </w:p>
        </w:tc>
        <w:tc>
          <w:tcPr>
            <w:tcW w:w="305" w:type="pct"/>
            <w:tcBorders>
              <w:top w:val="single" w:sz="4" w:space="0" w:color="auto"/>
              <w:left w:val="single" w:sz="4" w:space="0" w:color="auto"/>
              <w:bottom w:val="single" w:sz="4" w:space="0" w:color="auto"/>
              <w:right w:val="single" w:sz="4" w:space="0" w:color="auto"/>
            </w:tcBorders>
          </w:tcPr>
          <w:p w14:paraId="715EB6C1" w14:textId="77777777" w:rsidR="00497CE3" w:rsidRDefault="00497CE3" w:rsidP="00497CE3">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tcPr>
          <w:p w14:paraId="5995EEE4" w14:textId="77777777" w:rsidR="00497CE3" w:rsidRDefault="00497CE3" w:rsidP="00497CE3">
            <w:pPr>
              <w:jc w:val="center"/>
              <w:rPr>
                <w:sz w:val="22"/>
              </w:rPr>
            </w:pPr>
            <w:r>
              <w:rPr>
                <w:sz w:val="22"/>
              </w:rPr>
              <w:t>-</w:t>
            </w:r>
          </w:p>
        </w:tc>
        <w:tc>
          <w:tcPr>
            <w:tcW w:w="559" w:type="pct"/>
            <w:tcBorders>
              <w:top w:val="single" w:sz="4" w:space="0" w:color="auto"/>
              <w:left w:val="single" w:sz="4" w:space="0" w:color="auto"/>
              <w:bottom w:val="single" w:sz="4" w:space="0" w:color="auto"/>
              <w:right w:val="single" w:sz="4" w:space="0" w:color="auto"/>
            </w:tcBorders>
          </w:tcPr>
          <w:p w14:paraId="67FA8681" w14:textId="77777777" w:rsidR="00497CE3" w:rsidRDefault="00497CE3" w:rsidP="00497CE3">
            <w:pPr>
              <w:jc w:val="center"/>
              <w:rPr>
                <w:sz w:val="22"/>
              </w:rPr>
            </w:pPr>
            <w:r>
              <w:rPr>
                <w:sz w:val="22"/>
              </w:rPr>
              <w:t>2</w:t>
            </w:r>
          </w:p>
        </w:tc>
        <w:tc>
          <w:tcPr>
            <w:tcW w:w="407" w:type="pct"/>
            <w:tcBorders>
              <w:top w:val="single" w:sz="4" w:space="0" w:color="auto"/>
              <w:left w:val="single" w:sz="4" w:space="0" w:color="auto"/>
              <w:bottom w:val="single" w:sz="4" w:space="0" w:color="auto"/>
              <w:right w:val="single" w:sz="4" w:space="0" w:color="auto"/>
            </w:tcBorders>
          </w:tcPr>
          <w:p w14:paraId="1106EF5D" w14:textId="77777777" w:rsidR="00497CE3" w:rsidRDefault="00497CE3" w:rsidP="00497CE3">
            <w:pPr>
              <w:jc w:val="center"/>
              <w:rPr>
                <w:sz w:val="22"/>
              </w:rPr>
            </w:pPr>
            <w:r>
              <w:rPr>
                <w:sz w:val="22"/>
              </w:rPr>
              <w:t>2</w:t>
            </w:r>
          </w:p>
        </w:tc>
        <w:tc>
          <w:tcPr>
            <w:tcW w:w="508" w:type="pct"/>
            <w:tcBorders>
              <w:top w:val="single" w:sz="4" w:space="0" w:color="auto"/>
              <w:left w:val="single" w:sz="4" w:space="0" w:color="auto"/>
              <w:bottom w:val="single" w:sz="4" w:space="0" w:color="auto"/>
              <w:right w:val="single" w:sz="4" w:space="0" w:color="auto"/>
            </w:tcBorders>
          </w:tcPr>
          <w:p w14:paraId="521976DC" w14:textId="77777777" w:rsidR="00497CE3" w:rsidRDefault="00497CE3" w:rsidP="00497CE3">
            <w:pPr>
              <w:jc w:val="center"/>
              <w:rPr>
                <w:sz w:val="22"/>
              </w:rPr>
            </w:pPr>
            <w:r>
              <w:rPr>
                <w:sz w:val="22"/>
              </w:rPr>
              <w:t>2</w:t>
            </w:r>
          </w:p>
        </w:tc>
        <w:tc>
          <w:tcPr>
            <w:tcW w:w="432" w:type="pct"/>
            <w:tcBorders>
              <w:top w:val="single" w:sz="4" w:space="0" w:color="auto"/>
              <w:left w:val="single" w:sz="4" w:space="0" w:color="auto"/>
              <w:bottom w:val="single" w:sz="4" w:space="0" w:color="auto"/>
              <w:right w:val="single" w:sz="4" w:space="0" w:color="auto"/>
            </w:tcBorders>
          </w:tcPr>
          <w:p w14:paraId="35F1B8FA" w14:textId="77777777" w:rsidR="00497CE3" w:rsidRDefault="00497CE3" w:rsidP="00497CE3">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tcPr>
          <w:p w14:paraId="15522D9C" w14:textId="77777777" w:rsidR="00497CE3" w:rsidRDefault="00497CE3" w:rsidP="00497CE3">
            <w:pPr>
              <w:jc w:val="center"/>
              <w:rPr>
                <w:sz w:val="22"/>
              </w:rPr>
            </w:pPr>
            <w:r>
              <w:rPr>
                <w:sz w:val="22"/>
              </w:rPr>
              <w:t>3</w:t>
            </w:r>
          </w:p>
        </w:tc>
        <w:tc>
          <w:tcPr>
            <w:tcW w:w="481" w:type="pct"/>
            <w:tcBorders>
              <w:top w:val="single" w:sz="4" w:space="0" w:color="auto"/>
              <w:left w:val="single" w:sz="4" w:space="0" w:color="auto"/>
              <w:bottom w:val="single" w:sz="4" w:space="0" w:color="auto"/>
              <w:right w:val="single" w:sz="4" w:space="0" w:color="auto"/>
            </w:tcBorders>
          </w:tcPr>
          <w:p w14:paraId="0CAC6489" w14:textId="77777777" w:rsidR="00497CE3" w:rsidRDefault="00497CE3" w:rsidP="00497CE3">
            <w:pPr>
              <w:jc w:val="center"/>
              <w:rPr>
                <w:sz w:val="22"/>
              </w:rPr>
            </w:pPr>
            <w:r>
              <w:rPr>
                <w:sz w:val="22"/>
              </w:rPr>
              <w:t>3</w:t>
            </w:r>
          </w:p>
        </w:tc>
      </w:tr>
      <w:tr w:rsidR="00497CE3" w14:paraId="2A94A43B"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3983BC49" w14:textId="77777777" w:rsidR="00497CE3" w:rsidRDefault="00497CE3" w:rsidP="00497CE3">
            <w:pPr>
              <w:rPr>
                <w:sz w:val="22"/>
              </w:rPr>
            </w:pPr>
            <w:r>
              <w:rPr>
                <w:sz w:val="22"/>
              </w:rPr>
              <w:t>Rostral neurovascular foramina</w:t>
            </w:r>
          </w:p>
        </w:tc>
        <w:tc>
          <w:tcPr>
            <w:tcW w:w="305" w:type="pct"/>
            <w:tcBorders>
              <w:top w:val="single" w:sz="4" w:space="0" w:color="auto"/>
              <w:left w:val="single" w:sz="4" w:space="0" w:color="auto"/>
              <w:bottom w:val="single" w:sz="4" w:space="0" w:color="auto"/>
              <w:right w:val="single" w:sz="4" w:space="0" w:color="auto"/>
            </w:tcBorders>
            <w:hideMark/>
          </w:tcPr>
          <w:p w14:paraId="0DDB0607" w14:textId="77777777" w:rsidR="00497CE3" w:rsidRDefault="00497CE3" w:rsidP="00497CE3">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2682F54A" w14:textId="77777777" w:rsidR="00497CE3" w:rsidRDefault="00497CE3" w:rsidP="00497CE3">
            <w:pPr>
              <w:jc w:val="center"/>
              <w:rPr>
                <w:sz w:val="22"/>
              </w:rPr>
            </w:pPr>
            <w:r>
              <w:rPr>
                <w:sz w:val="22"/>
              </w:rPr>
              <w:t>-</w:t>
            </w:r>
          </w:p>
        </w:tc>
        <w:tc>
          <w:tcPr>
            <w:tcW w:w="559" w:type="pct"/>
            <w:tcBorders>
              <w:top w:val="single" w:sz="4" w:space="0" w:color="auto"/>
              <w:left w:val="single" w:sz="4" w:space="0" w:color="auto"/>
              <w:bottom w:val="single" w:sz="4" w:space="0" w:color="auto"/>
              <w:right w:val="single" w:sz="4" w:space="0" w:color="auto"/>
            </w:tcBorders>
            <w:hideMark/>
          </w:tcPr>
          <w:p w14:paraId="0908DAF3" w14:textId="77777777" w:rsidR="00497CE3" w:rsidRDefault="00497CE3" w:rsidP="00497CE3">
            <w:pPr>
              <w:jc w:val="center"/>
              <w:rPr>
                <w:sz w:val="22"/>
              </w:rPr>
            </w:pPr>
            <w:r>
              <w:rPr>
                <w:sz w:val="22"/>
              </w:rPr>
              <w:t>-</w:t>
            </w:r>
          </w:p>
        </w:tc>
        <w:tc>
          <w:tcPr>
            <w:tcW w:w="407" w:type="pct"/>
            <w:tcBorders>
              <w:top w:val="single" w:sz="4" w:space="0" w:color="auto"/>
              <w:left w:val="single" w:sz="4" w:space="0" w:color="auto"/>
              <w:bottom w:val="single" w:sz="4" w:space="0" w:color="auto"/>
              <w:right w:val="single" w:sz="4" w:space="0" w:color="auto"/>
            </w:tcBorders>
            <w:hideMark/>
          </w:tcPr>
          <w:p w14:paraId="33C43F32" w14:textId="77777777" w:rsidR="00497CE3" w:rsidRDefault="00497CE3" w:rsidP="00497CE3">
            <w:pPr>
              <w:jc w:val="center"/>
              <w:rPr>
                <w:sz w:val="22"/>
              </w:rPr>
            </w:pPr>
            <w:r>
              <w:rPr>
                <w:sz w:val="22"/>
              </w:rPr>
              <w:t>-</w:t>
            </w:r>
          </w:p>
        </w:tc>
        <w:tc>
          <w:tcPr>
            <w:tcW w:w="508" w:type="pct"/>
            <w:tcBorders>
              <w:top w:val="single" w:sz="4" w:space="0" w:color="auto"/>
              <w:left w:val="single" w:sz="4" w:space="0" w:color="auto"/>
              <w:bottom w:val="single" w:sz="4" w:space="0" w:color="auto"/>
              <w:right w:val="single" w:sz="4" w:space="0" w:color="auto"/>
            </w:tcBorders>
            <w:hideMark/>
          </w:tcPr>
          <w:p w14:paraId="0AB92D5F" w14:textId="77777777" w:rsidR="00497CE3" w:rsidRDefault="00497CE3" w:rsidP="00497CE3">
            <w:pPr>
              <w:jc w:val="center"/>
              <w:rPr>
                <w:sz w:val="22"/>
              </w:rPr>
            </w:pPr>
            <w:r>
              <w:rPr>
                <w:sz w:val="22"/>
              </w:rPr>
              <w:t>-</w:t>
            </w:r>
          </w:p>
        </w:tc>
        <w:tc>
          <w:tcPr>
            <w:tcW w:w="432" w:type="pct"/>
            <w:tcBorders>
              <w:top w:val="single" w:sz="4" w:space="0" w:color="auto"/>
              <w:left w:val="single" w:sz="4" w:space="0" w:color="auto"/>
              <w:bottom w:val="single" w:sz="4" w:space="0" w:color="auto"/>
              <w:right w:val="single" w:sz="4" w:space="0" w:color="auto"/>
            </w:tcBorders>
            <w:hideMark/>
          </w:tcPr>
          <w:p w14:paraId="7D0E3E92" w14:textId="77777777" w:rsidR="00497CE3" w:rsidRDefault="00497CE3" w:rsidP="00497CE3">
            <w:pPr>
              <w:jc w:val="center"/>
              <w:rPr>
                <w:sz w:val="22"/>
              </w:rPr>
            </w:pPr>
            <w:r>
              <w:rPr>
                <w:sz w:val="22"/>
              </w:rPr>
              <w:t>-</w:t>
            </w:r>
          </w:p>
        </w:tc>
        <w:tc>
          <w:tcPr>
            <w:tcW w:w="481" w:type="pct"/>
            <w:tcBorders>
              <w:top w:val="single" w:sz="4" w:space="0" w:color="auto"/>
              <w:left w:val="single" w:sz="4" w:space="0" w:color="auto"/>
              <w:bottom w:val="single" w:sz="4" w:space="0" w:color="auto"/>
              <w:right w:val="single" w:sz="4" w:space="0" w:color="auto"/>
            </w:tcBorders>
            <w:hideMark/>
          </w:tcPr>
          <w:p w14:paraId="2683558F" w14:textId="77777777" w:rsidR="00497CE3" w:rsidRDefault="00497CE3" w:rsidP="00497CE3">
            <w:pPr>
              <w:jc w:val="center"/>
              <w:rPr>
                <w:sz w:val="22"/>
              </w:rPr>
            </w:pPr>
            <w:r>
              <w:rPr>
                <w:sz w:val="22"/>
              </w:rPr>
              <w:t>-</w:t>
            </w:r>
          </w:p>
        </w:tc>
        <w:tc>
          <w:tcPr>
            <w:tcW w:w="481" w:type="pct"/>
            <w:tcBorders>
              <w:top w:val="single" w:sz="4" w:space="0" w:color="auto"/>
              <w:left w:val="single" w:sz="4" w:space="0" w:color="auto"/>
              <w:bottom w:val="single" w:sz="4" w:space="0" w:color="auto"/>
              <w:right w:val="single" w:sz="4" w:space="0" w:color="auto"/>
            </w:tcBorders>
            <w:hideMark/>
          </w:tcPr>
          <w:p w14:paraId="177625CB" w14:textId="77777777" w:rsidR="00497CE3" w:rsidRDefault="00497CE3" w:rsidP="00497CE3">
            <w:pPr>
              <w:jc w:val="center"/>
              <w:rPr>
                <w:sz w:val="22"/>
              </w:rPr>
            </w:pPr>
            <w:r>
              <w:rPr>
                <w:sz w:val="22"/>
              </w:rPr>
              <w:t>1</w:t>
            </w:r>
          </w:p>
        </w:tc>
      </w:tr>
      <w:tr w:rsidR="00497CE3" w14:paraId="1BDE61DC"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236D29DA" w14:textId="77777777" w:rsidR="00497CE3" w:rsidRDefault="00497CE3" w:rsidP="00497CE3">
            <w:pPr>
              <w:rPr>
                <w:sz w:val="22"/>
              </w:rPr>
            </w:pPr>
            <w:r>
              <w:rPr>
                <w:sz w:val="22"/>
              </w:rPr>
              <w:t>Cranial rostrum</w:t>
            </w:r>
          </w:p>
        </w:tc>
        <w:tc>
          <w:tcPr>
            <w:tcW w:w="305" w:type="pct"/>
            <w:tcBorders>
              <w:top w:val="single" w:sz="4" w:space="0" w:color="auto"/>
              <w:left w:val="single" w:sz="4" w:space="0" w:color="auto"/>
              <w:bottom w:val="single" w:sz="4" w:space="0" w:color="auto"/>
              <w:right w:val="single" w:sz="4" w:space="0" w:color="auto"/>
            </w:tcBorders>
            <w:hideMark/>
          </w:tcPr>
          <w:p w14:paraId="2DEB4F70" w14:textId="77777777" w:rsidR="00497CE3" w:rsidRDefault="00497CE3" w:rsidP="00497CE3">
            <w:pPr>
              <w:jc w:val="center"/>
              <w:rPr>
                <w:sz w:val="22"/>
              </w:rPr>
            </w:pPr>
            <w:r>
              <w:rPr>
                <w:sz w:val="22"/>
              </w:rPr>
              <w:t>9</w:t>
            </w:r>
          </w:p>
        </w:tc>
        <w:tc>
          <w:tcPr>
            <w:tcW w:w="457" w:type="pct"/>
            <w:tcBorders>
              <w:top w:val="single" w:sz="4" w:space="0" w:color="auto"/>
              <w:left w:val="single" w:sz="4" w:space="0" w:color="auto"/>
              <w:bottom w:val="single" w:sz="4" w:space="0" w:color="auto"/>
              <w:right w:val="single" w:sz="4" w:space="0" w:color="auto"/>
            </w:tcBorders>
            <w:hideMark/>
          </w:tcPr>
          <w:p w14:paraId="37533ADA" w14:textId="77777777" w:rsidR="00497CE3" w:rsidRDefault="00497CE3" w:rsidP="00497CE3">
            <w:pPr>
              <w:jc w:val="center"/>
              <w:rPr>
                <w:sz w:val="22"/>
              </w:rPr>
            </w:pPr>
            <w:r>
              <w:rPr>
                <w:sz w:val="22"/>
              </w:rPr>
              <w:t>11</w:t>
            </w:r>
          </w:p>
        </w:tc>
        <w:tc>
          <w:tcPr>
            <w:tcW w:w="559" w:type="pct"/>
            <w:tcBorders>
              <w:top w:val="single" w:sz="4" w:space="0" w:color="auto"/>
              <w:left w:val="single" w:sz="4" w:space="0" w:color="auto"/>
              <w:bottom w:val="single" w:sz="4" w:space="0" w:color="auto"/>
              <w:right w:val="single" w:sz="4" w:space="0" w:color="auto"/>
            </w:tcBorders>
            <w:hideMark/>
          </w:tcPr>
          <w:p w14:paraId="0F059BC2" w14:textId="77777777" w:rsidR="00497CE3" w:rsidRDefault="00497CE3" w:rsidP="00497CE3">
            <w:pPr>
              <w:jc w:val="center"/>
              <w:rPr>
                <w:sz w:val="22"/>
              </w:rPr>
            </w:pPr>
            <w:r>
              <w:rPr>
                <w:sz w:val="22"/>
              </w:rPr>
              <w:t>21</w:t>
            </w:r>
          </w:p>
        </w:tc>
        <w:tc>
          <w:tcPr>
            <w:tcW w:w="407" w:type="pct"/>
            <w:tcBorders>
              <w:top w:val="single" w:sz="4" w:space="0" w:color="auto"/>
              <w:left w:val="single" w:sz="4" w:space="0" w:color="auto"/>
              <w:bottom w:val="single" w:sz="4" w:space="0" w:color="auto"/>
              <w:right w:val="single" w:sz="4" w:space="0" w:color="auto"/>
            </w:tcBorders>
            <w:hideMark/>
          </w:tcPr>
          <w:p w14:paraId="65351DCB" w14:textId="77777777" w:rsidR="00497CE3" w:rsidRDefault="00497CE3" w:rsidP="00497CE3">
            <w:pPr>
              <w:jc w:val="center"/>
              <w:rPr>
                <w:sz w:val="22"/>
              </w:rPr>
            </w:pPr>
            <w:r>
              <w:rPr>
                <w:sz w:val="22"/>
              </w:rPr>
              <w:t>22</w:t>
            </w:r>
          </w:p>
        </w:tc>
        <w:tc>
          <w:tcPr>
            <w:tcW w:w="508" w:type="pct"/>
            <w:tcBorders>
              <w:top w:val="single" w:sz="4" w:space="0" w:color="auto"/>
              <w:left w:val="single" w:sz="4" w:space="0" w:color="auto"/>
              <w:bottom w:val="single" w:sz="4" w:space="0" w:color="auto"/>
              <w:right w:val="single" w:sz="4" w:space="0" w:color="auto"/>
            </w:tcBorders>
            <w:hideMark/>
          </w:tcPr>
          <w:p w14:paraId="41C4D70D" w14:textId="77777777" w:rsidR="00497CE3" w:rsidRDefault="00497CE3" w:rsidP="00497CE3">
            <w:pPr>
              <w:jc w:val="center"/>
              <w:rPr>
                <w:sz w:val="22"/>
              </w:rPr>
            </w:pPr>
            <w:r>
              <w:rPr>
                <w:sz w:val="22"/>
              </w:rPr>
              <w:t>25</w:t>
            </w:r>
          </w:p>
        </w:tc>
        <w:tc>
          <w:tcPr>
            <w:tcW w:w="432" w:type="pct"/>
            <w:tcBorders>
              <w:top w:val="single" w:sz="4" w:space="0" w:color="auto"/>
              <w:left w:val="single" w:sz="4" w:space="0" w:color="auto"/>
              <w:bottom w:val="single" w:sz="4" w:space="0" w:color="auto"/>
              <w:right w:val="single" w:sz="4" w:space="0" w:color="auto"/>
            </w:tcBorders>
            <w:hideMark/>
          </w:tcPr>
          <w:p w14:paraId="377AF38D" w14:textId="77777777" w:rsidR="00497CE3" w:rsidRDefault="00497CE3" w:rsidP="00497CE3">
            <w:pPr>
              <w:jc w:val="center"/>
              <w:rPr>
                <w:sz w:val="22"/>
              </w:rPr>
            </w:pPr>
            <w:r>
              <w:rPr>
                <w:sz w:val="22"/>
              </w:rPr>
              <w:t>29</w:t>
            </w:r>
          </w:p>
        </w:tc>
        <w:tc>
          <w:tcPr>
            <w:tcW w:w="481" w:type="pct"/>
            <w:tcBorders>
              <w:top w:val="single" w:sz="4" w:space="0" w:color="auto"/>
              <w:left w:val="single" w:sz="4" w:space="0" w:color="auto"/>
              <w:bottom w:val="single" w:sz="4" w:space="0" w:color="auto"/>
              <w:right w:val="single" w:sz="4" w:space="0" w:color="auto"/>
            </w:tcBorders>
            <w:hideMark/>
          </w:tcPr>
          <w:p w14:paraId="02DE3C4C" w14:textId="77777777" w:rsidR="00497CE3" w:rsidRDefault="00497CE3" w:rsidP="00497CE3">
            <w:pPr>
              <w:jc w:val="center"/>
              <w:rPr>
                <w:sz w:val="22"/>
              </w:rPr>
            </w:pPr>
            <w:r>
              <w:rPr>
                <w:sz w:val="22"/>
              </w:rPr>
              <w:t>31</w:t>
            </w:r>
          </w:p>
        </w:tc>
        <w:tc>
          <w:tcPr>
            <w:tcW w:w="481" w:type="pct"/>
            <w:tcBorders>
              <w:top w:val="single" w:sz="4" w:space="0" w:color="auto"/>
              <w:left w:val="single" w:sz="4" w:space="0" w:color="auto"/>
              <w:bottom w:val="single" w:sz="4" w:space="0" w:color="auto"/>
              <w:right w:val="single" w:sz="4" w:space="0" w:color="auto"/>
            </w:tcBorders>
            <w:hideMark/>
          </w:tcPr>
          <w:p w14:paraId="22BBDB72" w14:textId="77777777" w:rsidR="00497CE3" w:rsidRDefault="00497CE3" w:rsidP="00497CE3">
            <w:pPr>
              <w:jc w:val="center"/>
              <w:rPr>
                <w:sz w:val="22"/>
              </w:rPr>
            </w:pPr>
            <w:r>
              <w:rPr>
                <w:sz w:val="22"/>
              </w:rPr>
              <w:t>35</w:t>
            </w:r>
          </w:p>
        </w:tc>
      </w:tr>
      <w:tr w:rsidR="00497CE3" w14:paraId="61E6371E"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3D5CFD4E" w14:textId="77777777" w:rsidR="00497CE3" w:rsidRDefault="00497CE3" w:rsidP="00497CE3">
            <w:pPr>
              <w:rPr>
                <w:sz w:val="22"/>
              </w:rPr>
            </w:pPr>
            <w:r>
              <w:rPr>
                <w:sz w:val="22"/>
              </w:rPr>
              <w:t>Skull roof</w:t>
            </w:r>
          </w:p>
        </w:tc>
        <w:tc>
          <w:tcPr>
            <w:tcW w:w="305" w:type="pct"/>
            <w:tcBorders>
              <w:top w:val="single" w:sz="4" w:space="0" w:color="auto"/>
              <w:left w:val="single" w:sz="4" w:space="0" w:color="auto"/>
              <w:bottom w:val="single" w:sz="4" w:space="0" w:color="auto"/>
              <w:right w:val="single" w:sz="4" w:space="0" w:color="auto"/>
            </w:tcBorders>
            <w:hideMark/>
          </w:tcPr>
          <w:p w14:paraId="336E5EA5" w14:textId="77777777" w:rsidR="00497CE3" w:rsidRDefault="00497CE3" w:rsidP="00497CE3">
            <w:pPr>
              <w:jc w:val="center"/>
              <w:rPr>
                <w:sz w:val="22"/>
              </w:rPr>
            </w:pPr>
            <w:r>
              <w:rPr>
                <w:sz w:val="22"/>
              </w:rPr>
              <w:t>5</w:t>
            </w:r>
          </w:p>
        </w:tc>
        <w:tc>
          <w:tcPr>
            <w:tcW w:w="457" w:type="pct"/>
            <w:tcBorders>
              <w:top w:val="single" w:sz="4" w:space="0" w:color="auto"/>
              <w:left w:val="single" w:sz="4" w:space="0" w:color="auto"/>
              <w:bottom w:val="single" w:sz="4" w:space="0" w:color="auto"/>
              <w:right w:val="single" w:sz="4" w:space="0" w:color="auto"/>
            </w:tcBorders>
            <w:hideMark/>
          </w:tcPr>
          <w:p w14:paraId="2C31BA75" w14:textId="77777777" w:rsidR="00497CE3" w:rsidRDefault="00497CE3" w:rsidP="00497CE3">
            <w:pPr>
              <w:jc w:val="center"/>
              <w:rPr>
                <w:sz w:val="22"/>
              </w:rPr>
            </w:pPr>
            <w:r>
              <w:rPr>
                <w:sz w:val="22"/>
              </w:rPr>
              <w:t>14</w:t>
            </w:r>
          </w:p>
        </w:tc>
        <w:tc>
          <w:tcPr>
            <w:tcW w:w="559" w:type="pct"/>
            <w:tcBorders>
              <w:top w:val="single" w:sz="4" w:space="0" w:color="auto"/>
              <w:left w:val="single" w:sz="4" w:space="0" w:color="auto"/>
              <w:bottom w:val="single" w:sz="4" w:space="0" w:color="auto"/>
              <w:right w:val="single" w:sz="4" w:space="0" w:color="auto"/>
            </w:tcBorders>
            <w:hideMark/>
          </w:tcPr>
          <w:p w14:paraId="0ACADE2B" w14:textId="77777777" w:rsidR="00497CE3" w:rsidRDefault="00497CE3" w:rsidP="00497CE3">
            <w:pPr>
              <w:jc w:val="center"/>
              <w:rPr>
                <w:sz w:val="22"/>
              </w:rPr>
            </w:pPr>
            <w:r>
              <w:rPr>
                <w:sz w:val="22"/>
              </w:rPr>
              <w:t>33</w:t>
            </w:r>
          </w:p>
        </w:tc>
        <w:tc>
          <w:tcPr>
            <w:tcW w:w="407" w:type="pct"/>
            <w:tcBorders>
              <w:top w:val="single" w:sz="4" w:space="0" w:color="auto"/>
              <w:left w:val="single" w:sz="4" w:space="0" w:color="auto"/>
              <w:bottom w:val="single" w:sz="4" w:space="0" w:color="auto"/>
              <w:right w:val="single" w:sz="4" w:space="0" w:color="auto"/>
            </w:tcBorders>
            <w:hideMark/>
          </w:tcPr>
          <w:p w14:paraId="23B9CBEC" w14:textId="77777777" w:rsidR="00497CE3" w:rsidRDefault="00497CE3" w:rsidP="00497CE3">
            <w:pPr>
              <w:jc w:val="center"/>
              <w:rPr>
                <w:sz w:val="22"/>
              </w:rPr>
            </w:pPr>
            <w:r>
              <w:rPr>
                <w:sz w:val="22"/>
              </w:rPr>
              <w:t>33</w:t>
            </w:r>
          </w:p>
        </w:tc>
        <w:tc>
          <w:tcPr>
            <w:tcW w:w="508" w:type="pct"/>
            <w:tcBorders>
              <w:top w:val="single" w:sz="4" w:space="0" w:color="auto"/>
              <w:left w:val="single" w:sz="4" w:space="0" w:color="auto"/>
              <w:bottom w:val="single" w:sz="4" w:space="0" w:color="auto"/>
              <w:right w:val="single" w:sz="4" w:space="0" w:color="auto"/>
            </w:tcBorders>
            <w:hideMark/>
          </w:tcPr>
          <w:p w14:paraId="29D0EE55" w14:textId="77777777" w:rsidR="00497CE3" w:rsidRDefault="00497CE3" w:rsidP="00497CE3">
            <w:pPr>
              <w:jc w:val="center"/>
              <w:rPr>
                <w:sz w:val="22"/>
              </w:rPr>
            </w:pPr>
            <w:r>
              <w:rPr>
                <w:sz w:val="22"/>
              </w:rPr>
              <w:t>31</w:t>
            </w:r>
          </w:p>
        </w:tc>
        <w:tc>
          <w:tcPr>
            <w:tcW w:w="432" w:type="pct"/>
            <w:tcBorders>
              <w:top w:val="single" w:sz="4" w:space="0" w:color="auto"/>
              <w:left w:val="single" w:sz="4" w:space="0" w:color="auto"/>
              <w:bottom w:val="single" w:sz="4" w:space="0" w:color="auto"/>
              <w:right w:val="single" w:sz="4" w:space="0" w:color="auto"/>
            </w:tcBorders>
            <w:hideMark/>
          </w:tcPr>
          <w:p w14:paraId="4F54054D" w14:textId="77777777" w:rsidR="00497CE3" w:rsidRDefault="00497CE3" w:rsidP="00497CE3">
            <w:pPr>
              <w:jc w:val="center"/>
              <w:rPr>
                <w:sz w:val="22"/>
              </w:rPr>
            </w:pPr>
            <w:r>
              <w:rPr>
                <w:sz w:val="22"/>
              </w:rPr>
              <w:t>34</w:t>
            </w:r>
          </w:p>
        </w:tc>
        <w:tc>
          <w:tcPr>
            <w:tcW w:w="481" w:type="pct"/>
            <w:tcBorders>
              <w:top w:val="single" w:sz="4" w:space="0" w:color="auto"/>
              <w:left w:val="single" w:sz="4" w:space="0" w:color="auto"/>
              <w:bottom w:val="single" w:sz="4" w:space="0" w:color="auto"/>
              <w:right w:val="single" w:sz="4" w:space="0" w:color="auto"/>
            </w:tcBorders>
            <w:hideMark/>
          </w:tcPr>
          <w:p w14:paraId="655C2D51" w14:textId="77777777" w:rsidR="00497CE3" w:rsidRDefault="00497CE3" w:rsidP="00497CE3">
            <w:pPr>
              <w:jc w:val="center"/>
              <w:rPr>
                <w:sz w:val="22"/>
              </w:rPr>
            </w:pPr>
            <w:r>
              <w:rPr>
                <w:sz w:val="22"/>
              </w:rPr>
              <w:t>34</w:t>
            </w:r>
          </w:p>
        </w:tc>
        <w:tc>
          <w:tcPr>
            <w:tcW w:w="481" w:type="pct"/>
            <w:tcBorders>
              <w:top w:val="single" w:sz="4" w:space="0" w:color="auto"/>
              <w:left w:val="single" w:sz="4" w:space="0" w:color="auto"/>
              <w:bottom w:val="single" w:sz="4" w:space="0" w:color="auto"/>
              <w:right w:val="single" w:sz="4" w:space="0" w:color="auto"/>
            </w:tcBorders>
            <w:hideMark/>
          </w:tcPr>
          <w:p w14:paraId="1C436E2B" w14:textId="77777777" w:rsidR="00497CE3" w:rsidRDefault="00497CE3" w:rsidP="00497CE3">
            <w:pPr>
              <w:jc w:val="center"/>
              <w:rPr>
                <w:sz w:val="22"/>
              </w:rPr>
            </w:pPr>
            <w:r>
              <w:rPr>
                <w:sz w:val="22"/>
              </w:rPr>
              <w:t>41</w:t>
            </w:r>
          </w:p>
        </w:tc>
      </w:tr>
      <w:tr w:rsidR="00497CE3" w14:paraId="2C52678A"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57DD6F63" w14:textId="77777777" w:rsidR="00497CE3" w:rsidRDefault="00497CE3" w:rsidP="00497CE3">
            <w:pPr>
              <w:rPr>
                <w:sz w:val="22"/>
              </w:rPr>
            </w:pPr>
            <w:r>
              <w:rPr>
                <w:sz w:val="22"/>
              </w:rPr>
              <w:t>Orbit &amp; temporal region</w:t>
            </w:r>
          </w:p>
        </w:tc>
        <w:tc>
          <w:tcPr>
            <w:tcW w:w="305" w:type="pct"/>
            <w:tcBorders>
              <w:top w:val="single" w:sz="4" w:space="0" w:color="auto"/>
              <w:left w:val="single" w:sz="4" w:space="0" w:color="auto"/>
              <w:bottom w:val="single" w:sz="4" w:space="0" w:color="auto"/>
              <w:right w:val="single" w:sz="4" w:space="0" w:color="auto"/>
            </w:tcBorders>
            <w:hideMark/>
          </w:tcPr>
          <w:p w14:paraId="6506FB9C" w14:textId="77777777" w:rsidR="00497CE3" w:rsidRDefault="00497CE3" w:rsidP="00497CE3">
            <w:pPr>
              <w:jc w:val="center"/>
              <w:rPr>
                <w:sz w:val="22"/>
              </w:rPr>
            </w:pPr>
            <w:r>
              <w:rPr>
                <w:sz w:val="22"/>
              </w:rPr>
              <w:t>4</w:t>
            </w:r>
          </w:p>
        </w:tc>
        <w:tc>
          <w:tcPr>
            <w:tcW w:w="457" w:type="pct"/>
            <w:tcBorders>
              <w:top w:val="single" w:sz="4" w:space="0" w:color="auto"/>
              <w:left w:val="single" w:sz="4" w:space="0" w:color="auto"/>
              <w:bottom w:val="single" w:sz="4" w:space="0" w:color="auto"/>
              <w:right w:val="single" w:sz="4" w:space="0" w:color="auto"/>
            </w:tcBorders>
            <w:hideMark/>
          </w:tcPr>
          <w:p w14:paraId="57EF76EC" w14:textId="77777777" w:rsidR="00497CE3" w:rsidRDefault="00497CE3" w:rsidP="00497CE3">
            <w:pPr>
              <w:jc w:val="center"/>
              <w:rPr>
                <w:sz w:val="22"/>
              </w:rPr>
            </w:pPr>
            <w:r>
              <w:rPr>
                <w:sz w:val="22"/>
              </w:rPr>
              <w:t>7</w:t>
            </w:r>
          </w:p>
        </w:tc>
        <w:tc>
          <w:tcPr>
            <w:tcW w:w="559" w:type="pct"/>
            <w:tcBorders>
              <w:top w:val="single" w:sz="4" w:space="0" w:color="auto"/>
              <w:left w:val="single" w:sz="4" w:space="0" w:color="auto"/>
              <w:bottom w:val="single" w:sz="4" w:space="0" w:color="auto"/>
              <w:right w:val="single" w:sz="4" w:space="0" w:color="auto"/>
            </w:tcBorders>
            <w:hideMark/>
          </w:tcPr>
          <w:p w14:paraId="18B2211D" w14:textId="77777777" w:rsidR="00497CE3" w:rsidRDefault="00497CE3" w:rsidP="00497CE3">
            <w:pPr>
              <w:jc w:val="center"/>
              <w:rPr>
                <w:sz w:val="22"/>
              </w:rPr>
            </w:pPr>
            <w:r>
              <w:rPr>
                <w:sz w:val="22"/>
              </w:rPr>
              <w:t>16</w:t>
            </w:r>
          </w:p>
        </w:tc>
        <w:tc>
          <w:tcPr>
            <w:tcW w:w="407" w:type="pct"/>
            <w:tcBorders>
              <w:top w:val="single" w:sz="4" w:space="0" w:color="auto"/>
              <w:left w:val="single" w:sz="4" w:space="0" w:color="auto"/>
              <w:bottom w:val="single" w:sz="4" w:space="0" w:color="auto"/>
              <w:right w:val="single" w:sz="4" w:space="0" w:color="auto"/>
            </w:tcBorders>
            <w:hideMark/>
          </w:tcPr>
          <w:p w14:paraId="04AD2629" w14:textId="77777777" w:rsidR="00497CE3" w:rsidRDefault="00497CE3" w:rsidP="00497CE3">
            <w:pPr>
              <w:jc w:val="center"/>
              <w:rPr>
                <w:sz w:val="22"/>
              </w:rPr>
            </w:pPr>
            <w:r>
              <w:rPr>
                <w:sz w:val="22"/>
              </w:rPr>
              <w:t>16</w:t>
            </w:r>
          </w:p>
        </w:tc>
        <w:tc>
          <w:tcPr>
            <w:tcW w:w="508" w:type="pct"/>
            <w:tcBorders>
              <w:top w:val="single" w:sz="4" w:space="0" w:color="auto"/>
              <w:left w:val="single" w:sz="4" w:space="0" w:color="auto"/>
              <w:bottom w:val="single" w:sz="4" w:space="0" w:color="auto"/>
              <w:right w:val="single" w:sz="4" w:space="0" w:color="auto"/>
            </w:tcBorders>
            <w:hideMark/>
          </w:tcPr>
          <w:p w14:paraId="019DB775" w14:textId="77777777" w:rsidR="00497CE3" w:rsidRDefault="00497CE3" w:rsidP="00497CE3">
            <w:pPr>
              <w:jc w:val="center"/>
              <w:rPr>
                <w:sz w:val="22"/>
              </w:rPr>
            </w:pPr>
            <w:r>
              <w:rPr>
                <w:sz w:val="22"/>
              </w:rPr>
              <w:t>15</w:t>
            </w:r>
          </w:p>
        </w:tc>
        <w:tc>
          <w:tcPr>
            <w:tcW w:w="432" w:type="pct"/>
            <w:tcBorders>
              <w:top w:val="single" w:sz="4" w:space="0" w:color="auto"/>
              <w:left w:val="single" w:sz="4" w:space="0" w:color="auto"/>
              <w:bottom w:val="single" w:sz="4" w:space="0" w:color="auto"/>
              <w:right w:val="single" w:sz="4" w:space="0" w:color="auto"/>
            </w:tcBorders>
            <w:hideMark/>
          </w:tcPr>
          <w:p w14:paraId="1A93BEB3" w14:textId="77777777" w:rsidR="00497CE3" w:rsidRDefault="00497CE3" w:rsidP="00497CE3">
            <w:pPr>
              <w:jc w:val="center"/>
              <w:rPr>
                <w:sz w:val="22"/>
              </w:rPr>
            </w:pPr>
            <w:r>
              <w:rPr>
                <w:sz w:val="22"/>
              </w:rPr>
              <w:t>19</w:t>
            </w:r>
          </w:p>
        </w:tc>
        <w:tc>
          <w:tcPr>
            <w:tcW w:w="481" w:type="pct"/>
            <w:tcBorders>
              <w:top w:val="single" w:sz="4" w:space="0" w:color="auto"/>
              <w:left w:val="single" w:sz="4" w:space="0" w:color="auto"/>
              <w:bottom w:val="single" w:sz="4" w:space="0" w:color="auto"/>
              <w:right w:val="single" w:sz="4" w:space="0" w:color="auto"/>
            </w:tcBorders>
            <w:hideMark/>
          </w:tcPr>
          <w:p w14:paraId="31079F8A" w14:textId="77777777" w:rsidR="00497CE3" w:rsidRDefault="00497CE3" w:rsidP="00497CE3">
            <w:pPr>
              <w:jc w:val="center"/>
              <w:rPr>
                <w:sz w:val="22"/>
              </w:rPr>
            </w:pPr>
            <w:r>
              <w:rPr>
                <w:sz w:val="22"/>
              </w:rPr>
              <w:t>19</w:t>
            </w:r>
          </w:p>
        </w:tc>
        <w:tc>
          <w:tcPr>
            <w:tcW w:w="481" w:type="pct"/>
            <w:tcBorders>
              <w:top w:val="single" w:sz="4" w:space="0" w:color="auto"/>
              <w:left w:val="single" w:sz="4" w:space="0" w:color="auto"/>
              <w:bottom w:val="single" w:sz="4" w:space="0" w:color="auto"/>
              <w:right w:val="single" w:sz="4" w:space="0" w:color="auto"/>
            </w:tcBorders>
            <w:hideMark/>
          </w:tcPr>
          <w:p w14:paraId="0C802D31" w14:textId="77777777" w:rsidR="00497CE3" w:rsidRDefault="00497CE3" w:rsidP="00497CE3">
            <w:pPr>
              <w:jc w:val="center"/>
              <w:rPr>
                <w:sz w:val="22"/>
              </w:rPr>
            </w:pPr>
            <w:r>
              <w:rPr>
                <w:sz w:val="22"/>
              </w:rPr>
              <w:t>22</w:t>
            </w:r>
          </w:p>
        </w:tc>
      </w:tr>
      <w:tr w:rsidR="00497CE3" w14:paraId="649CB3D9"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705AD3D6" w14:textId="77777777" w:rsidR="00497CE3" w:rsidRDefault="00497CE3" w:rsidP="00497CE3">
            <w:pPr>
              <w:rPr>
                <w:sz w:val="22"/>
              </w:rPr>
            </w:pPr>
            <w:r>
              <w:rPr>
                <w:sz w:val="22"/>
              </w:rPr>
              <w:t>Palate &amp; perichoanal structures</w:t>
            </w:r>
          </w:p>
        </w:tc>
        <w:tc>
          <w:tcPr>
            <w:tcW w:w="305" w:type="pct"/>
            <w:tcBorders>
              <w:top w:val="single" w:sz="4" w:space="0" w:color="auto"/>
              <w:left w:val="single" w:sz="4" w:space="0" w:color="auto"/>
              <w:bottom w:val="single" w:sz="4" w:space="0" w:color="auto"/>
              <w:right w:val="single" w:sz="4" w:space="0" w:color="auto"/>
            </w:tcBorders>
            <w:hideMark/>
          </w:tcPr>
          <w:p w14:paraId="677DB1DD" w14:textId="77777777" w:rsidR="00497CE3" w:rsidRDefault="00497CE3" w:rsidP="00497CE3">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5C1D49EB" w14:textId="77777777" w:rsidR="00497CE3" w:rsidRDefault="00497CE3" w:rsidP="00497CE3">
            <w:pPr>
              <w:jc w:val="center"/>
              <w:rPr>
                <w:sz w:val="22"/>
              </w:rPr>
            </w:pPr>
            <w:r>
              <w:rPr>
                <w:sz w:val="22"/>
              </w:rPr>
              <w:t>3</w:t>
            </w:r>
          </w:p>
        </w:tc>
        <w:tc>
          <w:tcPr>
            <w:tcW w:w="559" w:type="pct"/>
            <w:tcBorders>
              <w:top w:val="single" w:sz="4" w:space="0" w:color="auto"/>
              <w:left w:val="single" w:sz="4" w:space="0" w:color="auto"/>
              <w:bottom w:val="single" w:sz="4" w:space="0" w:color="auto"/>
              <w:right w:val="single" w:sz="4" w:space="0" w:color="auto"/>
            </w:tcBorders>
            <w:hideMark/>
          </w:tcPr>
          <w:p w14:paraId="6AA9A605" w14:textId="77777777" w:rsidR="00497CE3" w:rsidRDefault="00497CE3" w:rsidP="00497CE3">
            <w:pPr>
              <w:jc w:val="center"/>
              <w:rPr>
                <w:sz w:val="22"/>
              </w:rPr>
            </w:pPr>
            <w:r>
              <w:rPr>
                <w:sz w:val="22"/>
              </w:rPr>
              <w:t>7</w:t>
            </w:r>
          </w:p>
        </w:tc>
        <w:tc>
          <w:tcPr>
            <w:tcW w:w="407" w:type="pct"/>
            <w:tcBorders>
              <w:top w:val="single" w:sz="4" w:space="0" w:color="auto"/>
              <w:left w:val="single" w:sz="4" w:space="0" w:color="auto"/>
              <w:bottom w:val="single" w:sz="4" w:space="0" w:color="auto"/>
              <w:right w:val="single" w:sz="4" w:space="0" w:color="auto"/>
            </w:tcBorders>
            <w:hideMark/>
          </w:tcPr>
          <w:p w14:paraId="0952EC01" w14:textId="77777777" w:rsidR="00497CE3" w:rsidRDefault="00497CE3" w:rsidP="00497CE3">
            <w:pPr>
              <w:jc w:val="center"/>
              <w:rPr>
                <w:sz w:val="22"/>
              </w:rPr>
            </w:pPr>
            <w:r>
              <w:rPr>
                <w:sz w:val="22"/>
              </w:rPr>
              <w:t>10</w:t>
            </w:r>
          </w:p>
        </w:tc>
        <w:tc>
          <w:tcPr>
            <w:tcW w:w="508" w:type="pct"/>
            <w:tcBorders>
              <w:top w:val="single" w:sz="4" w:space="0" w:color="auto"/>
              <w:left w:val="single" w:sz="4" w:space="0" w:color="auto"/>
              <w:bottom w:val="single" w:sz="4" w:space="0" w:color="auto"/>
              <w:right w:val="single" w:sz="4" w:space="0" w:color="auto"/>
            </w:tcBorders>
            <w:hideMark/>
          </w:tcPr>
          <w:p w14:paraId="4D34A234" w14:textId="77777777" w:rsidR="00497CE3" w:rsidRDefault="00497CE3" w:rsidP="00497CE3">
            <w:pPr>
              <w:jc w:val="center"/>
              <w:rPr>
                <w:sz w:val="22"/>
              </w:rPr>
            </w:pPr>
            <w:r>
              <w:rPr>
                <w:sz w:val="22"/>
              </w:rPr>
              <w:t>9</w:t>
            </w:r>
          </w:p>
        </w:tc>
        <w:tc>
          <w:tcPr>
            <w:tcW w:w="432" w:type="pct"/>
            <w:tcBorders>
              <w:top w:val="single" w:sz="4" w:space="0" w:color="auto"/>
              <w:left w:val="single" w:sz="4" w:space="0" w:color="auto"/>
              <w:bottom w:val="single" w:sz="4" w:space="0" w:color="auto"/>
              <w:right w:val="single" w:sz="4" w:space="0" w:color="auto"/>
            </w:tcBorders>
            <w:hideMark/>
          </w:tcPr>
          <w:p w14:paraId="773F756F" w14:textId="77777777" w:rsidR="00497CE3" w:rsidRDefault="00497CE3" w:rsidP="00497CE3">
            <w:pPr>
              <w:jc w:val="center"/>
              <w:rPr>
                <w:sz w:val="22"/>
              </w:rPr>
            </w:pPr>
            <w:r>
              <w:rPr>
                <w:sz w:val="22"/>
              </w:rPr>
              <w:t>13</w:t>
            </w:r>
          </w:p>
        </w:tc>
        <w:tc>
          <w:tcPr>
            <w:tcW w:w="481" w:type="pct"/>
            <w:tcBorders>
              <w:top w:val="single" w:sz="4" w:space="0" w:color="auto"/>
              <w:left w:val="single" w:sz="4" w:space="0" w:color="auto"/>
              <w:bottom w:val="single" w:sz="4" w:space="0" w:color="auto"/>
              <w:right w:val="single" w:sz="4" w:space="0" w:color="auto"/>
            </w:tcBorders>
            <w:hideMark/>
          </w:tcPr>
          <w:p w14:paraId="58892DA4" w14:textId="77777777" w:rsidR="00497CE3" w:rsidRDefault="00497CE3" w:rsidP="00497CE3">
            <w:pPr>
              <w:jc w:val="center"/>
              <w:rPr>
                <w:sz w:val="22"/>
              </w:rPr>
            </w:pPr>
            <w:r>
              <w:rPr>
                <w:sz w:val="22"/>
              </w:rPr>
              <w:t>14</w:t>
            </w:r>
          </w:p>
        </w:tc>
        <w:tc>
          <w:tcPr>
            <w:tcW w:w="481" w:type="pct"/>
            <w:tcBorders>
              <w:top w:val="single" w:sz="4" w:space="0" w:color="auto"/>
              <w:left w:val="single" w:sz="4" w:space="0" w:color="auto"/>
              <w:bottom w:val="single" w:sz="4" w:space="0" w:color="auto"/>
              <w:right w:val="single" w:sz="4" w:space="0" w:color="auto"/>
            </w:tcBorders>
            <w:hideMark/>
          </w:tcPr>
          <w:p w14:paraId="21A8D268" w14:textId="77777777" w:rsidR="00497CE3" w:rsidRDefault="00497CE3" w:rsidP="00497CE3">
            <w:pPr>
              <w:jc w:val="center"/>
              <w:rPr>
                <w:sz w:val="22"/>
              </w:rPr>
            </w:pPr>
            <w:r>
              <w:rPr>
                <w:sz w:val="22"/>
              </w:rPr>
              <w:t>15</w:t>
            </w:r>
          </w:p>
        </w:tc>
      </w:tr>
      <w:tr w:rsidR="00497CE3" w14:paraId="752854E1"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6AAC8464" w14:textId="77777777" w:rsidR="00497CE3" w:rsidRDefault="00497CE3" w:rsidP="00497CE3">
            <w:pPr>
              <w:rPr>
                <w:sz w:val="22"/>
              </w:rPr>
            </w:pPr>
            <w:r>
              <w:rPr>
                <w:sz w:val="22"/>
              </w:rPr>
              <w:t>Occipital</w:t>
            </w:r>
          </w:p>
        </w:tc>
        <w:tc>
          <w:tcPr>
            <w:tcW w:w="305" w:type="pct"/>
            <w:tcBorders>
              <w:top w:val="single" w:sz="4" w:space="0" w:color="auto"/>
              <w:left w:val="single" w:sz="4" w:space="0" w:color="auto"/>
              <w:bottom w:val="single" w:sz="4" w:space="0" w:color="auto"/>
              <w:right w:val="single" w:sz="4" w:space="0" w:color="auto"/>
            </w:tcBorders>
            <w:hideMark/>
          </w:tcPr>
          <w:p w14:paraId="775FD421" w14:textId="77777777" w:rsidR="00497CE3" w:rsidRDefault="00497CE3" w:rsidP="00497CE3">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3259F418" w14:textId="77777777" w:rsidR="00497CE3" w:rsidRDefault="00497CE3" w:rsidP="00497CE3">
            <w:pPr>
              <w:jc w:val="center"/>
              <w:rPr>
                <w:sz w:val="22"/>
              </w:rPr>
            </w:pPr>
            <w:r>
              <w:rPr>
                <w:sz w:val="22"/>
              </w:rPr>
              <w:t>3</w:t>
            </w:r>
          </w:p>
        </w:tc>
        <w:tc>
          <w:tcPr>
            <w:tcW w:w="559" w:type="pct"/>
            <w:tcBorders>
              <w:top w:val="single" w:sz="4" w:space="0" w:color="auto"/>
              <w:left w:val="single" w:sz="4" w:space="0" w:color="auto"/>
              <w:bottom w:val="single" w:sz="4" w:space="0" w:color="auto"/>
              <w:right w:val="single" w:sz="4" w:space="0" w:color="auto"/>
            </w:tcBorders>
            <w:hideMark/>
          </w:tcPr>
          <w:p w14:paraId="3FF60B2B" w14:textId="77777777" w:rsidR="00497CE3" w:rsidRDefault="00497CE3" w:rsidP="00497CE3">
            <w:pPr>
              <w:jc w:val="center"/>
              <w:rPr>
                <w:sz w:val="22"/>
              </w:rPr>
            </w:pPr>
            <w:r>
              <w:rPr>
                <w:sz w:val="22"/>
              </w:rPr>
              <w:t>6</w:t>
            </w:r>
          </w:p>
        </w:tc>
        <w:tc>
          <w:tcPr>
            <w:tcW w:w="407" w:type="pct"/>
            <w:tcBorders>
              <w:top w:val="single" w:sz="4" w:space="0" w:color="auto"/>
              <w:left w:val="single" w:sz="4" w:space="0" w:color="auto"/>
              <w:bottom w:val="single" w:sz="4" w:space="0" w:color="auto"/>
              <w:right w:val="single" w:sz="4" w:space="0" w:color="auto"/>
            </w:tcBorders>
            <w:hideMark/>
          </w:tcPr>
          <w:p w14:paraId="5D175147" w14:textId="77777777" w:rsidR="00497CE3" w:rsidRDefault="00497CE3" w:rsidP="00497CE3">
            <w:pPr>
              <w:jc w:val="center"/>
              <w:rPr>
                <w:sz w:val="22"/>
              </w:rPr>
            </w:pPr>
            <w:r>
              <w:rPr>
                <w:sz w:val="22"/>
              </w:rPr>
              <w:t>7</w:t>
            </w:r>
          </w:p>
        </w:tc>
        <w:tc>
          <w:tcPr>
            <w:tcW w:w="508" w:type="pct"/>
            <w:tcBorders>
              <w:top w:val="single" w:sz="4" w:space="0" w:color="auto"/>
              <w:left w:val="single" w:sz="4" w:space="0" w:color="auto"/>
              <w:bottom w:val="single" w:sz="4" w:space="0" w:color="auto"/>
              <w:right w:val="single" w:sz="4" w:space="0" w:color="auto"/>
            </w:tcBorders>
            <w:hideMark/>
          </w:tcPr>
          <w:p w14:paraId="6295F6C5" w14:textId="77777777" w:rsidR="00497CE3" w:rsidRDefault="00497CE3" w:rsidP="00497CE3">
            <w:pPr>
              <w:jc w:val="center"/>
              <w:rPr>
                <w:sz w:val="22"/>
              </w:rPr>
            </w:pPr>
            <w:r>
              <w:rPr>
                <w:sz w:val="22"/>
              </w:rPr>
              <w:t>8</w:t>
            </w:r>
          </w:p>
        </w:tc>
        <w:tc>
          <w:tcPr>
            <w:tcW w:w="432" w:type="pct"/>
            <w:tcBorders>
              <w:top w:val="single" w:sz="4" w:space="0" w:color="auto"/>
              <w:left w:val="single" w:sz="4" w:space="0" w:color="auto"/>
              <w:bottom w:val="single" w:sz="4" w:space="0" w:color="auto"/>
              <w:right w:val="single" w:sz="4" w:space="0" w:color="auto"/>
            </w:tcBorders>
            <w:hideMark/>
          </w:tcPr>
          <w:p w14:paraId="2E28C593" w14:textId="77777777" w:rsidR="00497CE3" w:rsidRDefault="00497CE3" w:rsidP="00497CE3">
            <w:pPr>
              <w:jc w:val="center"/>
              <w:rPr>
                <w:sz w:val="22"/>
              </w:rPr>
            </w:pPr>
            <w:r>
              <w:rPr>
                <w:sz w:val="22"/>
              </w:rPr>
              <w:t>8</w:t>
            </w:r>
          </w:p>
        </w:tc>
        <w:tc>
          <w:tcPr>
            <w:tcW w:w="481" w:type="pct"/>
            <w:tcBorders>
              <w:top w:val="single" w:sz="4" w:space="0" w:color="auto"/>
              <w:left w:val="single" w:sz="4" w:space="0" w:color="auto"/>
              <w:bottom w:val="single" w:sz="4" w:space="0" w:color="auto"/>
              <w:right w:val="single" w:sz="4" w:space="0" w:color="auto"/>
            </w:tcBorders>
            <w:hideMark/>
          </w:tcPr>
          <w:p w14:paraId="6D30625B" w14:textId="77777777" w:rsidR="00497CE3" w:rsidRDefault="00497CE3" w:rsidP="00497CE3">
            <w:pPr>
              <w:jc w:val="center"/>
              <w:rPr>
                <w:sz w:val="22"/>
              </w:rPr>
            </w:pPr>
            <w:r>
              <w:rPr>
                <w:sz w:val="22"/>
              </w:rPr>
              <w:t>8</w:t>
            </w:r>
          </w:p>
        </w:tc>
        <w:tc>
          <w:tcPr>
            <w:tcW w:w="481" w:type="pct"/>
            <w:tcBorders>
              <w:top w:val="single" w:sz="4" w:space="0" w:color="auto"/>
              <w:left w:val="single" w:sz="4" w:space="0" w:color="auto"/>
              <w:bottom w:val="single" w:sz="4" w:space="0" w:color="auto"/>
              <w:right w:val="single" w:sz="4" w:space="0" w:color="auto"/>
            </w:tcBorders>
            <w:hideMark/>
          </w:tcPr>
          <w:p w14:paraId="743A219C" w14:textId="77777777" w:rsidR="00497CE3" w:rsidRDefault="00497CE3" w:rsidP="00497CE3">
            <w:pPr>
              <w:jc w:val="center"/>
              <w:rPr>
                <w:sz w:val="22"/>
              </w:rPr>
            </w:pPr>
            <w:r>
              <w:rPr>
                <w:sz w:val="22"/>
              </w:rPr>
              <w:t>9</w:t>
            </w:r>
          </w:p>
        </w:tc>
      </w:tr>
      <w:tr w:rsidR="00497CE3" w14:paraId="3CDAA828"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274D3BA5" w14:textId="77777777" w:rsidR="00497CE3" w:rsidRDefault="00497CE3" w:rsidP="00497CE3">
            <w:pPr>
              <w:rPr>
                <w:sz w:val="22"/>
              </w:rPr>
            </w:pPr>
            <w:r>
              <w:rPr>
                <w:sz w:val="22"/>
              </w:rPr>
              <w:t>Braincase, basicranium &amp; suspensorium</w:t>
            </w:r>
          </w:p>
        </w:tc>
        <w:tc>
          <w:tcPr>
            <w:tcW w:w="305" w:type="pct"/>
            <w:tcBorders>
              <w:top w:val="single" w:sz="4" w:space="0" w:color="auto"/>
              <w:left w:val="single" w:sz="4" w:space="0" w:color="auto"/>
              <w:bottom w:val="single" w:sz="4" w:space="0" w:color="auto"/>
              <w:right w:val="single" w:sz="4" w:space="0" w:color="auto"/>
            </w:tcBorders>
            <w:hideMark/>
          </w:tcPr>
          <w:p w14:paraId="58F5DED0" w14:textId="77777777" w:rsidR="00497CE3" w:rsidRDefault="00497CE3" w:rsidP="00497CE3">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6B71C267" w14:textId="77777777" w:rsidR="00497CE3" w:rsidRDefault="00497CE3" w:rsidP="00497CE3">
            <w:pPr>
              <w:jc w:val="center"/>
              <w:rPr>
                <w:sz w:val="22"/>
              </w:rPr>
            </w:pPr>
            <w:r>
              <w:rPr>
                <w:sz w:val="22"/>
              </w:rPr>
              <w:t>2</w:t>
            </w:r>
          </w:p>
        </w:tc>
        <w:tc>
          <w:tcPr>
            <w:tcW w:w="559" w:type="pct"/>
            <w:tcBorders>
              <w:top w:val="single" w:sz="4" w:space="0" w:color="auto"/>
              <w:left w:val="single" w:sz="4" w:space="0" w:color="auto"/>
              <w:bottom w:val="single" w:sz="4" w:space="0" w:color="auto"/>
              <w:right w:val="single" w:sz="4" w:space="0" w:color="auto"/>
            </w:tcBorders>
            <w:hideMark/>
          </w:tcPr>
          <w:p w14:paraId="063BD864" w14:textId="77777777" w:rsidR="00497CE3" w:rsidRDefault="00497CE3" w:rsidP="00497CE3">
            <w:pPr>
              <w:jc w:val="center"/>
              <w:rPr>
                <w:sz w:val="22"/>
              </w:rPr>
            </w:pPr>
            <w:r>
              <w:rPr>
                <w:sz w:val="22"/>
              </w:rPr>
              <w:t>10</w:t>
            </w:r>
          </w:p>
        </w:tc>
        <w:tc>
          <w:tcPr>
            <w:tcW w:w="407" w:type="pct"/>
            <w:tcBorders>
              <w:top w:val="single" w:sz="4" w:space="0" w:color="auto"/>
              <w:left w:val="single" w:sz="4" w:space="0" w:color="auto"/>
              <w:bottom w:val="single" w:sz="4" w:space="0" w:color="auto"/>
              <w:right w:val="single" w:sz="4" w:space="0" w:color="auto"/>
            </w:tcBorders>
            <w:hideMark/>
          </w:tcPr>
          <w:p w14:paraId="40E92841" w14:textId="77777777" w:rsidR="00497CE3" w:rsidRDefault="00497CE3" w:rsidP="00497CE3">
            <w:pPr>
              <w:jc w:val="center"/>
              <w:rPr>
                <w:sz w:val="22"/>
              </w:rPr>
            </w:pPr>
            <w:r>
              <w:rPr>
                <w:sz w:val="22"/>
              </w:rPr>
              <w:t>10</w:t>
            </w:r>
          </w:p>
        </w:tc>
        <w:tc>
          <w:tcPr>
            <w:tcW w:w="508" w:type="pct"/>
            <w:tcBorders>
              <w:top w:val="single" w:sz="4" w:space="0" w:color="auto"/>
              <w:left w:val="single" w:sz="4" w:space="0" w:color="auto"/>
              <w:bottom w:val="single" w:sz="4" w:space="0" w:color="auto"/>
              <w:right w:val="single" w:sz="4" w:space="0" w:color="auto"/>
            </w:tcBorders>
            <w:hideMark/>
          </w:tcPr>
          <w:p w14:paraId="4BBA1ABB" w14:textId="77777777" w:rsidR="00497CE3" w:rsidRDefault="00497CE3" w:rsidP="00497CE3">
            <w:pPr>
              <w:jc w:val="center"/>
              <w:rPr>
                <w:sz w:val="22"/>
              </w:rPr>
            </w:pPr>
            <w:r>
              <w:rPr>
                <w:sz w:val="22"/>
              </w:rPr>
              <w:t>13</w:t>
            </w:r>
          </w:p>
        </w:tc>
        <w:tc>
          <w:tcPr>
            <w:tcW w:w="432" w:type="pct"/>
            <w:tcBorders>
              <w:top w:val="single" w:sz="4" w:space="0" w:color="auto"/>
              <w:left w:val="single" w:sz="4" w:space="0" w:color="auto"/>
              <w:bottom w:val="single" w:sz="4" w:space="0" w:color="auto"/>
              <w:right w:val="single" w:sz="4" w:space="0" w:color="auto"/>
            </w:tcBorders>
            <w:hideMark/>
          </w:tcPr>
          <w:p w14:paraId="3DA05EF6" w14:textId="77777777" w:rsidR="00497CE3" w:rsidRDefault="00497CE3" w:rsidP="00497CE3">
            <w:pPr>
              <w:jc w:val="center"/>
              <w:rPr>
                <w:sz w:val="22"/>
              </w:rPr>
            </w:pPr>
            <w:r>
              <w:rPr>
                <w:sz w:val="22"/>
              </w:rPr>
              <w:t>14</w:t>
            </w:r>
          </w:p>
        </w:tc>
        <w:tc>
          <w:tcPr>
            <w:tcW w:w="481" w:type="pct"/>
            <w:tcBorders>
              <w:top w:val="single" w:sz="4" w:space="0" w:color="auto"/>
              <w:left w:val="single" w:sz="4" w:space="0" w:color="auto"/>
              <w:bottom w:val="single" w:sz="4" w:space="0" w:color="auto"/>
              <w:right w:val="single" w:sz="4" w:space="0" w:color="auto"/>
            </w:tcBorders>
            <w:hideMark/>
          </w:tcPr>
          <w:p w14:paraId="4C67D3D7" w14:textId="77777777" w:rsidR="00497CE3" w:rsidRDefault="00497CE3" w:rsidP="00497CE3">
            <w:pPr>
              <w:jc w:val="center"/>
              <w:rPr>
                <w:sz w:val="22"/>
              </w:rPr>
            </w:pPr>
            <w:r>
              <w:rPr>
                <w:sz w:val="22"/>
              </w:rPr>
              <w:t>15</w:t>
            </w:r>
          </w:p>
        </w:tc>
        <w:tc>
          <w:tcPr>
            <w:tcW w:w="481" w:type="pct"/>
            <w:tcBorders>
              <w:top w:val="single" w:sz="4" w:space="0" w:color="auto"/>
              <w:left w:val="single" w:sz="4" w:space="0" w:color="auto"/>
              <w:bottom w:val="single" w:sz="4" w:space="0" w:color="auto"/>
              <w:right w:val="single" w:sz="4" w:space="0" w:color="auto"/>
            </w:tcBorders>
            <w:hideMark/>
          </w:tcPr>
          <w:p w14:paraId="4636BC17" w14:textId="77777777" w:rsidR="00497CE3" w:rsidRDefault="00497CE3" w:rsidP="00497CE3">
            <w:pPr>
              <w:jc w:val="center"/>
              <w:rPr>
                <w:sz w:val="22"/>
              </w:rPr>
            </w:pPr>
            <w:r>
              <w:rPr>
                <w:sz w:val="22"/>
              </w:rPr>
              <w:t>17</w:t>
            </w:r>
          </w:p>
        </w:tc>
      </w:tr>
      <w:tr w:rsidR="00497CE3" w14:paraId="0A2C3BA8"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2B71CC4B" w14:textId="77777777" w:rsidR="00497CE3" w:rsidRDefault="00497CE3" w:rsidP="00497CE3">
            <w:pPr>
              <w:rPr>
                <w:sz w:val="22"/>
              </w:rPr>
            </w:pPr>
            <w:r>
              <w:rPr>
                <w:sz w:val="22"/>
              </w:rPr>
              <w:t>Mandibular geometry</w:t>
            </w:r>
          </w:p>
        </w:tc>
        <w:tc>
          <w:tcPr>
            <w:tcW w:w="305" w:type="pct"/>
            <w:tcBorders>
              <w:top w:val="single" w:sz="4" w:space="0" w:color="auto"/>
              <w:left w:val="single" w:sz="4" w:space="0" w:color="auto"/>
              <w:bottom w:val="single" w:sz="4" w:space="0" w:color="auto"/>
              <w:right w:val="single" w:sz="4" w:space="0" w:color="auto"/>
            </w:tcBorders>
            <w:hideMark/>
          </w:tcPr>
          <w:p w14:paraId="47B710D8" w14:textId="77777777" w:rsidR="00497CE3" w:rsidRDefault="00497CE3" w:rsidP="00497CE3">
            <w:pPr>
              <w:jc w:val="center"/>
              <w:rPr>
                <w:sz w:val="22"/>
              </w:rPr>
            </w:pPr>
            <w:r>
              <w:rPr>
                <w:sz w:val="22"/>
              </w:rPr>
              <w:t>-</w:t>
            </w:r>
          </w:p>
        </w:tc>
        <w:tc>
          <w:tcPr>
            <w:tcW w:w="457" w:type="pct"/>
            <w:tcBorders>
              <w:top w:val="single" w:sz="4" w:space="0" w:color="auto"/>
              <w:left w:val="single" w:sz="4" w:space="0" w:color="auto"/>
              <w:bottom w:val="single" w:sz="4" w:space="0" w:color="auto"/>
              <w:right w:val="single" w:sz="4" w:space="0" w:color="auto"/>
            </w:tcBorders>
            <w:hideMark/>
          </w:tcPr>
          <w:p w14:paraId="550DFFC4" w14:textId="77777777" w:rsidR="00497CE3" w:rsidRDefault="00497CE3" w:rsidP="00497CE3">
            <w:pPr>
              <w:jc w:val="center"/>
              <w:rPr>
                <w:sz w:val="22"/>
              </w:rPr>
            </w:pPr>
            <w:r>
              <w:rPr>
                <w:sz w:val="22"/>
              </w:rPr>
              <w:t>-</w:t>
            </w:r>
          </w:p>
        </w:tc>
        <w:tc>
          <w:tcPr>
            <w:tcW w:w="559" w:type="pct"/>
            <w:tcBorders>
              <w:top w:val="single" w:sz="4" w:space="0" w:color="auto"/>
              <w:left w:val="single" w:sz="4" w:space="0" w:color="auto"/>
              <w:bottom w:val="single" w:sz="4" w:space="0" w:color="auto"/>
              <w:right w:val="single" w:sz="4" w:space="0" w:color="auto"/>
            </w:tcBorders>
            <w:hideMark/>
          </w:tcPr>
          <w:p w14:paraId="1519DF1E" w14:textId="77777777" w:rsidR="00497CE3" w:rsidRDefault="00497CE3" w:rsidP="00497CE3">
            <w:pPr>
              <w:jc w:val="center"/>
              <w:rPr>
                <w:sz w:val="22"/>
              </w:rPr>
            </w:pPr>
            <w:r>
              <w:rPr>
                <w:sz w:val="22"/>
              </w:rPr>
              <w:t>-</w:t>
            </w:r>
          </w:p>
        </w:tc>
        <w:tc>
          <w:tcPr>
            <w:tcW w:w="407" w:type="pct"/>
            <w:tcBorders>
              <w:top w:val="single" w:sz="4" w:space="0" w:color="auto"/>
              <w:left w:val="single" w:sz="4" w:space="0" w:color="auto"/>
              <w:bottom w:val="single" w:sz="4" w:space="0" w:color="auto"/>
              <w:right w:val="single" w:sz="4" w:space="0" w:color="auto"/>
            </w:tcBorders>
            <w:hideMark/>
          </w:tcPr>
          <w:p w14:paraId="1C913E5E" w14:textId="77777777" w:rsidR="00497CE3" w:rsidRDefault="00497CE3" w:rsidP="00497CE3">
            <w:pPr>
              <w:jc w:val="center"/>
              <w:rPr>
                <w:sz w:val="22"/>
              </w:rPr>
            </w:pPr>
            <w:r>
              <w:rPr>
                <w:sz w:val="22"/>
              </w:rPr>
              <w:t>2</w:t>
            </w:r>
          </w:p>
        </w:tc>
        <w:tc>
          <w:tcPr>
            <w:tcW w:w="508" w:type="pct"/>
            <w:tcBorders>
              <w:top w:val="single" w:sz="4" w:space="0" w:color="auto"/>
              <w:left w:val="single" w:sz="4" w:space="0" w:color="auto"/>
              <w:bottom w:val="single" w:sz="4" w:space="0" w:color="auto"/>
              <w:right w:val="single" w:sz="4" w:space="0" w:color="auto"/>
            </w:tcBorders>
            <w:hideMark/>
          </w:tcPr>
          <w:p w14:paraId="0B126608" w14:textId="77777777" w:rsidR="00497CE3" w:rsidRDefault="00497CE3" w:rsidP="00497CE3">
            <w:pPr>
              <w:jc w:val="center"/>
              <w:rPr>
                <w:sz w:val="22"/>
              </w:rPr>
            </w:pPr>
            <w:r>
              <w:rPr>
                <w:sz w:val="22"/>
              </w:rPr>
              <w:t>2</w:t>
            </w:r>
          </w:p>
        </w:tc>
        <w:tc>
          <w:tcPr>
            <w:tcW w:w="432" w:type="pct"/>
            <w:tcBorders>
              <w:top w:val="single" w:sz="4" w:space="0" w:color="auto"/>
              <w:left w:val="single" w:sz="4" w:space="0" w:color="auto"/>
              <w:bottom w:val="single" w:sz="4" w:space="0" w:color="auto"/>
              <w:right w:val="single" w:sz="4" w:space="0" w:color="auto"/>
            </w:tcBorders>
            <w:hideMark/>
          </w:tcPr>
          <w:p w14:paraId="5BE0F821" w14:textId="77777777" w:rsidR="00497CE3" w:rsidRDefault="00497CE3" w:rsidP="00497CE3">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609BDECE" w14:textId="77777777" w:rsidR="00497CE3" w:rsidRDefault="00497CE3" w:rsidP="00497CE3">
            <w:pPr>
              <w:jc w:val="center"/>
              <w:rPr>
                <w:sz w:val="22"/>
              </w:rPr>
            </w:pPr>
            <w:r>
              <w:rPr>
                <w:sz w:val="22"/>
              </w:rPr>
              <w:t>2</w:t>
            </w:r>
          </w:p>
        </w:tc>
        <w:tc>
          <w:tcPr>
            <w:tcW w:w="481" w:type="pct"/>
            <w:tcBorders>
              <w:top w:val="single" w:sz="4" w:space="0" w:color="auto"/>
              <w:left w:val="single" w:sz="4" w:space="0" w:color="auto"/>
              <w:bottom w:val="single" w:sz="4" w:space="0" w:color="auto"/>
              <w:right w:val="single" w:sz="4" w:space="0" w:color="auto"/>
            </w:tcBorders>
            <w:hideMark/>
          </w:tcPr>
          <w:p w14:paraId="56BF765A" w14:textId="77777777" w:rsidR="00497CE3" w:rsidRDefault="00497CE3" w:rsidP="00497CE3">
            <w:pPr>
              <w:jc w:val="center"/>
              <w:rPr>
                <w:sz w:val="22"/>
              </w:rPr>
            </w:pPr>
            <w:r>
              <w:rPr>
                <w:sz w:val="22"/>
              </w:rPr>
              <w:t>2</w:t>
            </w:r>
          </w:p>
        </w:tc>
      </w:tr>
      <w:tr w:rsidR="00497CE3" w14:paraId="2B08E99D"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5DF95127" w14:textId="77777777" w:rsidR="00497CE3" w:rsidRDefault="00497CE3" w:rsidP="00497CE3">
            <w:pPr>
              <w:rPr>
                <w:sz w:val="22"/>
              </w:rPr>
            </w:pPr>
            <w:r>
              <w:rPr>
                <w:sz w:val="22"/>
              </w:rPr>
              <w:t>Mandible</w:t>
            </w:r>
          </w:p>
        </w:tc>
        <w:tc>
          <w:tcPr>
            <w:tcW w:w="305" w:type="pct"/>
            <w:tcBorders>
              <w:top w:val="single" w:sz="4" w:space="0" w:color="auto"/>
              <w:left w:val="single" w:sz="4" w:space="0" w:color="auto"/>
              <w:bottom w:val="single" w:sz="4" w:space="0" w:color="auto"/>
              <w:right w:val="single" w:sz="4" w:space="0" w:color="auto"/>
            </w:tcBorders>
            <w:hideMark/>
          </w:tcPr>
          <w:p w14:paraId="40AB3D0E" w14:textId="77777777" w:rsidR="00497CE3" w:rsidRDefault="00497CE3" w:rsidP="00497CE3">
            <w:pPr>
              <w:jc w:val="center"/>
              <w:rPr>
                <w:sz w:val="22"/>
              </w:rPr>
            </w:pPr>
            <w:r>
              <w:rPr>
                <w:sz w:val="22"/>
              </w:rPr>
              <w:t>6</w:t>
            </w:r>
          </w:p>
        </w:tc>
        <w:tc>
          <w:tcPr>
            <w:tcW w:w="457" w:type="pct"/>
            <w:tcBorders>
              <w:top w:val="single" w:sz="4" w:space="0" w:color="auto"/>
              <w:left w:val="single" w:sz="4" w:space="0" w:color="auto"/>
              <w:bottom w:val="single" w:sz="4" w:space="0" w:color="auto"/>
              <w:right w:val="single" w:sz="4" w:space="0" w:color="auto"/>
            </w:tcBorders>
            <w:hideMark/>
          </w:tcPr>
          <w:p w14:paraId="04520D8B" w14:textId="77777777" w:rsidR="00497CE3" w:rsidRDefault="00497CE3" w:rsidP="00497CE3">
            <w:pPr>
              <w:jc w:val="center"/>
              <w:rPr>
                <w:sz w:val="22"/>
              </w:rPr>
            </w:pPr>
            <w:r>
              <w:rPr>
                <w:sz w:val="22"/>
              </w:rPr>
              <w:t>9</w:t>
            </w:r>
          </w:p>
        </w:tc>
        <w:tc>
          <w:tcPr>
            <w:tcW w:w="559" w:type="pct"/>
            <w:tcBorders>
              <w:top w:val="single" w:sz="4" w:space="0" w:color="auto"/>
              <w:left w:val="single" w:sz="4" w:space="0" w:color="auto"/>
              <w:bottom w:val="single" w:sz="4" w:space="0" w:color="auto"/>
              <w:right w:val="single" w:sz="4" w:space="0" w:color="auto"/>
            </w:tcBorders>
            <w:hideMark/>
          </w:tcPr>
          <w:p w14:paraId="5ADE3D99" w14:textId="77777777" w:rsidR="00497CE3" w:rsidRDefault="00497CE3" w:rsidP="00497CE3">
            <w:pPr>
              <w:jc w:val="center"/>
              <w:rPr>
                <w:sz w:val="22"/>
              </w:rPr>
            </w:pPr>
            <w:r>
              <w:rPr>
                <w:sz w:val="22"/>
              </w:rPr>
              <w:t>16</w:t>
            </w:r>
          </w:p>
        </w:tc>
        <w:tc>
          <w:tcPr>
            <w:tcW w:w="407" w:type="pct"/>
            <w:tcBorders>
              <w:top w:val="single" w:sz="4" w:space="0" w:color="auto"/>
              <w:left w:val="single" w:sz="4" w:space="0" w:color="auto"/>
              <w:bottom w:val="single" w:sz="4" w:space="0" w:color="auto"/>
              <w:right w:val="single" w:sz="4" w:space="0" w:color="auto"/>
            </w:tcBorders>
            <w:hideMark/>
          </w:tcPr>
          <w:p w14:paraId="1AEE07F3" w14:textId="77777777" w:rsidR="00497CE3" w:rsidRDefault="00497CE3" w:rsidP="00497CE3">
            <w:pPr>
              <w:jc w:val="center"/>
              <w:rPr>
                <w:sz w:val="22"/>
              </w:rPr>
            </w:pPr>
            <w:r>
              <w:rPr>
                <w:sz w:val="22"/>
              </w:rPr>
              <w:t>18</w:t>
            </w:r>
          </w:p>
        </w:tc>
        <w:tc>
          <w:tcPr>
            <w:tcW w:w="508" w:type="pct"/>
            <w:tcBorders>
              <w:top w:val="single" w:sz="4" w:space="0" w:color="auto"/>
              <w:left w:val="single" w:sz="4" w:space="0" w:color="auto"/>
              <w:bottom w:val="single" w:sz="4" w:space="0" w:color="auto"/>
              <w:right w:val="single" w:sz="4" w:space="0" w:color="auto"/>
            </w:tcBorders>
            <w:hideMark/>
          </w:tcPr>
          <w:p w14:paraId="38B3C84C" w14:textId="77777777" w:rsidR="00497CE3" w:rsidRDefault="00497CE3" w:rsidP="00497CE3">
            <w:pPr>
              <w:jc w:val="center"/>
              <w:rPr>
                <w:sz w:val="22"/>
              </w:rPr>
            </w:pPr>
            <w:r>
              <w:rPr>
                <w:sz w:val="22"/>
              </w:rPr>
              <w:t>18</w:t>
            </w:r>
          </w:p>
        </w:tc>
        <w:tc>
          <w:tcPr>
            <w:tcW w:w="432" w:type="pct"/>
            <w:tcBorders>
              <w:top w:val="single" w:sz="4" w:space="0" w:color="auto"/>
              <w:left w:val="single" w:sz="4" w:space="0" w:color="auto"/>
              <w:bottom w:val="single" w:sz="4" w:space="0" w:color="auto"/>
              <w:right w:val="single" w:sz="4" w:space="0" w:color="auto"/>
            </w:tcBorders>
            <w:hideMark/>
          </w:tcPr>
          <w:p w14:paraId="6417EF56" w14:textId="77777777" w:rsidR="00497CE3" w:rsidRDefault="00497CE3" w:rsidP="00497CE3">
            <w:pPr>
              <w:jc w:val="center"/>
              <w:rPr>
                <w:sz w:val="22"/>
              </w:rPr>
            </w:pPr>
            <w:r>
              <w:rPr>
                <w:sz w:val="22"/>
              </w:rPr>
              <w:t>22</w:t>
            </w:r>
          </w:p>
        </w:tc>
        <w:tc>
          <w:tcPr>
            <w:tcW w:w="481" w:type="pct"/>
            <w:tcBorders>
              <w:top w:val="single" w:sz="4" w:space="0" w:color="auto"/>
              <w:left w:val="single" w:sz="4" w:space="0" w:color="auto"/>
              <w:bottom w:val="single" w:sz="4" w:space="0" w:color="auto"/>
              <w:right w:val="single" w:sz="4" w:space="0" w:color="auto"/>
            </w:tcBorders>
            <w:hideMark/>
          </w:tcPr>
          <w:p w14:paraId="0545AD62" w14:textId="77777777" w:rsidR="00497CE3" w:rsidRDefault="00497CE3" w:rsidP="00497CE3">
            <w:pPr>
              <w:jc w:val="center"/>
              <w:rPr>
                <w:sz w:val="22"/>
              </w:rPr>
            </w:pPr>
            <w:r>
              <w:rPr>
                <w:sz w:val="22"/>
              </w:rPr>
              <w:t>22</w:t>
            </w:r>
          </w:p>
        </w:tc>
        <w:tc>
          <w:tcPr>
            <w:tcW w:w="481" w:type="pct"/>
            <w:tcBorders>
              <w:top w:val="single" w:sz="4" w:space="0" w:color="auto"/>
              <w:left w:val="single" w:sz="4" w:space="0" w:color="auto"/>
              <w:bottom w:val="single" w:sz="4" w:space="0" w:color="auto"/>
              <w:right w:val="single" w:sz="4" w:space="0" w:color="auto"/>
            </w:tcBorders>
            <w:hideMark/>
          </w:tcPr>
          <w:p w14:paraId="5D1934BC" w14:textId="77777777" w:rsidR="00497CE3" w:rsidRDefault="00497CE3" w:rsidP="00497CE3">
            <w:pPr>
              <w:jc w:val="center"/>
              <w:rPr>
                <w:sz w:val="22"/>
              </w:rPr>
            </w:pPr>
            <w:r>
              <w:rPr>
                <w:sz w:val="22"/>
              </w:rPr>
              <w:t>26</w:t>
            </w:r>
          </w:p>
        </w:tc>
      </w:tr>
      <w:tr w:rsidR="00497CE3" w14:paraId="70EB1D39"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0FF6F34C" w14:textId="77777777" w:rsidR="00497CE3" w:rsidRDefault="00497CE3" w:rsidP="00497CE3">
            <w:pPr>
              <w:rPr>
                <w:sz w:val="22"/>
              </w:rPr>
            </w:pPr>
            <w:r>
              <w:rPr>
                <w:sz w:val="22"/>
              </w:rPr>
              <w:t>Dental &amp; alveolar</w:t>
            </w:r>
          </w:p>
        </w:tc>
        <w:tc>
          <w:tcPr>
            <w:tcW w:w="305" w:type="pct"/>
            <w:tcBorders>
              <w:top w:val="single" w:sz="4" w:space="0" w:color="auto"/>
              <w:left w:val="single" w:sz="4" w:space="0" w:color="auto"/>
              <w:bottom w:val="single" w:sz="4" w:space="0" w:color="auto"/>
              <w:right w:val="single" w:sz="4" w:space="0" w:color="auto"/>
            </w:tcBorders>
            <w:hideMark/>
          </w:tcPr>
          <w:p w14:paraId="0FE0541F" w14:textId="77777777" w:rsidR="00497CE3" w:rsidRDefault="00497CE3" w:rsidP="00497CE3">
            <w:pPr>
              <w:jc w:val="center"/>
              <w:rPr>
                <w:sz w:val="22"/>
              </w:rPr>
            </w:pPr>
            <w:r>
              <w:rPr>
                <w:sz w:val="22"/>
              </w:rPr>
              <w:t>7</w:t>
            </w:r>
          </w:p>
        </w:tc>
        <w:tc>
          <w:tcPr>
            <w:tcW w:w="457" w:type="pct"/>
            <w:tcBorders>
              <w:top w:val="single" w:sz="4" w:space="0" w:color="auto"/>
              <w:left w:val="single" w:sz="4" w:space="0" w:color="auto"/>
              <w:bottom w:val="single" w:sz="4" w:space="0" w:color="auto"/>
              <w:right w:val="single" w:sz="4" w:space="0" w:color="auto"/>
            </w:tcBorders>
            <w:hideMark/>
          </w:tcPr>
          <w:p w14:paraId="2C07F4DE" w14:textId="77777777" w:rsidR="00497CE3" w:rsidRDefault="00497CE3" w:rsidP="00497CE3">
            <w:pPr>
              <w:jc w:val="center"/>
              <w:rPr>
                <w:sz w:val="22"/>
              </w:rPr>
            </w:pPr>
            <w:r>
              <w:rPr>
                <w:sz w:val="22"/>
              </w:rPr>
              <w:t>9</w:t>
            </w:r>
          </w:p>
        </w:tc>
        <w:tc>
          <w:tcPr>
            <w:tcW w:w="559" w:type="pct"/>
            <w:tcBorders>
              <w:top w:val="single" w:sz="4" w:space="0" w:color="auto"/>
              <w:left w:val="single" w:sz="4" w:space="0" w:color="auto"/>
              <w:bottom w:val="single" w:sz="4" w:space="0" w:color="auto"/>
              <w:right w:val="single" w:sz="4" w:space="0" w:color="auto"/>
            </w:tcBorders>
            <w:hideMark/>
          </w:tcPr>
          <w:p w14:paraId="4849A6B0" w14:textId="77777777" w:rsidR="00497CE3" w:rsidRDefault="00497CE3" w:rsidP="00497CE3">
            <w:pPr>
              <w:jc w:val="center"/>
              <w:rPr>
                <w:sz w:val="22"/>
              </w:rPr>
            </w:pPr>
            <w:r>
              <w:rPr>
                <w:sz w:val="22"/>
              </w:rPr>
              <w:t>13</w:t>
            </w:r>
          </w:p>
        </w:tc>
        <w:tc>
          <w:tcPr>
            <w:tcW w:w="407" w:type="pct"/>
            <w:tcBorders>
              <w:top w:val="single" w:sz="4" w:space="0" w:color="auto"/>
              <w:left w:val="single" w:sz="4" w:space="0" w:color="auto"/>
              <w:bottom w:val="single" w:sz="4" w:space="0" w:color="auto"/>
              <w:right w:val="single" w:sz="4" w:space="0" w:color="auto"/>
            </w:tcBorders>
            <w:hideMark/>
          </w:tcPr>
          <w:p w14:paraId="4C8C9710" w14:textId="77777777" w:rsidR="00497CE3" w:rsidRDefault="00497CE3" w:rsidP="00497CE3">
            <w:pPr>
              <w:jc w:val="center"/>
              <w:rPr>
                <w:sz w:val="22"/>
              </w:rPr>
            </w:pPr>
            <w:r>
              <w:rPr>
                <w:sz w:val="22"/>
              </w:rPr>
              <w:t>20</w:t>
            </w:r>
          </w:p>
        </w:tc>
        <w:tc>
          <w:tcPr>
            <w:tcW w:w="508" w:type="pct"/>
            <w:tcBorders>
              <w:top w:val="single" w:sz="4" w:space="0" w:color="auto"/>
              <w:left w:val="single" w:sz="4" w:space="0" w:color="auto"/>
              <w:bottom w:val="single" w:sz="4" w:space="0" w:color="auto"/>
              <w:right w:val="single" w:sz="4" w:space="0" w:color="auto"/>
            </w:tcBorders>
            <w:hideMark/>
          </w:tcPr>
          <w:p w14:paraId="488C1495" w14:textId="77777777" w:rsidR="00497CE3" w:rsidRDefault="00497CE3" w:rsidP="00497CE3">
            <w:pPr>
              <w:jc w:val="center"/>
              <w:rPr>
                <w:sz w:val="22"/>
              </w:rPr>
            </w:pPr>
            <w:r>
              <w:rPr>
                <w:sz w:val="22"/>
              </w:rPr>
              <w:t>20</w:t>
            </w:r>
          </w:p>
        </w:tc>
        <w:tc>
          <w:tcPr>
            <w:tcW w:w="432" w:type="pct"/>
            <w:tcBorders>
              <w:top w:val="single" w:sz="4" w:space="0" w:color="auto"/>
              <w:left w:val="single" w:sz="4" w:space="0" w:color="auto"/>
              <w:bottom w:val="single" w:sz="4" w:space="0" w:color="auto"/>
              <w:right w:val="single" w:sz="4" w:space="0" w:color="auto"/>
            </w:tcBorders>
            <w:hideMark/>
          </w:tcPr>
          <w:p w14:paraId="40FE74D1" w14:textId="77777777" w:rsidR="00497CE3" w:rsidRDefault="00497CE3" w:rsidP="00497CE3">
            <w:pPr>
              <w:jc w:val="center"/>
              <w:rPr>
                <w:sz w:val="22"/>
              </w:rPr>
            </w:pPr>
            <w:r>
              <w:rPr>
                <w:sz w:val="22"/>
              </w:rPr>
              <w:t>26</w:t>
            </w:r>
          </w:p>
        </w:tc>
        <w:tc>
          <w:tcPr>
            <w:tcW w:w="481" w:type="pct"/>
            <w:tcBorders>
              <w:top w:val="single" w:sz="4" w:space="0" w:color="auto"/>
              <w:left w:val="single" w:sz="4" w:space="0" w:color="auto"/>
              <w:bottom w:val="single" w:sz="4" w:space="0" w:color="auto"/>
              <w:right w:val="single" w:sz="4" w:space="0" w:color="auto"/>
            </w:tcBorders>
            <w:hideMark/>
          </w:tcPr>
          <w:p w14:paraId="7CD443D9" w14:textId="77777777" w:rsidR="00497CE3" w:rsidRDefault="00497CE3" w:rsidP="00497CE3">
            <w:pPr>
              <w:jc w:val="center"/>
              <w:rPr>
                <w:sz w:val="22"/>
              </w:rPr>
            </w:pPr>
            <w:r>
              <w:rPr>
                <w:sz w:val="22"/>
              </w:rPr>
              <w:t>30</w:t>
            </w:r>
          </w:p>
        </w:tc>
        <w:tc>
          <w:tcPr>
            <w:tcW w:w="481" w:type="pct"/>
            <w:tcBorders>
              <w:top w:val="single" w:sz="4" w:space="0" w:color="auto"/>
              <w:left w:val="single" w:sz="4" w:space="0" w:color="auto"/>
              <w:bottom w:val="single" w:sz="4" w:space="0" w:color="auto"/>
              <w:right w:val="single" w:sz="4" w:space="0" w:color="auto"/>
            </w:tcBorders>
            <w:hideMark/>
          </w:tcPr>
          <w:p w14:paraId="763BD86F" w14:textId="77777777" w:rsidR="00497CE3" w:rsidRDefault="00497CE3" w:rsidP="00497CE3">
            <w:pPr>
              <w:jc w:val="center"/>
              <w:rPr>
                <w:sz w:val="22"/>
              </w:rPr>
            </w:pPr>
            <w:r>
              <w:rPr>
                <w:sz w:val="22"/>
              </w:rPr>
              <w:t>43</w:t>
            </w:r>
          </w:p>
        </w:tc>
      </w:tr>
      <w:tr w:rsidR="00497CE3" w14:paraId="1CF68464"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06CCFA23" w14:textId="77777777" w:rsidR="00497CE3" w:rsidRDefault="00497CE3" w:rsidP="00497CE3">
            <w:pPr>
              <w:rPr>
                <w:sz w:val="22"/>
              </w:rPr>
            </w:pPr>
            <w:r>
              <w:rPr>
                <w:sz w:val="22"/>
              </w:rPr>
              <w:t>Vertebrae &amp; ribs</w:t>
            </w:r>
          </w:p>
        </w:tc>
        <w:tc>
          <w:tcPr>
            <w:tcW w:w="305" w:type="pct"/>
            <w:tcBorders>
              <w:top w:val="single" w:sz="4" w:space="0" w:color="auto"/>
              <w:left w:val="single" w:sz="4" w:space="0" w:color="auto"/>
              <w:bottom w:val="single" w:sz="4" w:space="0" w:color="auto"/>
              <w:right w:val="single" w:sz="4" w:space="0" w:color="auto"/>
            </w:tcBorders>
            <w:hideMark/>
          </w:tcPr>
          <w:p w14:paraId="00A4CFE2" w14:textId="77777777" w:rsidR="00497CE3" w:rsidRDefault="00497CE3" w:rsidP="00497CE3">
            <w:pPr>
              <w:jc w:val="center"/>
              <w:rPr>
                <w:sz w:val="22"/>
              </w:rPr>
            </w:pPr>
            <w:r>
              <w:rPr>
                <w:sz w:val="22"/>
              </w:rPr>
              <w:t>6</w:t>
            </w:r>
          </w:p>
        </w:tc>
        <w:tc>
          <w:tcPr>
            <w:tcW w:w="457" w:type="pct"/>
            <w:tcBorders>
              <w:top w:val="single" w:sz="4" w:space="0" w:color="auto"/>
              <w:left w:val="single" w:sz="4" w:space="0" w:color="auto"/>
              <w:bottom w:val="single" w:sz="4" w:space="0" w:color="auto"/>
              <w:right w:val="single" w:sz="4" w:space="0" w:color="auto"/>
            </w:tcBorders>
            <w:hideMark/>
          </w:tcPr>
          <w:p w14:paraId="4DC7C94C" w14:textId="77777777" w:rsidR="00497CE3" w:rsidRDefault="00497CE3" w:rsidP="00497CE3">
            <w:pPr>
              <w:jc w:val="center"/>
              <w:rPr>
                <w:sz w:val="22"/>
              </w:rPr>
            </w:pPr>
            <w:r>
              <w:rPr>
                <w:sz w:val="22"/>
              </w:rPr>
              <w:t>6</w:t>
            </w:r>
          </w:p>
        </w:tc>
        <w:tc>
          <w:tcPr>
            <w:tcW w:w="559" w:type="pct"/>
            <w:tcBorders>
              <w:top w:val="single" w:sz="4" w:space="0" w:color="auto"/>
              <w:left w:val="single" w:sz="4" w:space="0" w:color="auto"/>
              <w:bottom w:val="single" w:sz="4" w:space="0" w:color="auto"/>
              <w:right w:val="single" w:sz="4" w:space="0" w:color="auto"/>
            </w:tcBorders>
            <w:hideMark/>
          </w:tcPr>
          <w:p w14:paraId="04824B4C" w14:textId="77777777" w:rsidR="00497CE3" w:rsidRDefault="00497CE3" w:rsidP="00497CE3">
            <w:pPr>
              <w:jc w:val="center"/>
              <w:rPr>
                <w:sz w:val="22"/>
              </w:rPr>
            </w:pPr>
            <w:r>
              <w:rPr>
                <w:sz w:val="22"/>
              </w:rPr>
              <w:t>15</w:t>
            </w:r>
          </w:p>
        </w:tc>
        <w:tc>
          <w:tcPr>
            <w:tcW w:w="407" w:type="pct"/>
            <w:tcBorders>
              <w:top w:val="single" w:sz="4" w:space="0" w:color="auto"/>
              <w:left w:val="single" w:sz="4" w:space="0" w:color="auto"/>
              <w:bottom w:val="single" w:sz="4" w:space="0" w:color="auto"/>
              <w:right w:val="single" w:sz="4" w:space="0" w:color="auto"/>
            </w:tcBorders>
            <w:hideMark/>
          </w:tcPr>
          <w:p w14:paraId="158F43A8" w14:textId="77777777" w:rsidR="00497CE3" w:rsidRDefault="00497CE3" w:rsidP="00497CE3">
            <w:pPr>
              <w:jc w:val="center"/>
              <w:rPr>
                <w:sz w:val="22"/>
              </w:rPr>
            </w:pPr>
            <w:r>
              <w:rPr>
                <w:sz w:val="22"/>
              </w:rPr>
              <w:t>17</w:t>
            </w:r>
          </w:p>
        </w:tc>
        <w:tc>
          <w:tcPr>
            <w:tcW w:w="508" w:type="pct"/>
            <w:tcBorders>
              <w:top w:val="single" w:sz="4" w:space="0" w:color="auto"/>
              <w:left w:val="single" w:sz="4" w:space="0" w:color="auto"/>
              <w:bottom w:val="single" w:sz="4" w:space="0" w:color="auto"/>
              <w:right w:val="single" w:sz="4" w:space="0" w:color="auto"/>
            </w:tcBorders>
            <w:hideMark/>
          </w:tcPr>
          <w:p w14:paraId="34233B7B" w14:textId="77777777" w:rsidR="00497CE3" w:rsidRDefault="00497CE3" w:rsidP="00497CE3">
            <w:pPr>
              <w:jc w:val="center"/>
              <w:rPr>
                <w:sz w:val="22"/>
              </w:rPr>
            </w:pPr>
            <w:r>
              <w:rPr>
                <w:sz w:val="22"/>
              </w:rPr>
              <w:t>18</w:t>
            </w:r>
          </w:p>
        </w:tc>
        <w:tc>
          <w:tcPr>
            <w:tcW w:w="432" w:type="pct"/>
            <w:tcBorders>
              <w:top w:val="single" w:sz="4" w:space="0" w:color="auto"/>
              <w:left w:val="single" w:sz="4" w:space="0" w:color="auto"/>
              <w:bottom w:val="single" w:sz="4" w:space="0" w:color="auto"/>
              <w:right w:val="single" w:sz="4" w:space="0" w:color="auto"/>
            </w:tcBorders>
            <w:hideMark/>
          </w:tcPr>
          <w:p w14:paraId="46ADA10B" w14:textId="77777777" w:rsidR="00497CE3" w:rsidRDefault="00497CE3" w:rsidP="00497CE3">
            <w:pPr>
              <w:jc w:val="center"/>
              <w:rPr>
                <w:sz w:val="22"/>
              </w:rPr>
            </w:pPr>
            <w:r>
              <w:rPr>
                <w:sz w:val="22"/>
              </w:rPr>
              <w:t>22</w:t>
            </w:r>
          </w:p>
        </w:tc>
        <w:tc>
          <w:tcPr>
            <w:tcW w:w="481" w:type="pct"/>
            <w:tcBorders>
              <w:top w:val="single" w:sz="4" w:space="0" w:color="auto"/>
              <w:left w:val="single" w:sz="4" w:space="0" w:color="auto"/>
              <w:bottom w:val="single" w:sz="4" w:space="0" w:color="auto"/>
              <w:right w:val="single" w:sz="4" w:space="0" w:color="auto"/>
            </w:tcBorders>
            <w:hideMark/>
          </w:tcPr>
          <w:p w14:paraId="0E080827" w14:textId="77777777" w:rsidR="00497CE3" w:rsidRDefault="00497CE3" w:rsidP="00497CE3">
            <w:pPr>
              <w:jc w:val="center"/>
              <w:rPr>
                <w:sz w:val="22"/>
              </w:rPr>
            </w:pPr>
            <w:r>
              <w:rPr>
                <w:sz w:val="22"/>
              </w:rPr>
              <w:t>23</w:t>
            </w:r>
          </w:p>
        </w:tc>
        <w:tc>
          <w:tcPr>
            <w:tcW w:w="481" w:type="pct"/>
            <w:tcBorders>
              <w:top w:val="single" w:sz="4" w:space="0" w:color="auto"/>
              <w:left w:val="single" w:sz="4" w:space="0" w:color="auto"/>
              <w:bottom w:val="single" w:sz="4" w:space="0" w:color="auto"/>
              <w:right w:val="single" w:sz="4" w:space="0" w:color="auto"/>
            </w:tcBorders>
            <w:hideMark/>
          </w:tcPr>
          <w:p w14:paraId="652D7BE2" w14:textId="77777777" w:rsidR="00497CE3" w:rsidRDefault="00497CE3" w:rsidP="00497CE3">
            <w:pPr>
              <w:jc w:val="center"/>
              <w:rPr>
                <w:sz w:val="22"/>
              </w:rPr>
            </w:pPr>
            <w:r>
              <w:rPr>
                <w:sz w:val="22"/>
              </w:rPr>
              <w:t>24</w:t>
            </w:r>
          </w:p>
        </w:tc>
      </w:tr>
      <w:tr w:rsidR="00497CE3" w14:paraId="3BEE8A94"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3841AA66" w14:textId="77777777" w:rsidR="00497CE3" w:rsidRDefault="00497CE3" w:rsidP="00497CE3">
            <w:pPr>
              <w:rPr>
                <w:sz w:val="22"/>
              </w:rPr>
            </w:pPr>
            <w:r>
              <w:rPr>
                <w:sz w:val="22"/>
              </w:rPr>
              <w:t>Pectoral girdle &amp; forelimbs</w:t>
            </w:r>
          </w:p>
        </w:tc>
        <w:tc>
          <w:tcPr>
            <w:tcW w:w="305" w:type="pct"/>
            <w:tcBorders>
              <w:top w:val="single" w:sz="4" w:space="0" w:color="auto"/>
              <w:left w:val="single" w:sz="4" w:space="0" w:color="auto"/>
              <w:bottom w:val="single" w:sz="4" w:space="0" w:color="auto"/>
              <w:right w:val="single" w:sz="4" w:space="0" w:color="auto"/>
            </w:tcBorders>
            <w:hideMark/>
          </w:tcPr>
          <w:p w14:paraId="4A32DC20" w14:textId="77777777" w:rsidR="00497CE3" w:rsidRDefault="00497CE3" w:rsidP="00497CE3">
            <w:pPr>
              <w:jc w:val="center"/>
              <w:rPr>
                <w:sz w:val="22"/>
              </w:rPr>
            </w:pPr>
            <w:r>
              <w:rPr>
                <w:sz w:val="22"/>
              </w:rPr>
              <w:t>5</w:t>
            </w:r>
          </w:p>
        </w:tc>
        <w:tc>
          <w:tcPr>
            <w:tcW w:w="457" w:type="pct"/>
            <w:tcBorders>
              <w:top w:val="single" w:sz="4" w:space="0" w:color="auto"/>
              <w:left w:val="single" w:sz="4" w:space="0" w:color="auto"/>
              <w:bottom w:val="single" w:sz="4" w:space="0" w:color="auto"/>
              <w:right w:val="single" w:sz="4" w:space="0" w:color="auto"/>
            </w:tcBorders>
            <w:hideMark/>
          </w:tcPr>
          <w:p w14:paraId="1C33A5FF" w14:textId="77777777" w:rsidR="00497CE3" w:rsidRDefault="00497CE3" w:rsidP="00497CE3">
            <w:pPr>
              <w:jc w:val="center"/>
              <w:rPr>
                <w:sz w:val="22"/>
              </w:rPr>
            </w:pPr>
            <w:r>
              <w:rPr>
                <w:sz w:val="22"/>
              </w:rPr>
              <w:t>6</w:t>
            </w:r>
          </w:p>
        </w:tc>
        <w:tc>
          <w:tcPr>
            <w:tcW w:w="559" w:type="pct"/>
            <w:tcBorders>
              <w:top w:val="single" w:sz="4" w:space="0" w:color="auto"/>
              <w:left w:val="single" w:sz="4" w:space="0" w:color="auto"/>
              <w:bottom w:val="single" w:sz="4" w:space="0" w:color="auto"/>
              <w:right w:val="single" w:sz="4" w:space="0" w:color="auto"/>
            </w:tcBorders>
            <w:hideMark/>
          </w:tcPr>
          <w:p w14:paraId="0473F079" w14:textId="77777777" w:rsidR="00497CE3" w:rsidRDefault="00497CE3" w:rsidP="00497CE3">
            <w:pPr>
              <w:jc w:val="center"/>
              <w:rPr>
                <w:sz w:val="22"/>
              </w:rPr>
            </w:pPr>
            <w:r>
              <w:rPr>
                <w:sz w:val="22"/>
              </w:rPr>
              <w:t>9</w:t>
            </w:r>
          </w:p>
        </w:tc>
        <w:tc>
          <w:tcPr>
            <w:tcW w:w="407" w:type="pct"/>
            <w:tcBorders>
              <w:top w:val="single" w:sz="4" w:space="0" w:color="auto"/>
              <w:left w:val="single" w:sz="4" w:space="0" w:color="auto"/>
              <w:bottom w:val="single" w:sz="4" w:space="0" w:color="auto"/>
              <w:right w:val="single" w:sz="4" w:space="0" w:color="auto"/>
            </w:tcBorders>
            <w:hideMark/>
          </w:tcPr>
          <w:p w14:paraId="6EDCF459" w14:textId="77777777" w:rsidR="00497CE3" w:rsidRDefault="00497CE3" w:rsidP="00497CE3">
            <w:pPr>
              <w:jc w:val="center"/>
              <w:rPr>
                <w:sz w:val="22"/>
              </w:rPr>
            </w:pPr>
            <w:r>
              <w:rPr>
                <w:sz w:val="22"/>
              </w:rPr>
              <w:t>13</w:t>
            </w:r>
          </w:p>
        </w:tc>
        <w:tc>
          <w:tcPr>
            <w:tcW w:w="508" w:type="pct"/>
            <w:tcBorders>
              <w:top w:val="single" w:sz="4" w:space="0" w:color="auto"/>
              <w:left w:val="single" w:sz="4" w:space="0" w:color="auto"/>
              <w:bottom w:val="single" w:sz="4" w:space="0" w:color="auto"/>
              <w:right w:val="single" w:sz="4" w:space="0" w:color="auto"/>
            </w:tcBorders>
            <w:hideMark/>
          </w:tcPr>
          <w:p w14:paraId="2D96E27C" w14:textId="77777777" w:rsidR="00497CE3" w:rsidRDefault="00497CE3" w:rsidP="00497CE3">
            <w:pPr>
              <w:jc w:val="center"/>
              <w:rPr>
                <w:sz w:val="22"/>
              </w:rPr>
            </w:pPr>
            <w:r>
              <w:rPr>
                <w:sz w:val="22"/>
              </w:rPr>
              <w:t>14</w:t>
            </w:r>
          </w:p>
        </w:tc>
        <w:tc>
          <w:tcPr>
            <w:tcW w:w="432" w:type="pct"/>
            <w:tcBorders>
              <w:top w:val="single" w:sz="4" w:space="0" w:color="auto"/>
              <w:left w:val="single" w:sz="4" w:space="0" w:color="auto"/>
              <w:bottom w:val="single" w:sz="4" w:space="0" w:color="auto"/>
              <w:right w:val="single" w:sz="4" w:space="0" w:color="auto"/>
            </w:tcBorders>
            <w:hideMark/>
          </w:tcPr>
          <w:p w14:paraId="107B751C" w14:textId="77777777" w:rsidR="00497CE3" w:rsidRDefault="00497CE3" w:rsidP="00497CE3">
            <w:pPr>
              <w:jc w:val="center"/>
              <w:rPr>
                <w:sz w:val="22"/>
              </w:rPr>
            </w:pPr>
            <w:r>
              <w:rPr>
                <w:sz w:val="22"/>
              </w:rPr>
              <w:t>16</w:t>
            </w:r>
          </w:p>
        </w:tc>
        <w:tc>
          <w:tcPr>
            <w:tcW w:w="481" w:type="pct"/>
            <w:tcBorders>
              <w:top w:val="single" w:sz="4" w:space="0" w:color="auto"/>
              <w:left w:val="single" w:sz="4" w:space="0" w:color="auto"/>
              <w:bottom w:val="single" w:sz="4" w:space="0" w:color="auto"/>
              <w:right w:val="single" w:sz="4" w:space="0" w:color="auto"/>
            </w:tcBorders>
            <w:hideMark/>
          </w:tcPr>
          <w:p w14:paraId="6B486047" w14:textId="77777777" w:rsidR="00497CE3" w:rsidRDefault="00497CE3" w:rsidP="00497CE3">
            <w:pPr>
              <w:jc w:val="center"/>
              <w:rPr>
                <w:sz w:val="22"/>
              </w:rPr>
            </w:pPr>
            <w:r>
              <w:rPr>
                <w:sz w:val="22"/>
              </w:rPr>
              <w:t>16</w:t>
            </w:r>
          </w:p>
        </w:tc>
        <w:tc>
          <w:tcPr>
            <w:tcW w:w="481" w:type="pct"/>
            <w:tcBorders>
              <w:top w:val="single" w:sz="4" w:space="0" w:color="auto"/>
              <w:left w:val="single" w:sz="4" w:space="0" w:color="auto"/>
              <w:bottom w:val="single" w:sz="4" w:space="0" w:color="auto"/>
              <w:right w:val="single" w:sz="4" w:space="0" w:color="auto"/>
            </w:tcBorders>
            <w:hideMark/>
          </w:tcPr>
          <w:p w14:paraId="52A26AF8" w14:textId="77777777" w:rsidR="00497CE3" w:rsidRDefault="00497CE3" w:rsidP="00497CE3">
            <w:pPr>
              <w:jc w:val="center"/>
              <w:rPr>
                <w:sz w:val="22"/>
              </w:rPr>
            </w:pPr>
            <w:r>
              <w:rPr>
                <w:sz w:val="22"/>
              </w:rPr>
              <w:t>18</w:t>
            </w:r>
          </w:p>
        </w:tc>
      </w:tr>
      <w:tr w:rsidR="00497CE3" w14:paraId="37F1A53F"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49472B7A" w14:textId="77777777" w:rsidR="00497CE3" w:rsidRDefault="00497CE3" w:rsidP="00497CE3">
            <w:pPr>
              <w:rPr>
                <w:sz w:val="22"/>
              </w:rPr>
            </w:pPr>
            <w:r>
              <w:rPr>
                <w:sz w:val="22"/>
              </w:rPr>
              <w:t>Pelvic girdle &amp; hind limbs</w:t>
            </w:r>
          </w:p>
        </w:tc>
        <w:tc>
          <w:tcPr>
            <w:tcW w:w="305" w:type="pct"/>
            <w:tcBorders>
              <w:top w:val="single" w:sz="4" w:space="0" w:color="auto"/>
              <w:left w:val="single" w:sz="4" w:space="0" w:color="auto"/>
              <w:bottom w:val="single" w:sz="4" w:space="0" w:color="auto"/>
              <w:right w:val="single" w:sz="4" w:space="0" w:color="auto"/>
            </w:tcBorders>
            <w:hideMark/>
          </w:tcPr>
          <w:p w14:paraId="4A5BCDBF" w14:textId="77777777" w:rsidR="00497CE3" w:rsidRDefault="00497CE3" w:rsidP="00497CE3">
            <w:pPr>
              <w:jc w:val="center"/>
              <w:rPr>
                <w:sz w:val="22"/>
              </w:rPr>
            </w:pPr>
            <w:r>
              <w:rPr>
                <w:sz w:val="22"/>
              </w:rPr>
              <w:t>7</w:t>
            </w:r>
          </w:p>
        </w:tc>
        <w:tc>
          <w:tcPr>
            <w:tcW w:w="457" w:type="pct"/>
            <w:tcBorders>
              <w:top w:val="single" w:sz="4" w:space="0" w:color="auto"/>
              <w:left w:val="single" w:sz="4" w:space="0" w:color="auto"/>
              <w:bottom w:val="single" w:sz="4" w:space="0" w:color="auto"/>
              <w:right w:val="single" w:sz="4" w:space="0" w:color="auto"/>
            </w:tcBorders>
            <w:hideMark/>
          </w:tcPr>
          <w:p w14:paraId="3EF0FDD7" w14:textId="77777777" w:rsidR="00497CE3" w:rsidRDefault="00497CE3" w:rsidP="00497CE3">
            <w:pPr>
              <w:jc w:val="center"/>
              <w:rPr>
                <w:sz w:val="22"/>
              </w:rPr>
            </w:pPr>
            <w:r>
              <w:rPr>
                <w:sz w:val="22"/>
              </w:rPr>
              <w:t>7</w:t>
            </w:r>
          </w:p>
        </w:tc>
        <w:tc>
          <w:tcPr>
            <w:tcW w:w="559" w:type="pct"/>
            <w:tcBorders>
              <w:top w:val="single" w:sz="4" w:space="0" w:color="auto"/>
              <w:left w:val="single" w:sz="4" w:space="0" w:color="auto"/>
              <w:bottom w:val="single" w:sz="4" w:space="0" w:color="auto"/>
              <w:right w:val="single" w:sz="4" w:space="0" w:color="auto"/>
            </w:tcBorders>
            <w:hideMark/>
          </w:tcPr>
          <w:p w14:paraId="3E46F8B2" w14:textId="77777777" w:rsidR="00497CE3" w:rsidRDefault="00497CE3" w:rsidP="00497CE3">
            <w:pPr>
              <w:jc w:val="center"/>
              <w:rPr>
                <w:sz w:val="22"/>
              </w:rPr>
            </w:pPr>
            <w:r>
              <w:rPr>
                <w:sz w:val="22"/>
              </w:rPr>
              <w:t>11</w:t>
            </w:r>
          </w:p>
        </w:tc>
        <w:tc>
          <w:tcPr>
            <w:tcW w:w="407" w:type="pct"/>
            <w:tcBorders>
              <w:top w:val="single" w:sz="4" w:space="0" w:color="auto"/>
              <w:left w:val="single" w:sz="4" w:space="0" w:color="auto"/>
              <w:bottom w:val="single" w:sz="4" w:space="0" w:color="auto"/>
              <w:right w:val="single" w:sz="4" w:space="0" w:color="auto"/>
            </w:tcBorders>
            <w:hideMark/>
          </w:tcPr>
          <w:p w14:paraId="43BFAB77" w14:textId="77777777" w:rsidR="00497CE3" w:rsidRDefault="00497CE3" w:rsidP="00497CE3">
            <w:pPr>
              <w:jc w:val="center"/>
              <w:rPr>
                <w:sz w:val="22"/>
              </w:rPr>
            </w:pPr>
            <w:r>
              <w:rPr>
                <w:sz w:val="22"/>
              </w:rPr>
              <w:t>11</w:t>
            </w:r>
          </w:p>
        </w:tc>
        <w:tc>
          <w:tcPr>
            <w:tcW w:w="508" w:type="pct"/>
            <w:tcBorders>
              <w:top w:val="single" w:sz="4" w:space="0" w:color="auto"/>
              <w:left w:val="single" w:sz="4" w:space="0" w:color="auto"/>
              <w:bottom w:val="single" w:sz="4" w:space="0" w:color="auto"/>
              <w:right w:val="single" w:sz="4" w:space="0" w:color="auto"/>
            </w:tcBorders>
            <w:hideMark/>
          </w:tcPr>
          <w:p w14:paraId="2B21D62A" w14:textId="77777777" w:rsidR="00497CE3" w:rsidRDefault="00497CE3" w:rsidP="00497CE3">
            <w:pPr>
              <w:jc w:val="center"/>
              <w:rPr>
                <w:sz w:val="22"/>
              </w:rPr>
            </w:pPr>
            <w:r>
              <w:rPr>
                <w:sz w:val="22"/>
              </w:rPr>
              <w:t>16</w:t>
            </w:r>
          </w:p>
        </w:tc>
        <w:tc>
          <w:tcPr>
            <w:tcW w:w="432" w:type="pct"/>
            <w:tcBorders>
              <w:top w:val="single" w:sz="4" w:space="0" w:color="auto"/>
              <w:left w:val="single" w:sz="4" w:space="0" w:color="auto"/>
              <w:bottom w:val="single" w:sz="4" w:space="0" w:color="auto"/>
              <w:right w:val="single" w:sz="4" w:space="0" w:color="auto"/>
            </w:tcBorders>
            <w:hideMark/>
          </w:tcPr>
          <w:p w14:paraId="4C21CC3E" w14:textId="77777777" w:rsidR="00497CE3" w:rsidRDefault="00497CE3" w:rsidP="00497CE3">
            <w:pPr>
              <w:jc w:val="center"/>
              <w:rPr>
                <w:sz w:val="22"/>
              </w:rPr>
            </w:pPr>
            <w:r>
              <w:rPr>
                <w:sz w:val="22"/>
              </w:rPr>
              <w:t>18</w:t>
            </w:r>
          </w:p>
        </w:tc>
        <w:tc>
          <w:tcPr>
            <w:tcW w:w="481" w:type="pct"/>
            <w:tcBorders>
              <w:top w:val="single" w:sz="4" w:space="0" w:color="auto"/>
              <w:left w:val="single" w:sz="4" w:space="0" w:color="auto"/>
              <w:bottom w:val="single" w:sz="4" w:space="0" w:color="auto"/>
              <w:right w:val="single" w:sz="4" w:space="0" w:color="auto"/>
            </w:tcBorders>
            <w:hideMark/>
          </w:tcPr>
          <w:p w14:paraId="47A54F33" w14:textId="77777777" w:rsidR="00497CE3" w:rsidRDefault="00497CE3" w:rsidP="00497CE3">
            <w:pPr>
              <w:jc w:val="center"/>
              <w:rPr>
                <w:sz w:val="22"/>
              </w:rPr>
            </w:pPr>
            <w:r>
              <w:rPr>
                <w:sz w:val="22"/>
              </w:rPr>
              <w:t>20</w:t>
            </w:r>
          </w:p>
        </w:tc>
        <w:tc>
          <w:tcPr>
            <w:tcW w:w="481" w:type="pct"/>
            <w:tcBorders>
              <w:top w:val="single" w:sz="4" w:space="0" w:color="auto"/>
              <w:left w:val="single" w:sz="4" w:space="0" w:color="auto"/>
              <w:bottom w:val="single" w:sz="4" w:space="0" w:color="auto"/>
              <w:right w:val="single" w:sz="4" w:space="0" w:color="auto"/>
            </w:tcBorders>
            <w:hideMark/>
          </w:tcPr>
          <w:p w14:paraId="2BDC27DA" w14:textId="77777777" w:rsidR="00497CE3" w:rsidRDefault="00497CE3" w:rsidP="00497CE3">
            <w:pPr>
              <w:jc w:val="center"/>
              <w:rPr>
                <w:sz w:val="22"/>
              </w:rPr>
            </w:pPr>
            <w:r>
              <w:rPr>
                <w:sz w:val="22"/>
              </w:rPr>
              <w:t>21</w:t>
            </w:r>
          </w:p>
        </w:tc>
      </w:tr>
      <w:tr w:rsidR="00497CE3" w14:paraId="2052F8A5"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4C5D2D90" w14:textId="77777777" w:rsidR="00497CE3" w:rsidRDefault="00497CE3" w:rsidP="00497CE3">
            <w:pPr>
              <w:rPr>
                <w:sz w:val="22"/>
              </w:rPr>
            </w:pPr>
            <w:r>
              <w:rPr>
                <w:sz w:val="22"/>
              </w:rPr>
              <w:t>Osteoderms</w:t>
            </w:r>
          </w:p>
        </w:tc>
        <w:tc>
          <w:tcPr>
            <w:tcW w:w="305" w:type="pct"/>
            <w:tcBorders>
              <w:top w:val="single" w:sz="4" w:space="0" w:color="auto"/>
              <w:left w:val="single" w:sz="4" w:space="0" w:color="auto"/>
              <w:bottom w:val="single" w:sz="4" w:space="0" w:color="auto"/>
              <w:right w:val="single" w:sz="4" w:space="0" w:color="auto"/>
            </w:tcBorders>
            <w:hideMark/>
          </w:tcPr>
          <w:p w14:paraId="2DA9D8B0" w14:textId="77777777" w:rsidR="00497CE3" w:rsidRDefault="00497CE3" w:rsidP="00497CE3">
            <w:pPr>
              <w:jc w:val="center"/>
              <w:rPr>
                <w:sz w:val="22"/>
              </w:rPr>
            </w:pPr>
            <w:r>
              <w:rPr>
                <w:sz w:val="22"/>
              </w:rPr>
              <w:t>3</w:t>
            </w:r>
          </w:p>
        </w:tc>
        <w:tc>
          <w:tcPr>
            <w:tcW w:w="457" w:type="pct"/>
            <w:tcBorders>
              <w:top w:val="single" w:sz="4" w:space="0" w:color="auto"/>
              <w:left w:val="single" w:sz="4" w:space="0" w:color="auto"/>
              <w:bottom w:val="single" w:sz="4" w:space="0" w:color="auto"/>
              <w:right w:val="single" w:sz="4" w:space="0" w:color="auto"/>
            </w:tcBorders>
            <w:hideMark/>
          </w:tcPr>
          <w:p w14:paraId="67EA9693" w14:textId="77777777" w:rsidR="00497CE3" w:rsidRDefault="00497CE3" w:rsidP="00497CE3">
            <w:pPr>
              <w:jc w:val="center"/>
              <w:rPr>
                <w:sz w:val="22"/>
              </w:rPr>
            </w:pPr>
            <w:r>
              <w:rPr>
                <w:sz w:val="22"/>
              </w:rPr>
              <w:t>3</w:t>
            </w:r>
          </w:p>
        </w:tc>
        <w:tc>
          <w:tcPr>
            <w:tcW w:w="559" w:type="pct"/>
            <w:tcBorders>
              <w:top w:val="single" w:sz="4" w:space="0" w:color="auto"/>
              <w:left w:val="single" w:sz="4" w:space="0" w:color="auto"/>
              <w:bottom w:val="single" w:sz="4" w:space="0" w:color="auto"/>
              <w:right w:val="single" w:sz="4" w:space="0" w:color="auto"/>
            </w:tcBorders>
            <w:hideMark/>
          </w:tcPr>
          <w:p w14:paraId="2D9F7FE9" w14:textId="77777777" w:rsidR="00497CE3" w:rsidRDefault="00497CE3" w:rsidP="00497CE3">
            <w:pPr>
              <w:jc w:val="center"/>
              <w:rPr>
                <w:sz w:val="22"/>
              </w:rPr>
            </w:pPr>
            <w:r>
              <w:rPr>
                <w:sz w:val="22"/>
              </w:rPr>
              <w:t>4</w:t>
            </w:r>
          </w:p>
        </w:tc>
        <w:tc>
          <w:tcPr>
            <w:tcW w:w="407" w:type="pct"/>
            <w:tcBorders>
              <w:top w:val="single" w:sz="4" w:space="0" w:color="auto"/>
              <w:left w:val="single" w:sz="4" w:space="0" w:color="auto"/>
              <w:bottom w:val="single" w:sz="4" w:space="0" w:color="auto"/>
              <w:right w:val="single" w:sz="4" w:space="0" w:color="auto"/>
            </w:tcBorders>
            <w:hideMark/>
          </w:tcPr>
          <w:p w14:paraId="5AFAE6CF" w14:textId="77777777" w:rsidR="00497CE3" w:rsidRDefault="00497CE3" w:rsidP="00497CE3">
            <w:pPr>
              <w:jc w:val="center"/>
              <w:rPr>
                <w:sz w:val="22"/>
              </w:rPr>
            </w:pPr>
            <w:r>
              <w:rPr>
                <w:sz w:val="22"/>
              </w:rPr>
              <w:t>6</w:t>
            </w:r>
          </w:p>
        </w:tc>
        <w:tc>
          <w:tcPr>
            <w:tcW w:w="508" w:type="pct"/>
            <w:tcBorders>
              <w:top w:val="single" w:sz="4" w:space="0" w:color="auto"/>
              <w:left w:val="single" w:sz="4" w:space="0" w:color="auto"/>
              <w:bottom w:val="single" w:sz="4" w:space="0" w:color="auto"/>
              <w:right w:val="single" w:sz="4" w:space="0" w:color="auto"/>
            </w:tcBorders>
            <w:hideMark/>
          </w:tcPr>
          <w:p w14:paraId="667572E1" w14:textId="77777777" w:rsidR="00497CE3" w:rsidRDefault="00497CE3" w:rsidP="00497CE3">
            <w:pPr>
              <w:jc w:val="center"/>
              <w:rPr>
                <w:sz w:val="22"/>
              </w:rPr>
            </w:pPr>
            <w:r>
              <w:rPr>
                <w:sz w:val="22"/>
              </w:rPr>
              <w:t>6</w:t>
            </w:r>
          </w:p>
        </w:tc>
        <w:tc>
          <w:tcPr>
            <w:tcW w:w="432" w:type="pct"/>
            <w:tcBorders>
              <w:top w:val="single" w:sz="4" w:space="0" w:color="auto"/>
              <w:left w:val="single" w:sz="4" w:space="0" w:color="auto"/>
              <w:bottom w:val="single" w:sz="4" w:space="0" w:color="auto"/>
              <w:right w:val="single" w:sz="4" w:space="0" w:color="auto"/>
            </w:tcBorders>
            <w:hideMark/>
          </w:tcPr>
          <w:p w14:paraId="42C52038" w14:textId="77777777" w:rsidR="00497CE3" w:rsidRDefault="00497CE3" w:rsidP="00497CE3">
            <w:pPr>
              <w:jc w:val="center"/>
              <w:rPr>
                <w:sz w:val="22"/>
              </w:rPr>
            </w:pPr>
            <w:r>
              <w:rPr>
                <w:sz w:val="22"/>
              </w:rPr>
              <w:t>9</w:t>
            </w:r>
          </w:p>
        </w:tc>
        <w:tc>
          <w:tcPr>
            <w:tcW w:w="481" w:type="pct"/>
            <w:tcBorders>
              <w:top w:val="single" w:sz="4" w:space="0" w:color="auto"/>
              <w:left w:val="single" w:sz="4" w:space="0" w:color="auto"/>
              <w:bottom w:val="single" w:sz="4" w:space="0" w:color="auto"/>
              <w:right w:val="single" w:sz="4" w:space="0" w:color="auto"/>
            </w:tcBorders>
            <w:hideMark/>
          </w:tcPr>
          <w:p w14:paraId="1F71CF33" w14:textId="77777777" w:rsidR="00497CE3" w:rsidRDefault="00497CE3" w:rsidP="00497CE3">
            <w:pPr>
              <w:jc w:val="center"/>
              <w:rPr>
                <w:sz w:val="22"/>
              </w:rPr>
            </w:pPr>
            <w:r>
              <w:rPr>
                <w:sz w:val="22"/>
              </w:rPr>
              <w:t>9</w:t>
            </w:r>
          </w:p>
        </w:tc>
        <w:tc>
          <w:tcPr>
            <w:tcW w:w="481" w:type="pct"/>
            <w:tcBorders>
              <w:top w:val="single" w:sz="4" w:space="0" w:color="auto"/>
              <w:left w:val="single" w:sz="4" w:space="0" w:color="auto"/>
              <w:bottom w:val="single" w:sz="4" w:space="0" w:color="auto"/>
              <w:right w:val="single" w:sz="4" w:space="0" w:color="auto"/>
            </w:tcBorders>
            <w:hideMark/>
          </w:tcPr>
          <w:p w14:paraId="6C269C9C" w14:textId="77777777" w:rsidR="00497CE3" w:rsidRDefault="00497CE3" w:rsidP="00497CE3">
            <w:pPr>
              <w:jc w:val="center"/>
              <w:rPr>
                <w:sz w:val="22"/>
              </w:rPr>
            </w:pPr>
            <w:r>
              <w:rPr>
                <w:sz w:val="22"/>
              </w:rPr>
              <w:t>14</w:t>
            </w:r>
          </w:p>
        </w:tc>
      </w:tr>
      <w:tr w:rsidR="00497CE3" w14:paraId="0B40F70D" w14:textId="77777777" w:rsidTr="00497CE3">
        <w:tc>
          <w:tcPr>
            <w:tcW w:w="1370" w:type="pct"/>
            <w:tcBorders>
              <w:top w:val="single" w:sz="4" w:space="0" w:color="auto"/>
              <w:left w:val="single" w:sz="4" w:space="0" w:color="auto"/>
              <w:bottom w:val="single" w:sz="4" w:space="0" w:color="auto"/>
              <w:right w:val="nil"/>
            </w:tcBorders>
            <w:shd w:val="clear" w:color="auto" w:fill="F2F2F2" w:themeFill="background1" w:themeFillShade="F2"/>
          </w:tcPr>
          <w:p w14:paraId="2A19A20B" w14:textId="77777777" w:rsidR="00497CE3" w:rsidRDefault="00497CE3" w:rsidP="00497CE3">
            <w:pPr>
              <w:rPr>
                <w:sz w:val="12"/>
                <w:szCs w:val="12"/>
              </w:rPr>
            </w:pPr>
          </w:p>
        </w:tc>
        <w:tc>
          <w:tcPr>
            <w:tcW w:w="305" w:type="pct"/>
            <w:tcBorders>
              <w:top w:val="single" w:sz="4" w:space="0" w:color="auto"/>
              <w:left w:val="nil"/>
              <w:bottom w:val="single" w:sz="4" w:space="0" w:color="auto"/>
              <w:right w:val="nil"/>
            </w:tcBorders>
            <w:shd w:val="clear" w:color="auto" w:fill="F2F2F2" w:themeFill="background1" w:themeFillShade="F2"/>
          </w:tcPr>
          <w:p w14:paraId="346A3A24" w14:textId="77777777" w:rsidR="00497CE3" w:rsidRDefault="00497CE3" w:rsidP="00497CE3">
            <w:pPr>
              <w:jc w:val="center"/>
              <w:rPr>
                <w:sz w:val="12"/>
                <w:szCs w:val="12"/>
              </w:rPr>
            </w:pPr>
          </w:p>
        </w:tc>
        <w:tc>
          <w:tcPr>
            <w:tcW w:w="457" w:type="pct"/>
            <w:tcBorders>
              <w:top w:val="single" w:sz="4" w:space="0" w:color="auto"/>
              <w:left w:val="nil"/>
              <w:bottom w:val="single" w:sz="4" w:space="0" w:color="auto"/>
              <w:right w:val="nil"/>
            </w:tcBorders>
            <w:shd w:val="clear" w:color="auto" w:fill="F2F2F2" w:themeFill="background1" w:themeFillShade="F2"/>
          </w:tcPr>
          <w:p w14:paraId="6A454F1E" w14:textId="77777777" w:rsidR="00497CE3" w:rsidRDefault="00497CE3" w:rsidP="00497CE3">
            <w:pPr>
              <w:jc w:val="center"/>
              <w:rPr>
                <w:sz w:val="12"/>
                <w:szCs w:val="12"/>
              </w:rPr>
            </w:pPr>
          </w:p>
        </w:tc>
        <w:tc>
          <w:tcPr>
            <w:tcW w:w="559" w:type="pct"/>
            <w:tcBorders>
              <w:top w:val="single" w:sz="4" w:space="0" w:color="auto"/>
              <w:left w:val="nil"/>
              <w:bottom w:val="single" w:sz="4" w:space="0" w:color="auto"/>
              <w:right w:val="nil"/>
            </w:tcBorders>
            <w:shd w:val="clear" w:color="auto" w:fill="F2F2F2" w:themeFill="background1" w:themeFillShade="F2"/>
          </w:tcPr>
          <w:p w14:paraId="7FF91C25" w14:textId="77777777" w:rsidR="00497CE3" w:rsidRDefault="00497CE3" w:rsidP="00497CE3">
            <w:pPr>
              <w:jc w:val="center"/>
              <w:rPr>
                <w:sz w:val="12"/>
                <w:szCs w:val="12"/>
              </w:rPr>
            </w:pPr>
          </w:p>
        </w:tc>
        <w:tc>
          <w:tcPr>
            <w:tcW w:w="407" w:type="pct"/>
            <w:tcBorders>
              <w:top w:val="single" w:sz="4" w:space="0" w:color="auto"/>
              <w:left w:val="nil"/>
              <w:bottom w:val="single" w:sz="4" w:space="0" w:color="auto"/>
              <w:right w:val="nil"/>
            </w:tcBorders>
            <w:shd w:val="clear" w:color="auto" w:fill="F2F2F2" w:themeFill="background1" w:themeFillShade="F2"/>
          </w:tcPr>
          <w:p w14:paraId="12B9A703" w14:textId="77777777" w:rsidR="00497CE3" w:rsidRDefault="00497CE3" w:rsidP="00497CE3">
            <w:pPr>
              <w:jc w:val="center"/>
              <w:rPr>
                <w:sz w:val="12"/>
                <w:szCs w:val="12"/>
              </w:rPr>
            </w:pPr>
          </w:p>
        </w:tc>
        <w:tc>
          <w:tcPr>
            <w:tcW w:w="508" w:type="pct"/>
            <w:tcBorders>
              <w:top w:val="single" w:sz="4" w:space="0" w:color="auto"/>
              <w:left w:val="nil"/>
              <w:bottom w:val="single" w:sz="4" w:space="0" w:color="auto"/>
              <w:right w:val="nil"/>
            </w:tcBorders>
            <w:shd w:val="clear" w:color="auto" w:fill="F2F2F2" w:themeFill="background1" w:themeFillShade="F2"/>
          </w:tcPr>
          <w:p w14:paraId="7748E365" w14:textId="77777777" w:rsidR="00497CE3" w:rsidRDefault="00497CE3" w:rsidP="00497CE3">
            <w:pPr>
              <w:jc w:val="center"/>
              <w:rPr>
                <w:sz w:val="12"/>
                <w:szCs w:val="12"/>
              </w:rPr>
            </w:pPr>
          </w:p>
        </w:tc>
        <w:tc>
          <w:tcPr>
            <w:tcW w:w="432" w:type="pct"/>
            <w:tcBorders>
              <w:top w:val="single" w:sz="4" w:space="0" w:color="auto"/>
              <w:left w:val="nil"/>
              <w:bottom w:val="single" w:sz="4" w:space="0" w:color="auto"/>
              <w:right w:val="nil"/>
            </w:tcBorders>
            <w:shd w:val="clear" w:color="auto" w:fill="F2F2F2" w:themeFill="background1" w:themeFillShade="F2"/>
          </w:tcPr>
          <w:p w14:paraId="42489A91" w14:textId="77777777" w:rsidR="00497CE3" w:rsidRDefault="00497CE3" w:rsidP="00497CE3">
            <w:pPr>
              <w:jc w:val="center"/>
              <w:rPr>
                <w:sz w:val="12"/>
                <w:szCs w:val="12"/>
              </w:rPr>
            </w:pPr>
          </w:p>
        </w:tc>
        <w:tc>
          <w:tcPr>
            <w:tcW w:w="481" w:type="pct"/>
            <w:tcBorders>
              <w:top w:val="single" w:sz="4" w:space="0" w:color="auto"/>
              <w:left w:val="nil"/>
              <w:bottom w:val="single" w:sz="4" w:space="0" w:color="auto"/>
              <w:right w:val="nil"/>
            </w:tcBorders>
            <w:shd w:val="clear" w:color="auto" w:fill="F2F2F2" w:themeFill="background1" w:themeFillShade="F2"/>
          </w:tcPr>
          <w:p w14:paraId="765E96B2" w14:textId="77777777" w:rsidR="00497CE3" w:rsidRDefault="00497CE3" w:rsidP="00497CE3">
            <w:pPr>
              <w:jc w:val="center"/>
              <w:rPr>
                <w:sz w:val="12"/>
                <w:szCs w:val="12"/>
              </w:rPr>
            </w:pPr>
          </w:p>
        </w:tc>
        <w:tc>
          <w:tcPr>
            <w:tcW w:w="481" w:type="pct"/>
            <w:tcBorders>
              <w:top w:val="single" w:sz="4" w:space="0" w:color="auto"/>
              <w:left w:val="nil"/>
              <w:bottom w:val="single" w:sz="4" w:space="0" w:color="auto"/>
              <w:right w:val="single" w:sz="4" w:space="0" w:color="auto"/>
            </w:tcBorders>
            <w:shd w:val="clear" w:color="auto" w:fill="F2F2F2" w:themeFill="background1" w:themeFillShade="F2"/>
          </w:tcPr>
          <w:p w14:paraId="25C82BB1" w14:textId="77777777" w:rsidR="00497CE3" w:rsidRDefault="00497CE3" w:rsidP="00497CE3">
            <w:pPr>
              <w:jc w:val="center"/>
              <w:rPr>
                <w:sz w:val="12"/>
                <w:szCs w:val="12"/>
              </w:rPr>
            </w:pPr>
          </w:p>
        </w:tc>
      </w:tr>
      <w:tr w:rsidR="00497CE3" w14:paraId="1F5AEF3C"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565267B7" w14:textId="77777777" w:rsidR="00497CE3" w:rsidRDefault="00497CE3" w:rsidP="00497CE3">
            <w:pPr>
              <w:rPr>
                <w:b/>
                <w:sz w:val="22"/>
              </w:rPr>
            </w:pPr>
            <w:r>
              <w:rPr>
                <w:b/>
                <w:sz w:val="22"/>
              </w:rPr>
              <w:t>Total character number</w:t>
            </w:r>
          </w:p>
        </w:tc>
        <w:tc>
          <w:tcPr>
            <w:tcW w:w="305" w:type="pct"/>
            <w:tcBorders>
              <w:top w:val="single" w:sz="4" w:space="0" w:color="auto"/>
              <w:left w:val="single" w:sz="4" w:space="0" w:color="auto"/>
              <w:bottom w:val="single" w:sz="4" w:space="0" w:color="auto"/>
              <w:right w:val="single" w:sz="4" w:space="0" w:color="auto"/>
            </w:tcBorders>
            <w:hideMark/>
          </w:tcPr>
          <w:p w14:paraId="3261C7F3" w14:textId="77777777" w:rsidR="00497CE3" w:rsidRDefault="00497CE3" w:rsidP="00497CE3">
            <w:pPr>
              <w:jc w:val="center"/>
              <w:rPr>
                <w:b/>
                <w:sz w:val="22"/>
              </w:rPr>
            </w:pPr>
            <w:r>
              <w:rPr>
                <w:b/>
                <w:sz w:val="22"/>
              </w:rPr>
              <w:t>54</w:t>
            </w:r>
          </w:p>
        </w:tc>
        <w:tc>
          <w:tcPr>
            <w:tcW w:w="457" w:type="pct"/>
            <w:tcBorders>
              <w:top w:val="single" w:sz="4" w:space="0" w:color="auto"/>
              <w:left w:val="single" w:sz="4" w:space="0" w:color="auto"/>
              <w:bottom w:val="single" w:sz="4" w:space="0" w:color="auto"/>
              <w:right w:val="single" w:sz="4" w:space="0" w:color="auto"/>
            </w:tcBorders>
            <w:hideMark/>
          </w:tcPr>
          <w:p w14:paraId="6C408167" w14:textId="77777777" w:rsidR="00497CE3" w:rsidRDefault="00497CE3" w:rsidP="00497CE3">
            <w:pPr>
              <w:jc w:val="center"/>
              <w:rPr>
                <w:b/>
                <w:sz w:val="22"/>
              </w:rPr>
            </w:pPr>
            <w:r>
              <w:rPr>
                <w:b/>
                <w:sz w:val="22"/>
              </w:rPr>
              <w:t>82</w:t>
            </w:r>
          </w:p>
        </w:tc>
        <w:tc>
          <w:tcPr>
            <w:tcW w:w="559" w:type="pct"/>
            <w:tcBorders>
              <w:top w:val="single" w:sz="4" w:space="0" w:color="auto"/>
              <w:left w:val="single" w:sz="4" w:space="0" w:color="auto"/>
              <w:bottom w:val="single" w:sz="4" w:space="0" w:color="auto"/>
              <w:right w:val="single" w:sz="4" w:space="0" w:color="auto"/>
            </w:tcBorders>
            <w:hideMark/>
          </w:tcPr>
          <w:p w14:paraId="01B13B3E" w14:textId="77777777" w:rsidR="00497CE3" w:rsidRDefault="00497CE3" w:rsidP="00497CE3">
            <w:pPr>
              <w:jc w:val="center"/>
              <w:rPr>
                <w:b/>
                <w:sz w:val="22"/>
              </w:rPr>
            </w:pPr>
            <w:r>
              <w:rPr>
                <w:b/>
                <w:sz w:val="22"/>
              </w:rPr>
              <w:t>166</w:t>
            </w:r>
          </w:p>
        </w:tc>
        <w:tc>
          <w:tcPr>
            <w:tcW w:w="407" w:type="pct"/>
            <w:tcBorders>
              <w:top w:val="single" w:sz="4" w:space="0" w:color="auto"/>
              <w:left w:val="single" w:sz="4" w:space="0" w:color="auto"/>
              <w:bottom w:val="single" w:sz="4" w:space="0" w:color="auto"/>
              <w:right w:val="single" w:sz="4" w:space="0" w:color="auto"/>
            </w:tcBorders>
            <w:hideMark/>
          </w:tcPr>
          <w:p w14:paraId="073A5F84" w14:textId="77777777" w:rsidR="00497CE3" w:rsidRDefault="00497CE3" w:rsidP="00497CE3">
            <w:pPr>
              <w:jc w:val="center"/>
              <w:rPr>
                <w:b/>
                <w:sz w:val="22"/>
              </w:rPr>
            </w:pPr>
            <w:r>
              <w:rPr>
                <w:b/>
                <w:sz w:val="22"/>
              </w:rPr>
              <w:t>190</w:t>
            </w:r>
          </w:p>
        </w:tc>
        <w:tc>
          <w:tcPr>
            <w:tcW w:w="508" w:type="pct"/>
            <w:tcBorders>
              <w:top w:val="single" w:sz="4" w:space="0" w:color="auto"/>
              <w:left w:val="single" w:sz="4" w:space="0" w:color="auto"/>
              <w:bottom w:val="single" w:sz="4" w:space="0" w:color="auto"/>
              <w:right w:val="single" w:sz="4" w:space="0" w:color="auto"/>
            </w:tcBorders>
            <w:hideMark/>
          </w:tcPr>
          <w:p w14:paraId="656F01F3" w14:textId="77777777" w:rsidR="00497CE3" w:rsidRDefault="00497CE3" w:rsidP="00497CE3">
            <w:pPr>
              <w:jc w:val="center"/>
              <w:rPr>
                <w:b/>
                <w:sz w:val="22"/>
              </w:rPr>
            </w:pPr>
            <w:r>
              <w:rPr>
                <w:b/>
                <w:sz w:val="22"/>
              </w:rPr>
              <w:t>201</w:t>
            </w:r>
          </w:p>
        </w:tc>
        <w:tc>
          <w:tcPr>
            <w:tcW w:w="432" w:type="pct"/>
            <w:tcBorders>
              <w:top w:val="single" w:sz="4" w:space="0" w:color="auto"/>
              <w:left w:val="single" w:sz="4" w:space="0" w:color="auto"/>
              <w:bottom w:val="single" w:sz="4" w:space="0" w:color="auto"/>
              <w:right w:val="single" w:sz="4" w:space="0" w:color="auto"/>
            </w:tcBorders>
            <w:hideMark/>
          </w:tcPr>
          <w:p w14:paraId="6EAAC48C" w14:textId="77777777" w:rsidR="00497CE3" w:rsidRDefault="00497CE3" w:rsidP="00497CE3">
            <w:pPr>
              <w:jc w:val="center"/>
              <w:rPr>
                <w:b/>
                <w:sz w:val="22"/>
              </w:rPr>
            </w:pPr>
            <w:r>
              <w:rPr>
                <w:b/>
                <w:sz w:val="22"/>
              </w:rPr>
              <w:t>240</w:t>
            </w:r>
          </w:p>
        </w:tc>
        <w:tc>
          <w:tcPr>
            <w:tcW w:w="481" w:type="pct"/>
            <w:tcBorders>
              <w:top w:val="single" w:sz="4" w:space="0" w:color="auto"/>
              <w:left w:val="single" w:sz="4" w:space="0" w:color="auto"/>
              <w:bottom w:val="single" w:sz="4" w:space="0" w:color="auto"/>
              <w:right w:val="single" w:sz="4" w:space="0" w:color="auto"/>
            </w:tcBorders>
            <w:hideMark/>
          </w:tcPr>
          <w:p w14:paraId="28431464" w14:textId="77777777" w:rsidR="00497CE3" w:rsidRDefault="00497CE3" w:rsidP="00497CE3">
            <w:pPr>
              <w:jc w:val="center"/>
              <w:rPr>
                <w:b/>
                <w:sz w:val="22"/>
              </w:rPr>
            </w:pPr>
            <w:r>
              <w:rPr>
                <w:b/>
                <w:sz w:val="22"/>
              </w:rPr>
              <w:t>251</w:t>
            </w:r>
          </w:p>
        </w:tc>
        <w:tc>
          <w:tcPr>
            <w:tcW w:w="481" w:type="pct"/>
            <w:tcBorders>
              <w:top w:val="single" w:sz="4" w:space="0" w:color="auto"/>
              <w:left w:val="single" w:sz="4" w:space="0" w:color="auto"/>
              <w:bottom w:val="single" w:sz="4" w:space="0" w:color="auto"/>
              <w:right w:val="single" w:sz="4" w:space="0" w:color="auto"/>
            </w:tcBorders>
            <w:hideMark/>
          </w:tcPr>
          <w:p w14:paraId="3071F89A" w14:textId="77777777" w:rsidR="00497CE3" w:rsidRDefault="00497CE3" w:rsidP="00497CE3">
            <w:pPr>
              <w:jc w:val="center"/>
              <w:rPr>
                <w:b/>
                <w:sz w:val="22"/>
              </w:rPr>
            </w:pPr>
            <w:r>
              <w:rPr>
                <w:b/>
                <w:sz w:val="22"/>
              </w:rPr>
              <w:t>298</w:t>
            </w:r>
          </w:p>
        </w:tc>
      </w:tr>
      <w:tr w:rsidR="00497CE3" w14:paraId="266ECE6E" w14:textId="77777777" w:rsidTr="00497CE3">
        <w:tc>
          <w:tcPr>
            <w:tcW w:w="1370" w:type="pct"/>
            <w:tcBorders>
              <w:top w:val="single" w:sz="4" w:space="0" w:color="auto"/>
              <w:left w:val="single" w:sz="4" w:space="0" w:color="auto"/>
              <w:bottom w:val="single" w:sz="4" w:space="0" w:color="auto"/>
              <w:right w:val="nil"/>
            </w:tcBorders>
            <w:shd w:val="clear" w:color="auto" w:fill="F2F2F2" w:themeFill="background1" w:themeFillShade="F2"/>
          </w:tcPr>
          <w:p w14:paraId="7E98889D" w14:textId="77777777" w:rsidR="00497CE3" w:rsidRDefault="00497CE3" w:rsidP="00497CE3">
            <w:pPr>
              <w:rPr>
                <w:b/>
                <w:sz w:val="12"/>
                <w:szCs w:val="12"/>
              </w:rPr>
            </w:pPr>
          </w:p>
        </w:tc>
        <w:tc>
          <w:tcPr>
            <w:tcW w:w="305" w:type="pct"/>
            <w:tcBorders>
              <w:top w:val="single" w:sz="4" w:space="0" w:color="auto"/>
              <w:left w:val="nil"/>
              <w:bottom w:val="single" w:sz="4" w:space="0" w:color="auto"/>
              <w:right w:val="nil"/>
            </w:tcBorders>
            <w:shd w:val="clear" w:color="auto" w:fill="F2F2F2" w:themeFill="background1" w:themeFillShade="F2"/>
          </w:tcPr>
          <w:p w14:paraId="3CBDFB9A" w14:textId="77777777" w:rsidR="00497CE3" w:rsidRDefault="00497CE3" w:rsidP="00497CE3">
            <w:pPr>
              <w:jc w:val="center"/>
              <w:rPr>
                <w:b/>
                <w:sz w:val="12"/>
                <w:szCs w:val="12"/>
              </w:rPr>
            </w:pPr>
          </w:p>
        </w:tc>
        <w:tc>
          <w:tcPr>
            <w:tcW w:w="457" w:type="pct"/>
            <w:tcBorders>
              <w:top w:val="single" w:sz="4" w:space="0" w:color="auto"/>
              <w:left w:val="nil"/>
              <w:bottom w:val="single" w:sz="4" w:space="0" w:color="auto"/>
              <w:right w:val="nil"/>
            </w:tcBorders>
            <w:shd w:val="clear" w:color="auto" w:fill="F2F2F2" w:themeFill="background1" w:themeFillShade="F2"/>
          </w:tcPr>
          <w:p w14:paraId="5F6A137E" w14:textId="77777777" w:rsidR="00497CE3" w:rsidRDefault="00497CE3" w:rsidP="00497CE3">
            <w:pPr>
              <w:jc w:val="center"/>
              <w:rPr>
                <w:b/>
                <w:sz w:val="12"/>
                <w:szCs w:val="12"/>
              </w:rPr>
            </w:pPr>
          </w:p>
        </w:tc>
        <w:tc>
          <w:tcPr>
            <w:tcW w:w="559" w:type="pct"/>
            <w:tcBorders>
              <w:top w:val="single" w:sz="4" w:space="0" w:color="auto"/>
              <w:left w:val="nil"/>
              <w:bottom w:val="single" w:sz="4" w:space="0" w:color="auto"/>
              <w:right w:val="nil"/>
            </w:tcBorders>
            <w:shd w:val="clear" w:color="auto" w:fill="F2F2F2" w:themeFill="background1" w:themeFillShade="F2"/>
          </w:tcPr>
          <w:p w14:paraId="037AACBB" w14:textId="77777777" w:rsidR="00497CE3" w:rsidRDefault="00497CE3" w:rsidP="00497CE3">
            <w:pPr>
              <w:jc w:val="center"/>
              <w:rPr>
                <w:b/>
                <w:sz w:val="12"/>
                <w:szCs w:val="12"/>
              </w:rPr>
            </w:pPr>
          </w:p>
        </w:tc>
        <w:tc>
          <w:tcPr>
            <w:tcW w:w="407" w:type="pct"/>
            <w:tcBorders>
              <w:top w:val="single" w:sz="4" w:space="0" w:color="auto"/>
              <w:left w:val="nil"/>
              <w:bottom w:val="single" w:sz="4" w:space="0" w:color="auto"/>
              <w:right w:val="nil"/>
            </w:tcBorders>
            <w:shd w:val="clear" w:color="auto" w:fill="F2F2F2" w:themeFill="background1" w:themeFillShade="F2"/>
          </w:tcPr>
          <w:p w14:paraId="14414140" w14:textId="77777777" w:rsidR="00497CE3" w:rsidRDefault="00497CE3" w:rsidP="00497CE3">
            <w:pPr>
              <w:jc w:val="center"/>
              <w:rPr>
                <w:b/>
                <w:sz w:val="12"/>
                <w:szCs w:val="12"/>
              </w:rPr>
            </w:pPr>
          </w:p>
        </w:tc>
        <w:tc>
          <w:tcPr>
            <w:tcW w:w="508" w:type="pct"/>
            <w:tcBorders>
              <w:top w:val="single" w:sz="4" w:space="0" w:color="auto"/>
              <w:left w:val="nil"/>
              <w:bottom w:val="single" w:sz="4" w:space="0" w:color="auto"/>
              <w:right w:val="nil"/>
            </w:tcBorders>
            <w:shd w:val="clear" w:color="auto" w:fill="F2F2F2" w:themeFill="background1" w:themeFillShade="F2"/>
          </w:tcPr>
          <w:p w14:paraId="2670FA63" w14:textId="77777777" w:rsidR="00497CE3" w:rsidRDefault="00497CE3" w:rsidP="00497CE3">
            <w:pPr>
              <w:jc w:val="center"/>
              <w:rPr>
                <w:b/>
                <w:sz w:val="12"/>
                <w:szCs w:val="12"/>
              </w:rPr>
            </w:pPr>
          </w:p>
        </w:tc>
        <w:tc>
          <w:tcPr>
            <w:tcW w:w="432" w:type="pct"/>
            <w:tcBorders>
              <w:top w:val="single" w:sz="4" w:space="0" w:color="auto"/>
              <w:left w:val="nil"/>
              <w:bottom w:val="single" w:sz="4" w:space="0" w:color="auto"/>
              <w:right w:val="nil"/>
            </w:tcBorders>
            <w:shd w:val="clear" w:color="auto" w:fill="F2F2F2" w:themeFill="background1" w:themeFillShade="F2"/>
          </w:tcPr>
          <w:p w14:paraId="57425C0A" w14:textId="77777777" w:rsidR="00497CE3" w:rsidRDefault="00497CE3" w:rsidP="00497CE3">
            <w:pPr>
              <w:jc w:val="center"/>
              <w:rPr>
                <w:b/>
                <w:sz w:val="12"/>
                <w:szCs w:val="12"/>
              </w:rPr>
            </w:pPr>
          </w:p>
        </w:tc>
        <w:tc>
          <w:tcPr>
            <w:tcW w:w="481" w:type="pct"/>
            <w:tcBorders>
              <w:top w:val="single" w:sz="4" w:space="0" w:color="auto"/>
              <w:left w:val="nil"/>
              <w:bottom w:val="single" w:sz="4" w:space="0" w:color="auto"/>
              <w:right w:val="nil"/>
            </w:tcBorders>
            <w:shd w:val="clear" w:color="auto" w:fill="F2F2F2" w:themeFill="background1" w:themeFillShade="F2"/>
          </w:tcPr>
          <w:p w14:paraId="27D1CEB1" w14:textId="77777777" w:rsidR="00497CE3" w:rsidRDefault="00497CE3" w:rsidP="00497CE3">
            <w:pPr>
              <w:jc w:val="center"/>
              <w:rPr>
                <w:b/>
                <w:sz w:val="12"/>
                <w:szCs w:val="12"/>
              </w:rPr>
            </w:pPr>
          </w:p>
        </w:tc>
        <w:tc>
          <w:tcPr>
            <w:tcW w:w="481" w:type="pct"/>
            <w:tcBorders>
              <w:top w:val="single" w:sz="4" w:space="0" w:color="auto"/>
              <w:left w:val="nil"/>
              <w:bottom w:val="single" w:sz="4" w:space="0" w:color="auto"/>
              <w:right w:val="single" w:sz="4" w:space="0" w:color="auto"/>
            </w:tcBorders>
            <w:shd w:val="clear" w:color="auto" w:fill="F2F2F2" w:themeFill="background1" w:themeFillShade="F2"/>
          </w:tcPr>
          <w:p w14:paraId="36F314B9" w14:textId="77777777" w:rsidR="00497CE3" w:rsidRDefault="00497CE3" w:rsidP="00497CE3">
            <w:pPr>
              <w:jc w:val="center"/>
              <w:rPr>
                <w:b/>
                <w:sz w:val="12"/>
                <w:szCs w:val="12"/>
              </w:rPr>
            </w:pPr>
          </w:p>
        </w:tc>
      </w:tr>
      <w:tr w:rsidR="00497CE3" w14:paraId="6B3FED7C"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03F227E8" w14:textId="77777777" w:rsidR="00497CE3" w:rsidRDefault="00497CE3" w:rsidP="00497CE3">
            <w:pPr>
              <w:rPr>
                <w:b/>
                <w:i/>
                <w:sz w:val="22"/>
              </w:rPr>
            </w:pPr>
            <w:r>
              <w:rPr>
                <w:b/>
                <w:i/>
                <w:sz w:val="22"/>
              </w:rPr>
              <w:t>Total dental+craniomandibular</w:t>
            </w:r>
          </w:p>
        </w:tc>
        <w:tc>
          <w:tcPr>
            <w:tcW w:w="305" w:type="pct"/>
            <w:tcBorders>
              <w:top w:val="single" w:sz="4" w:space="0" w:color="auto"/>
              <w:left w:val="single" w:sz="4" w:space="0" w:color="auto"/>
              <w:bottom w:val="single" w:sz="4" w:space="0" w:color="auto"/>
              <w:right w:val="single" w:sz="4" w:space="0" w:color="auto"/>
            </w:tcBorders>
            <w:hideMark/>
          </w:tcPr>
          <w:p w14:paraId="7BF1AFDE" w14:textId="77777777" w:rsidR="00497CE3" w:rsidRDefault="00497CE3" w:rsidP="00497CE3">
            <w:pPr>
              <w:jc w:val="center"/>
              <w:rPr>
                <w:b/>
                <w:sz w:val="22"/>
              </w:rPr>
            </w:pPr>
            <w:r>
              <w:rPr>
                <w:b/>
                <w:sz w:val="22"/>
              </w:rPr>
              <w:t>33</w:t>
            </w:r>
          </w:p>
        </w:tc>
        <w:tc>
          <w:tcPr>
            <w:tcW w:w="457" w:type="pct"/>
            <w:tcBorders>
              <w:top w:val="single" w:sz="4" w:space="0" w:color="auto"/>
              <w:left w:val="single" w:sz="4" w:space="0" w:color="auto"/>
              <w:bottom w:val="single" w:sz="4" w:space="0" w:color="auto"/>
              <w:right w:val="single" w:sz="4" w:space="0" w:color="auto"/>
            </w:tcBorders>
            <w:hideMark/>
          </w:tcPr>
          <w:p w14:paraId="01F4C785" w14:textId="77777777" w:rsidR="00497CE3" w:rsidRDefault="00497CE3" w:rsidP="00497CE3">
            <w:pPr>
              <w:jc w:val="center"/>
              <w:rPr>
                <w:b/>
                <w:sz w:val="22"/>
              </w:rPr>
            </w:pPr>
            <w:r>
              <w:rPr>
                <w:b/>
                <w:sz w:val="22"/>
              </w:rPr>
              <w:t>60</w:t>
            </w:r>
          </w:p>
        </w:tc>
        <w:tc>
          <w:tcPr>
            <w:tcW w:w="559" w:type="pct"/>
            <w:tcBorders>
              <w:top w:val="single" w:sz="4" w:space="0" w:color="auto"/>
              <w:left w:val="single" w:sz="4" w:space="0" w:color="auto"/>
              <w:bottom w:val="single" w:sz="4" w:space="0" w:color="auto"/>
              <w:right w:val="single" w:sz="4" w:space="0" w:color="auto"/>
            </w:tcBorders>
            <w:hideMark/>
          </w:tcPr>
          <w:p w14:paraId="2696F423" w14:textId="77777777" w:rsidR="00497CE3" w:rsidRDefault="00497CE3" w:rsidP="00497CE3">
            <w:pPr>
              <w:jc w:val="center"/>
              <w:rPr>
                <w:b/>
                <w:sz w:val="22"/>
              </w:rPr>
            </w:pPr>
            <w:r>
              <w:rPr>
                <w:b/>
                <w:sz w:val="22"/>
              </w:rPr>
              <w:t>127</w:t>
            </w:r>
          </w:p>
        </w:tc>
        <w:tc>
          <w:tcPr>
            <w:tcW w:w="407" w:type="pct"/>
            <w:tcBorders>
              <w:top w:val="single" w:sz="4" w:space="0" w:color="auto"/>
              <w:left w:val="single" w:sz="4" w:space="0" w:color="auto"/>
              <w:bottom w:val="single" w:sz="4" w:space="0" w:color="auto"/>
              <w:right w:val="single" w:sz="4" w:space="0" w:color="auto"/>
            </w:tcBorders>
            <w:hideMark/>
          </w:tcPr>
          <w:p w14:paraId="0820ACC0" w14:textId="77777777" w:rsidR="00497CE3" w:rsidRDefault="00497CE3" w:rsidP="00497CE3">
            <w:pPr>
              <w:jc w:val="center"/>
              <w:rPr>
                <w:b/>
                <w:sz w:val="22"/>
              </w:rPr>
            </w:pPr>
            <w:r>
              <w:rPr>
                <w:b/>
                <w:sz w:val="22"/>
              </w:rPr>
              <w:t>143</w:t>
            </w:r>
          </w:p>
        </w:tc>
        <w:tc>
          <w:tcPr>
            <w:tcW w:w="508" w:type="pct"/>
            <w:tcBorders>
              <w:top w:val="single" w:sz="4" w:space="0" w:color="auto"/>
              <w:left w:val="single" w:sz="4" w:space="0" w:color="auto"/>
              <w:bottom w:val="single" w:sz="4" w:space="0" w:color="auto"/>
              <w:right w:val="single" w:sz="4" w:space="0" w:color="auto"/>
            </w:tcBorders>
            <w:hideMark/>
          </w:tcPr>
          <w:p w14:paraId="688FF78C" w14:textId="77777777" w:rsidR="00497CE3" w:rsidRDefault="00497CE3" w:rsidP="00497CE3">
            <w:pPr>
              <w:jc w:val="center"/>
              <w:rPr>
                <w:b/>
                <w:sz w:val="22"/>
              </w:rPr>
            </w:pPr>
            <w:r>
              <w:rPr>
                <w:b/>
                <w:sz w:val="22"/>
              </w:rPr>
              <w:t>147</w:t>
            </w:r>
          </w:p>
        </w:tc>
        <w:tc>
          <w:tcPr>
            <w:tcW w:w="432" w:type="pct"/>
            <w:tcBorders>
              <w:top w:val="single" w:sz="4" w:space="0" w:color="auto"/>
              <w:left w:val="single" w:sz="4" w:space="0" w:color="auto"/>
              <w:bottom w:val="single" w:sz="4" w:space="0" w:color="auto"/>
              <w:right w:val="single" w:sz="4" w:space="0" w:color="auto"/>
            </w:tcBorders>
            <w:hideMark/>
          </w:tcPr>
          <w:p w14:paraId="76189FBB" w14:textId="77777777" w:rsidR="00497CE3" w:rsidRDefault="00497CE3" w:rsidP="00497CE3">
            <w:pPr>
              <w:jc w:val="center"/>
              <w:rPr>
                <w:b/>
                <w:sz w:val="22"/>
              </w:rPr>
            </w:pPr>
            <w:r>
              <w:rPr>
                <w:b/>
                <w:sz w:val="22"/>
              </w:rPr>
              <w:t>175</w:t>
            </w:r>
          </w:p>
        </w:tc>
        <w:tc>
          <w:tcPr>
            <w:tcW w:w="481" w:type="pct"/>
            <w:tcBorders>
              <w:top w:val="single" w:sz="4" w:space="0" w:color="auto"/>
              <w:left w:val="single" w:sz="4" w:space="0" w:color="auto"/>
              <w:bottom w:val="single" w:sz="4" w:space="0" w:color="auto"/>
              <w:right w:val="single" w:sz="4" w:space="0" w:color="auto"/>
            </w:tcBorders>
            <w:hideMark/>
          </w:tcPr>
          <w:p w14:paraId="29B4BC06" w14:textId="77777777" w:rsidR="00497CE3" w:rsidRDefault="00497CE3" w:rsidP="00497CE3">
            <w:pPr>
              <w:jc w:val="center"/>
              <w:rPr>
                <w:b/>
                <w:sz w:val="22"/>
              </w:rPr>
            </w:pPr>
            <w:r>
              <w:rPr>
                <w:b/>
                <w:sz w:val="22"/>
              </w:rPr>
              <w:t>183</w:t>
            </w:r>
          </w:p>
        </w:tc>
        <w:tc>
          <w:tcPr>
            <w:tcW w:w="481" w:type="pct"/>
            <w:tcBorders>
              <w:top w:val="single" w:sz="4" w:space="0" w:color="auto"/>
              <w:left w:val="single" w:sz="4" w:space="0" w:color="auto"/>
              <w:bottom w:val="single" w:sz="4" w:space="0" w:color="auto"/>
              <w:right w:val="single" w:sz="4" w:space="0" w:color="auto"/>
            </w:tcBorders>
            <w:hideMark/>
          </w:tcPr>
          <w:p w14:paraId="159E0C06" w14:textId="77777777" w:rsidR="00497CE3" w:rsidRDefault="00497CE3" w:rsidP="00497CE3">
            <w:pPr>
              <w:jc w:val="center"/>
              <w:rPr>
                <w:b/>
                <w:sz w:val="22"/>
              </w:rPr>
            </w:pPr>
            <w:r>
              <w:rPr>
                <w:b/>
                <w:sz w:val="22"/>
              </w:rPr>
              <w:t>221</w:t>
            </w:r>
          </w:p>
        </w:tc>
      </w:tr>
      <w:tr w:rsidR="00497CE3" w14:paraId="6E99D512"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0E86ADCE" w14:textId="77777777" w:rsidR="00497CE3" w:rsidRDefault="00497CE3" w:rsidP="00497CE3">
            <w:pPr>
              <w:rPr>
                <w:b/>
                <w:i/>
                <w:sz w:val="22"/>
              </w:rPr>
            </w:pPr>
            <w:r>
              <w:rPr>
                <w:b/>
                <w:i/>
                <w:sz w:val="22"/>
              </w:rPr>
              <w:t>Total post-cranial</w:t>
            </w:r>
          </w:p>
        </w:tc>
        <w:tc>
          <w:tcPr>
            <w:tcW w:w="305" w:type="pct"/>
            <w:tcBorders>
              <w:top w:val="single" w:sz="4" w:space="0" w:color="auto"/>
              <w:left w:val="single" w:sz="4" w:space="0" w:color="auto"/>
              <w:bottom w:val="single" w:sz="4" w:space="0" w:color="auto"/>
              <w:right w:val="single" w:sz="4" w:space="0" w:color="auto"/>
            </w:tcBorders>
            <w:hideMark/>
          </w:tcPr>
          <w:p w14:paraId="5FC65FC5" w14:textId="77777777" w:rsidR="00497CE3" w:rsidRDefault="00497CE3" w:rsidP="00497CE3">
            <w:pPr>
              <w:jc w:val="center"/>
              <w:rPr>
                <w:b/>
                <w:sz w:val="22"/>
              </w:rPr>
            </w:pPr>
            <w:r>
              <w:rPr>
                <w:b/>
                <w:sz w:val="22"/>
              </w:rPr>
              <w:t>21</w:t>
            </w:r>
          </w:p>
        </w:tc>
        <w:tc>
          <w:tcPr>
            <w:tcW w:w="457" w:type="pct"/>
            <w:tcBorders>
              <w:top w:val="single" w:sz="4" w:space="0" w:color="auto"/>
              <w:left w:val="single" w:sz="4" w:space="0" w:color="auto"/>
              <w:bottom w:val="single" w:sz="4" w:space="0" w:color="auto"/>
              <w:right w:val="single" w:sz="4" w:space="0" w:color="auto"/>
            </w:tcBorders>
            <w:hideMark/>
          </w:tcPr>
          <w:p w14:paraId="585501A6" w14:textId="77777777" w:rsidR="00497CE3" w:rsidRDefault="00497CE3" w:rsidP="00497CE3">
            <w:pPr>
              <w:jc w:val="center"/>
              <w:rPr>
                <w:b/>
                <w:sz w:val="22"/>
              </w:rPr>
            </w:pPr>
            <w:r>
              <w:rPr>
                <w:b/>
                <w:sz w:val="22"/>
              </w:rPr>
              <w:t>22</w:t>
            </w:r>
          </w:p>
        </w:tc>
        <w:tc>
          <w:tcPr>
            <w:tcW w:w="559" w:type="pct"/>
            <w:tcBorders>
              <w:top w:val="single" w:sz="4" w:space="0" w:color="auto"/>
              <w:left w:val="single" w:sz="4" w:space="0" w:color="auto"/>
              <w:bottom w:val="single" w:sz="4" w:space="0" w:color="auto"/>
              <w:right w:val="single" w:sz="4" w:space="0" w:color="auto"/>
            </w:tcBorders>
            <w:hideMark/>
          </w:tcPr>
          <w:p w14:paraId="502D2B86" w14:textId="77777777" w:rsidR="00497CE3" w:rsidRDefault="00497CE3" w:rsidP="00497CE3">
            <w:pPr>
              <w:jc w:val="center"/>
              <w:rPr>
                <w:b/>
                <w:sz w:val="22"/>
              </w:rPr>
            </w:pPr>
            <w:r>
              <w:rPr>
                <w:b/>
                <w:sz w:val="22"/>
              </w:rPr>
              <w:t>39</w:t>
            </w:r>
          </w:p>
        </w:tc>
        <w:tc>
          <w:tcPr>
            <w:tcW w:w="407" w:type="pct"/>
            <w:tcBorders>
              <w:top w:val="single" w:sz="4" w:space="0" w:color="auto"/>
              <w:left w:val="single" w:sz="4" w:space="0" w:color="auto"/>
              <w:bottom w:val="single" w:sz="4" w:space="0" w:color="auto"/>
              <w:right w:val="single" w:sz="4" w:space="0" w:color="auto"/>
            </w:tcBorders>
            <w:hideMark/>
          </w:tcPr>
          <w:p w14:paraId="6FEB94EF" w14:textId="77777777" w:rsidR="00497CE3" w:rsidRDefault="00497CE3" w:rsidP="00497CE3">
            <w:pPr>
              <w:jc w:val="center"/>
              <w:rPr>
                <w:b/>
                <w:sz w:val="22"/>
              </w:rPr>
            </w:pPr>
            <w:r>
              <w:rPr>
                <w:b/>
                <w:sz w:val="22"/>
              </w:rPr>
              <w:t>47</w:t>
            </w:r>
          </w:p>
        </w:tc>
        <w:tc>
          <w:tcPr>
            <w:tcW w:w="508" w:type="pct"/>
            <w:tcBorders>
              <w:top w:val="single" w:sz="4" w:space="0" w:color="auto"/>
              <w:left w:val="single" w:sz="4" w:space="0" w:color="auto"/>
              <w:bottom w:val="single" w:sz="4" w:space="0" w:color="auto"/>
              <w:right w:val="single" w:sz="4" w:space="0" w:color="auto"/>
            </w:tcBorders>
            <w:hideMark/>
          </w:tcPr>
          <w:p w14:paraId="3BBD8C30" w14:textId="77777777" w:rsidR="00497CE3" w:rsidRDefault="00497CE3" w:rsidP="00497CE3">
            <w:pPr>
              <w:jc w:val="center"/>
              <w:rPr>
                <w:b/>
                <w:sz w:val="22"/>
              </w:rPr>
            </w:pPr>
            <w:r>
              <w:rPr>
                <w:b/>
                <w:sz w:val="22"/>
              </w:rPr>
              <w:t>54</w:t>
            </w:r>
          </w:p>
        </w:tc>
        <w:tc>
          <w:tcPr>
            <w:tcW w:w="432" w:type="pct"/>
            <w:tcBorders>
              <w:top w:val="single" w:sz="4" w:space="0" w:color="auto"/>
              <w:left w:val="single" w:sz="4" w:space="0" w:color="auto"/>
              <w:bottom w:val="single" w:sz="4" w:space="0" w:color="auto"/>
              <w:right w:val="single" w:sz="4" w:space="0" w:color="auto"/>
            </w:tcBorders>
            <w:hideMark/>
          </w:tcPr>
          <w:p w14:paraId="71B7CE8C" w14:textId="77777777" w:rsidR="00497CE3" w:rsidRDefault="00497CE3" w:rsidP="00497CE3">
            <w:pPr>
              <w:jc w:val="center"/>
              <w:rPr>
                <w:b/>
                <w:sz w:val="22"/>
              </w:rPr>
            </w:pPr>
            <w:r>
              <w:rPr>
                <w:b/>
                <w:sz w:val="22"/>
              </w:rPr>
              <w:t>65</w:t>
            </w:r>
          </w:p>
        </w:tc>
        <w:tc>
          <w:tcPr>
            <w:tcW w:w="481" w:type="pct"/>
            <w:tcBorders>
              <w:top w:val="single" w:sz="4" w:space="0" w:color="auto"/>
              <w:left w:val="single" w:sz="4" w:space="0" w:color="auto"/>
              <w:bottom w:val="single" w:sz="4" w:space="0" w:color="auto"/>
              <w:right w:val="single" w:sz="4" w:space="0" w:color="auto"/>
            </w:tcBorders>
            <w:hideMark/>
          </w:tcPr>
          <w:p w14:paraId="337BCB25" w14:textId="77777777" w:rsidR="00497CE3" w:rsidRDefault="00497CE3" w:rsidP="00497CE3">
            <w:pPr>
              <w:jc w:val="center"/>
              <w:rPr>
                <w:b/>
                <w:sz w:val="22"/>
              </w:rPr>
            </w:pPr>
            <w:r>
              <w:rPr>
                <w:b/>
                <w:sz w:val="22"/>
              </w:rPr>
              <w:t>68</w:t>
            </w:r>
          </w:p>
        </w:tc>
        <w:tc>
          <w:tcPr>
            <w:tcW w:w="481" w:type="pct"/>
            <w:tcBorders>
              <w:top w:val="single" w:sz="4" w:space="0" w:color="auto"/>
              <w:left w:val="single" w:sz="4" w:space="0" w:color="auto"/>
              <w:bottom w:val="single" w:sz="4" w:space="0" w:color="auto"/>
              <w:right w:val="single" w:sz="4" w:space="0" w:color="auto"/>
            </w:tcBorders>
            <w:hideMark/>
          </w:tcPr>
          <w:p w14:paraId="2F2D0EB4" w14:textId="77777777" w:rsidR="00497CE3" w:rsidRDefault="00497CE3" w:rsidP="00497CE3">
            <w:pPr>
              <w:jc w:val="center"/>
              <w:rPr>
                <w:b/>
                <w:sz w:val="22"/>
              </w:rPr>
            </w:pPr>
            <w:r>
              <w:rPr>
                <w:b/>
                <w:sz w:val="22"/>
              </w:rPr>
              <w:t>77</w:t>
            </w:r>
          </w:p>
        </w:tc>
      </w:tr>
      <w:tr w:rsidR="00497CE3" w14:paraId="61975454" w14:textId="77777777" w:rsidTr="00497CE3">
        <w:tc>
          <w:tcPr>
            <w:tcW w:w="1370" w:type="pct"/>
            <w:tcBorders>
              <w:top w:val="single" w:sz="4" w:space="0" w:color="auto"/>
              <w:left w:val="single" w:sz="4" w:space="0" w:color="auto"/>
              <w:bottom w:val="single" w:sz="4" w:space="0" w:color="auto"/>
              <w:right w:val="nil"/>
            </w:tcBorders>
            <w:shd w:val="clear" w:color="auto" w:fill="F2F2F2" w:themeFill="background1" w:themeFillShade="F2"/>
          </w:tcPr>
          <w:p w14:paraId="1E9010E5" w14:textId="77777777" w:rsidR="00497CE3" w:rsidRDefault="00497CE3" w:rsidP="00497CE3">
            <w:pPr>
              <w:rPr>
                <w:b/>
                <w:sz w:val="12"/>
                <w:szCs w:val="12"/>
              </w:rPr>
            </w:pPr>
          </w:p>
        </w:tc>
        <w:tc>
          <w:tcPr>
            <w:tcW w:w="305" w:type="pct"/>
            <w:tcBorders>
              <w:top w:val="single" w:sz="4" w:space="0" w:color="auto"/>
              <w:left w:val="nil"/>
              <w:bottom w:val="single" w:sz="4" w:space="0" w:color="auto"/>
              <w:right w:val="nil"/>
            </w:tcBorders>
            <w:shd w:val="clear" w:color="auto" w:fill="F2F2F2" w:themeFill="background1" w:themeFillShade="F2"/>
          </w:tcPr>
          <w:p w14:paraId="17E4F6B0" w14:textId="77777777" w:rsidR="00497CE3" w:rsidRDefault="00497CE3" w:rsidP="00497CE3">
            <w:pPr>
              <w:jc w:val="center"/>
              <w:rPr>
                <w:b/>
                <w:sz w:val="12"/>
                <w:szCs w:val="12"/>
              </w:rPr>
            </w:pPr>
          </w:p>
        </w:tc>
        <w:tc>
          <w:tcPr>
            <w:tcW w:w="457" w:type="pct"/>
            <w:tcBorders>
              <w:top w:val="single" w:sz="4" w:space="0" w:color="auto"/>
              <w:left w:val="nil"/>
              <w:bottom w:val="single" w:sz="4" w:space="0" w:color="auto"/>
              <w:right w:val="nil"/>
            </w:tcBorders>
            <w:shd w:val="clear" w:color="auto" w:fill="F2F2F2" w:themeFill="background1" w:themeFillShade="F2"/>
          </w:tcPr>
          <w:p w14:paraId="45D87B14" w14:textId="77777777" w:rsidR="00497CE3" w:rsidRDefault="00497CE3" w:rsidP="00497CE3">
            <w:pPr>
              <w:jc w:val="center"/>
              <w:rPr>
                <w:b/>
                <w:sz w:val="12"/>
                <w:szCs w:val="12"/>
              </w:rPr>
            </w:pPr>
          </w:p>
        </w:tc>
        <w:tc>
          <w:tcPr>
            <w:tcW w:w="559" w:type="pct"/>
            <w:tcBorders>
              <w:top w:val="single" w:sz="4" w:space="0" w:color="auto"/>
              <w:left w:val="nil"/>
              <w:bottom w:val="single" w:sz="4" w:space="0" w:color="auto"/>
              <w:right w:val="nil"/>
            </w:tcBorders>
            <w:shd w:val="clear" w:color="auto" w:fill="F2F2F2" w:themeFill="background1" w:themeFillShade="F2"/>
          </w:tcPr>
          <w:p w14:paraId="1CF69080" w14:textId="77777777" w:rsidR="00497CE3" w:rsidRDefault="00497CE3" w:rsidP="00497CE3">
            <w:pPr>
              <w:jc w:val="center"/>
              <w:rPr>
                <w:b/>
                <w:sz w:val="12"/>
                <w:szCs w:val="12"/>
              </w:rPr>
            </w:pPr>
          </w:p>
        </w:tc>
        <w:tc>
          <w:tcPr>
            <w:tcW w:w="407" w:type="pct"/>
            <w:tcBorders>
              <w:top w:val="single" w:sz="4" w:space="0" w:color="auto"/>
              <w:left w:val="nil"/>
              <w:bottom w:val="single" w:sz="4" w:space="0" w:color="auto"/>
              <w:right w:val="nil"/>
            </w:tcBorders>
            <w:shd w:val="clear" w:color="auto" w:fill="F2F2F2" w:themeFill="background1" w:themeFillShade="F2"/>
          </w:tcPr>
          <w:p w14:paraId="3A1236FF" w14:textId="77777777" w:rsidR="00497CE3" w:rsidRDefault="00497CE3" w:rsidP="00497CE3">
            <w:pPr>
              <w:jc w:val="center"/>
              <w:rPr>
                <w:b/>
                <w:sz w:val="12"/>
                <w:szCs w:val="12"/>
              </w:rPr>
            </w:pPr>
          </w:p>
        </w:tc>
        <w:tc>
          <w:tcPr>
            <w:tcW w:w="508" w:type="pct"/>
            <w:tcBorders>
              <w:top w:val="single" w:sz="4" w:space="0" w:color="auto"/>
              <w:left w:val="nil"/>
              <w:bottom w:val="single" w:sz="4" w:space="0" w:color="auto"/>
              <w:right w:val="nil"/>
            </w:tcBorders>
            <w:shd w:val="clear" w:color="auto" w:fill="F2F2F2" w:themeFill="background1" w:themeFillShade="F2"/>
          </w:tcPr>
          <w:p w14:paraId="67D4ACD3" w14:textId="77777777" w:rsidR="00497CE3" w:rsidRDefault="00497CE3" w:rsidP="00497CE3">
            <w:pPr>
              <w:jc w:val="center"/>
              <w:rPr>
                <w:b/>
                <w:sz w:val="12"/>
                <w:szCs w:val="12"/>
              </w:rPr>
            </w:pPr>
          </w:p>
        </w:tc>
        <w:tc>
          <w:tcPr>
            <w:tcW w:w="432" w:type="pct"/>
            <w:tcBorders>
              <w:top w:val="single" w:sz="4" w:space="0" w:color="auto"/>
              <w:left w:val="nil"/>
              <w:bottom w:val="single" w:sz="4" w:space="0" w:color="auto"/>
              <w:right w:val="nil"/>
            </w:tcBorders>
            <w:shd w:val="clear" w:color="auto" w:fill="F2F2F2" w:themeFill="background1" w:themeFillShade="F2"/>
          </w:tcPr>
          <w:p w14:paraId="64F712D6" w14:textId="77777777" w:rsidR="00497CE3" w:rsidRDefault="00497CE3" w:rsidP="00497CE3">
            <w:pPr>
              <w:jc w:val="center"/>
              <w:rPr>
                <w:b/>
                <w:sz w:val="12"/>
                <w:szCs w:val="12"/>
              </w:rPr>
            </w:pPr>
          </w:p>
        </w:tc>
        <w:tc>
          <w:tcPr>
            <w:tcW w:w="481" w:type="pct"/>
            <w:tcBorders>
              <w:top w:val="single" w:sz="4" w:space="0" w:color="auto"/>
              <w:left w:val="nil"/>
              <w:bottom w:val="single" w:sz="4" w:space="0" w:color="auto"/>
              <w:right w:val="nil"/>
            </w:tcBorders>
            <w:shd w:val="clear" w:color="auto" w:fill="F2F2F2" w:themeFill="background1" w:themeFillShade="F2"/>
          </w:tcPr>
          <w:p w14:paraId="759A8311" w14:textId="77777777" w:rsidR="00497CE3" w:rsidRDefault="00497CE3" w:rsidP="00497CE3">
            <w:pPr>
              <w:jc w:val="center"/>
              <w:rPr>
                <w:b/>
                <w:sz w:val="12"/>
                <w:szCs w:val="12"/>
              </w:rPr>
            </w:pPr>
          </w:p>
        </w:tc>
        <w:tc>
          <w:tcPr>
            <w:tcW w:w="481" w:type="pct"/>
            <w:tcBorders>
              <w:top w:val="single" w:sz="4" w:space="0" w:color="auto"/>
              <w:left w:val="nil"/>
              <w:bottom w:val="single" w:sz="4" w:space="0" w:color="auto"/>
              <w:right w:val="single" w:sz="4" w:space="0" w:color="auto"/>
            </w:tcBorders>
            <w:shd w:val="clear" w:color="auto" w:fill="F2F2F2" w:themeFill="background1" w:themeFillShade="F2"/>
          </w:tcPr>
          <w:p w14:paraId="43A30F86" w14:textId="77777777" w:rsidR="00497CE3" w:rsidRDefault="00497CE3" w:rsidP="00497CE3">
            <w:pPr>
              <w:jc w:val="center"/>
              <w:rPr>
                <w:b/>
                <w:sz w:val="12"/>
                <w:szCs w:val="12"/>
              </w:rPr>
            </w:pPr>
          </w:p>
        </w:tc>
      </w:tr>
      <w:tr w:rsidR="00497CE3" w14:paraId="1BF6584F"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058B13C1" w14:textId="77777777" w:rsidR="00497CE3" w:rsidRDefault="00497CE3" w:rsidP="00497CE3">
            <w:pPr>
              <w:rPr>
                <w:b/>
                <w:i/>
                <w:sz w:val="22"/>
              </w:rPr>
            </w:pPr>
            <w:r>
              <w:rPr>
                <w:b/>
                <w:i/>
                <w:sz w:val="22"/>
              </w:rPr>
              <w:t>Dental+craniomandibular osteology %</w:t>
            </w:r>
          </w:p>
        </w:tc>
        <w:tc>
          <w:tcPr>
            <w:tcW w:w="305" w:type="pct"/>
            <w:tcBorders>
              <w:top w:val="single" w:sz="4" w:space="0" w:color="auto"/>
              <w:left w:val="single" w:sz="4" w:space="0" w:color="auto"/>
              <w:bottom w:val="single" w:sz="4" w:space="0" w:color="auto"/>
              <w:right w:val="single" w:sz="4" w:space="0" w:color="auto"/>
            </w:tcBorders>
            <w:hideMark/>
          </w:tcPr>
          <w:p w14:paraId="4381828B" w14:textId="77777777" w:rsidR="00497CE3" w:rsidRDefault="00497CE3" w:rsidP="00497CE3">
            <w:pPr>
              <w:jc w:val="center"/>
              <w:rPr>
                <w:b/>
                <w:i/>
                <w:sz w:val="22"/>
              </w:rPr>
            </w:pPr>
            <w:r>
              <w:rPr>
                <w:b/>
                <w:i/>
                <w:sz w:val="22"/>
              </w:rPr>
              <w:t>61.111</w:t>
            </w:r>
          </w:p>
        </w:tc>
        <w:tc>
          <w:tcPr>
            <w:tcW w:w="457" w:type="pct"/>
            <w:tcBorders>
              <w:top w:val="single" w:sz="4" w:space="0" w:color="auto"/>
              <w:left w:val="single" w:sz="4" w:space="0" w:color="auto"/>
              <w:bottom w:val="single" w:sz="4" w:space="0" w:color="auto"/>
              <w:right w:val="single" w:sz="4" w:space="0" w:color="auto"/>
            </w:tcBorders>
            <w:hideMark/>
          </w:tcPr>
          <w:p w14:paraId="5A79E782" w14:textId="77777777" w:rsidR="00497CE3" w:rsidRDefault="00497CE3" w:rsidP="00497CE3">
            <w:pPr>
              <w:jc w:val="center"/>
              <w:rPr>
                <w:b/>
                <w:i/>
                <w:sz w:val="22"/>
              </w:rPr>
            </w:pPr>
            <w:r>
              <w:rPr>
                <w:b/>
                <w:i/>
                <w:sz w:val="22"/>
              </w:rPr>
              <w:t>73.171</w:t>
            </w:r>
          </w:p>
        </w:tc>
        <w:tc>
          <w:tcPr>
            <w:tcW w:w="559" w:type="pct"/>
            <w:tcBorders>
              <w:top w:val="single" w:sz="4" w:space="0" w:color="auto"/>
              <w:left w:val="single" w:sz="4" w:space="0" w:color="auto"/>
              <w:bottom w:val="single" w:sz="4" w:space="0" w:color="auto"/>
              <w:right w:val="single" w:sz="4" w:space="0" w:color="auto"/>
            </w:tcBorders>
            <w:hideMark/>
          </w:tcPr>
          <w:p w14:paraId="11B35E57" w14:textId="77777777" w:rsidR="00497CE3" w:rsidRDefault="00497CE3" w:rsidP="00497CE3">
            <w:pPr>
              <w:jc w:val="center"/>
              <w:rPr>
                <w:b/>
                <w:i/>
                <w:sz w:val="22"/>
              </w:rPr>
            </w:pPr>
            <w:r>
              <w:rPr>
                <w:b/>
                <w:i/>
                <w:sz w:val="22"/>
              </w:rPr>
              <w:t>76.506</w:t>
            </w:r>
          </w:p>
        </w:tc>
        <w:tc>
          <w:tcPr>
            <w:tcW w:w="407" w:type="pct"/>
            <w:tcBorders>
              <w:top w:val="single" w:sz="4" w:space="0" w:color="auto"/>
              <w:left w:val="single" w:sz="4" w:space="0" w:color="auto"/>
              <w:bottom w:val="single" w:sz="4" w:space="0" w:color="auto"/>
              <w:right w:val="single" w:sz="4" w:space="0" w:color="auto"/>
            </w:tcBorders>
            <w:hideMark/>
          </w:tcPr>
          <w:p w14:paraId="2936E99A" w14:textId="77777777" w:rsidR="00497CE3" w:rsidRDefault="00497CE3" w:rsidP="00497CE3">
            <w:pPr>
              <w:jc w:val="center"/>
              <w:rPr>
                <w:b/>
                <w:i/>
                <w:sz w:val="22"/>
              </w:rPr>
            </w:pPr>
            <w:r>
              <w:rPr>
                <w:b/>
                <w:i/>
                <w:sz w:val="22"/>
              </w:rPr>
              <w:t>75.263</w:t>
            </w:r>
          </w:p>
        </w:tc>
        <w:tc>
          <w:tcPr>
            <w:tcW w:w="508" w:type="pct"/>
            <w:tcBorders>
              <w:top w:val="single" w:sz="4" w:space="0" w:color="auto"/>
              <w:left w:val="single" w:sz="4" w:space="0" w:color="auto"/>
              <w:bottom w:val="single" w:sz="4" w:space="0" w:color="auto"/>
              <w:right w:val="single" w:sz="4" w:space="0" w:color="auto"/>
            </w:tcBorders>
            <w:hideMark/>
          </w:tcPr>
          <w:p w14:paraId="3AAC830D" w14:textId="77777777" w:rsidR="00497CE3" w:rsidRDefault="00497CE3" w:rsidP="00497CE3">
            <w:pPr>
              <w:jc w:val="center"/>
              <w:rPr>
                <w:b/>
                <w:i/>
                <w:sz w:val="22"/>
              </w:rPr>
            </w:pPr>
            <w:r>
              <w:rPr>
                <w:b/>
                <w:i/>
                <w:sz w:val="22"/>
              </w:rPr>
              <w:t>73.134</w:t>
            </w:r>
          </w:p>
        </w:tc>
        <w:tc>
          <w:tcPr>
            <w:tcW w:w="432" w:type="pct"/>
            <w:tcBorders>
              <w:top w:val="single" w:sz="4" w:space="0" w:color="auto"/>
              <w:left w:val="single" w:sz="4" w:space="0" w:color="auto"/>
              <w:bottom w:val="single" w:sz="4" w:space="0" w:color="auto"/>
              <w:right w:val="single" w:sz="4" w:space="0" w:color="auto"/>
            </w:tcBorders>
            <w:hideMark/>
          </w:tcPr>
          <w:p w14:paraId="072C55DB" w14:textId="77777777" w:rsidR="00497CE3" w:rsidRDefault="00497CE3" w:rsidP="00497CE3">
            <w:pPr>
              <w:jc w:val="center"/>
              <w:rPr>
                <w:b/>
                <w:i/>
                <w:sz w:val="22"/>
              </w:rPr>
            </w:pPr>
            <w:r>
              <w:rPr>
                <w:b/>
                <w:i/>
                <w:sz w:val="22"/>
              </w:rPr>
              <w:t>72.917</w:t>
            </w:r>
          </w:p>
        </w:tc>
        <w:tc>
          <w:tcPr>
            <w:tcW w:w="481" w:type="pct"/>
            <w:tcBorders>
              <w:top w:val="single" w:sz="4" w:space="0" w:color="auto"/>
              <w:left w:val="single" w:sz="4" w:space="0" w:color="auto"/>
              <w:bottom w:val="single" w:sz="4" w:space="0" w:color="auto"/>
              <w:right w:val="single" w:sz="4" w:space="0" w:color="auto"/>
            </w:tcBorders>
            <w:hideMark/>
          </w:tcPr>
          <w:p w14:paraId="4AE654A7" w14:textId="77777777" w:rsidR="00497CE3" w:rsidRDefault="00497CE3" w:rsidP="00497CE3">
            <w:pPr>
              <w:jc w:val="center"/>
              <w:rPr>
                <w:b/>
                <w:i/>
                <w:sz w:val="22"/>
              </w:rPr>
            </w:pPr>
            <w:r>
              <w:rPr>
                <w:b/>
                <w:i/>
                <w:sz w:val="22"/>
              </w:rPr>
              <w:t>72.908</w:t>
            </w:r>
          </w:p>
        </w:tc>
        <w:tc>
          <w:tcPr>
            <w:tcW w:w="481" w:type="pct"/>
            <w:tcBorders>
              <w:top w:val="single" w:sz="4" w:space="0" w:color="auto"/>
              <w:left w:val="single" w:sz="4" w:space="0" w:color="auto"/>
              <w:bottom w:val="single" w:sz="4" w:space="0" w:color="auto"/>
              <w:right w:val="single" w:sz="4" w:space="0" w:color="auto"/>
            </w:tcBorders>
            <w:hideMark/>
          </w:tcPr>
          <w:p w14:paraId="014A56F3" w14:textId="77777777" w:rsidR="00497CE3" w:rsidRDefault="00497CE3" w:rsidP="00497CE3">
            <w:pPr>
              <w:jc w:val="center"/>
              <w:rPr>
                <w:b/>
                <w:i/>
                <w:sz w:val="22"/>
              </w:rPr>
            </w:pPr>
            <w:r>
              <w:rPr>
                <w:b/>
                <w:i/>
                <w:sz w:val="22"/>
              </w:rPr>
              <w:t>74.161</w:t>
            </w:r>
          </w:p>
        </w:tc>
      </w:tr>
      <w:tr w:rsidR="00497CE3" w14:paraId="67B42C9E" w14:textId="77777777" w:rsidTr="00497CE3">
        <w:tc>
          <w:tcPr>
            <w:tcW w:w="1370" w:type="pct"/>
            <w:tcBorders>
              <w:top w:val="single" w:sz="4" w:space="0" w:color="auto"/>
              <w:left w:val="single" w:sz="4" w:space="0" w:color="auto"/>
              <w:bottom w:val="single" w:sz="4" w:space="0" w:color="auto"/>
              <w:right w:val="single" w:sz="4" w:space="0" w:color="auto"/>
            </w:tcBorders>
            <w:hideMark/>
          </w:tcPr>
          <w:p w14:paraId="54A692BC" w14:textId="77777777" w:rsidR="00497CE3" w:rsidRDefault="00497CE3" w:rsidP="00497CE3">
            <w:pPr>
              <w:rPr>
                <w:b/>
                <w:i/>
                <w:sz w:val="22"/>
              </w:rPr>
            </w:pPr>
            <w:r>
              <w:rPr>
                <w:b/>
                <w:i/>
                <w:sz w:val="22"/>
              </w:rPr>
              <w:t>Post-cranial osteology%</w:t>
            </w:r>
          </w:p>
        </w:tc>
        <w:tc>
          <w:tcPr>
            <w:tcW w:w="305" w:type="pct"/>
            <w:tcBorders>
              <w:top w:val="single" w:sz="4" w:space="0" w:color="auto"/>
              <w:left w:val="single" w:sz="4" w:space="0" w:color="auto"/>
              <w:bottom w:val="single" w:sz="4" w:space="0" w:color="auto"/>
              <w:right w:val="single" w:sz="4" w:space="0" w:color="auto"/>
            </w:tcBorders>
            <w:hideMark/>
          </w:tcPr>
          <w:p w14:paraId="155818F1" w14:textId="77777777" w:rsidR="00497CE3" w:rsidRDefault="00497CE3" w:rsidP="00497CE3">
            <w:pPr>
              <w:jc w:val="center"/>
              <w:rPr>
                <w:b/>
                <w:i/>
                <w:sz w:val="22"/>
              </w:rPr>
            </w:pPr>
            <w:r>
              <w:rPr>
                <w:b/>
                <w:i/>
                <w:sz w:val="22"/>
              </w:rPr>
              <w:t>38.889</w:t>
            </w:r>
          </w:p>
        </w:tc>
        <w:tc>
          <w:tcPr>
            <w:tcW w:w="457" w:type="pct"/>
            <w:tcBorders>
              <w:top w:val="single" w:sz="4" w:space="0" w:color="auto"/>
              <w:left w:val="single" w:sz="4" w:space="0" w:color="auto"/>
              <w:bottom w:val="single" w:sz="4" w:space="0" w:color="auto"/>
              <w:right w:val="single" w:sz="4" w:space="0" w:color="auto"/>
            </w:tcBorders>
            <w:hideMark/>
          </w:tcPr>
          <w:p w14:paraId="6FC1A13A" w14:textId="77777777" w:rsidR="00497CE3" w:rsidRDefault="00497CE3" w:rsidP="00497CE3">
            <w:pPr>
              <w:jc w:val="center"/>
              <w:rPr>
                <w:b/>
                <w:i/>
                <w:sz w:val="22"/>
              </w:rPr>
            </w:pPr>
            <w:r>
              <w:rPr>
                <w:b/>
                <w:i/>
                <w:sz w:val="22"/>
              </w:rPr>
              <w:t>26.829</w:t>
            </w:r>
          </w:p>
        </w:tc>
        <w:tc>
          <w:tcPr>
            <w:tcW w:w="559" w:type="pct"/>
            <w:tcBorders>
              <w:top w:val="single" w:sz="4" w:space="0" w:color="auto"/>
              <w:left w:val="single" w:sz="4" w:space="0" w:color="auto"/>
              <w:bottom w:val="single" w:sz="4" w:space="0" w:color="auto"/>
              <w:right w:val="single" w:sz="4" w:space="0" w:color="auto"/>
            </w:tcBorders>
            <w:hideMark/>
          </w:tcPr>
          <w:p w14:paraId="72531971" w14:textId="77777777" w:rsidR="00497CE3" w:rsidRDefault="00497CE3" w:rsidP="00497CE3">
            <w:pPr>
              <w:jc w:val="center"/>
              <w:rPr>
                <w:b/>
                <w:i/>
                <w:sz w:val="22"/>
              </w:rPr>
            </w:pPr>
            <w:r>
              <w:rPr>
                <w:b/>
                <w:i/>
                <w:sz w:val="22"/>
              </w:rPr>
              <w:t>23.494</w:t>
            </w:r>
          </w:p>
        </w:tc>
        <w:tc>
          <w:tcPr>
            <w:tcW w:w="407" w:type="pct"/>
            <w:tcBorders>
              <w:top w:val="single" w:sz="4" w:space="0" w:color="auto"/>
              <w:left w:val="single" w:sz="4" w:space="0" w:color="auto"/>
              <w:bottom w:val="single" w:sz="4" w:space="0" w:color="auto"/>
              <w:right w:val="single" w:sz="4" w:space="0" w:color="auto"/>
            </w:tcBorders>
            <w:hideMark/>
          </w:tcPr>
          <w:p w14:paraId="7903E920" w14:textId="77777777" w:rsidR="00497CE3" w:rsidRDefault="00497CE3" w:rsidP="00497CE3">
            <w:pPr>
              <w:jc w:val="center"/>
              <w:rPr>
                <w:b/>
                <w:i/>
                <w:sz w:val="22"/>
              </w:rPr>
            </w:pPr>
            <w:r>
              <w:rPr>
                <w:b/>
                <w:i/>
                <w:sz w:val="22"/>
              </w:rPr>
              <w:t>24.737</w:t>
            </w:r>
          </w:p>
        </w:tc>
        <w:tc>
          <w:tcPr>
            <w:tcW w:w="508" w:type="pct"/>
            <w:tcBorders>
              <w:top w:val="single" w:sz="4" w:space="0" w:color="auto"/>
              <w:left w:val="single" w:sz="4" w:space="0" w:color="auto"/>
              <w:bottom w:val="single" w:sz="4" w:space="0" w:color="auto"/>
              <w:right w:val="single" w:sz="4" w:space="0" w:color="auto"/>
            </w:tcBorders>
            <w:hideMark/>
          </w:tcPr>
          <w:p w14:paraId="2613722E" w14:textId="77777777" w:rsidR="00497CE3" w:rsidRDefault="00497CE3" w:rsidP="00497CE3">
            <w:pPr>
              <w:jc w:val="center"/>
              <w:rPr>
                <w:b/>
                <w:i/>
                <w:sz w:val="22"/>
              </w:rPr>
            </w:pPr>
            <w:r>
              <w:rPr>
                <w:b/>
                <w:i/>
                <w:sz w:val="22"/>
              </w:rPr>
              <w:t>26.866</w:t>
            </w:r>
          </w:p>
        </w:tc>
        <w:tc>
          <w:tcPr>
            <w:tcW w:w="432" w:type="pct"/>
            <w:tcBorders>
              <w:top w:val="single" w:sz="4" w:space="0" w:color="auto"/>
              <w:left w:val="single" w:sz="4" w:space="0" w:color="auto"/>
              <w:bottom w:val="single" w:sz="4" w:space="0" w:color="auto"/>
              <w:right w:val="single" w:sz="4" w:space="0" w:color="auto"/>
            </w:tcBorders>
            <w:hideMark/>
          </w:tcPr>
          <w:p w14:paraId="5310046F" w14:textId="77777777" w:rsidR="00497CE3" w:rsidRDefault="00497CE3" w:rsidP="00497CE3">
            <w:pPr>
              <w:jc w:val="center"/>
              <w:rPr>
                <w:b/>
                <w:i/>
                <w:sz w:val="22"/>
              </w:rPr>
            </w:pPr>
            <w:r>
              <w:rPr>
                <w:b/>
                <w:i/>
                <w:sz w:val="22"/>
              </w:rPr>
              <w:t>27.083</w:t>
            </w:r>
          </w:p>
        </w:tc>
        <w:tc>
          <w:tcPr>
            <w:tcW w:w="481" w:type="pct"/>
            <w:tcBorders>
              <w:top w:val="single" w:sz="4" w:space="0" w:color="auto"/>
              <w:left w:val="single" w:sz="4" w:space="0" w:color="auto"/>
              <w:bottom w:val="single" w:sz="4" w:space="0" w:color="auto"/>
              <w:right w:val="single" w:sz="4" w:space="0" w:color="auto"/>
            </w:tcBorders>
            <w:hideMark/>
          </w:tcPr>
          <w:p w14:paraId="2886F93B" w14:textId="77777777" w:rsidR="00497CE3" w:rsidRDefault="00497CE3" w:rsidP="00497CE3">
            <w:pPr>
              <w:jc w:val="center"/>
              <w:rPr>
                <w:b/>
                <w:i/>
                <w:sz w:val="22"/>
              </w:rPr>
            </w:pPr>
            <w:r>
              <w:rPr>
                <w:b/>
                <w:i/>
                <w:sz w:val="22"/>
              </w:rPr>
              <w:t>27.092</w:t>
            </w:r>
          </w:p>
        </w:tc>
        <w:tc>
          <w:tcPr>
            <w:tcW w:w="481" w:type="pct"/>
            <w:tcBorders>
              <w:top w:val="single" w:sz="4" w:space="0" w:color="auto"/>
              <w:left w:val="single" w:sz="4" w:space="0" w:color="auto"/>
              <w:bottom w:val="single" w:sz="4" w:space="0" w:color="auto"/>
              <w:right w:val="single" w:sz="4" w:space="0" w:color="auto"/>
            </w:tcBorders>
            <w:hideMark/>
          </w:tcPr>
          <w:p w14:paraId="5D141D48" w14:textId="77777777" w:rsidR="00497CE3" w:rsidRDefault="00497CE3" w:rsidP="00497CE3">
            <w:pPr>
              <w:jc w:val="center"/>
              <w:rPr>
                <w:b/>
                <w:i/>
                <w:sz w:val="22"/>
              </w:rPr>
            </w:pPr>
            <w:r>
              <w:rPr>
                <w:b/>
                <w:i/>
                <w:sz w:val="22"/>
              </w:rPr>
              <w:t>25.839</w:t>
            </w:r>
          </w:p>
        </w:tc>
      </w:tr>
    </w:tbl>
    <w:p w14:paraId="0620A4F6" w14:textId="77777777" w:rsidR="00497CE3" w:rsidRDefault="00497CE3" w:rsidP="00497CE3">
      <w:pPr>
        <w:rPr>
          <w:sz w:val="4"/>
          <w:lang w:eastAsia="en-US"/>
        </w:rPr>
      </w:pPr>
    </w:p>
    <w:p w14:paraId="2D6512A3" w14:textId="77777777" w:rsidR="00497CE3" w:rsidRDefault="00497CE3" w:rsidP="00497CE3">
      <w:r>
        <w:br w:type="page"/>
      </w:r>
    </w:p>
    <w:p w14:paraId="1988C392" w14:textId="0592C30C" w:rsidR="00497CE3" w:rsidRDefault="00497CE3" w:rsidP="00497CE3">
      <w:r>
        <w:rPr>
          <w:b/>
          <w:i/>
        </w:rPr>
        <w:t>Table (S3.3).</w:t>
      </w:r>
      <w:r>
        <w:t xml:space="preserve"> Character break-down from the different iterations of the merged Hastings + Young matrix.</w:t>
      </w:r>
    </w:p>
    <w:tbl>
      <w:tblPr>
        <w:tblStyle w:val="TableGrid"/>
        <w:tblW w:w="5000" w:type="pct"/>
        <w:tblInd w:w="0" w:type="dxa"/>
        <w:tblLook w:val="04A0" w:firstRow="1" w:lastRow="0" w:firstColumn="1" w:lastColumn="0" w:noHBand="0" w:noVBand="1"/>
      </w:tblPr>
      <w:tblGrid>
        <w:gridCol w:w="5272"/>
        <w:gridCol w:w="2893"/>
        <w:gridCol w:w="3060"/>
        <w:gridCol w:w="2723"/>
      </w:tblGrid>
      <w:tr w:rsidR="00B93FD1" w14:paraId="0DB9B6D0"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2EC36F0A" w14:textId="77777777" w:rsidR="00B93FD1" w:rsidRDefault="00B93FD1" w:rsidP="00497CE3">
            <w:r>
              <w:t>Type of characters</w:t>
            </w:r>
          </w:p>
        </w:tc>
        <w:tc>
          <w:tcPr>
            <w:tcW w:w="1037" w:type="pct"/>
            <w:tcBorders>
              <w:top w:val="single" w:sz="4" w:space="0" w:color="auto"/>
              <w:left w:val="single" w:sz="4" w:space="0" w:color="auto"/>
              <w:bottom w:val="single" w:sz="4" w:space="0" w:color="auto"/>
              <w:right w:val="single" w:sz="4" w:space="0" w:color="auto"/>
            </w:tcBorders>
            <w:hideMark/>
          </w:tcPr>
          <w:p w14:paraId="1A87928D" w14:textId="77777777" w:rsidR="00B93FD1" w:rsidRDefault="00B93FD1" w:rsidP="00497CE3">
            <w:pPr>
              <w:jc w:val="center"/>
            </w:pPr>
            <w:r>
              <w:t xml:space="preserve">Ristevski </w:t>
            </w:r>
            <w:r>
              <w:rPr>
                <w:i/>
              </w:rPr>
              <w:t>et al</w:t>
            </w:r>
            <w:r>
              <w:t>. (2018)</w:t>
            </w:r>
          </w:p>
        </w:tc>
        <w:tc>
          <w:tcPr>
            <w:tcW w:w="1097" w:type="pct"/>
            <w:tcBorders>
              <w:top w:val="single" w:sz="4" w:space="0" w:color="auto"/>
              <w:left w:val="single" w:sz="4" w:space="0" w:color="auto"/>
              <w:bottom w:val="single" w:sz="4" w:space="0" w:color="auto"/>
              <w:right w:val="single" w:sz="4" w:space="0" w:color="auto"/>
            </w:tcBorders>
            <w:hideMark/>
          </w:tcPr>
          <w:p w14:paraId="5E0DDC60" w14:textId="77777777" w:rsidR="00B93FD1" w:rsidRDefault="00B93FD1" w:rsidP="00497CE3">
            <w:pPr>
              <w:jc w:val="center"/>
            </w:pPr>
            <w:r>
              <w:t xml:space="preserve">Smith </w:t>
            </w:r>
            <w:r>
              <w:rPr>
                <w:i/>
              </w:rPr>
              <w:t>et al</w:t>
            </w:r>
            <w:r>
              <w:t>. (in review)</w:t>
            </w:r>
          </w:p>
        </w:tc>
        <w:tc>
          <w:tcPr>
            <w:tcW w:w="976" w:type="pct"/>
            <w:tcBorders>
              <w:top w:val="single" w:sz="4" w:space="0" w:color="auto"/>
              <w:left w:val="single" w:sz="4" w:space="0" w:color="auto"/>
              <w:bottom w:val="single" w:sz="4" w:space="0" w:color="auto"/>
              <w:right w:val="single" w:sz="4" w:space="0" w:color="auto"/>
            </w:tcBorders>
            <w:hideMark/>
          </w:tcPr>
          <w:p w14:paraId="54CC2EB5" w14:textId="279C5154" w:rsidR="00B93FD1" w:rsidRDefault="00B93FD1" w:rsidP="00497CE3">
            <w:pPr>
              <w:jc w:val="center"/>
            </w:pPr>
            <w:r>
              <w:t xml:space="preserve">Ősi </w:t>
            </w:r>
            <w:r w:rsidRPr="00C45E05">
              <w:rPr>
                <w:i/>
              </w:rPr>
              <w:t>et al</w:t>
            </w:r>
            <w:r>
              <w:t>. (in review) / current</w:t>
            </w:r>
          </w:p>
        </w:tc>
      </w:tr>
      <w:tr w:rsidR="00B93FD1" w14:paraId="72719756"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28A70F66" w14:textId="77777777" w:rsidR="00B93FD1" w:rsidRDefault="00B93FD1" w:rsidP="00497CE3">
            <w:r>
              <w:t>Skull geometry &amp; dimensions</w:t>
            </w:r>
          </w:p>
        </w:tc>
        <w:tc>
          <w:tcPr>
            <w:tcW w:w="1037" w:type="pct"/>
            <w:tcBorders>
              <w:top w:val="single" w:sz="4" w:space="0" w:color="auto"/>
              <w:left w:val="single" w:sz="4" w:space="0" w:color="auto"/>
              <w:bottom w:val="single" w:sz="4" w:space="0" w:color="auto"/>
              <w:right w:val="single" w:sz="4" w:space="0" w:color="auto"/>
            </w:tcBorders>
            <w:vAlign w:val="bottom"/>
            <w:hideMark/>
          </w:tcPr>
          <w:p w14:paraId="2C067A9F" w14:textId="77777777" w:rsidR="00B93FD1" w:rsidRDefault="00B93FD1" w:rsidP="00497CE3">
            <w:pPr>
              <w:jc w:val="center"/>
              <w:rPr>
                <w:color w:val="000000"/>
              </w:rPr>
            </w:pPr>
            <w:r>
              <w:rPr>
                <w:color w:val="000000"/>
              </w:rPr>
              <w:t>6</w:t>
            </w:r>
          </w:p>
        </w:tc>
        <w:tc>
          <w:tcPr>
            <w:tcW w:w="1097" w:type="pct"/>
            <w:tcBorders>
              <w:top w:val="single" w:sz="4" w:space="0" w:color="auto"/>
              <w:left w:val="single" w:sz="4" w:space="0" w:color="auto"/>
              <w:bottom w:val="single" w:sz="4" w:space="0" w:color="auto"/>
              <w:right w:val="single" w:sz="4" w:space="0" w:color="auto"/>
            </w:tcBorders>
            <w:hideMark/>
          </w:tcPr>
          <w:p w14:paraId="0F9AF2F1" w14:textId="77777777" w:rsidR="00B93FD1" w:rsidRDefault="00B93FD1" w:rsidP="00497CE3">
            <w:pPr>
              <w:jc w:val="center"/>
            </w:pPr>
            <w:r>
              <w:t>7</w:t>
            </w:r>
          </w:p>
        </w:tc>
        <w:tc>
          <w:tcPr>
            <w:tcW w:w="976" w:type="pct"/>
            <w:tcBorders>
              <w:top w:val="single" w:sz="4" w:space="0" w:color="auto"/>
              <w:left w:val="single" w:sz="4" w:space="0" w:color="auto"/>
              <w:bottom w:val="single" w:sz="4" w:space="0" w:color="auto"/>
              <w:right w:val="single" w:sz="4" w:space="0" w:color="auto"/>
            </w:tcBorders>
            <w:hideMark/>
          </w:tcPr>
          <w:p w14:paraId="4666BE79" w14:textId="77777777" w:rsidR="00B93FD1" w:rsidRPr="0066768D" w:rsidRDefault="00B93FD1" w:rsidP="00497CE3">
            <w:pPr>
              <w:jc w:val="center"/>
              <w:rPr>
                <w:color w:val="000000"/>
              </w:rPr>
            </w:pPr>
            <w:r w:rsidRPr="0066768D">
              <w:rPr>
                <w:color w:val="000000"/>
              </w:rPr>
              <w:t>10</w:t>
            </w:r>
          </w:p>
        </w:tc>
      </w:tr>
      <w:tr w:rsidR="00B93FD1" w14:paraId="709BB0CD"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0AC7C425" w14:textId="77777777" w:rsidR="00B93FD1" w:rsidRDefault="00B93FD1" w:rsidP="00497CE3">
            <w:r>
              <w:t>Craniomandibular ornamentation</w:t>
            </w:r>
          </w:p>
        </w:tc>
        <w:tc>
          <w:tcPr>
            <w:tcW w:w="1037" w:type="pct"/>
            <w:tcBorders>
              <w:top w:val="single" w:sz="4" w:space="0" w:color="auto"/>
              <w:left w:val="single" w:sz="4" w:space="0" w:color="auto"/>
              <w:bottom w:val="single" w:sz="4" w:space="0" w:color="auto"/>
              <w:right w:val="single" w:sz="4" w:space="0" w:color="auto"/>
            </w:tcBorders>
            <w:vAlign w:val="bottom"/>
            <w:hideMark/>
          </w:tcPr>
          <w:p w14:paraId="2CBC6355" w14:textId="77777777" w:rsidR="00B93FD1" w:rsidRDefault="00B93FD1" w:rsidP="00497CE3">
            <w:pPr>
              <w:jc w:val="center"/>
              <w:rPr>
                <w:color w:val="000000"/>
              </w:rPr>
            </w:pPr>
            <w:r>
              <w:rPr>
                <w:color w:val="000000"/>
              </w:rPr>
              <w:t>4</w:t>
            </w:r>
          </w:p>
        </w:tc>
        <w:tc>
          <w:tcPr>
            <w:tcW w:w="1097" w:type="pct"/>
            <w:tcBorders>
              <w:top w:val="single" w:sz="4" w:space="0" w:color="auto"/>
              <w:left w:val="single" w:sz="4" w:space="0" w:color="auto"/>
              <w:bottom w:val="single" w:sz="4" w:space="0" w:color="auto"/>
              <w:right w:val="single" w:sz="4" w:space="0" w:color="auto"/>
            </w:tcBorders>
            <w:hideMark/>
          </w:tcPr>
          <w:p w14:paraId="523B8DF1" w14:textId="77777777" w:rsidR="00B93FD1" w:rsidRDefault="00B93FD1" w:rsidP="00497CE3">
            <w:pPr>
              <w:jc w:val="center"/>
            </w:pPr>
            <w:r>
              <w:t>4</w:t>
            </w:r>
          </w:p>
        </w:tc>
        <w:tc>
          <w:tcPr>
            <w:tcW w:w="976" w:type="pct"/>
            <w:tcBorders>
              <w:top w:val="single" w:sz="4" w:space="0" w:color="auto"/>
              <w:left w:val="single" w:sz="4" w:space="0" w:color="auto"/>
              <w:bottom w:val="single" w:sz="4" w:space="0" w:color="auto"/>
              <w:right w:val="single" w:sz="4" w:space="0" w:color="auto"/>
            </w:tcBorders>
            <w:hideMark/>
          </w:tcPr>
          <w:p w14:paraId="51C13D20" w14:textId="77777777" w:rsidR="00B93FD1" w:rsidRPr="0066768D" w:rsidRDefault="00B93FD1" w:rsidP="00497CE3">
            <w:pPr>
              <w:jc w:val="center"/>
              <w:rPr>
                <w:color w:val="000000"/>
              </w:rPr>
            </w:pPr>
            <w:r w:rsidRPr="0066768D">
              <w:rPr>
                <w:color w:val="000000"/>
              </w:rPr>
              <w:t>6</w:t>
            </w:r>
          </w:p>
        </w:tc>
      </w:tr>
      <w:tr w:rsidR="00B93FD1" w14:paraId="44DA4739" w14:textId="77777777" w:rsidTr="00B93FD1">
        <w:tc>
          <w:tcPr>
            <w:tcW w:w="1890" w:type="pct"/>
            <w:tcBorders>
              <w:top w:val="single" w:sz="4" w:space="0" w:color="auto"/>
              <w:left w:val="single" w:sz="4" w:space="0" w:color="auto"/>
              <w:bottom w:val="single" w:sz="4" w:space="0" w:color="auto"/>
              <w:right w:val="single" w:sz="4" w:space="0" w:color="auto"/>
            </w:tcBorders>
          </w:tcPr>
          <w:p w14:paraId="1FDA901A" w14:textId="77777777" w:rsidR="00B93FD1" w:rsidRDefault="00B93FD1" w:rsidP="00497CE3">
            <w:r>
              <w:t>Internal neuroanatomy &amp; sensory systems</w:t>
            </w:r>
          </w:p>
        </w:tc>
        <w:tc>
          <w:tcPr>
            <w:tcW w:w="1037" w:type="pct"/>
            <w:tcBorders>
              <w:top w:val="single" w:sz="4" w:space="0" w:color="auto"/>
              <w:left w:val="single" w:sz="4" w:space="0" w:color="auto"/>
              <w:bottom w:val="single" w:sz="4" w:space="0" w:color="auto"/>
              <w:right w:val="single" w:sz="4" w:space="0" w:color="auto"/>
            </w:tcBorders>
            <w:vAlign w:val="bottom"/>
          </w:tcPr>
          <w:p w14:paraId="1ED6F104" w14:textId="77777777" w:rsidR="00B93FD1" w:rsidRDefault="00B93FD1" w:rsidP="00497CE3">
            <w:pPr>
              <w:jc w:val="center"/>
              <w:rPr>
                <w:color w:val="000000"/>
              </w:rPr>
            </w:pPr>
            <w:r>
              <w:rPr>
                <w:color w:val="000000"/>
              </w:rPr>
              <w:t>1</w:t>
            </w:r>
          </w:p>
        </w:tc>
        <w:tc>
          <w:tcPr>
            <w:tcW w:w="1097" w:type="pct"/>
            <w:tcBorders>
              <w:top w:val="single" w:sz="4" w:space="0" w:color="auto"/>
              <w:left w:val="single" w:sz="4" w:space="0" w:color="auto"/>
              <w:bottom w:val="single" w:sz="4" w:space="0" w:color="auto"/>
              <w:right w:val="single" w:sz="4" w:space="0" w:color="auto"/>
            </w:tcBorders>
          </w:tcPr>
          <w:p w14:paraId="36E8E971" w14:textId="77777777" w:rsidR="00B93FD1" w:rsidRDefault="00B93FD1" w:rsidP="00497CE3">
            <w:pPr>
              <w:jc w:val="center"/>
            </w:pPr>
            <w:r>
              <w:t>1</w:t>
            </w:r>
          </w:p>
        </w:tc>
        <w:tc>
          <w:tcPr>
            <w:tcW w:w="976" w:type="pct"/>
            <w:tcBorders>
              <w:top w:val="single" w:sz="4" w:space="0" w:color="auto"/>
              <w:left w:val="single" w:sz="4" w:space="0" w:color="auto"/>
              <w:bottom w:val="single" w:sz="4" w:space="0" w:color="auto"/>
              <w:right w:val="single" w:sz="4" w:space="0" w:color="auto"/>
            </w:tcBorders>
          </w:tcPr>
          <w:p w14:paraId="2050565D" w14:textId="77777777" w:rsidR="00B93FD1" w:rsidRPr="0066768D" w:rsidRDefault="00B93FD1" w:rsidP="00497CE3">
            <w:pPr>
              <w:jc w:val="center"/>
              <w:rPr>
                <w:color w:val="000000"/>
              </w:rPr>
            </w:pPr>
            <w:r>
              <w:rPr>
                <w:color w:val="000000"/>
              </w:rPr>
              <w:t>1</w:t>
            </w:r>
          </w:p>
        </w:tc>
      </w:tr>
      <w:tr w:rsidR="00B93FD1" w14:paraId="0BAA6473" w14:textId="77777777" w:rsidTr="00B93FD1">
        <w:tc>
          <w:tcPr>
            <w:tcW w:w="1890" w:type="pct"/>
            <w:tcBorders>
              <w:top w:val="single" w:sz="4" w:space="0" w:color="auto"/>
              <w:left w:val="single" w:sz="4" w:space="0" w:color="auto"/>
              <w:bottom w:val="single" w:sz="4" w:space="0" w:color="auto"/>
              <w:right w:val="single" w:sz="4" w:space="0" w:color="auto"/>
            </w:tcBorders>
          </w:tcPr>
          <w:p w14:paraId="04EB2163" w14:textId="77777777" w:rsidR="00B93FD1" w:rsidRDefault="00B93FD1" w:rsidP="00497CE3">
            <w:r>
              <w:t>Craniomandibular pneumaticity</w:t>
            </w:r>
          </w:p>
        </w:tc>
        <w:tc>
          <w:tcPr>
            <w:tcW w:w="1037" w:type="pct"/>
            <w:tcBorders>
              <w:top w:val="single" w:sz="4" w:space="0" w:color="auto"/>
              <w:left w:val="single" w:sz="4" w:space="0" w:color="auto"/>
              <w:bottom w:val="single" w:sz="4" w:space="0" w:color="auto"/>
              <w:right w:val="single" w:sz="4" w:space="0" w:color="auto"/>
            </w:tcBorders>
            <w:vAlign w:val="bottom"/>
          </w:tcPr>
          <w:p w14:paraId="4B6C97F9" w14:textId="77777777" w:rsidR="00B93FD1" w:rsidRDefault="00B93FD1" w:rsidP="00497CE3">
            <w:pPr>
              <w:jc w:val="center"/>
              <w:rPr>
                <w:color w:val="000000"/>
              </w:rPr>
            </w:pPr>
            <w:r>
              <w:rPr>
                <w:color w:val="000000"/>
              </w:rPr>
              <w:t>4</w:t>
            </w:r>
          </w:p>
        </w:tc>
        <w:tc>
          <w:tcPr>
            <w:tcW w:w="1097" w:type="pct"/>
            <w:tcBorders>
              <w:top w:val="single" w:sz="4" w:space="0" w:color="auto"/>
              <w:left w:val="single" w:sz="4" w:space="0" w:color="auto"/>
              <w:bottom w:val="single" w:sz="4" w:space="0" w:color="auto"/>
              <w:right w:val="single" w:sz="4" w:space="0" w:color="auto"/>
            </w:tcBorders>
          </w:tcPr>
          <w:p w14:paraId="200F1076" w14:textId="77777777" w:rsidR="00B93FD1" w:rsidRDefault="00B93FD1" w:rsidP="00497CE3">
            <w:pPr>
              <w:jc w:val="center"/>
            </w:pPr>
            <w:r>
              <w:t>4</w:t>
            </w:r>
          </w:p>
        </w:tc>
        <w:tc>
          <w:tcPr>
            <w:tcW w:w="976" w:type="pct"/>
            <w:tcBorders>
              <w:top w:val="single" w:sz="4" w:space="0" w:color="auto"/>
              <w:left w:val="single" w:sz="4" w:space="0" w:color="auto"/>
              <w:bottom w:val="single" w:sz="4" w:space="0" w:color="auto"/>
              <w:right w:val="single" w:sz="4" w:space="0" w:color="auto"/>
            </w:tcBorders>
          </w:tcPr>
          <w:p w14:paraId="7CF75302" w14:textId="77777777" w:rsidR="00B93FD1" w:rsidRPr="0066768D" w:rsidRDefault="00B93FD1" w:rsidP="00497CE3">
            <w:pPr>
              <w:jc w:val="center"/>
              <w:rPr>
                <w:color w:val="000000"/>
              </w:rPr>
            </w:pPr>
            <w:r>
              <w:rPr>
                <w:color w:val="000000"/>
              </w:rPr>
              <w:t>4</w:t>
            </w:r>
          </w:p>
        </w:tc>
      </w:tr>
      <w:tr w:rsidR="00B93FD1" w14:paraId="34F76DCD"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22DC4F78" w14:textId="77777777" w:rsidR="00B93FD1" w:rsidRDefault="00B93FD1" w:rsidP="00497CE3">
            <w:r>
              <w:t>Rostral neurovascular foramina</w:t>
            </w:r>
          </w:p>
        </w:tc>
        <w:tc>
          <w:tcPr>
            <w:tcW w:w="1037" w:type="pct"/>
            <w:tcBorders>
              <w:top w:val="single" w:sz="4" w:space="0" w:color="auto"/>
              <w:left w:val="single" w:sz="4" w:space="0" w:color="auto"/>
              <w:bottom w:val="single" w:sz="4" w:space="0" w:color="auto"/>
              <w:right w:val="single" w:sz="4" w:space="0" w:color="auto"/>
            </w:tcBorders>
            <w:vAlign w:val="bottom"/>
            <w:hideMark/>
          </w:tcPr>
          <w:p w14:paraId="78E17134" w14:textId="77777777" w:rsidR="00B93FD1" w:rsidRDefault="00B93FD1" w:rsidP="00497CE3">
            <w:pPr>
              <w:jc w:val="center"/>
              <w:rPr>
                <w:color w:val="000000"/>
              </w:rPr>
            </w:pPr>
            <w:r>
              <w:rPr>
                <w:color w:val="000000"/>
              </w:rPr>
              <w:t>2</w:t>
            </w:r>
          </w:p>
        </w:tc>
        <w:tc>
          <w:tcPr>
            <w:tcW w:w="1097" w:type="pct"/>
            <w:tcBorders>
              <w:top w:val="single" w:sz="4" w:space="0" w:color="auto"/>
              <w:left w:val="single" w:sz="4" w:space="0" w:color="auto"/>
              <w:bottom w:val="single" w:sz="4" w:space="0" w:color="auto"/>
              <w:right w:val="single" w:sz="4" w:space="0" w:color="auto"/>
            </w:tcBorders>
            <w:hideMark/>
          </w:tcPr>
          <w:p w14:paraId="7BC0C415" w14:textId="77777777" w:rsidR="00B93FD1" w:rsidRDefault="00B93FD1" w:rsidP="00497CE3">
            <w:pPr>
              <w:jc w:val="center"/>
            </w:pPr>
            <w:r>
              <w:t>2</w:t>
            </w:r>
          </w:p>
        </w:tc>
        <w:tc>
          <w:tcPr>
            <w:tcW w:w="976" w:type="pct"/>
            <w:tcBorders>
              <w:top w:val="single" w:sz="4" w:space="0" w:color="auto"/>
              <w:left w:val="single" w:sz="4" w:space="0" w:color="auto"/>
              <w:bottom w:val="single" w:sz="4" w:space="0" w:color="auto"/>
              <w:right w:val="single" w:sz="4" w:space="0" w:color="auto"/>
            </w:tcBorders>
            <w:hideMark/>
          </w:tcPr>
          <w:p w14:paraId="2D2F64EC" w14:textId="77777777" w:rsidR="00B93FD1" w:rsidRPr="0066768D" w:rsidRDefault="00B93FD1" w:rsidP="00497CE3">
            <w:pPr>
              <w:jc w:val="center"/>
              <w:rPr>
                <w:color w:val="000000"/>
              </w:rPr>
            </w:pPr>
            <w:r w:rsidRPr="0066768D">
              <w:rPr>
                <w:color w:val="000000"/>
              </w:rPr>
              <w:t>6</w:t>
            </w:r>
          </w:p>
        </w:tc>
      </w:tr>
      <w:tr w:rsidR="00B93FD1" w14:paraId="33754220"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133C2CAA" w14:textId="77777777" w:rsidR="00B93FD1" w:rsidRDefault="00B93FD1" w:rsidP="00497CE3">
            <w:r>
              <w:t>Cranial rostrum</w:t>
            </w:r>
          </w:p>
        </w:tc>
        <w:tc>
          <w:tcPr>
            <w:tcW w:w="1037" w:type="pct"/>
            <w:tcBorders>
              <w:top w:val="single" w:sz="4" w:space="0" w:color="auto"/>
              <w:left w:val="single" w:sz="4" w:space="0" w:color="auto"/>
              <w:bottom w:val="single" w:sz="4" w:space="0" w:color="auto"/>
              <w:right w:val="single" w:sz="4" w:space="0" w:color="auto"/>
            </w:tcBorders>
            <w:vAlign w:val="bottom"/>
            <w:hideMark/>
          </w:tcPr>
          <w:p w14:paraId="068A2B69" w14:textId="77777777" w:rsidR="00B93FD1" w:rsidRDefault="00B93FD1" w:rsidP="00497CE3">
            <w:pPr>
              <w:jc w:val="center"/>
              <w:rPr>
                <w:color w:val="000000"/>
              </w:rPr>
            </w:pPr>
            <w:r>
              <w:rPr>
                <w:color w:val="000000"/>
              </w:rPr>
              <w:t>53</w:t>
            </w:r>
          </w:p>
        </w:tc>
        <w:tc>
          <w:tcPr>
            <w:tcW w:w="1097" w:type="pct"/>
            <w:tcBorders>
              <w:top w:val="single" w:sz="4" w:space="0" w:color="auto"/>
              <w:left w:val="single" w:sz="4" w:space="0" w:color="auto"/>
              <w:bottom w:val="single" w:sz="4" w:space="0" w:color="auto"/>
              <w:right w:val="single" w:sz="4" w:space="0" w:color="auto"/>
            </w:tcBorders>
            <w:hideMark/>
          </w:tcPr>
          <w:p w14:paraId="7DB010B7" w14:textId="77777777" w:rsidR="00B93FD1" w:rsidRDefault="00B93FD1" w:rsidP="00497CE3">
            <w:pPr>
              <w:jc w:val="center"/>
            </w:pPr>
            <w:r>
              <w:t>53</w:t>
            </w:r>
          </w:p>
        </w:tc>
        <w:tc>
          <w:tcPr>
            <w:tcW w:w="976" w:type="pct"/>
            <w:tcBorders>
              <w:top w:val="single" w:sz="4" w:space="0" w:color="auto"/>
              <w:left w:val="single" w:sz="4" w:space="0" w:color="auto"/>
              <w:bottom w:val="single" w:sz="4" w:space="0" w:color="auto"/>
              <w:right w:val="single" w:sz="4" w:space="0" w:color="auto"/>
            </w:tcBorders>
            <w:hideMark/>
          </w:tcPr>
          <w:p w14:paraId="667E37CF" w14:textId="77777777" w:rsidR="00B93FD1" w:rsidRPr="0066768D" w:rsidRDefault="00B93FD1" w:rsidP="00497CE3">
            <w:pPr>
              <w:jc w:val="center"/>
              <w:rPr>
                <w:color w:val="000000"/>
              </w:rPr>
            </w:pPr>
            <w:r w:rsidRPr="0066768D">
              <w:rPr>
                <w:color w:val="000000"/>
              </w:rPr>
              <w:t>58</w:t>
            </w:r>
          </w:p>
        </w:tc>
      </w:tr>
      <w:tr w:rsidR="00B93FD1" w14:paraId="17029779"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3476999F" w14:textId="77777777" w:rsidR="00B93FD1" w:rsidRDefault="00B93FD1" w:rsidP="00497CE3">
            <w:r>
              <w:t>Skull roof</w:t>
            </w:r>
          </w:p>
        </w:tc>
        <w:tc>
          <w:tcPr>
            <w:tcW w:w="1037" w:type="pct"/>
            <w:tcBorders>
              <w:top w:val="single" w:sz="4" w:space="0" w:color="auto"/>
              <w:left w:val="single" w:sz="4" w:space="0" w:color="auto"/>
              <w:bottom w:val="single" w:sz="4" w:space="0" w:color="auto"/>
              <w:right w:val="single" w:sz="4" w:space="0" w:color="auto"/>
            </w:tcBorders>
            <w:vAlign w:val="bottom"/>
            <w:hideMark/>
          </w:tcPr>
          <w:p w14:paraId="44F033FD" w14:textId="77777777" w:rsidR="00B93FD1" w:rsidRDefault="00B93FD1" w:rsidP="00497CE3">
            <w:pPr>
              <w:jc w:val="center"/>
              <w:rPr>
                <w:color w:val="000000"/>
              </w:rPr>
            </w:pPr>
            <w:r>
              <w:rPr>
                <w:color w:val="000000"/>
              </w:rPr>
              <w:t>50</w:t>
            </w:r>
          </w:p>
        </w:tc>
        <w:tc>
          <w:tcPr>
            <w:tcW w:w="1097" w:type="pct"/>
            <w:tcBorders>
              <w:top w:val="single" w:sz="4" w:space="0" w:color="auto"/>
              <w:left w:val="single" w:sz="4" w:space="0" w:color="auto"/>
              <w:bottom w:val="single" w:sz="4" w:space="0" w:color="auto"/>
              <w:right w:val="single" w:sz="4" w:space="0" w:color="auto"/>
            </w:tcBorders>
            <w:hideMark/>
          </w:tcPr>
          <w:p w14:paraId="4E0758D6" w14:textId="77777777" w:rsidR="00B93FD1" w:rsidRDefault="00B93FD1" w:rsidP="00497CE3">
            <w:pPr>
              <w:jc w:val="center"/>
            </w:pPr>
            <w:r>
              <w:t>51</w:t>
            </w:r>
          </w:p>
        </w:tc>
        <w:tc>
          <w:tcPr>
            <w:tcW w:w="976" w:type="pct"/>
            <w:tcBorders>
              <w:top w:val="single" w:sz="4" w:space="0" w:color="auto"/>
              <w:left w:val="single" w:sz="4" w:space="0" w:color="auto"/>
              <w:bottom w:val="single" w:sz="4" w:space="0" w:color="auto"/>
              <w:right w:val="single" w:sz="4" w:space="0" w:color="auto"/>
            </w:tcBorders>
            <w:hideMark/>
          </w:tcPr>
          <w:p w14:paraId="0AE7E11D" w14:textId="77777777" w:rsidR="00B93FD1" w:rsidRPr="0066768D" w:rsidRDefault="00B93FD1" w:rsidP="00497CE3">
            <w:pPr>
              <w:jc w:val="center"/>
              <w:rPr>
                <w:color w:val="000000"/>
              </w:rPr>
            </w:pPr>
            <w:r w:rsidRPr="0066768D">
              <w:rPr>
                <w:color w:val="000000"/>
              </w:rPr>
              <w:t>52</w:t>
            </w:r>
          </w:p>
        </w:tc>
      </w:tr>
      <w:tr w:rsidR="00B93FD1" w14:paraId="77B9FDCD"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5979BED1" w14:textId="77777777" w:rsidR="00B93FD1" w:rsidRDefault="00B93FD1" w:rsidP="00497CE3">
            <w:r>
              <w:t>Orbit &amp; temporal region</w:t>
            </w:r>
          </w:p>
        </w:tc>
        <w:tc>
          <w:tcPr>
            <w:tcW w:w="1037" w:type="pct"/>
            <w:tcBorders>
              <w:top w:val="single" w:sz="4" w:space="0" w:color="auto"/>
              <w:left w:val="single" w:sz="4" w:space="0" w:color="auto"/>
              <w:bottom w:val="single" w:sz="4" w:space="0" w:color="auto"/>
              <w:right w:val="single" w:sz="4" w:space="0" w:color="auto"/>
            </w:tcBorders>
            <w:vAlign w:val="bottom"/>
            <w:hideMark/>
          </w:tcPr>
          <w:p w14:paraId="2E9A4B2B" w14:textId="77777777" w:rsidR="00B93FD1" w:rsidRDefault="00B93FD1" w:rsidP="00497CE3">
            <w:pPr>
              <w:jc w:val="center"/>
              <w:rPr>
                <w:color w:val="000000"/>
              </w:rPr>
            </w:pPr>
            <w:r>
              <w:rPr>
                <w:color w:val="000000"/>
              </w:rPr>
              <w:t>27</w:t>
            </w:r>
          </w:p>
        </w:tc>
        <w:tc>
          <w:tcPr>
            <w:tcW w:w="1097" w:type="pct"/>
            <w:tcBorders>
              <w:top w:val="single" w:sz="4" w:space="0" w:color="auto"/>
              <w:left w:val="single" w:sz="4" w:space="0" w:color="auto"/>
              <w:bottom w:val="single" w:sz="4" w:space="0" w:color="auto"/>
              <w:right w:val="single" w:sz="4" w:space="0" w:color="auto"/>
            </w:tcBorders>
            <w:hideMark/>
          </w:tcPr>
          <w:p w14:paraId="70427208" w14:textId="77777777" w:rsidR="00B93FD1" w:rsidRDefault="00B93FD1" w:rsidP="00497CE3">
            <w:pPr>
              <w:jc w:val="center"/>
            </w:pPr>
            <w:r>
              <w:t>29</w:t>
            </w:r>
          </w:p>
        </w:tc>
        <w:tc>
          <w:tcPr>
            <w:tcW w:w="976" w:type="pct"/>
            <w:tcBorders>
              <w:top w:val="single" w:sz="4" w:space="0" w:color="auto"/>
              <w:left w:val="single" w:sz="4" w:space="0" w:color="auto"/>
              <w:bottom w:val="single" w:sz="4" w:space="0" w:color="auto"/>
              <w:right w:val="single" w:sz="4" w:space="0" w:color="auto"/>
            </w:tcBorders>
            <w:hideMark/>
          </w:tcPr>
          <w:p w14:paraId="401D8CB3" w14:textId="77777777" w:rsidR="00B93FD1" w:rsidRPr="0066768D" w:rsidRDefault="00B93FD1" w:rsidP="00497CE3">
            <w:pPr>
              <w:jc w:val="center"/>
              <w:rPr>
                <w:color w:val="000000"/>
              </w:rPr>
            </w:pPr>
            <w:r w:rsidRPr="0066768D">
              <w:rPr>
                <w:color w:val="000000"/>
              </w:rPr>
              <w:t>29</w:t>
            </w:r>
          </w:p>
        </w:tc>
      </w:tr>
      <w:tr w:rsidR="00B93FD1" w14:paraId="6F21548C"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354A90BE" w14:textId="77777777" w:rsidR="00B93FD1" w:rsidRDefault="00B93FD1" w:rsidP="00497CE3">
            <w:r>
              <w:t>Palate &amp; perichoanal structures</w:t>
            </w:r>
          </w:p>
        </w:tc>
        <w:tc>
          <w:tcPr>
            <w:tcW w:w="1037" w:type="pct"/>
            <w:tcBorders>
              <w:top w:val="single" w:sz="4" w:space="0" w:color="auto"/>
              <w:left w:val="single" w:sz="4" w:space="0" w:color="auto"/>
              <w:bottom w:val="single" w:sz="4" w:space="0" w:color="auto"/>
              <w:right w:val="single" w:sz="4" w:space="0" w:color="auto"/>
            </w:tcBorders>
            <w:vAlign w:val="bottom"/>
            <w:hideMark/>
          </w:tcPr>
          <w:p w14:paraId="089F98D3" w14:textId="77777777" w:rsidR="00B93FD1" w:rsidRDefault="00B93FD1" w:rsidP="00497CE3">
            <w:pPr>
              <w:jc w:val="center"/>
              <w:rPr>
                <w:color w:val="000000"/>
              </w:rPr>
            </w:pPr>
            <w:r>
              <w:rPr>
                <w:color w:val="000000"/>
              </w:rPr>
              <w:t>19</w:t>
            </w:r>
          </w:p>
        </w:tc>
        <w:tc>
          <w:tcPr>
            <w:tcW w:w="1097" w:type="pct"/>
            <w:tcBorders>
              <w:top w:val="single" w:sz="4" w:space="0" w:color="auto"/>
              <w:left w:val="single" w:sz="4" w:space="0" w:color="auto"/>
              <w:bottom w:val="single" w:sz="4" w:space="0" w:color="auto"/>
              <w:right w:val="single" w:sz="4" w:space="0" w:color="auto"/>
            </w:tcBorders>
            <w:hideMark/>
          </w:tcPr>
          <w:p w14:paraId="6DB69B49" w14:textId="77777777" w:rsidR="00B93FD1" w:rsidRDefault="00B93FD1" w:rsidP="00497CE3">
            <w:pPr>
              <w:jc w:val="center"/>
            </w:pPr>
            <w:r>
              <w:t>19</w:t>
            </w:r>
          </w:p>
        </w:tc>
        <w:tc>
          <w:tcPr>
            <w:tcW w:w="976" w:type="pct"/>
            <w:tcBorders>
              <w:top w:val="single" w:sz="4" w:space="0" w:color="auto"/>
              <w:left w:val="single" w:sz="4" w:space="0" w:color="auto"/>
              <w:bottom w:val="single" w:sz="4" w:space="0" w:color="auto"/>
              <w:right w:val="single" w:sz="4" w:space="0" w:color="auto"/>
            </w:tcBorders>
            <w:hideMark/>
          </w:tcPr>
          <w:p w14:paraId="1170280C" w14:textId="77777777" w:rsidR="00B93FD1" w:rsidRPr="0066768D" w:rsidRDefault="00B93FD1" w:rsidP="00497CE3">
            <w:pPr>
              <w:jc w:val="center"/>
              <w:rPr>
                <w:color w:val="000000"/>
              </w:rPr>
            </w:pPr>
            <w:r w:rsidRPr="0066768D">
              <w:rPr>
                <w:color w:val="000000"/>
              </w:rPr>
              <w:t>22</w:t>
            </w:r>
          </w:p>
        </w:tc>
      </w:tr>
      <w:tr w:rsidR="00B93FD1" w14:paraId="6C091C27"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6CB56C07" w14:textId="77777777" w:rsidR="00B93FD1" w:rsidRDefault="00B93FD1" w:rsidP="00497CE3">
            <w:r>
              <w:t>Occipital</w:t>
            </w:r>
          </w:p>
        </w:tc>
        <w:tc>
          <w:tcPr>
            <w:tcW w:w="1037" w:type="pct"/>
            <w:tcBorders>
              <w:top w:val="single" w:sz="4" w:space="0" w:color="auto"/>
              <w:left w:val="single" w:sz="4" w:space="0" w:color="auto"/>
              <w:bottom w:val="single" w:sz="4" w:space="0" w:color="auto"/>
              <w:right w:val="single" w:sz="4" w:space="0" w:color="auto"/>
            </w:tcBorders>
            <w:vAlign w:val="bottom"/>
            <w:hideMark/>
          </w:tcPr>
          <w:p w14:paraId="06FE3B69" w14:textId="77777777" w:rsidR="00B93FD1" w:rsidRDefault="00B93FD1" w:rsidP="00497CE3">
            <w:pPr>
              <w:jc w:val="center"/>
              <w:rPr>
                <w:color w:val="000000"/>
              </w:rPr>
            </w:pPr>
            <w:r>
              <w:rPr>
                <w:color w:val="000000"/>
              </w:rPr>
              <w:t>13</w:t>
            </w:r>
          </w:p>
        </w:tc>
        <w:tc>
          <w:tcPr>
            <w:tcW w:w="1097" w:type="pct"/>
            <w:tcBorders>
              <w:top w:val="single" w:sz="4" w:space="0" w:color="auto"/>
              <w:left w:val="single" w:sz="4" w:space="0" w:color="auto"/>
              <w:bottom w:val="single" w:sz="4" w:space="0" w:color="auto"/>
              <w:right w:val="single" w:sz="4" w:space="0" w:color="auto"/>
            </w:tcBorders>
            <w:hideMark/>
          </w:tcPr>
          <w:p w14:paraId="6239F027" w14:textId="77777777" w:rsidR="00B93FD1" w:rsidRDefault="00B93FD1" w:rsidP="00497CE3">
            <w:pPr>
              <w:jc w:val="center"/>
            </w:pPr>
            <w:r>
              <w:t>13</w:t>
            </w:r>
          </w:p>
        </w:tc>
        <w:tc>
          <w:tcPr>
            <w:tcW w:w="976" w:type="pct"/>
            <w:tcBorders>
              <w:top w:val="single" w:sz="4" w:space="0" w:color="auto"/>
              <w:left w:val="single" w:sz="4" w:space="0" w:color="auto"/>
              <w:bottom w:val="single" w:sz="4" w:space="0" w:color="auto"/>
              <w:right w:val="single" w:sz="4" w:space="0" w:color="auto"/>
            </w:tcBorders>
            <w:hideMark/>
          </w:tcPr>
          <w:p w14:paraId="63BEED2B" w14:textId="77777777" w:rsidR="00B93FD1" w:rsidRPr="0066768D" w:rsidRDefault="00B93FD1" w:rsidP="00497CE3">
            <w:pPr>
              <w:jc w:val="center"/>
              <w:rPr>
                <w:color w:val="000000"/>
              </w:rPr>
            </w:pPr>
            <w:r w:rsidRPr="0066768D">
              <w:rPr>
                <w:color w:val="000000"/>
              </w:rPr>
              <w:t>1</w:t>
            </w:r>
            <w:r>
              <w:rPr>
                <w:color w:val="000000"/>
              </w:rPr>
              <w:t>5</w:t>
            </w:r>
          </w:p>
        </w:tc>
      </w:tr>
      <w:tr w:rsidR="00B93FD1" w14:paraId="3D2D2EEE"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3489E3DA" w14:textId="77777777" w:rsidR="00B93FD1" w:rsidRDefault="00B93FD1" w:rsidP="00497CE3">
            <w:r>
              <w:t>Braincase, basicranium &amp; suspensorium</w:t>
            </w:r>
          </w:p>
        </w:tc>
        <w:tc>
          <w:tcPr>
            <w:tcW w:w="1037" w:type="pct"/>
            <w:tcBorders>
              <w:top w:val="single" w:sz="4" w:space="0" w:color="auto"/>
              <w:left w:val="single" w:sz="4" w:space="0" w:color="auto"/>
              <w:bottom w:val="single" w:sz="4" w:space="0" w:color="auto"/>
              <w:right w:val="single" w:sz="4" w:space="0" w:color="auto"/>
            </w:tcBorders>
            <w:vAlign w:val="bottom"/>
            <w:hideMark/>
          </w:tcPr>
          <w:p w14:paraId="28F6FA63" w14:textId="77777777" w:rsidR="00B93FD1" w:rsidRDefault="00B93FD1" w:rsidP="00497CE3">
            <w:pPr>
              <w:jc w:val="center"/>
              <w:rPr>
                <w:color w:val="000000"/>
              </w:rPr>
            </w:pPr>
            <w:r>
              <w:rPr>
                <w:color w:val="000000"/>
              </w:rPr>
              <w:t>26</w:t>
            </w:r>
          </w:p>
        </w:tc>
        <w:tc>
          <w:tcPr>
            <w:tcW w:w="1097" w:type="pct"/>
            <w:tcBorders>
              <w:top w:val="single" w:sz="4" w:space="0" w:color="auto"/>
              <w:left w:val="single" w:sz="4" w:space="0" w:color="auto"/>
              <w:bottom w:val="single" w:sz="4" w:space="0" w:color="auto"/>
              <w:right w:val="single" w:sz="4" w:space="0" w:color="auto"/>
            </w:tcBorders>
            <w:hideMark/>
          </w:tcPr>
          <w:p w14:paraId="25F079CA" w14:textId="77777777" w:rsidR="00B93FD1" w:rsidRDefault="00B93FD1" w:rsidP="00497CE3">
            <w:pPr>
              <w:jc w:val="center"/>
            </w:pPr>
            <w:r>
              <w:t>26</w:t>
            </w:r>
          </w:p>
        </w:tc>
        <w:tc>
          <w:tcPr>
            <w:tcW w:w="976" w:type="pct"/>
            <w:tcBorders>
              <w:top w:val="single" w:sz="4" w:space="0" w:color="auto"/>
              <w:left w:val="single" w:sz="4" w:space="0" w:color="auto"/>
              <w:bottom w:val="single" w:sz="4" w:space="0" w:color="auto"/>
              <w:right w:val="single" w:sz="4" w:space="0" w:color="auto"/>
            </w:tcBorders>
            <w:hideMark/>
          </w:tcPr>
          <w:p w14:paraId="157CFB59" w14:textId="77777777" w:rsidR="00B93FD1" w:rsidRPr="0066768D" w:rsidRDefault="00B93FD1" w:rsidP="00497CE3">
            <w:pPr>
              <w:jc w:val="center"/>
              <w:rPr>
                <w:color w:val="000000"/>
              </w:rPr>
            </w:pPr>
            <w:r w:rsidRPr="0066768D">
              <w:rPr>
                <w:color w:val="000000"/>
              </w:rPr>
              <w:t>2</w:t>
            </w:r>
            <w:r>
              <w:rPr>
                <w:color w:val="000000"/>
              </w:rPr>
              <w:t>6</w:t>
            </w:r>
          </w:p>
        </w:tc>
      </w:tr>
      <w:tr w:rsidR="00B93FD1" w14:paraId="1981D24D"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096E2579" w14:textId="77777777" w:rsidR="00B93FD1" w:rsidRDefault="00B93FD1" w:rsidP="00497CE3">
            <w:r>
              <w:t>Mandibular geometry</w:t>
            </w:r>
          </w:p>
        </w:tc>
        <w:tc>
          <w:tcPr>
            <w:tcW w:w="1037" w:type="pct"/>
            <w:tcBorders>
              <w:top w:val="single" w:sz="4" w:space="0" w:color="auto"/>
              <w:left w:val="single" w:sz="4" w:space="0" w:color="auto"/>
              <w:bottom w:val="single" w:sz="4" w:space="0" w:color="auto"/>
              <w:right w:val="single" w:sz="4" w:space="0" w:color="auto"/>
            </w:tcBorders>
            <w:vAlign w:val="bottom"/>
            <w:hideMark/>
          </w:tcPr>
          <w:p w14:paraId="61A05198" w14:textId="77777777" w:rsidR="00B93FD1" w:rsidRDefault="00B93FD1" w:rsidP="00497CE3">
            <w:pPr>
              <w:jc w:val="center"/>
              <w:rPr>
                <w:color w:val="000000"/>
              </w:rPr>
            </w:pPr>
            <w:r>
              <w:rPr>
                <w:color w:val="000000"/>
              </w:rPr>
              <w:t>4</w:t>
            </w:r>
          </w:p>
        </w:tc>
        <w:tc>
          <w:tcPr>
            <w:tcW w:w="1097" w:type="pct"/>
            <w:tcBorders>
              <w:top w:val="single" w:sz="4" w:space="0" w:color="auto"/>
              <w:left w:val="single" w:sz="4" w:space="0" w:color="auto"/>
              <w:bottom w:val="single" w:sz="4" w:space="0" w:color="auto"/>
              <w:right w:val="single" w:sz="4" w:space="0" w:color="auto"/>
            </w:tcBorders>
            <w:hideMark/>
          </w:tcPr>
          <w:p w14:paraId="5E672EBA" w14:textId="77777777" w:rsidR="00B93FD1" w:rsidRDefault="00B93FD1" w:rsidP="00497CE3">
            <w:pPr>
              <w:jc w:val="center"/>
            </w:pPr>
            <w:r>
              <w:t>4</w:t>
            </w:r>
          </w:p>
        </w:tc>
        <w:tc>
          <w:tcPr>
            <w:tcW w:w="976" w:type="pct"/>
            <w:tcBorders>
              <w:top w:val="single" w:sz="4" w:space="0" w:color="auto"/>
              <w:left w:val="single" w:sz="4" w:space="0" w:color="auto"/>
              <w:bottom w:val="single" w:sz="4" w:space="0" w:color="auto"/>
              <w:right w:val="single" w:sz="4" w:space="0" w:color="auto"/>
            </w:tcBorders>
            <w:hideMark/>
          </w:tcPr>
          <w:p w14:paraId="37786EBC" w14:textId="77777777" w:rsidR="00B93FD1" w:rsidRPr="0066768D" w:rsidRDefault="00B93FD1" w:rsidP="00497CE3">
            <w:pPr>
              <w:jc w:val="center"/>
              <w:rPr>
                <w:color w:val="000000"/>
              </w:rPr>
            </w:pPr>
            <w:r w:rsidRPr="0066768D">
              <w:rPr>
                <w:color w:val="000000"/>
              </w:rPr>
              <w:t>8</w:t>
            </w:r>
          </w:p>
        </w:tc>
      </w:tr>
      <w:tr w:rsidR="00B93FD1" w14:paraId="060664C9"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246D9ED4" w14:textId="77777777" w:rsidR="00B93FD1" w:rsidRDefault="00B93FD1" w:rsidP="00497CE3">
            <w:r>
              <w:t>Mandible</w:t>
            </w:r>
          </w:p>
        </w:tc>
        <w:tc>
          <w:tcPr>
            <w:tcW w:w="1037" w:type="pct"/>
            <w:tcBorders>
              <w:top w:val="single" w:sz="4" w:space="0" w:color="auto"/>
              <w:left w:val="single" w:sz="4" w:space="0" w:color="auto"/>
              <w:bottom w:val="single" w:sz="4" w:space="0" w:color="auto"/>
              <w:right w:val="single" w:sz="4" w:space="0" w:color="auto"/>
            </w:tcBorders>
            <w:vAlign w:val="bottom"/>
            <w:hideMark/>
          </w:tcPr>
          <w:p w14:paraId="1C72F01A" w14:textId="77777777" w:rsidR="00B93FD1" w:rsidRDefault="00B93FD1" w:rsidP="00497CE3">
            <w:pPr>
              <w:jc w:val="center"/>
              <w:rPr>
                <w:color w:val="000000"/>
              </w:rPr>
            </w:pPr>
            <w:r>
              <w:rPr>
                <w:color w:val="000000"/>
              </w:rPr>
              <w:t>28</w:t>
            </w:r>
          </w:p>
        </w:tc>
        <w:tc>
          <w:tcPr>
            <w:tcW w:w="1097" w:type="pct"/>
            <w:tcBorders>
              <w:top w:val="single" w:sz="4" w:space="0" w:color="auto"/>
              <w:left w:val="single" w:sz="4" w:space="0" w:color="auto"/>
              <w:bottom w:val="single" w:sz="4" w:space="0" w:color="auto"/>
              <w:right w:val="single" w:sz="4" w:space="0" w:color="auto"/>
            </w:tcBorders>
            <w:hideMark/>
          </w:tcPr>
          <w:p w14:paraId="0071DB0F" w14:textId="77777777" w:rsidR="00B93FD1" w:rsidRDefault="00B93FD1" w:rsidP="00497CE3">
            <w:pPr>
              <w:jc w:val="center"/>
            </w:pPr>
            <w:r>
              <w:t>29</w:t>
            </w:r>
          </w:p>
        </w:tc>
        <w:tc>
          <w:tcPr>
            <w:tcW w:w="976" w:type="pct"/>
            <w:tcBorders>
              <w:top w:val="single" w:sz="4" w:space="0" w:color="auto"/>
              <w:left w:val="single" w:sz="4" w:space="0" w:color="auto"/>
              <w:bottom w:val="single" w:sz="4" w:space="0" w:color="auto"/>
              <w:right w:val="single" w:sz="4" w:space="0" w:color="auto"/>
            </w:tcBorders>
            <w:hideMark/>
          </w:tcPr>
          <w:p w14:paraId="2AED781C" w14:textId="77777777" w:rsidR="00B93FD1" w:rsidRPr="0066768D" w:rsidRDefault="00B93FD1" w:rsidP="00497CE3">
            <w:pPr>
              <w:jc w:val="center"/>
              <w:rPr>
                <w:color w:val="000000"/>
              </w:rPr>
            </w:pPr>
            <w:r w:rsidRPr="0066768D">
              <w:rPr>
                <w:color w:val="000000"/>
              </w:rPr>
              <w:t>32</w:t>
            </w:r>
          </w:p>
        </w:tc>
      </w:tr>
      <w:tr w:rsidR="00B93FD1" w14:paraId="2B093433"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3E551EDA" w14:textId="77777777" w:rsidR="00B93FD1" w:rsidRDefault="00B93FD1" w:rsidP="00497CE3">
            <w:r>
              <w:t>Dental &amp; alveolar</w:t>
            </w:r>
          </w:p>
        </w:tc>
        <w:tc>
          <w:tcPr>
            <w:tcW w:w="1037" w:type="pct"/>
            <w:tcBorders>
              <w:top w:val="single" w:sz="4" w:space="0" w:color="auto"/>
              <w:left w:val="single" w:sz="4" w:space="0" w:color="auto"/>
              <w:bottom w:val="single" w:sz="4" w:space="0" w:color="auto"/>
              <w:right w:val="single" w:sz="4" w:space="0" w:color="auto"/>
            </w:tcBorders>
            <w:vAlign w:val="bottom"/>
            <w:hideMark/>
          </w:tcPr>
          <w:p w14:paraId="628D74FF" w14:textId="77777777" w:rsidR="00B93FD1" w:rsidRDefault="00B93FD1" w:rsidP="00497CE3">
            <w:pPr>
              <w:jc w:val="center"/>
              <w:rPr>
                <w:color w:val="000000"/>
              </w:rPr>
            </w:pPr>
            <w:r>
              <w:rPr>
                <w:color w:val="000000"/>
              </w:rPr>
              <w:t>52</w:t>
            </w:r>
          </w:p>
        </w:tc>
        <w:tc>
          <w:tcPr>
            <w:tcW w:w="1097" w:type="pct"/>
            <w:tcBorders>
              <w:top w:val="single" w:sz="4" w:space="0" w:color="auto"/>
              <w:left w:val="single" w:sz="4" w:space="0" w:color="auto"/>
              <w:bottom w:val="single" w:sz="4" w:space="0" w:color="auto"/>
              <w:right w:val="single" w:sz="4" w:space="0" w:color="auto"/>
            </w:tcBorders>
            <w:hideMark/>
          </w:tcPr>
          <w:p w14:paraId="67CE58BD" w14:textId="77777777" w:rsidR="00B93FD1" w:rsidRDefault="00B93FD1" w:rsidP="00497CE3">
            <w:pPr>
              <w:jc w:val="center"/>
            </w:pPr>
            <w:r>
              <w:t>52</w:t>
            </w:r>
          </w:p>
        </w:tc>
        <w:tc>
          <w:tcPr>
            <w:tcW w:w="976" w:type="pct"/>
            <w:tcBorders>
              <w:top w:val="single" w:sz="4" w:space="0" w:color="auto"/>
              <w:left w:val="single" w:sz="4" w:space="0" w:color="auto"/>
              <w:bottom w:val="single" w:sz="4" w:space="0" w:color="auto"/>
              <w:right w:val="single" w:sz="4" w:space="0" w:color="auto"/>
            </w:tcBorders>
            <w:hideMark/>
          </w:tcPr>
          <w:p w14:paraId="722F3F65" w14:textId="77777777" w:rsidR="00B93FD1" w:rsidRPr="0066768D" w:rsidRDefault="00B93FD1" w:rsidP="00497CE3">
            <w:pPr>
              <w:jc w:val="center"/>
              <w:rPr>
                <w:color w:val="000000"/>
              </w:rPr>
            </w:pPr>
            <w:r w:rsidRPr="0066768D">
              <w:rPr>
                <w:color w:val="000000"/>
              </w:rPr>
              <w:t>65</w:t>
            </w:r>
          </w:p>
        </w:tc>
      </w:tr>
      <w:tr w:rsidR="00B93FD1" w14:paraId="5A57BA7F"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1B244AC4" w14:textId="77777777" w:rsidR="00B93FD1" w:rsidRDefault="00B93FD1" w:rsidP="00497CE3">
            <w:r>
              <w:t>Vertebrae &amp; ribs</w:t>
            </w:r>
          </w:p>
        </w:tc>
        <w:tc>
          <w:tcPr>
            <w:tcW w:w="1037" w:type="pct"/>
            <w:tcBorders>
              <w:top w:val="single" w:sz="4" w:space="0" w:color="auto"/>
              <w:left w:val="single" w:sz="4" w:space="0" w:color="auto"/>
              <w:bottom w:val="single" w:sz="4" w:space="0" w:color="auto"/>
              <w:right w:val="single" w:sz="4" w:space="0" w:color="auto"/>
            </w:tcBorders>
            <w:vAlign w:val="bottom"/>
            <w:hideMark/>
          </w:tcPr>
          <w:p w14:paraId="5A550A8F" w14:textId="77777777" w:rsidR="00B93FD1" w:rsidRDefault="00B93FD1" w:rsidP="00497CE3">
            <w:pPr>
              <w:jc w:val="center"/>
              <w:rPr>
                <w:color w:val="000000"/>
              </w:rPr>
            </w:pPr>
            <w:r>
              <w:rPr>
                <w:color w:val="000000"/>
              </w:rPr>
              <w:t>26</w:t>
            </w:r>
          </w:p>
        </w:tc>
        <w:tc>
          <w:tcPr>
            <w:tcW w:w="1097" w:type="pct"/>
            <w:tcBorders>
              <w:top w:val="single" w:sz="4" w:space="0" w:color="auto"/>
              <w:left w:val="single" w:sz="4" w:space="0" w:color="auto"/>
              <w:bottom w:val="single" w:sz="4" w:space="0" w:color="auto"/>
              <w:right w:val="single" w:sz="4" w:space="0" w:color="auto"/>
            </w:tcBorders>
            <w:hideMark/>
          </w:tcPr>
          <w:p w14:paraId="0B82E320" w14:textId="77777777" w:rsidR="00B93FD1" w:rsidRDefault="00B93FD1" w:rsidP="00497CE3">
            <w:pPr>
              <w:jc w:val="center"/>
            </w:pPr>
            <w:r>
              <w:t>26</w:t>
            </w:r>
          </w:p>
        </w:tc>
        <w:tc>
          <w:tcPr>
            <w:tcW w:w="976" w:type="pct"/>
            <w:tcBorders>
              <w:top w:val="single" w:sz="4" w:space="0" w:color="auto"/>
              <w:left w:val="single" w:sz="4" w:space="0" w:color="auto"/>
              <w:bottom w:val="single" w:sz="4" w:space="0" w:color="auto"/>
              <w:right w:val="single" w:sz="4" w:space="0" w:color="auto"/>
            </w:tcBorders>
            <w:hideMark/>
          </w:tcPr>
          <w:p w14:paraId="374FE791" w14:textId="77777777" w:rsidR="00B93FD1" w:rsidRPr="0066768D" w:rsidRDefault="00B93FD1" w:rsidP="00497CE3">
            <w:pPr>
              <w:jc w:val="center"/>
              <w:rPr>
                <w:color w:val="000000"/>
              </w:rPr>
            </w:pPr>
            <w:r w:rsidRPr="0066768D">
              <w:rPr>
                <w:color w:val="000000"/>
              </w:rPr>
              <w:t>31</w:t>
            </w:r>
          </w:p>
        </w:tc>
      </w:tr>
      <w:tr w:rsidR="00B93FD1" w14:paraId="70EAA632"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729A92C5" w14:textId="77777777" w:rsidR="00B93FD1" w:rsidRDefault="00B93FD1" w:rsidP="00497CE3">
            <w:r>
              <w:t>Pectoral girdle &amp; forelimbs</w:t>
            </w:r>
          </w:p>
        </w:tc>
        <w:tc>
          <w:tcPr>
            <w:tcW w:w="1037" w:type="pct"/>
            <w:tcBorders>
              <w:top w:val="single" w:sz="4" w:space="0" w:color="auto"/>
              <w:left w:val="single" w:sz="4" w:space="0" w:color="auto"/>
              <w:bottom w:val="single" w:sz="4" w:space="0" w:color="auto"/>
              <w:right w:val="single" w:sz="4" w:space="0" w:color="auto"/>
            </w:tcBorders>
            <w:vAlign w:val="bottom"/>
            <w:hideMark/>
          </w:tcPr>
          <w:p w14:paraId="2EFD7A57" w14:textId="77777777" w:rsidR="00B93FD1" w:rsidRDefault="00B93FD1" w:rsidP="00497CE3">
            <w:pPr>
              <w:jc w:val="center"/>
              <w:rPr>
                <w:color w:val="000000"/>
              </w:rPr>
            </w:pPr>
            <w:r>
              <w:rPr>
                <w:color w:val="000000"/>
              </w:rPr>
              <w:t>17</w:t>
            </w:r>
          </w:p>
        </w:tc>
        <w:tc>
          <w:tcPr>
            <w:tcW w:w="1097" w:type="pct"/>
            <w:tcBorders>
              <w:top w:val="single" w:sz="4" w:space="0" w:color="auto"/>
              <w:left w:val="single" w:sz="4" w:space="0" w:color="auto"/>
              <w:bottom w:val="single" w:sz="4" w:space="0" w:color="auto"/>
              <w:right w:val="single" w:sz="4" w:space="0" w:color="auto"/>
            </w:tcBorders>
            <w:hideMark/>
          </w:tcPr>
          <w:p w14:paraId="4D4B2F4D" w14:textId="77777777" w:rsidR="00B93FD1" w:rsidRDefault="00B93FD1" w:rsidP="00497CE3">
            <w:pPr>
              <w:jc w:val="center"/>
            </w:pPr>
            <w:r>
              <w:t>17</w:t>
            </w:r>
          </w:p>
        </w:tc>
        <w:tc>
          <w:tcPr>
            <w:tcW w:w="976" w:type="pct"/>
            <w:tcBorders>
              <w:top w:val="single" w:sz="4" w:space="0" w:color="auto"/>
              <w:left w:val="single" w:sz="4" w:space="0" w:color="auto"/>
              <w:bottom w:val="single" w:sz="4" w:space="0" w:color="auto"/>
              <w:right w:val="single" w:sz="4" w:space="0" w:color="auto"/>
            </w:tcBorders>
            <w:hideMark/>
          </w:tcPr>
          <w:p w14:paraId="586272B1" w14:textId="77777777" w:rsidR="00B93FD1" w:rsidRPr="0066768D" w:rsidRDefault="00B93FD1" w:rsidP="00497CE3">
            <w:pPr>
              <w:jc w:val="center"/>
              <w:rPr>
                <w:color w:val="000000"/>
              </w:rPr>
            </w:pPr>
            <w:r w:rsidRPr="0066768D">
              <w:rPr>
                <w:color w:val="000000"/>
              </w:rPr>
              <w:t>23</w:t>
            </w:r>
          </w:p>
        </w:tc>
      </w:tr>
      <w:tr w:rsidR="00B93FD1" w14:paraId="647EDCEE"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74F6D282" w14:textId="77777777" w:rsidR="00B93FD1" w:rsidRDefault="00B93FD1" w:rsidP="00497CE3">
            <w:r>
              <w:t>Pelvic girdle &amp; hind limbs</w:t>
            </w:r>
          </w:p>
        </w:tc>
        <w:tc>
          <w:tcPr>
            <w:tcW w:w="1037" w:type="pct"/>
            <w:tcBorders>
              <w:top w:val="single" w:sz="4" w:space="0" w:color="auto"/>
              <w:left w:val="single" w:sz="4" w:space="0" w:color="auto"/>
              <w:bottom w:val="single" w:sz="4" w:space="0" w:color="auto"/>
              <w:right w:val="single" w:sz="4" w:space="0" w:color="auto"/>
            </w:tcBorders>
            <w:vAlign w:val="bottom"/>
            <w:hideMark/>
          </w:tcPr>
          <w:p w14:paraId="3BF6B94B" w14:textId="77777777" w:rsidR="00B93FD1" w:rsidRDefault="00B93FD1" w:rsidP="00497CE3">
            <w:pPr>
              <w:jc w:val="center"/>
              <w:rPr>
                <w:color w:val="000000"/>
              </w:rPr>
            </w:pPr>
            <w:r>
              <w:rPr>
                <w:color w:val="000000"/>
              </w:rPr>
              <w:t>28</w:t>
            </w:r>
          </w:p>
        </w:tc>
        <w:tc>
          <w:tcPr>
            <w:tcW w:w="1097" w:type="pct"/>
            <w:tcBorders>
              <w:top w:val="single" w:sz="4" w:space="0" w:color="auto"/>
              <w:left w:val="single" w:sz="4" w:space="0" w:color="auto"/>
              <w:bottom w:val="single" w:sz="4" w:space="0" w:color="auto"/>
              <w:right w:val="single" w:sz="4" w:space="0" w:color="auto"/>
            </w:tcBorders>
            <w:hideMark/>
          </w:tcPr>
          <w:p w14:paraId="032F33AA" w14:textId="77777777" w:rsidR="00B93FD1" w:rsidRDefault="00B93FD1" w:rsidP="00497CE3">
            <w:pPr>
              <w:jc w:val="center"/>
            </w:pPr>
            <w:r>
              <w:t>29</w:t>
            </w:r>
          </w:p>
        </w:tc>
        <w:tc>
          <w:tcPr>
            <w:tcW w:w="976" w:type="pct"/>
            <w:tcBorders>
              <w:top w:val="single" w:sz="4" w:space="0" w:color="auto"/>
              <w:left w:val="single" w:sz="4" w:space="0" w:color="auto"/>
              <w:bottom w:val="single" w:sz="4" w:space="0" w:color="auto"/>
              <w:right w:val="single" w:sz="4" w:space="0" w:color="auto"/>
            </w:tcBorders>
            <w:hideMark/>
          </w:tcPr>
          <w:p w14:paraId="44DDA3D3" w14:textId="77777777" w:rsidR="00B93FD1" w:rsidRPr="0066768D" w:rsidRDefault="00B93FD1" w:rsidP="00497CE3">
            <w:pPr>
              <w:jc w:val="center"/>
              <w:rPr>
                <w:color w:val="000000"/>
              </w:rPr>
            </w:pPr>
            <w:r w:rsidRPr="0066768D">
              <w:rPr>
                <w:color w:val="000000"/>
              </w:rPr>
              <w:t>37</w:t>
            </w:r>
          </w:p>
        </w:tc>
      </w:tr>
      <w:tr w:rsidR="00B93FD1" w14:paraId="001DE80F"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71EE7CA9" w14:textId="77777777" w:rsidR="00B93FD1" w:rsidRDefault="00B93FD1" w:rsidP="00497CE3">
            <w:r>
              <w:t>Osteoderms</w:t>
            </w:r>
          </w:p>
        </w:tc>
        <w:tc>
          <w:tcPr>
            <w:tcW w:w="1037" w:type="pct"/>
            <w:tcBorders>
              <w:top w:val="single" w:sz="4" w:space="0" w:color="auto"/>
              <w:left w:val="single" w:sz="4" w:space="0" w:color="auto"/>
              <w:bottom w:val="single" w:sz="4" w:space="0" w:color="auto"/>
              <w:right w:val="single" w:sz="4" w:space="0" w:color="auto"/>
            </w:tcBorders>
            <w:vAlign w:val="bottom"/>
            <w:hideMark/>
          </w:tcPr>
          <w:p w14:paraId="6531564E" w14:textId="77777777" w:rsidR="00B93FD1" w:rsidRDefault="00B93FD1" w:rsidP="00497CE3">
            <w:pPr>
              <w:jc w:val="center"/>
              <w:rPr>
                <w:color w:val="000000"/>
              </w:rPr>
            </w:pPr>
            <w:r>
              <w:rPr>
                <w:color w:val="000000"/>
              </w:rPr>
              <w:t>23</w:t>
            </w:r>
          </w:p>
        </w:tc>
        <w:tc>
          <w:tcPr>
            <w:tcW w:w="1097" w:type="pct"/>
            <w:tcBorders>
              <w:top w:val="single" w:sz="4" w:space="0" w:color="auto"/>
              <w:left w:val="single" w:sz="4" w:space="0" w:color="auto"/>
              <w:bottom w:val="single" w:sz="4" w:space="0" w:color="auto"/>
              <w:right w:val="single" w:sz="4" w:space="0" w:color="auto"/>
            </w:tcBorders>
            <w:hideMark/>
          </w:tcPr>
          <w:p w14:paraId="30C8D25E" w14:textId="77777777" w:rsidR="00B93FD1" w:rsidRDefault="00B93FD1" w:rsidP="00497CE3">
            <w:pPr>
              <w:jc w:val="center"/>
            </w:pPr>
            <w:r>
              <w:t>23</w:t>
            </w:r>
          </w:p>
        </w:tc>
        <w:tc>
          <w:tcPr>
            <w:tcW w:w="976" w:type="pct"/>
            <w:tcBorders>
              <w:top w:val="single" w:sz="4" w:space="0" w:color="auto"/>
              <w:left w:val="single" w:sz="4" w:space="0" w:color="auto"/>
              <w:bottom w:val="single" w:sz="4" w:space="0" w:color="auto"/>
              <w:right w:val="single" w:sz="4" w:space="0" w:color="auto"/>
            </w:tcBorders>
            <w:hideMark/>
          </w:tcPr>
          <w:p w14:paraId="233B266F" w14:textId="77777777" w:rsidR="00B93FD1" w:rsidRPr="0066768D" w:rsidRDefault="00B93FD1" w:rsidP="00497CE3">
            <w:pPr>
              <w:jc w:val="center"/>
              <w:rPr>
                <w:color w:val="000000"/>
              </w:rPr>
            </w:pPr>
            <w:r w:rsidRPr="0066768D">
              <w:rPr>
                <w:color w:val="000000"/>
              </w:rPr>
              <w:t>24</w:t>
            </w:r>
          </w:p>
        </w:tc>
      </w:tr>
      <w:tr w:rsidR="00B93FD1" w14:paraId="787118A7"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165C409F" w14:textId="77777777" w:rsidR="00B93FD1" w:rsidRDefault="00B93FD1" w:rsidP="00497CE3">
            <w:r>
              <w:t>Gastralia</w:t>
            </w:r>
          </w:p>
        </w:tc>
        <w:tc>
          <w:tcPr>
            <w:tcW w:w="1037" w:type="pct"/>
            <w:tcBorders>
              <w:top w:val="single" w:sz="4" w:space="0" w:color="auto"/>
              <w:left w:val="single" w:sz="4" w:space="0" w:color="auto"/>
              <w:bottom w:val="single" w:sz="4" w:space="0" w:color="auto"/>
              <w:right w:val="single" w:sz="4" w:space="0" w:color="auto"/>
            </w:tcBorders>
            <w:vAlign w:val="bottom"/>
            <w:hideMark/>
          </w:tcPr>
          <w:p w14:paraId="6C27DDF1" w14:textId="77777777" w:rsidR="00B93FD1" w:rsidRDefault="00B93FD1" w:rsidP="00497CE3">
            <w:pPr>
              <w:jc w:val="center"/>
              <w:rPr>
                <w:color w:val="000000"/>
              </w:rPr>
            </w:pPr>
            <w:r>
              <w:rPr>
                <w:color w:val="000000"/>
              </w:rPr>
              <w:t>1</w:t>
            </w:r>
          </w:p>
        </w:tc>
        <w:tc>
          <w:tcPr>
            <w:tcW w:w="1097" w:type="pct"/>
            <w:tcBorders>
              <w:top w:val="single" w:sz="4" w:space="0" w:color="auto"/>
              <w:left w:val="single" w:sz="4" w:space="0" w:color="auto"/>
              <w:bottom w:val="single" w:sz="4" w:space="0" w:color="auto"/>
              <w:right w:val="single" w:sz="4" w:space="0" w:color="auto"/>
            </w:tcBorders>
            <w:hideMark/>
          </w:tcPr>
          <w:p w14:paraId="507A4803" w14:textId="77777777" w:rsidR="00B93FD1" w:rsidRDefault="00B93FD1" w:rsidP="00497CE3">
            <w:pPr>
              <w:jc w:val="center"/>
            </w:pPr>
            <w:r>
              <w:t>1</w:t>
            </w:r>
          </w:p>
        </w:tc>
        <w:tc>
          <w:tcPr>
            <w:tcW w:w="976" w:type="pct"/>
            <w:tcBorders>
              <w:top w:val="single" w:sz="4" w:space="0" w:color="auto"/>
              <w:left w:val="single" w:sz="4" w:space="0" w:color="auto"/>
              <w:bottom w:val="single" w:sz="4" w:space="0" w:color="auto"/>
              <w:right w:val="single" w:sz="4" w:space="0" w:color="auto"/>
            </w:tcBorders>
            <w:hideMark/>
          </w:tcPr>
          <w:p w14:paraId="7E2988DB" w14:textId="77777777" w:rsidR="00B93FD1" w:rsidRPr="0066768D" w:rsidRDefault="00B93FD1" w:rsidP="00497CE3">
            <w:pPr>
              <w:jc w:val="center"/>
              <w:rPr>
                <w:color w:val="000000"/>
              </w:rPr>
            </w:pPr>
            <w:r w:rsidRPr="0066768D">
              <w:rPr>
                <w:color w:val="000000"/>
              </w:rPr>
              <w:t>1</w:t>
            </w:r>
          </w:p>
        </w:tc>
      </w:tr>
      <w:tr w:rsidR="00B93FD1" w14:paraId="174C9311"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25CBCA30" w14:textId="77777777" w:rsidR="00B93FD1" w:rsidRDefault="00B93FD1" w:rsidP="00497CE3">
            <w:r>
              <w:t>Soft tissue</w:t>
            </w:r>
          </w:p>
        </w:tc>
        <w:tc>
          <w:tcPr>
            <w:tcW w:w="1037" w:type="pct"/>
            <w:tcBorders>
              <w:top w:val="single" w:sz="4" w:space="0" w:color="auto"/>
              <w:left w:val="single" w:sz="4" w:space="0" w:color="auto"/>
              <w:bottom w:val="single" w:sz="4" w:space="0" w:color="auto"/>
              <w:right w:val="single" w:sz="4" w:space="0" w:color="auto"/>
            </w:tcBorders>
            <w:vAlign w:val="bottom"/>
            <w:hideMark/>
          </w:tcPr>
          <w:p w14:paraId="16184F4F" w14:textId="77777777" w:rsidR="00B93FD1" w:rsidRDefault="00B93FD1" w:rsidP="00497CE3">
            <w:pPr>
              <w:jc w:val="center"/>
              <w:rPr>
                <w:color w:val="000000"/>
              </w:rPr>
            </w:pPr>
            <w:r>
              <w:rPr>
                <w:color w:val="000000"/>
              </w:rPr>
              <w:t>3</w:t>
            </w:r>
          </w:p>
        </w:tc>
        <w:tc>
          <w:tcPr>
            <w:tcW w:w="1097" w:type="pct"/>
            <w:tcBorders>
              <w:top w:val="single" w:sz="4" w:space="0" w:color="auto"/>
              <w:left w:val="single" w:sz="4" w:space="0" w:color="auto"/>
              <w:bottom w:val="single" w:sz="4" w:space="0" w:color="auto"/>
              <w:right w:val="single" w:sz="4" w:space="0" w:color="auto"/>
            </w:tcBorders>
            <w:hideMark/>
          </w:tcPr>
          <w:p w14:paraId="3DA74232" w14:textId="77777777" w:rsidR="00B93FD1" w:rsidRDefault="00B93FD1" w:rsidP="00497CE3">
            <w:pPr>
              <w:jc w:val="center"/>
            </w:pPr>
            <w:r>
              <w:t>3</w:t>
            </w:r>
          </w:p>
        </w:tc>
        <w:tc>
          <w:tcPr>
            <w:tcW w:w="976" w:type="pct"/>
            <w:tcBorders>
              <w:top w:val="single" w:sz="4" w:space="0" w:color="auto"/>
              <w:left w:val="single" w:sz="4" w:space="0" w:color="auto"/>
              <w:bottom w:val="single" w:sz="4" w:space="0" w:color="auto"/>
              <w:right w:val="single" w:sz="4" w:space="0" w:color="auto"/>
            </w:tcBorders>
            <w:hideMark/>
          </w:tcPr>
          <w:p w14:paraId="54A3505B" w14:textId="77777777" w:rsidR="00B93FD1" w:rsidRPr="0066768D" w:rsidRDefault="00B93FD1" w:rsidP="00497CE3">
            <w:pPr>
              <w:jc w:val="center"/>
              <w:rPr>
                <w:color w:val="000000"/>
              </w:rPr>
            </w:pPr>
            <w:r>
              <w:rPr>
                <w:color w:val="000000"/>
              </w:rPr>
              <w:t>4</w:t>
            </w:r>
          </w:p>
        </w:tc>
      </w:tr>
      <w:tr w:rsidR="00B93FD1" w:rsidRPr="00C45E05" w14:paraId="029BBFC8" w14:textId="77777777" w:rsidTr="00B93FD1">
        <w:tc>
          <w:tcPr>
            <w:tcW w:w="1890" w:type="pct"/>
            <w:tcBorders>
              <w:top w:val="single" w:sz="4" w:space="0" w:color="auto"/>
              <w:left w:val="single" w:sz="4" w:space="0" w:color="auto"/>
              <w:bottom w:val="single" w:sz="4" w:space="0" w:color="auto"/>
              <w:right w:val="nil"/>
            </w:tcBorders>
            <w:shd w:val="clear" w:color="auto" w:fill="F2F2F2" w:themeFill="background1" w:themeFillShade="F2"/>
          </w:tcPr>
          <w:p w14:paraId="6FB2B928" w14:textId="77777777" w:rsidR="00B93FD1" w:rsidRPr="00C45E05" w:rsidRDefault="00B93FD1" w:rsidP="00497CE3">
            <w:pPr>
              <w:rPr>
                <w:sz w:val="12"/>
                <w:szCs w:val="16"/>
              </w:rPr>
            </w:pPr>
          </w:p>
        </w:tc>
        <w:tc>
          <w:tcPr>
            <w:tcW w:w="1037" w:type="pct"/>
            <w:tcBorders>
              <w:top w:val="single" w:sz="4" w:space="0" w:color="auto"/>
              <w:left w:val="nil"/>
              <w:bottom w:val="single" w:sz="4" w:space="0" w:color="auto"/>
              <w:right w:val="nil"/>
            </w:tcBorders>
            <w:shd w:val="clear" w:color="auto" w:fill="F2F2F2" w:themeFill="background1" w:themeFillShade="F2"/>
            <w:vAlign w:val="bottom"/>
          </w:tcPr>
          <w:p w14:paraId="36762666" w14:textId="77777777" w:rsidR="00B93FD1" w:rsidRPr="00C45E05" w:rsidRDefault="00B93FD1" w:rsidP="00497CE3">
            <w:pPr>
              <w:jc w:val="center"/>
              <w:rPr>
                <w:color w:val="000000"/>
                <w:sz w:val="12"/>
                <w:szCs w:val="16"/>
              </w:rPr>
            </w:pPr>
          </w:p>
        </w:tc>
        <w:tc>
          <w:tcPr>
            <w:tcW w:w="1097" w:type="pct"/>
            <w:tcBorders>
              <w:top w:val="single" w:sz="4" w:space="0" w:color="auto"/>
              <w:left w:val="nil"/>
              <w:bottom w:val="single" w:sz="4" w:space="0" w:color="auto"/>
              <w:right w:val="nil"/>
            </w:tcBorders>
            <w:shd w:val="clear" w:color="auto" w:fill="F2F2F2" w:themeFill="background1" w:themeFillShade="F2"/>
          </w:tcPr>
          <w:p w14:paraId="6DABDC10" w14:textId="77777777" w:rsidR="00B93FD1" w:rsidRPr="00C45E05" w:rsidRDefault="00B93FD1" w:rsidP="00497CE3">
            <w:pPr>
              <w:jc w:val="center"/>
              <w:rPr>
                <w:sz w:val="12"/>
              </w:rPr>
            </w:pPr>
          </w:p>
        </w:tc>
        <w:tc>
          <w:tcPr>
            <w:tcW w:w="976" w:type="pct"/>
            <w:tcBorders>
              <w:top w:val="single" w:sz="4" w:space="0" w:color="auto"/>
              <w:left w:val="nil"/>
              <w:bottom w:val="single" w:sz="4" w:space="0" w:color="auto"/>
              <w:right w:val="nil"/>
            </w:tcBorders>
            <w:shd w:val="clear" w:color="auto" w:fill="F2F2F2" w:themeFill="background1" w:themeFillShade="F2"/>
          </w:tcPr>
          <w:p w14:paraId="752636D0" w14:textId="77777777" w:rsidR="00B93FD1" w:rsidRPr="00C45E05" w:rsidRDefault="00B93FD1" w:rsidP="00497CE3">
            <w:pPr>
              <w:jc w:val="center"/>
              <w:rPr>
                <w:color w:val="000000"/>
                <w:sz w:val="12"/>
                <w:szCs w:val="16"/>
              </w:rPr>
            </w:pPr>
          </w:p>
        </w:tc>
      </w:tr>
      <w:tr w:rsidR="00B93FD1" w14:paraId="539ACEBB"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2C191BF2" w14:textId="77777777" w:rsidR="00B93FD1" w:rsidRDefault="00B93FD1" w:rsidP="00497CE3">
            <w:pPr>
              <w:rPr>
                <w:b/>
              </w:rPr>
            </w:pPr>
            <w:r>
              <w:rPr>
                <w:b/>
              </w:rPr>
              <w:t>Total character number</w:t>
            </w:r>
          </w:p>
        </w:tc>
        <w:tc>
          <w:tcPr>
            <w:tcW w:w="1037" w:type="pct"/>
            <w:tcBorders>
              <w:top w:val="single" w:sz="4" w:space="0" w:color="auto"/>
              <w:left w:val="single" w:sz="4" w:space="0" w:color="auto"/>
              <w:bottom w:val="single" w:sz="4" w:space="0" w:color="auto"/>
              <w:right w:val="single" w:sz="4" w:space="0" w:color="auto"/>
            </w:tcBorders>
            <w:hideMark/>
          </w:tcPr>
          <w:p w14:paraId="5A51E6E9" w14:textId="77777777" w:rsidR="00B93FD1" w:rsidRDefault="00B93FD1" w:rsidP="00497CE3">
            <w:pPr>
              <w:jc w:val="center"/>
              <w:rPr>
                <w:b/>
              </w:rPr>
            </w:pPr>
            <w:r>
              <w:rPr>
                <w:b/>
              </w:rPr>
              <w:t>387</w:t>
            </w:r>
          </w:p>
        </w:tc>
        <w:tc>
          <w:tcPr>
            <w:tcW w:w="1097" w:type="pct"/>
            <w:tcBorders>
              <w:top w:val="single" w:sz="4" w:space="0" w:color="auto"/>
              <w:left w:val="single" w:sz="4" w:space="0" w:color="auto"/>
              <w:bottom w:val="single" w:sz="4" w:space="0" w:color="auto"/>
              <w:right w:val="single" w:sz="4" w:space="0" w:color="auto"/>
            </w:tcBorders>
            <w:hideMark/>
          </w:tcPr>
          <w:p w14:paraId="13145AE1" w14:textId="77777777" w:rsidR="00B93FD1" w:rsidRDefault="00B93FD1" w:rsidP="00497CE3">
            <w:pPr>
              <w:jc w:val="center"/>
            </w:pPr>
            <w:r>
              <w:rPr>
                <w:b/>
                <w:i/>
              </w:rPr>
              <w:t>393</w:t>
            </w:r>
          </w:p>
        </w:tc>
        <w:tc>
          <w:tcPr>
            <w:tcW w:w="976" w:type="pct"/>
            <w:tcBorders>
              <w:top w:val="single" w:sz="4" w:space="0" w:color="auto"/>
              <w:left w:val="single" w:sz="4" w:space="0" w:color="auto"/>
              <w:bottom w:val="single" w:sz="4" w:space="0" w:color="auto"/>
              <w:right w:val="single" w:sz="4" w:space="0" w:color="auto"/>
            </w:tcBorders>
            <w:hideMark/>
          </w:tcPr>
          <w:p w14:paraId="0EEF223D" w14:textId="77777777" w:rsidR="00B93FD1" w:rsidRPr="0066768D" w:rsidRDefault="00B93FD1" w:rsidP="00497CE3">
            <w:pPr>
              <w:jc w:val="center"/>
              <w:rPr>
                <w:b/>
              </w:rPr>
            </w:pPr>
            <w:r w:rsidRPr="0066768D">
              <w:rPr>
                <w:b/>
              </w:rPr>
              <w:t>454</w:t>
            </w:r>
          </w:p>
        </w:tc>
      </w:tr>
      <w:tr w:rsidR="00B93FD1" w:rsidRPr="00C45E05" w14:paraId="4B1A50E0" w14:textId="77777777" w:rsidTr="00B93FD1">
        <w:tc>
          <w:tcPr>
            <w:tcW w:w="1890" w:type="pct"/>
            <w:tcBorders>
              <w:top w:val="single" w:sz="4" w:space="0" w:color="auto"/>
              <w:left w:val="single" w:sz="4" w:space="0" w:color="auto"/>
              <w:bottom w:val="single" w:sz="4" w:space="0" w:color="auto"/>
              <w:right w:val="nil"/>
            </w:tcBorders>
            <w:shd w:val="clear" w:color="auto" w:fill="F2F2F2" w:themeFill="background1" w:themeFillShade="F2"/>
          </w:tcPr>
          <w:p w14:paraId="74F9C342" w14:textId="77777777" w:rsidR="00B93FD1" w:rsidRPr="00C45E05" w:rsidRDefault="00B93FD1" w:rsidP="00497CE3">
            <w:pPr>
              <w:rPr>
                <w:b/>
                <w:sz w:val="12"/>
                <w:szCs w:val="12"/>
              </w:rPr>
            </w:pPr>
          </w:p>
        </w:tc>
        <w:tc>
          <w:tcPr>
            <w:tcW w:w="1037" w:type="pct"/>
            <w:tcBorders>
              <w:top w:val="single" w:sz="4" w:space="0" w:color="auto"/>
              <w:left w:val="nil"/>
              <w:bottom w:val="single" w:sz="4" w:space="0" w:color="auto"/>
              <w:right w:val="nil"/>
            </w:tcBorders>
            <w:shd w:val="clear" w:color="auto" w:fill="F2F2F2" w:themeFill="background1" w:themeFillShade="F2"/>
          </w:tcPr>
          <w:p w14:paraId="2CC4A753" w14:textId="77777777" w:rsidR="00B93FD1" w:rsidRPr="00C45E05" w:rsidRDefault="00B93FD1" w:rsidP="00497CE3">
            <w:pPr>
              <w:jc w:val="center"/>
              <w:rPr>
                <w:b/>
                <w:sz w:val="12"/>
                <w:szCs w:val="12"/>
              </w:rPr>
            </w:pPr>
          </w:p>
        </w:tc>
        <w:tc>
          <w:tcPr>
            <w:tcW w:w="1097" w:type="pct"/>
            <w:tcBorders>
              <w:top w:val="single" w:sz="4" w:space="0" w:color="auto"/>
              <w:left w:val="nil"/>
              <w:bottom w:val="single" w:sz="4" w:space="0" w:color="auto"/>
              <w:right w:val="nil"/>
            </w:tcBorders>
            <w:shd w:val="clear" w:color="auto" w:fill="F2F2F2" w:themeFill="background1" w:themeFillShade="F2"/>
          </w:tcPr>
          <w:p w14:paraId="0F53E7CF" w14:textId="77777777" w:rsidR="00B93FD1" w:rsidRPr="00C45E05" w:rsidRDefault="00B93FD1" w:rsidP="00497CE3">
            <w:pPr>
              <w:jc w:val="center"/>
              <w:rPr>
                <w:sz w:val="12"/>
                <w:szCs w:val="12"/>
              </w:rPr>
            </w:pPr>
          </w:p>
        </w:tc>
        <w:tc>
          <w:tcPr>
            <w:tcW w:w="976" w:type="pct"/>
            <w:tcBorders>
              <w:top w:val="single" w:sz="4" w:space="0" w:color="auto"/>
              <w:left w:val="nil"/>
              <w:bottom w:val="single" w:sz="4" w:space="0" w:color="auto"/>
              <w:right w:val="nil"/>
            </w:tcBorders>
            <w:shd w:val="clear" w:color="auto" w:fill="F2F2F2" w:themeFill="background1" w:themeFillShade="F2"/>
          </w:tcPr>
          <w:p w14:paraId="20F09CB5" w14:textId="77777777" w:rsidR="00B93FD1" w:rsidRPr="00C45E05" w:rsidRDefault="00B93FD1" w:rsidP="00497CE3">
            <w:pPr>
              <w:jc w:val="center"/>
              <w:rPr>
                <w:b/>
                <w:sz w:val="12"/>
                <w:szCs w:val="12"/>
              </w:rPr>
            </w:pPr>
          </w:p>
        </w:tc>
      </w:tr>
      <w:tr w:rsidR="00B93FD1" w14:paraId="1E2A7ACA"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4B9D731F" w14:textId="77777777" w:rsidR="00B93FD1" w:rsidRDefault="00B93FD1" w:rsidP="00497CE3">
            <w:pPr>
              <w:rPr>
                <w:b/>
                <w:i/>
              </w:rPr>
            </w:pPr>
            <w:r>
              <w:rPr>
                <w:b/>
                <w:i/>
              </w:rPr>
              <w:t>Total dental+craniomandibular</w:t>
            </w:r>
          </w:p>
        </w:tc>
        <w:tc>
          <w:tcPr>
            <w:tcW w:w="1037" w:type="pct"/>
            <w:tcBorders>
              <w:top w:val="single" w:sz="4" w:space="0" w:color="auto"/>
              <w:left w:val="single" w:sz="4" w:space="0" w:color="auto"/>
              <w:bottom w:val="single" w:sz="4" w:space="0" w:color="auto"/>
              <w:right w:val="single" w:sz="4" w:space="0" w:color="auto"/>
            </w:tcBorders>
            <w:hideMark/>
          </w:tcPr>
          <w:p w14:paraId="72564C9E" w14:textId="77777777" w:rsidR="00B93FD1" w:rsidRDefault="00B93FD1" w:rsidP="00497CE3">
            <w:pPr>
              <w:jc w:val="center"/>
              <w:rPr>
                <w:b/>
                <w:i/>
              </w:rPr>
            </w:pPr>
            <w:r>
              <w:rPr>
                <w:b/>
                <w:i/>
              </w:rPr>
              <w:t>289</w:t>
            </w:r>
          </w:p>
        </w:tc>
        <w:tc>
          <w:tcPr>
            <w:tcW w:w="1097" w:type="pct"/>
            <w:tcBorders>
              <w:top w:val="single" w:sz="4" w:space="0" w:color="auto"/>
              <w:left w:val="single" w:sz="4" w:space="0" w:color="auto"/>
              <w:bottom w:val="single" w:sz="4" w:space="0" w:color="auto"/>
              <w:right w:val="single" w:sz="4" w:space="0" w:color="auto"/>
            </w:tcBorders>
            <w:hideMark/>
          </w:tcPr>
          <w:p w14:paraId="73C639DD" w14:textId="77777777" w:rsidR="00B93FD1" w:rsidRDefault="00B93FD1" w:rsidP="00497CE3">
            <w:pPr>
              <w:jc w:val="center"/>
              <w:rPr>
                <w:b/>
                <w:i/>
              </w:rPr>
            </w:pPr>
            <w:r>
              <w:rPr>
                <w:b/>
                <w:i/>
              </w:rPr>
              <w:t>294</w:t>
            </w:r>
          </w:p>
        </w:tc>
        <w:tc>
          <w:tcPr>
            <w:tcW w:w="976" w:type="pct"/>
            <w:tcBorders>
              <w:top w:val="single" w:sz="4" w:space="0" w:color="auto"/>
              <w:left w:val="single" w:sz="4" w:space="0" w:color="auto"/>
              <w:bottom w:val="single" w:sz="4" w:space="0" w:color="auto"/>
              <w:right w:val="single" w:sz="4" w:space="0" w:color="auto"/>
            </w:tcBorders>
            <w:hideMark/>
          </w:tcPr>
          <w:p w14:paraId="16A6C5DA" w14:textId="77777777" w:rsidR="00B93FD1" w:rsidRPr="0066768D" w:rsidRDefault="00B93FD1" w:rsidP="00497CE3">
            <w:pPr>
              <w:jc w:val="center"/>
              <w:rPr>
                <w:b/>
                <w:i/>
              </w:rPr>
            </w:pPr>
            <w:r w:rsidRPr="0066768D">
              <w:rPr>
                <w:b/>
                <w:i/>
              </w:rPr>
              <w:t>33</w:t>
            </w:r>
            <w:r>
              <w:rPr>
                <w:b/>
                <w:i/>
              </w:rPr>
              <w:t>4</w:t>
            </w:r>
          </w:p>
        </w:tc>
      </w:tr>
      <w:tr w:rsidR="00B93FD1" w14:paraId="0026F5A7"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5EB56A07" w14:textId="77777777" w:rsidR="00B93FD1" w:rsidRDefault="00B93FD1" w:rsidP="00497CE3">
            <w:pPr>
              <w:rPr>
                <w:b/>
                <w:i/>
              </w:rPr>
            </w:pPr>
            <w:r>
              <w:rPr>
                <w:b/>
                <w:i/>
              </w:rPr>
              <w:t>Total post-cranial</w:t>
            </w:r>
          </w:p>
        </w:tc>
        <w:tc>
          <w:tcPr>
            <w:tcW w:w="1037" w:type="pct"/>
            <w:tcBorders>
              <w:top w:val="single" w:sz="4" w:space="0" w:color="auto"/>
              <w:left w:val="single" w:sz="4" w:space="0" w:color="auto"/>
              <w:bottom w:val="single" w:sz="4" w:space="0" w:color="auto"/>
              <w:right w:val="single" w:sz="4" w:space="0" w:color="auto"/>
            </w:tcBorders>
            <w:hideMark/>
          </w:tcPr>
          <w:p w14:paraId="70B175CB" w14:textId="77777777" w:rsidR="00B93FD1" w:rsidRDefault="00B93FD1" w:rsidP="00497CE3">
            <w:pPr>
              <w:jc w:val="center"/>
              <w:rPr>
                <w:b/>
                <w:i/>
              </w:rPr>
            </w:pPr>
            <w:r>
              <w:rPr>
                <w:b/>
                <w:i/>
              </w:rPr>
              <w:t>95</w:t>
            </w:r>
          </w:p>
        </w:tc>
        <w:tc>
          <w:tcPr>
            <w:tcW w:w="1097" w:type="pct"/>
            <w:tcBorders>
              <w:top w:val="single" w:sz="4" w:space="0" w:color="auto"/>
              <w:left w:val="single" w:sz="4" w:space="0" w:color="auto"/>
              <w:bottom w:val="single" w:sz="4" w:space="0" w:color="auto"/>
              <w:right w:val="single" w:sz="4" w:space="0" w:color="auto"/>
            </w:tcBorders>
            <w:hideMark/>
          </w:tcPr>
          <w:p w14:paraId="6300D21F" w14:textId="77777777" w:rsidR="00B93FD1" w:rsidRDefault="00B93FD1" w:rsidP="00497CE3">
            <w:pPr>
              <w:jc w:val="center"/>
              <w:rPr>
                <w:b/>
                <w:i/>
              </w:rPr>
            </w:pPr>
            <w:r>
              <w:rPr>
                <w:b/>
                <w:i/>
              </w:rPr>
              <w:t>96</w:t>
            </w:r>
          </w:p>
        </w:tc>
        <w:tc>
          <w:tcPr>
            <w:tcW w:w="976" w:type="pct"/>
            <w:tcBorders>
              <w:top w:val="single" w:sz="4" w:space="0" w:color="auto"/>
              <w:left w:val="single" w:sz="4" w:space="0" w:color="auto"/>
              <w:bottom w:val="single" w:sz="4" w:space="0" w:color="auto"/>
              <w:right w:val="single" w:sz="4" w:space="0" w:color="auto"/>
            </w:tcBorders>
            <w:hideMark/>
          </w:tcPr>
          <w:p w14:paraId="3189E653" w14:textId="77777777" w:rsidR="00B93FD1" w:rsidRPr="0066768D" w:rsidRDefault="00B93FD1" w:rsidP="00497CE3">
            <w:pPr>
              <w:jc w:val="center"/>
              <w:rPr>
                <w:b/>
                <w:i/>
              </w:rPr>
            </w:pPr>
            <w:r w:rsidRPr="0066768D">
              <w:rPr>
                <w:b/>
                <w:i/>
              </w:rPr>
              <w:t>116</w:t>
            </w:r>
          </w:p>
        </w:tc>
      </w:tr>
      <w:tr w:rsidR="00B93FD1" w14:paraId="0178BA11"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71AAA82F" w14:textId="77777777" w:rsidR="00B93FD1" w:rsidRDefault="00B93FD1" w:rsidP="00497CE3">
            <w:pPr>
              <w:rPr>
                <w:b/>
                <w:i/>
              </w:rPr>
            </w:pPr>
            <w:r>
              <w:rPr>
                <w:b/>
                <w:i/>
              </w:rPr>
              <w:t>Total soft tissue</w:t>
            </w:r>
          </w:p>
        </w:tc>
        <w:tc>
          <w:tcPr>
            <w:tcW w:w="1037" w:type="pct"/>
            <w:tcBorders>
              <w:top w:val="single" w:sz="4" w:space="0" w:color="auto"/>
              <w:left w:val="single" w:sz="4" w:space="0" w:color="auto"/>
              <w:bottom w:val="single" w:sz="4" w:space="0" w:color="auto"/>
              <w:right w:val="single" w:sz="4" w:space="0" w:color="auto"/>
            </w:tcBorders>
            <w:hideMark/>
          </w:tcPr>
          <w:p w14:paraId="3B030CD6" w14:textId="77777777" w:rsidR="00B93FD1" w:rsidRDefault="00B93FD1" w:rsidP="00497CE3">
            <w:pPr>
              <w:jc w:val="center"/>
              <w:rPr>
                <w:b/>
                <w:i/>
              </w:rPr>
            </w:pPr>
            <w:r>
              <w:rPr>
                <w:b/>
                <w:i/>
              </w:rPr>
              <w:t>3</w:t>
            </w:r>
          </w:p>
        </w:tc>
        <w:tc>
          <w:tcPr>
            <w:tcW w:w="1097" w:type="pct"/>
            <w:tcBorders>
              <w:top w:val="single" w:sz="4" w:space="0" w:color="auto"/>
              <w:left w:val="single" w:sz="4" w:space="0" w:color="auto"/>
              <w:bottom w:val="single" w:sz="4" w:space="0" w:color="auto"/>
              <w:right w:val="single" w:sz="4" w:space="0" w:color="auto"/>
            </w:tcBorders>
            <w:hideMark/>
          </w:tcPr>
          <w:p w14:paraId="7F10360B" w14:textId="77777777" w:rsidR="00B93FD1" w:rsidRDefault="00B93FD1" w:rsidP="00497CE3">
            <w:pPr>
              <w:jc w:val="center"/>
              <w:rPr>
                <w:b/>
                <w:i/>
              </w:rPr>
            </w:pPr>
            <w:r>
              <w:rPr>
                <w:b/>
                <w:i/>
              </w:rPr>
              <w:t>3</w:t>
            </w:r>
          </w:p>
        </w:tc>
        <w:tc>
          <w:tcPr>
            <w:tcW w:w="976" w:type="pct"/>
            <w:tcBorders>
              <w:top w:val="single" w:sz="4" w:space="0" w:color="auto"/>
              <w:left w:val="single" w:sz="4" w:space="0" w:color="auto"/>
              <w:bottom w:val="single" w:sz="4" w:space="0" w:color="auto"/>
              <w:right w:val="single" w:sz="4" w:space="0" w:color="auto"/>
            </w:tcBorders>
            <w:hideMark/>
          </w:tcPr>
          <w:p w14:paraId="2BF64F11" w14:textId="77777777" w:rsidR="00B93FD1" w:rsidRPr="0066768D" w:rsidRDefault="00B93FD1" w:rsidP="00497CE3">
            <w:pPr>
              <w:jc w:val="center"/>
              <w:rPr>
                <w:b/>
                <w:i/>
              </w:rPr>
            </w:pPr>
            <w:r>
              <w:rPr>
                <w:b/>
                <w:i/>
              </w:rPr>
              <w:t>4</w:t>
            </w:r>
          </w:p>
        </w:tc>
      </w:tr>
      <w:tr w:rsidR="00B93FD1" w:rsidRPr="00C45E05" w14:paraId="7E352540" w14:textId="77777777" w:rsidTr="00B93FD1">
        <w:tc>
          <w:tcPr>
            <w:tcW w:w="1890" w:type="pct"/>
            <w:tcBorders>
              <w:top w:val="single" w:sz="4" w:space="0" w:color="auto"/>
              <w:left w:val="single" w:sz="4" w:space="0" w:color="auto"/>
              <w:bottom w:val="single" w:sz="4" w:space="0" w:color="auto"/>
              <w:right w:val="nil"/>
            </w:tcBorders>
            <w:shd w:val="clear" w:color="auto" w:fill="F2F2F2" w:themeFill="background1" w:themeFillShade="F2"/>
          </w:tcPr>
          <w:p w14:paraId="0F86D600" w14:textId="77777777" w:rsidR="00B93FD1" w:rsidRPr="00C45E05" w:rsidRDefault="00B93FD1" w:rsidP="00497CE3">
            <w:pPr>
              <w:rPr>
                <w:b/>
                <w:sz w:val="12"/>
                <w:szCs w:val="12"/>
              </w:rPr>
            </w:pPr>
          </w:p>
        </w:tc>
        <w:tc>
          <w:tcPr>
            <w:tcW w:w="1037" w:type="pct"/>
            <w:tcBorders>
              <w:top w:val="single" w:sz="4" w:space="0" w:color="auto"/>
              <w:left w:val="nil"/>
              <w:bottom w:val="single" w:sz="4" w:space="0" w:color="auto"/>
              <w:right w:val="nil"/>
            </w:tcBorders>
            <w:shd w:val="clear" w:color="auto" w:fill="F2F2F2" w:themeFill="background1" w:themeFillShade="F2"/>
          </w:tcPr>
          <w:p w14:paraId="42CC7DD7" w14:textId="77777777" w:rsidR="00B93FD1" w:rsidRPr="00C45E05" w:rsidRDefault="00B93FD1" w:rsidP="00497CE3">
            <w:pPr>
              <w:jc w:val="center"/>
              <w:rPr>
                <w:b/>
                <w:sz w:val="12"/>
                <w:szCs w:val="12"/>
              </w:rPr>
            </w:pPr>
          </w:p>
        </w:tc>
        <w:tc>
          <w:tcPr>
            <w:tcW w:w="1097" w:type="pct"/>
            <w:tcBorders>
              <w:top w:val="single" w:sz="4" w:space="0" w:color="auto"/>
              <w:left w:val="nil"/>
              <w:bottom w:val="single" w:sz="4" w:space="0" w:color="auto"/>
              <w:right w:val="nil"/>
            </w:tcBorders>
            <w:shd w:val="clear" w:color="auto" w:fill="F2F2F2" w:themeFill="background1" w:themeFillShade="F2"/>
          </w:tcPr>
          <w:p w14:paraId="3A047D28" w14:textId="77777777" w:rsidR="00B93FD1" w:rsidRPr="00C45E05" w:rsidRDefault="00B93FD1" w:rsidP="00497CE3">
            <w:pPr>
              <w:jc w:val="center"/>
              <w:rPr>
                <w:sz w:val="12"/>
                <w:szCs w:val="12"/>
              </w:rPr>
            </w:pPr>
          </w:p>
        </w:tc>
        <w:tc>
          <w:tcPr>
            <w:tcW w:w="976" w:type="pct"/>
            <w:tcBorders>
              <w:top w:val="single" w:sz="4" w:space="0" w:color="auto"/>
              <w:left w:val="nil"/>
              <w:bottom w:val="single" w:sz="4" w:space="0" w:color="auto"/>
              <w:right w:val="nil"/>
            </w:tcBorders>
            <w:shd w:val="clear" w:color="auto" w:fill="F2F2F2" w:themeFill="background1" w:themeFillShade="F2"/>
          </w:tcPr>
          <w:p w14:paraId="594233CF" w14:textId="77777777" w:rsidR="00B93FD1" w:rsidRPr="00C45E05" w:rsidRDefault="00B93FD1" w:rsidP="00497CE3">
            <w:pPr>
              <w:jc w:val="center"/>
              <w:rPr>
                <w:b/>
                <w:sz w:val="12"/>
                <w:szCs w:val="12"/>
              </w:rPr>
            </w:pPr>
          </w:p>
        </w:tc>
      </w:tr>
      <w:tr w:rsidR="00B93FD1" w14:paraId="7FD76721"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57E305C1" w14:textId="77777777" w:rsidR="00B93FD1" w:rsidRDefault="00B93FD1" w:rsidP="00497CE3">
            <w:pPr>
              <w:rPr>
                <w:b/>
                <w:i/>
              </w:rPr>
            </w:pPr>
            <w:r>
              <w:rPr>
                <w:b/>
                <w:i/>
              </w:rPr>
              <w:t>Dental+craniomandibular osteology %</w:t>
            </w:r>
          </w:p>
        </w:tc>
        <w:tc>
          <w:tcPr>
            <w:tcW w:w="1037" w:type="pct"/>
            <w:tcBorders>
              <w:top w:val="single" w:sz="4" w:space="0" w:color="auto"/>
              <w:left w:val="single" w:sz="4" w:space="0" w:color="auto"/>
              <w:bottom w:val="single" w:sz="4" w:space="0" w:color="auto"/>
              <w:right w:val="single" w:sz="4" w:space="0" w:color="auto"/>
            </w:tcBorders>
            <w:hideMark/>
          </w:tcPr>
          <w:p w14:paraId="3B60A08B" w14:textId="77777777" w:rsidR="00B93FD1" w:rsidRDefault="00B93FD1" w:rsidP="00497CE3">
            <w:pPr>
              <w:jc w:val="center"/>
              <w:rPr>
                <w:b/>
                <w:i/>
              </w:rPr>
            </w:pPr>
            <w:r>
              <w:rPr>
                <w:b/>
                <w:i/>
              </w:rPr>
              <w:t>74.677</w:t>
            </w:r>
          </w:p>
        </w:tc>
        <w:tc>
          <w:tcPr>
            <w:tcW w:w="1097" w:type="pct"/>
            <w:tcBorders>
              <w:top w:val="single" w:sz="4" w:space="0" w:color="auto"/>
              <w:left w:val="single" w:sz="4" w:space="0" w:color="auto"/>
              <w:bottom w:val="single" w:sz="4" w:space="0" w:color="auto"/>
              <w:right w:val="single" w:sz="4" w:space="0" w:color="auto"/>
            </w:tcBorders>
            <w:hideMark/>
          </w:tcPr>
          <w:p w14:paraId="04FBCFC3" w14:textId="77777777" w:rsidR="00B93FD1" w:rsidRDefault="00B93FD1" w:rsidP="00497CE3">
            <w:pPr>
              <w:jc w:val="center"/>
              <w:rPr>
                <w:b/>
                <w:i/>
              </w:rPr>
            </w:pPr>
            <w:r>
              <w:rPr>
                <w:b/>
                <w:i/>
              </w:rPr>
              <w:t>74.809</w:t>
            </w:r>
          </w:p>
        </w:tc>
        <w:tc>
          <w:tcPr>
            <w:tcW w:w="976" w:type="pct"/>
            <w:tcBorders>
              <w:top w:val="single" w:sz="4" w:space="0" w:color="auto"/>
              <w:left w:val="single" w:sz="4" w:space="0" w:color="auto"/>
              <w:bottom w:val="single" w:sz="4" w:space="0" w:color="auto"/>
              <w:right w:val="single" w:sz="4" w:space="0" w:color="auto"/>
            </w:tcBorders>
            <w:hideMark/>
          </w:tcPr>
          <w:p w14:paraId="4B5E2875" w14:textId="77777777" w:rsidR="00B93FD1" w:rsidRDefault="00B93FD1" w:rsidP="00497CE3">
            <w:pPr>
              <w:jc w:val="center"/>
              <w:rPr>
                <w:b/>
                <w:i/>
              </w:rPr>
            </w:pPr>
            <w:r>
              <w:rPr>
                <w:b/>
                <w:i/>
              </w:rPr>
              <w:t>73.568</w:t>
            </w:r>
          </w:p>
        </w:tc>
      </w:tr>
      <w:tr w:rsidR="00B93FD1" w14:paraId="5C1E6BFA"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059C5900" w14:textId="77777777" w:rsidR="00B93FD1" w:rsidRDefault="00B93FD1" w:rsidP="00497CE3">
            <w:pPr>
              <w:rPr>
                <w:b/>
                <w:i/>
              </w:rPr>
            </w:pPr>
            <w:r>
              <w:rPr>
                <w:b/>
                <w:i/>
              </w:rPr>
              <w:t>Post-cranial osteology%</w:t>
            </w:r>
          </w:p>
        </w:tc>
        <w:tc>
          <w:tcPr>
            <w:tcW w:w="1037" w:type="pct"/>
            <w:tcBorders>
              <w:top w:val="single" w:sz="4" w:space="0" w:color="auto"/>
              <w:left w:val="single" w:sz="4" w:space="0" w:color="auto"/>
              <w:bottom w:val="single" w:sz="4" w:space="0" w:color="auto"/>
              <w:right w:val="single" w:sz="4" w:space="0" w:color="auto"/>
            </w:tcBorders>
            <w:hideMark/>
          </w:tcPr>
          <w:p w14:paraId="5A0EF9CA" w14:textId="77777777" w:rsidR="00B93FD1" w:rsidRDefault="00B93FD1" w:rsidP="00497CE3">
            <w:pPr>
              <w:jc w:val="center"/>
              <w:rPr>
                <w:b/>
                <w:i/>
              </w:rPr>
            </w:pPr>
            <w:r>
              <w:rPr>
                <w:b/>
                <w:i/>
              </w:rPr>
              <w:t>24.548</w:t>
            </w:r>
          </w:p>
        </w:tc>
        <w:tc>
          <w:tcPr>
            <w:tcW w:w="1097" w:type="pct"/>
            <w:tcBorders>
              <w:top w:val="single" w:sz="4" w:space="0" w:color="auto"/>
              <w:left w:val="single" w:sz="4" w:space="0" w:color="auto"/>
              <w:bottom w:val="single" w:sz="4" w:space="0" w:color="auto"/>
              <w:right w:val="single" w:sz="4" w:space="0" w:color="auto"/>
            </w:tcBorders>
            <w:hideMark/>
          </w:tcPr>
          <w:p w14:paraId="0B919B58" w14:textId="77777777" w:rsidR="00B93FD1" w:rsidRDefault="00B93FD1" w:rsidP="00497CE3">
            <w:pPr>
              <w:jc w:val="center"/>
              <w:rPr>
                <w:b/>
                <w:i/>
              </w:rPr>
            </w:pPr>
            <w:r>
              <w:rPr>
                <w:b/>
                <w:i/>
              </w:rPr>
              <w:t>24.427</w:t>
            </w:r>
          </w:p>
        </w:tc>
        <w:tc>
          <w:tcPr>
            <w:tcW w:w="976" w:type="pct"/>
            <w:tcBorders>
              <w:top w:val="single" w:sz="4" w:space="0" w:color="auto"/>
              <w:left w:val="single" w:sz="4" w:space="0" w:color="auto"/>
              <w:bottom w:val="single" w:sz="4" w:space="0" w:color="auto"/>
              <w:right w:val="single" w:sz="4" w:space="0" w:color="auto"/>
            </w:tcBorders>
            <w:hideMark/>
          </w:tcPr>
          <w:p w14:paraId="6C013417" w14:textId="77777777" w:rsidR="00B93FD1" w:rsidRDefault="00B93FD1" w:rsidP="00497CE3">
            <w:pPr>
              <w:jc w:val="center"/>
              <w:rPr>
                <w:b/>
                <w:i/>
              </w:rPr>
            </w:pPr>
            <w:r>
              <w:rPr>
                <w:b/>
                <w:i/>
              </w:rPr>
              <w:t>25.551</w:t>
            </w:r>
          </w:p>
        </w:tc>
      </w:tr>
      <w:tr w:rsidR="00B93FD1" w14:paraId="4CF96DAC" w14:textId="77777777" w:rsidTr="00B93FD1">
        <w:tc>
          <w:tcPr>
            <w:tcW w:w="1890" w:type="pct"/>
            <w:tcBorders>
              <w:top w:val="single" w:sz="4" w:space="0" w:color="auto"/>
              <w:left w:val="single" w:sz="4" w:space="0" w:color="auto"/>
              <w:bottom w:val="single" w:sz="4" w:space="0" w:color="auto"/>
              <w:right w:val="single" w:sz="4" w:space="0" w:color="auto"/>
            </w:tcBorders>
            <w:hideMark/>
          </w:tcPr>
          <w:p w14:paraId="16212C4A" w14:textId="77777777" w:rsidR="00B93FD1" w:rsidRDefault="00B93FD1" w:rsidP="00497CE3">
            <w:pPr>
              <w:rPr>
                <w:b/>
                <w:i/>
              </w:rPr>
            </w:pPr>
            <w:r>
              <w:rPr>
                <w:b/>
                <w:i/>
              </w:rPr>
              <w:t>Soft tissue %</w:t>
            </w:r>
          </w:p>
        </w:tc>
        <w:tc>
          <w:tcPr>
            <w:tcW w:w="1037" w:type="pct"/>
            <w:tcBorders>
              <w:top w:val="single" w:sz="4" w:space="0" w:color="auto"/>
              <w:left w:val="single" w:sz="4" w:space="0" w:color="auto"/>
              <w:bottom w:val="single" w:sz="4" w:space="0" w:color="auto"/>
              <w:right w:val="single" w:sz="4" w:space="0" w:color="auto"/>
            </w:tcBorders>
            <w:hideMark/>
          </w:tcPr>
          <w:p w14:paraId="11ACDDE4" w14:textId="77777777" w:rsidR="00B93FD1" w:rsidRDefault="00B93FD1" w:rsidP="00497CE3">
            <w:pPr>
              <w:jc w:val="center"/>
              <w:rPr>
                <w:b/>
                <w:i/>
              </w:rPr>
            </w:pPr>
            <w:r>
              <w:rPr>
                <w:b/>
                <w:i/>
              </w:rPr>
              <w:t>0.763</w:t>
            </w:r>
          </w:p>
        </w:tc>
        <w:tc>
          <w:tcPr>
            <w:tcW w:w="1097" w:type="pct"/>
            <w:tcBorders>
              <w:top w:val="single" w:sz="4" w:space="0" w:color="auto"/>
              <w:left w:val="single" w:sz="4" w:space="0" w:color="auto"/>
              <w:bottom w:val="single" w:sz="4" w:space="0" w:color="auto"/>
              <w:right w:val="single" w:sz="4" w:space="0" w:color="auto"/>
            </w:tcBorders>
            <w:hideMark/>
          </w:tcPr>
          <w:p w14:paraId="2FC9207D" w14:textId="77777777" w:rsidR="00B93FD1" w:rsidRDefault="00B93FD1" w:rsidP="00497CE3">
            <w:pPr>
              <w:jc w:val="center"/>
              <w:rPr>
                <w:b/>
                <w:i/>
              </w:rPr>
            </w:pPr>
            <w:r>
              <w:rPr>
                <w:b/>
                <w:i/>
              </w:rPr>
              <w:t>0.763</w:t>
            </w:r>
          </w:p>
        </w:tc>
        <w:tc>
          <w:tcPr>
            <w:tcW w:w="976" w:type="pct"/>
            <w:tcBorders>
              <w:top w:val="single" w:sz="4" w:space="0" w:color="auto"/>
              <w:left w:val="single" w:sz="4" w:space="0" w:color="auto"/>
              <w:bottom w:val="single" w:sz="4" w:space="0" w:color="auto"/>
              <w:right w:val="single" w:sz="4" w:space="0" w:color="auto"/>
            </w:tcBorders>
            <w:hideMark/>
          </w:tcPr>
          <w:p w14:paraId="51F018C7" w14:textId="77777777" w:rsidR="00B93FD1" w:rsidRDefault="00B93FD1" w:rsidP="00497CE3">
            <w:pPr>
              <w:jc w:val="center"/>
              <w:rPr>
                <w:b/>
                <w:i/>
              </w:rPr>
            </w:pPr>
            <w:r>
              <w:rPr>
                <w:b/>
                <w:i/>
              </w:rPr>
              <w:t>0.881</w:t>
            </w:r>
          </w:p>
        </w:tc>
      </w:tr>
    </w:tbl>
    <w:p w14:paraId="17F138CE" w14:textId="77777777" w:rsidR="00497CE3" w:rsidRPr="002E5CD1" w:rsidRDefault="00497CE3" w:rsidP="00497CE3">
      <w:pPr>
        <w:rPr>
          <w:sz w:val="2"/>
          <w:lang w:eastAsia="en-US"/>
        </w:rPr>
      </w:pPr>
      <w:r w:rsidRPr="002E5CD1">
        <w:rPr>
          <w:sz w:val="2"/>
        </w:rPr>
        <w:br w:type="page"/>
      </w:r>
    </w:p>
    <w:p w14:paraId="315EA3EE" w14:textId="61A58247" w:rsidR="00497CE3" w:rsidRDefault="00497CE3" w:rsidP="00497CE3">
      <w:r w:rsidRPr="00214A9F">
        <w:rPr>
          <w:b/>
          <w:i/>
        </w:rPr>
        <w:t xml:space="preserve">Table </w:t>
      </w:r>
      <w:r>
        <w:rPr>
          <w:b/>
          <w:i/>
        </w:rPr>
        <w:t>(</w:t>
      </w:r>
      <w:r w:rsidRPr="00214A9F">
        <w:rPr>
          <w:b/>
          <w:i/>
        </w:rPr>
        <w:t>S</w:t>
      </w:r>
      <w:r>
        <w:rPr>
          <w:b/>
          <w:i/>
        </w:rPr>
        <w:t>3.4)</w:t>
      </w:r>
      <w:r>
        <w:t xml:space="preserve"> Break-down of the OTUs per clade from iterations of the Hastings dataset, ultimately merged into the Hastings and Young (H+Y) matrix. Hastings </w:t>
      </w:r>
      <w:r w:rsidRPr="007442C7">
        <w:rPr>
          <w:i/>
        </w:rPr>
        <w:t>et al</w:t>
      </w:r>
      <w:r>
        <w:t xml:space="preserve">. (2015) utilised two datasets: 1) matrix of Hastings </w:t>
      </w:r>
      <w:r w:rsidRPr="00040B93">
        <w:rPr>
          <w:i/>
        </w:rPr>
        <w:t>et al</w:t>
      </w:r>
      <w:r>
        <w:t xml:space="preserve">. (2010, 2011); and 2) adapted from Jouve </w:t>
      </w:r>
      <w:r w:rsidRPr="007442C7">
        <w:rPr>
          <w:i/>
        </w:rPr>
        <w:t>et al</w:t>
      </w:r>
      <w:r>
        <w:t xml:space="preserve">. (2006). Young </w:t>
      </w:r>
      <w:r w:rsidRPr="008D7E55">
        <w:rPr>
          <w:i/>
        </w:rPr>
        <w:t>et al</w:t>
      </w:r>
      <w:r>
        <w:t xml:space="preserve">. (2016) utilised two datasets: 1) first iteration of a merged dataset, an updated version of the matrix of Hastings </w:t>
      </w:r>
      <w:r w:rsidRPr="00040B93">
        <w:rPr>
          <w:i/>
        </w:rPr>
        <w:t>et al</w:t>
      </w:r>
      <w:r>
        <w:t>. (2015) with characters used by Young; and 2) an updated version of Young (2014) matrix.</w:t>
      </w:r>
      <w:r w:rsidRPr="002B032C">
        <w:t xml:space="preserve"> </w:t>
      </w:r>
      <w:r>
        <w:t>Note, the taxonomic break-down is based on the current topology, which for some OTUs will differ from the position they had in earlier less complete analyses.</w:t>
      </w: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3255"/>
        <w:gridCol w:w="1702"/>
        <w:gridCol w:w="1702"/>
        <w:gridCol w:w="2410"/>
        <w:gridCol w:w="2128"/>
        <w:gridCol w:w="2751"/>
      </w:tblGrid>
      <w:tr w:rsidR="00497CE3" w14:paraId="325243BB" w14:textId="77777777" w:rsidTr="00497CE3">
        <w:tc>
          <w:tcPr>
            <w:tcW w:w="1167" w:type="pct"/>
          </w:tcPr>
          <w:p w14:paraId="16C3BA8E" w14:textId="77777777" w:rsidR="00497CE3" w:rsidRDefault="00497CE3" w:rsidP="00497CE3">
            <w:r>
              <w:t>Clades of OTUs</w:t>
            </w:r>
          </w:p>
        </w:tc>
        <w:tc>
          <w:tcPr>
            <w:tcW w:w="610" w:type="pct"/>
          </w:tcPr>
          <w:p w14:paraId="6DD88BEF" w14:textId="77777777" w:rsidR="00497CE3" w:rsidRDefault="00497CE3" w:rsidP="00497CE3">
            <w:pPr>
              <w:jc w:val="center"/>
            </w:pPr>
            <w:r>
              <w:t xml:space="preserve">Hastings </w:t>
            </w:r>
            <w:r w:rsidRPr="00040B93">
              <w:rPr>
                <w:i/>
              </w:rPr>
              <w:t>et al</w:t>
            </w:r>
            <w:r>
              <w:t>. (2010)</w:t>
            </w:r>
          </w:p>
        </w:tc>
        <w:tc>
          <w:tcPr>
            <w:tcW w:w="610" w:type="pct"/>
          </w:tcPr>
          <w:p w14:paraId="277D526D" w14:textId="77777777" w:rsidR="00497CE3" w:rsidRDefault="00497CE3" w:rsidP="00497CE3">
            <w:pPr>
              <w:jc w:val="center"/>
            </w:pPr>
            <w:r>
              <w:t xml:space="preserve">Hastings </w:t>
            </w:r>
            <w:r w:rsidRPr="00040B93">
              <w:rPr>
                <w:i/>
              </w:rPr>
              <w:t>et al</w:t>
            </w:r>
            <w:r>
              <w:t>. (2011)</w:t>
            </w:r>
          </w:p>
        </w:tc>
        <w:tc>
          <w:tcPr>
            <w:tcW w:w="864" w:type="pct"/>
          </w:tcPr>
          <w:p w14:paraId="0DCFEA28" w14:textId="77777777" w:rsidR="00497CE3" w:rsidRDefault="00497CE3" w:rsidP="00497CE3">
            <w:pPr>
              <w:jc w:val="center"/>
            </w:pPr>
            <w:r>
              <w:t xml:space="preserve">Hastings </w:t>
            </w:r>
            <w:r w:rsidRPr="00040B93">
              <w:rPr>
                <w:i/>
              </w:rPr>
              <w:t>et al</w:t>
            </w:r>
            <w:r>
              <w:t>. (2015, ds 1-Hastings)</w:t>
            </w:r>
          </w:p>
        </w:tc>
        <w:tc>
          <w:tcPr>
            <w:tcW w:w="763" w:type="pct"/>
          </w:tcPr>
          <w:p w14:paraId="7C56A9BD" w14:textId="77777777" w:rsidR="00497CE3" w:rsidRDefault="00497CE3" w:rsidP="00497CE3">
            <w:pPr>
              <w:jc w:val="center"/>
            </w:pPr>
            <w:r>
              <w:t xml:space="preserve">Hastings </w:t>
            </w:r>
            <w:r w:rsidRPr="00040B93">
              <w:rPr>
                <w:i/>
              </w:rPr>
              <w:t>et al</w:t>
            </w:r>
            <w:r>
              <w:t>. (2015, ds 2-Jouve)</w:t>
            </w:r>
          </w:p>
        </w:tc>
        <w:tc>
          <w:tcPr>
            <w:tcW w:w="986" w:type="pct"/>
          </w:tcPr>
          <w:p w14:paraId="23BAB41E" w14:textId="77777777" w:rsidR="00497CE3" w:rsidRPr="00040B93" w:rsidRDefault="00497CE3" w:rsidP="00497CE3">
            <w:pPr>
              <w:jc w:val="center"/>
              <w:rPr>
                <w:i/>
              </w:rPr>
            </w:pPr>
            <w:r w:rsidRPr="00040B93">
              <w:t xml:space="preserve">Young </w:t>
            </w:r>
            <w:r w:rsidRPr="00040B93">
              <w:rPr>
                <w:i/>
              </w:rPr>
              <w:t>et</w:t>
            </w:r>
          </w:p>
          <w:p w14:paraId="4C9CB17F" w14:textId="77777777" w:rsidR="00497CE3" w:rsidRPr="00040B93" w:rsidRDefault="00497CE3" w:rsidP="00497CE3">
            <w:pPr>
              <w:jc w:val="center"/>
              <w:rPr>
                <w:highlight w:val="yellow"/>
              </w:rPr>
            </w:pPr>
            <w:r w:rsidRPr="00040B93">
              <w:rPr>
                <w:i/>
              </w:rPr>
              <w:t>al</w:t>
            </w:r>
            <w:r w:rsidRPr="00040B93">
              <w:t>. (2016, ds 1</w:t>
            </w:r>
            <w:r>
              <w:t>-Hastings</w:t>
            </w:r>
            <w:r w:rsidRPr="00040B93">
              <w:t>)</w:t>
            </w:r>
          </w:p>
        </w:tc>
      </w:tr>
      <w:tr w:rsidR="00497CE3" w14:paraId="1623499E" w14:textId="77777777" w:rsidTr="00497CE3">
        <w:tc>
          <w:tcPr>
            <w:tcW w:w="1167" w:type="pct"/>
          </w:tcPr>
          <w:p w14:paraId="18FD3AAC" w14:textId="77777777" w:rsidR="00497CE3" w:rsidRDefault="00497CE3" w:rsidP="00497CE3">
            <w:r>
              <w:t>Non-crocodylomorph outgroup</w:t>
            </w:r>
          </w:p>
        </w:tc>
        <w:tc>
          <w:tcPr>
            <w:tcW w:w="610" w:type="pct"/>
          </w:tcPr>
          <w:p w14:paraId="45C094E0" w14:textId="77777777" w:rsidR="00497CE3" w:rsidRDefault="00497CE3" w:rsidP="00497CE3">
            <w:pPr>
              <w:jc w:val="center"/>
            </w:pPr>
            <w:r>
              <w:t>-</w:t>
            </w:r>
          </w:p>
        </w:tc>
        <w:tc>
          <w:tcPr>
            <w:tcW w:w="610" w:type="pct"/>
          </w:tcPr>
          <w:p w14:paraId="081C3EA7" w14:textId="77777777" w:rsidR="00497CE3" w:rsidRDefault="00497CE3" w:rsidP="00497CE3">
            <w:pPr>
              <w:jc w:val="center"/>
            </w:pPr>
            <w:r>
              <w:t>-</w:t>
            </w:r>
          </w:p>
        </w:tc>
        <w:tc>
          <w:tcPr>
            <w:tcW w:w="864" w:type="pct"/>
          </w:tcPr>
          <w:p w14:paraId="3E9C4803" w14:textId="77777777" w:rsidR="00497CE3" w:rsidRDefault="00497CE3" w:rsidP="00497CE3">
            <w:pPr>
              <w:jc w:val="center"/>
            </w:pPr>
            <w:r>
              <w:t>-</w:t>
            </w:r>
          </w:p>
        </w:tc>
        <w:tc>
          <w:tcPr>
            <w:tcW w:w="763" w:type="pct"/>
          </w:tcPr>
          <w:p w14:paraId="0C836F8A" w14:textId="77777777" w:rsidR="00497CE3" w:rsidRDefault="00497CE3" w:rsidP="00497CE3">
            <w:pPr>
              <w:jc w:val="center"/>
            </w:pPr>
            <w:r>
              <w:t>-</w:t>
            </w:r>
          </w:p>
        </w:tc>
        <w:tc>
          <w:tcPr>
            <w:tcW w:w="986" w:type="pct"/>
          </w:tcPr>
          <w:p w14:paraId="295AA972" w14:textId="77777777" w:rsidR="00497CE3" w:rsidRPr="00040B93" w:rsidRDefault="00497CE3" w:rsidP="00497CE3">
            <w:pPr>
              <w:jc w:val="center"/>
            </w:pPr>
            <w:r>
              <w:t>1</w:t>
            </w:r>
          </w:p>
        </w:tc>
      </w:tr>
      <w:tr w:rsidR="00497CE3" w14:paraId="78A43AA7" w14:textId="77777777" w:rsidTr="00497CE3">
        <w:tc>
          <w:tcPr>
            <w:tcW w:w="1167" w:type="pct"/>
          </w:tcPr>
          <w:p w14:paraId="62CBE5A6" w14:textId="77777777" w:rsidR="00497CE3" w:rsidRDefault="00497CE3" w:rsidP="00497CE3">
            <w:r>
              <w:t>‘Sphenosuchia’ s. l.</w:t>
            </w:r>
          </w:p>
        </w:tc>
        <w:tc>
          <w:tcPr>
            <w:tcW w:w="610" w:type="pct"/>
          </w:tcPr>
          <w:p w14:paraId="4335F46F" w14:textId="77777777" w:rsidR="00497CE3" w:rsidRDefault="00497CE3" w:rsidP="00497CE3">
            <w:pPr>
              <w:jc w:val="center"/>
            </w:pPr>
            <w:r>
              <w:t>-</w:t>
            </w:r>
          </w:p>
        </w:tc>
        <w:tc>
          <w:tcPr>
            <w:tcW w:w="610" w:type="pct"/>
          </w:tcPr>
          <w:p w14:paraId="07EF2C15" w14:textId="77777777" w:rsidR="00497CE3" w:rsidRDefault="00497CE3" w:rsidP="00497CE3">
            <w:pPr>
              <w:jc w:val="center"/>
            </w:pPr>
            <w:r>
              <w:t>-</w:t>
            </w:r>
          </w:p>
        </w:tc>
        <w:tc>
          <w:tcPr>
            <w:tcW w:w="864" w:type="pct"/>
          </w:tcPr>
          <w:p w14:paraId="7D7AC85D" w14:textId="77777777" w:rsidR="00497CE3" w:rsidRDefault="00497CE3" w:rsidP="00497CE3">
            <w:pPr>
              <w:jc w:val="center"/>
            </w:pPr>
            <w:r>
              <w:t>-</w:t>
            </w:r>
          </w:p>
        </w:tc>
        <w:tc>
          <w:tcPr>
            <w:tcW w:w="763" w:type="pct"/>
          </w:tcPr>
          <w:p w14:paraId="6A659477" w14:textId="77777777" w:rsidR="00497CE3" w:rsidRDefault="00497CE3" w:rsidP="00497CE3">
            <w:pPr>
              <w:jc w:val="center"/>
            </w:pPr>
            <w:r>
              <w:t>2</w:t>
            </w:r>
          </w:p>
        </w:tc>
        <w:tc>
          <w:tcPr>
            <w:tcW w:w="986" w:type="pct"/>
          </w:tcPr>
          <w:p w14:paraId="55FD7CA9" w14:textId="77777777" w:rsidR="00497CE3" w:rsidRPr="00040B93" w:rsidRDefault="00497CE3" w:rsidP="00497CE3">
            <w:pPr>
              <w:jc w:val="center"/>
            </w:pPr>
            <w:r>
              <w:t>2</w:t>
            </w:r>
          </w:p>
        </w:tc>
      </w:tr>
      <w:tr w:rsidR="00497CE3" w14:paraId="01A292C8" w14:textId="77777777" w:rsidTr="00497CE3">
        <w:tc>
          <w:tcPr>
            <w:tcW w:w="1167" w:type="pct"/>
          </w:tcPr>
          <w:p w14:paraId="4F6B2203" w14:textId="77777777" w:rsidR="00497CE3" w:rsidRDefault="00497CE3" w:rsidP="00497CE3">
            <w:r>
              <w:t>Basal crocodyliforms</w:t>
            </w:r>
          </w:p>
        </w:tc>
        <w:tc>
          <w:tcPr>
            <w:tcW w:w="610" w:type="pct"/>
          </w:tcPr>
          <w:p w14:paraId="5C04A4FB" w14:textId="77777777" w:rsidR="00497CE3" w:rsidRDefault="00497CE3" w:rsidP="00497CE3">
            <w:pPr>
              <w:jc w:val="center"/>
            </w:pPr>
            <w:r>
              <w:t>-</w:t>
            </w:r>
          </w:p>
        </w:tc>
        <w:tc>
          <w:tcPr>
            <w:tcW w:w="610" w:type="pct"/>
          </w:tcPr>
          <w:p w14:paraId="393A0D7F" w14:textId="77777777" w:rsidR="00497CE3" w:rsidRDefault="00497CE3" w:rsidP="00497CE3">
            <w:pPr>
              <w:jc w:val="center"/>
            </w:pPr>
            <w:r>
              <w:t>-</w:t>
            </w:r>
          </w:p>
        </w:tc>
        <w:tc>
          <w:tcPr>
            <w:tcW w:w="864" w:type="pct"/>
          </w:tcPr>
          <w:p w14:paraId="03249296" w14:textId="77777777" w:rsidR="00497CE3" w:rsidRDefault="00497CE3" w:rsidP="00497CE3">
            <w:pPr>
              <w:jc w:val="center"/>
            </w:pPr>
            <w:r>
              <w:t>-</w:t>
            </w:r>
          </w:p>
        </w:tc>
        <w:tc>
          <w:tcPr>
            <w:tcW w:w="763" w:type="pct"/>
          </w:tcPr>
          <w:p w14:paraId="2D1848FA" w14:textId="77777777" w:rsidR="00497CE3" w:rsidRDefault="00497CE3" w:rsidP="00497CE3">
            <w:pPr>
              <w:jc w:val="center"/>
            </w:pPr>
            <w:r>
              <w:t>7</w:t>
            </w:r>
          </w:p>
        </w:tc>
        <w:tc>
          <w:tcPr>
            <w:tcW w:w="986" w:type="pct"/>
          </w:tcPr>
          <w:p w14:paraId="17B4796A" w14:textId="77777777" w:rsidR="00497CE3" w:rsidRDefault="00497CE3" w:rsidP="00497CE3">
            <w:pPr>
              <w:jc w:val="center"/>
            </w:pPr>
            <w:r>
              <w:t>1</w:t>
            </w:r>
          </w:p>
        </w:tc>
      </w:tr>
      <w:tr w:rsidR="00497CE3" w14:paraId="73A84F89" w14:textId="77777777" w:rsidTr="00497CE3">
        <w:tc>
          <w:tcPr>
            <w:tcW w:w="1167" w:type="pct"/>
          </w:tcPr>
          <w:p w14:paraId="54E5A9C5" w14:textId="77777777" w:rsidR="00497CE3" w:rsidRDefault="00497CE3" w:rsidP="00497CE3">
            <w:r>
              <w:t>Notosuchia s. l.</w:t>
            </w:r>
          </w:p>
        </w:tc>
        <w:tc>
          <w:tcPr>
            <w:tcW w:w="610" w:type="pct"/>
          </w:tcPr>
          <w:p w14:paraId="09AEBD5E" w14:textId="77777777" w:rsidR="00497CE3" w:rsidRDefault="00497CE3" w:rsidP="00497CE3">
            <w:pPr>
              <w:jc w:val="center"/>
            </w:pPr>
            <w:r>
              <w:t>-</w:t>
            </w:r>
          </w:p>
        </w:tc>
        <w:tc>
          <w:tcPr>
            <w:tcW w:w="610" w:type="pct"/>
          </w:tcPr>
          <w:p w14:paraId="0FA37314" w14:textId="77777777" w:rsidR="00497CE3" w:rsidRDefault="00497CE3" w:rsidP="00497CE3">
            <w:pPr>
              <w:jc w:val="center"/>
            </w:pPr>
            <w:r>
              <w:t>-</w:t>
            </w:r>
          </w:p>
        </w:tc>
        <w:tc>
          <w:tcPr>
            <w:tcW w:w="864" w:type="pct"/>
          </w:tcPr>
          <w:p w14:paraId="0C827506" w14:textId="77777777" w:rsidR="00497CE3" w:rsidRDefault="00497CE3" w:rsidP="00497CE3">
            <w:pPr>
              <w:jc w:val="center"/>
            </w:pPr>
            <w:r>
              <w:t>-</w:t>
            </w:r>
          </w:p>
        </w:tc>
        <w:tc>
          <w:tcPr>
            <w:tcW w:w="763" w:type="pct"/>
          </w:tcPr>
          <w:p w14:paraId="03D027D9" w14:textId="77777777" w:rsidR="00497CE3" w:rsidRDefault="00497CE3" w:rsidP="00497CE3">
            <w:pPr>
              <w:jc w:val="center"/>
            </w:pPr>
            <w:r>
              <w:t>15</w:t>
            </w:r>
          </w:p>
        </w:tc>
        <w:tc>
          <w:tcPr>
            <w:tcW w:w="986" w:type="pct"/>
          </w:tcPr>
          <w:p w14:paraId="639559F1" w14:textId="77777777" w:rsidR="00497CE3" w:rsidRDefault="00497CE3" w:rsidP="00497CE3">
            <w:pPr>
              <w:jc w:val="center"/>
            </w:pPr>
            <w:r>
              <w:t>-</w:t>
            </w:r>
          </w:p>
        </w:tc>
      </w:tr>
      <w:tr w:rsidR="00497CE3" w14:paraId="53820C86" w14:textId="77777777" w:rsidTr="00497CE3">
        <w:tc>
          <w:tcPr>
            <w:tcW w:w="1167" w:type="pct"/>
          </w:tcPr>
          <w:p w14:paraId="1B002492" w14:textId="77777777" w:rsidR="00497CE3" w:rsidRDefault="00497CE3" w:rsidP="00497CE3">
            <w:r>
              <w:t>Teleosauroidea</w:t>
            </w:r>
          </w:p>
        </w:tc>
        <w:tc>
          <w:tcPr>
            <w:tcW w:w="610" w:type="pct"/>
          </w:tcPr>
          <w:p w14:paraId="6F87BACB" w14:textId="77777777" w:rsidR="00497CE3" w:rsidRDefault="00497CE3" w:rsidP="00497CE3">
            <w:pPr>
              <w:jc w:val="center"/>
            </w:pPr>
            <w:r>
              <w:t>-</w:t>
            </w:r>
          </w:p>
        </w:tc>
        <w:tc>
          <w:tcPr>
            <w:tcW w:w="610" w:type="pct"/>
          </w:tcPr>
          <w:p w14:paraId="45160212" w14:textId="77777777" w:rsidR="00497CE3" w:rsidRDefault="00497CE3" w:rsidP="00497CE3">
            <w:pPr>
              <w:jc w:val="center"/>
            </w:pPr>
            <w:r>
              <w:t>-</w:t>
            </w:r>
          </w:p>
        </w:tc>
        <w:tc>
          <w:tcPr>
            <w:tcW w:w="864" w:type="pct"/>
          </w:tcPr>
          <w:p w14:paraId="785A3DFC" w14:textId="77777777" w:rsidR="00497CE3" w:rsidRDefault="00497CE3" w:rsidP="00497CE3">
            <w:pPr>
              <w:jc w:val="center"/>
            </w:pPr>
            <w:r>
              <w:t>-</w:t>
            </w:r>
          </w:p>
        </w:tc>
        <w:tc>
          <w:tcPr>
            <w:tcW w:w="763" w:type="pct"/>
          </w:tcPr>
          <w:p w14:paraId="3908D765" w14:textId="77777777" w:rsidR="00497CE3" w:rsidRDefault="00497CE3" w:rsidP="00497CE3">
            <w:pPr>
              <w:jc w:val="center"/>
            </w:pPr>
            <w:r>
              <w:t>1</w:t>
            </w:r>
          </w:p>
        </w:tc>
        <w:tc>
          <w:tcPr>
            <w:tcW w:w="986" w:type="pct"/>
          </w:tcPr>
          <w:p w14:paraId="233C186F" w14:textId="77777777" w:rsidR="00497CE3" w:rsidRDefault="00497CE3" w:rsidP="00497CE3">
            <w:pPr>
              <w:jc w:val="center"/>
            </w:pPr>
            <w:r>
              <w:t>1</w:t>
            </w:r>
          </w:p>
        </w:tc>
      </w:tr>
      <w:tr w:rsidR="00497CE3" w14:paraId="15531688" w14:textId="77777777" w:rsidTr="00497CE3">
        <w:tc>
          <w:tcPr>
            <w:tcW w:w="1167" w:type="pct"/>
          </w:tcPr>
          <w:p w14:paraId="3F276558" w14:textId="77777777" w:rsidR="00497CE3" w:rsidRDefault="00497CE3" w:rsidP="00497CE3">
            <w:r>
              <w:t>Basal metriorhynchoids</w:t>
            </w:r>
          </w:p>
        </w:tc>
        <w:tc>
          <w:tcPr>
            <w:tcW w:w="610" w:type="pct"/>
          </w:tcPr>
          <w:p w14:paraId="6567B3B0" w14:textId="77777777" w:rsidR="00497CE3" w:rsidRDefault="00497CE3" w:rsidP="00497CE3">
            <w:pPr>
              <w:jc w:val="center"/>
            </w:pPr>
            <w:r>
              <w:t>-</w:t>
            </w:r>
          </w:p>
        </w:tc>
        <w:tc>
          <w:tcPr>
            <w:tcW w:w="610" w:type="pct"/>
          </w:tcPr>
          <w:p w14:paraId="56655528" w14:textId="77777777" w:rsidR="00497CE3" w:rsidRDefault="00497CE3" w:rsidP="00497CE3">
            <w:pPr>
              <w:jc w:val="center"/>
            </w:pPr>
            <w:r>
              <w:t>-</w:t>
            </w:r>
          </w:p>
        </w:tc>
        <w:tc>
          <w:tcPr>
            <w:tcW w:w="864" w:type="pct"/>
          </w:tcPr>
          <w:p w14:paraId="0880C0CB" w14:textId="77777777" w:rsidR="00497CE3" w:rsidRDefault="00497CE3" w:rsidP="00497CE3">
            <w:pPr>
              <w:jc w:val="center"/>
            </w:pPr>
            <w:r>
              <w:t>-</w:t>
            </w:r>
          </w:p>
        </w:tc>
        <w:tc>
          <w:tcPr>
            <w:tcW w:w="763" w:type="pct"/>
          </w:tcPr>
          <w:p w14:paraId="4E70D661" w14:textId="77777777" w:rsidR="00497CE3" w:rsidRDefault="00497CE3" w:rsidP="00497CE3">
            <w:pPr>
              <w:jc w:val="center"/>
            </w:pPr>
            <w:r>
              <w:t>1</w:t>
            </w:r>
          </w:p>
        </w:tc>
        <w:tc>
          <w:tcPr>
            <w:tcW w:w="986" w:type="pct"/>
          </w:tcPr>
          <w:p w14:paraId="59DD2EA3" w14:textId="77777777" w:rsidR="00497CE3" w:rsidRDefault="00497CE3" w:rsidP="00497CE3">
            <w:pPr>
              <w:jc w:val="center"/>
            </w:pPr>
            <w:r>
              <w:t>1</w:t>
            </w:r>
          </w:p>
        </w:tc>
      </w:tr>
      <w:tr w:rsidR="00497CE3" w14:paraId="2BA7EB69" w14:textId="77777777" w:rsidTr="00497CE3">
        <w:tc>
          <w:tcPr>
            <w:tcW w:w="1167" w:type="pct"/>
          </w:tcPr>
          <w:p w14:paraId="2F9427CA" w14:textId="77777777" w:rsidR="00497CE3" w:rsidRDefault="00497CE3" w:rsidP="00497CE3">
            <w:r>
              <w:t>Basal metriorhynchines</w:t>
            </w:r>
          </w:p>
        </w:tc>
        <w:tc>
          <w:tcPr>
            <w:tcW w:w="610" w:type="pct"/>
          </w:tcPr>
          <w:p w14:paraId="61C735B1" w14:textId="77777777" w:rsidR="00497CE3" w:rsidRDefault="00497CE3" w:rsidP="00497CE3">
            <w:pPr>
              <w:jc w:val="center"/>
            </w:pPr>
            <w:r>
              <w:t>-</w:t>
            </w:r>
          </w:p>
        </w:tc>
        <w:tc>
          <w:tcPr>
            <w:tcW w:w="610" w:type="pct"/>
          </w:tcPr>
          <w:p w14:paraId="3263A1D1" w14:textId="77777777" w:rsidR="00497CE3" w:rsidRDefault="00497CE3" w:rsidP="00497CE3">
            <w:pPr>
              <w:jc w:val="center"/>
            </w:pPr>
            <w:r>
              <w:t>-</w:t>
            </w:r>
          </w:p>
        </w:tc>
        <w:tc>
          <w:tcPr>
            <w:tcW w:w="864" w:type="pct"/>
          </w:tcPr>
          <w:p w14:paraId="33439296" w14:textId="77777777" w:rsidR="00497CE3" w:rsidRDefault="00497CE3" w:rsidP="00497CE3">
            <w:pPr>
              <w:jc w:val="center"/>
            </w:pPr>
            <w:r>
              <w:t>-</w:t>
            </w:r>
          </w:p>
        </w:tc>
        <w:tc>
          <w:tcPr>
            <w:tcW w:w="763" w:type="pct"/>
          </w:tcPr>
          <w:p w14:paraId="425B5F28" w14:textId="77777777" w:rsidR="00497CE3" w:rsidRDefault="00497CE3" w:rsidP="00497CE3">
            <w:pPr>
              <w:jc w:val="center"/>
            </w:pPr>
            <w:r>
              <w:t>1</w:t>
            </w:r>
          </w:p>
        </w:tc>
        <w:tc>
          <w:tcPr>
            <w:tcW w:w="986" w:type="pct"/>
          </w:tcPr>
          <w:p w14:paraId="465E5321" w14:textId="77777777" w:rsidR="00497CE3" w:rsidRDefault="00497CE3" w:rsidP="00497CE3">
            <w:pPr>
              <w:jc w:val="center"/>
            </w:pPr>
            <w:r>
              <w:t>1</w:t>
            </w:r>
          </w:p>
        </w:tc>
      </w:tr>
      <w:tr w:rsidR="00497CE3" w14:paraId="1999855C" w14:textId="77777777" w:rsidTr="00497CE3">
        <w:tc>
          <w:tcPr>
            <w:tcW w:w="1167" w:type="pct"/>
          </w:tcPr>
          <w:p w14:paraId="63FEED7D" w14:textId="77777777" w:rsidR="00497CE3" w:rsidRDefault="00497CE3" w:rsidP="00497CE3">
            <w:r>
              <w:t>Indet. Neosuchia</w:t>
            </w:r>
          </w:p>
        </w:tc>
        <w:tc>
          <w:tcPr>
            <w:tcW w:w="610" w:type="pct"/>
          </w:tcPr>
          <w:p w14:paraId="45E9C627" w14:textId="77777777" w:rsidR="00497CE3" w:rsidRDefault="00497CE3" w:rsidP="00497CE3">
            <w:pPr>
              <w:jc w:val="center"/>
            </w:pPr>
            <w:r>
              <w:t>-</w:t>
            </w:r>
          </w:p>
        </w:tc>
        <w:tc>
          <w:tcPr>
            <w:tcW w:w="610" w:type="pct"/>
          </w:tcPr>
          <w:p w14:paraId="346395AB" w14:textId="77777777" w:rsidR="00497CE3" w:rsidRDefault="00497CE3" w:rsidP="00497CE3">
            <w:pPr>
              <w:jc w:val="center"/>
            </w:pPr>
            <w:r>
              <w:t>-</w:t>
            </w:r>
          </w:p>
        </w:tc>
        <w:tc>
          <w:tcPr>
            <w:tcW w:w="864" w:type="pct"/>
          </w:tcPr>
          <w:p w14:paraId="6B71903E" w14:textId="77777777" w:rsidR="00497CE3" w:rsidRDefault="00497CE3" w:rsidP="00497CE3">
            <w:pPr>
              <w:jc w:val="center"/>
            </w:pPr>
            <w:r>
              <w:t>-</w:t>
            </w:r>
          </w:p>
        </w:tc>
        <w:tc>
          <w:tcPr>
            <w:tcW w:w="763" w:type="pct"/>
          </w:tcPr>
          <w:p w14:paraId="7EB79387" w14:textId="77777777" w:rsidR="00497CE3" w:rsidRDefault="00497CE3" w:rsidP="00497CE3">
            <w:pPr>
              <w:jc w:val="center"/>
            </w:pPr>
            <w:r>
              <w:t>1</w:t>
            </w:r>
          </w:p>
        </w:tc>
        <w:tc>
          <w:tcPr>
            <w:tcW w:w="986" w:type="pct"/>
          </w:tcPr>
          <w:p w14:paraId="63A3AFBB" w14:textId="77777777" w:rsidR="00497CE3" w:rsidRDefault="00497CE3" w:rsidP="00497CE3">
            <w:pPr>
              <w:jc w:val="center"/>
            </w:pPr>
            <w:r>
              <w:t>-</w:t>
            </w:r>
          </w:p>
        </w:tc>
      </w:tr>
      <w:tr w:rsidR="00497CE3" w14:paraId="1E26F652" w14:textId="77777777" w:rsidTr="00497CE3">
        <w:tc>
          <w:tcPr>
            <w:tcW w:w="1167" w:type="pct"/>
          </w:tcPr>
          <w:p w14:paraId="319DC788" w14:textId="77777777" w:rsidR="00497CE3" w:rsidRDefault="00497CE3" w:rsidP="00497CE3">
            <w:r>
              <w:t>Atoposauridae</w:t>
            </w:r>
          </w:p>
        </w:tc>
        <w:tc>
          <w:tcPr>
            <w:tcW w:w="610" w:type="pct"/>
          </w:tcPr>
          <w:p w14:paraId="0CFC6D39" w14:textId="77777777" w:rsidR="00497CE3" w:rsidRDefault="00497CE3" w:rsidP="00497CE3">
            <w:pPr>
              <w:jc w:val="center"/>
            </w:pPr>
            <w:r>
              <w:t>-</w:t>
            </w:r>
          </w:p>
        </w:tc>
        <w:tc>
          <w:tcPr>
            <w:tcW w:w="610" w:type="pct"/>
          </w:tcPr>
          <w:p w14:paraId="4AF6DBC1" w14:textId="77777777" w:rsidR="00497CE3" w:rsidRDefault="00497CE3" w:rsidP="00497CE3">
            <w:pPr>
              <w:jc w:val="center"/>
            </w:pPr>
            <w:r>
              <w:t>-</w:t>
            </w:r>
          </w:p>
        </w:tc>
        <w:tc>
          <w:tcPr>
            <w:tcW w:w="864" w:type="pct"/>
          </w:tcPr>
          <w:p w14:paraId="7B594FDB" w14:textId="77777777" w:rsidR="00497CE3" w:rsidRDefault="00497CE3" w:rsidP="00497CE3">
            <w:pPr>
              <w:jc w:val="center"/>
            </w:pPr>
            <w:r>
              <w:t>-</w:t>
            </w:r>
          </w:p>
        </w:tc>
        <w:tc>
          <w:tcPr>
            <w:tcW w:w="763" w:type="pct"/>
          </w:tcPr>
          <w:p w14:paraId="2C596F1C" w14:textId="77777777" w:rsidR="00497CE3" w:rsidRDefault="00497CE3" w:rsidP="00497CE3">
            <w:pPr>
              <w:jc w:val="center"/>
            </w:pPr>
            <w:r>
              <w:t>1</w:t>
            </w:r>
          </w:p>
        </w:tc>
        <w:tc>
          <w:tcPr>
            <w:tcW w:w="986" w:type="pct"/>
          </w:tcPr>
          <w:p w14:paraId="7E084409" w14:textId="77777777" w:rsidR="00497CE3" w:rsidRDefault="00497CE3" w:rsidP="00497CE3">
            <w:pPr>
              <w:jc w:val="center"/>
            </w:pPr>
            <w:r>
              <w:t>-</w:t>
            </w:r>
          </w:p>
        </w:tc>
      </w:tr>
      <w:tr w:rsidR="00497CE3" w14:paraId="5A0A6667" w14:textId="77777777" w:rsidTr="00497CE3">
        <w:tc>
          <w:tcPr>
            <w:tcW w:w="1167" w:type="pct"/>
          </w:tcPr>
          <w:p w14:paraId="57C474BD" w14:textId="77777777" w:rsidR="00497CE3" w:rsidRDefault="00497CE3" w:rsidP="00497CE3">
            <w:r>
              <w:t>Bernissartiidae</w:t>
            </w:r>
          </w:p>
        </w:tc>
        <w:tc>
          <w:tcPr>
            <w:tcW w:w="610" w:type="pct"/>
          </w:tcPr>
          <w:p w14:paraId="26BF6568" w14:textId="77777777" w:rsidR="00497CE3" w:rsidRDefault="00497CE3" w:rsidP="00497CE3">
            <w:pPr>
              <w:jc w:val="center"/>
            </w:pPr>
            <w:r>
              <w:t>-</w:t>
            </w:r>
          </w:p>
        </w:tc>
        <w:tc>
          <w:tcPr>
            <w:tcW w:w="610" w:type="pct"/>
          </w:tcPr>
          <w:p w14:paraId="17A20C18" w14:textId="77777777" w:rsidR="00497CE3" w:rsidRDefault="00497CE3" w:rsidP="00497CE3">
            <w:pPr>
              <w:jc w:val="center"/>
            </w:pPr>
            <w:r>
              <w:t>-</w:t>
            </w:r>
          </w:p>
        </w:tc>
        <w:tc>
          <w:tcPr>
            <w:tcW w:w="864" w:type="pct"/>
          </w:tcPr>
          <w:p w14:paraId="3EB6A8DF" w14:textId="77777777" w:rsidR="00497CE3" w:rsidRDefault="00497CE3" w:rsidP="00497CE3">
            <w:pPr>
              <w:jc w:val="center"/>
            </w:pPr>
            <w:r>
              <w:t>-</w:t>
            </w:r>
          </w:p>
        </w:tc>
        <w:tc>
          <w:tcPr>
            <w:tcW w:w="763" w:type="pct"/>
          </w:tcPr>
          <w:p w14:paraId="007936AD" w14:textId="77777777" w:rsidR="00497CE3" w:rsidRDefault="00497CE3" w:rsidP="00497CE3">
            <w:pPr>
              <w:jc w:val="center"/>
            </w:pPr>
            <w:r>
              <w:t>1</w:t>
            </w:r>
          </w:p>
        </w:tc>
        <w:tc>
          <w:tcPr>
            <w:tcW w:w="986" w:type="pct"/>
          </w:tcPr>
          <w:p w14:paraId="45333F26" w14:textId="77777777" w:rsidR="00497CE3" w:rsidRDefault="00497CE3" w:rsidP="00497CE3">
            <w:pPr>
              <w:jc w:val="center"/>
            </w:pPr>
            <w:r>
              <w:t>-</w:t>
            </w:r>
          </w:p>
        </w:tc>
      </w:tr>
      <w:tr w:rsidR="00497CE3" w14:paraId="031AB609" w14:textId="77777777" w:rsidTr="00497CE3">
        <w:tc>
          <w:tcPr>
            <w:tcW w:w="1167" w:type="pct"/>
          </w:tcPr>
          <w:p w14:paraId="5C075B4D" w14:textId="77777777" w:rsidR="00497CE3" w:rsidRDefault="00497CE3" w:rsidP="00497CE3">
            <w:r>
              <w:t>Paralligatoridae</w:t>
            </w:r>
          </w:p>
        </w:tc>
        <w:tc>
          <w:tcPr>
            <w:tcW w:w="610" w:type="pct"/>
          </w:tcPr>
          <w:p w14:paraId="214689AB" w14:textId="77777777" w:rsidR="00497CE3" w:rsidRDefault="00497CE3" w:rsidP="00497CE3">
            <w:pPr>
              <w:jc w:val="center"/>
            </w:pPr>
            <w:r>
              <w:t>-</w:t>
            </w:r>
          </w:p>
        </w:tc>
        <w:tc>
          <w:tcPr>
            <w:tcW w:w="610" w:type="pct"/>
          </w:tcPr>
          <w:p w14:paraId="2A1C1FCB" w14:textId="77777777" w:rsidR="00497CE3" w:rsidRDefault="00497CE3" w:rsidP="00497CE3">
            <w:pPr>
              <w:jc w:val="center"/>
            </w:pPr>
            <w:r>
              <w:t>-</w:t>
            </w:r>
          </w:p>
        </w:tc>
        <w:tc>
          <w:tcPr>
            <w:tcW w:w="864" w:type="pct"/>
          </w:tcPr>
          <w:p w14:paraId="13FC6AD7" w14:textId="77777777" w:rsidR="00497CE3" w:rsidRDefault="00497CE3" w:rsidP="00497CE3">
            <w:pPr>
              <w:jc w:val="center"/>
            </w:pPr>
            <w:r>
              <w:t>-</w:t>
            </w:r>
          </w:p>
        </w:tc>
        <w:tc>
          <w:tcPr>
            <w:tcW w:w="763" w:type="pct"/>
          </w:tcPr>
          <w:p w14:paraId="559B8781" w14:textId="77777777" w:rsidR="00497CE3" w:rsidRDefault="00497CE3" w:rsidP="00497CE3">
            <w:pPr>
              <w:jc w:val="center"/>
            </w:pPr>
            <w:r>
              <w:t>2</w:t>
            </w:r>
          </w:p>
        </w:tc>
        <w:tc>
          <w:tcPr>
            <w:tcW w:w="986" w:type="pct"/>
          </w:tcPr>
          <w:p w14:paraId="4AAA520E" w14:textId="77777777" w:rsidR="00497CE3" w:rsidRDefault="00497CE3" w:rsidP="00497CE3">
            <w:pPr>
              <w:jc w:val="center"/>
            </w:pPr>
            <w:r>
              <w:t>-</w:t>
            </w:r>
          </w:p>
        </w:tc>
      </w:tr>
      <w:tr w:rsidR="00497CE3" w14:paraId="31C1AB4C" w14:textId="77777777" w:rsidTr="00497CE3">
        <w:tc>
          <w:tcPr>
            <w:tcW w:w="1167" w:type="pct"/>
          </w:tcPr>
          <w:p w14:paraId="32C62DAB" w14:textId="77777777" w:rsidR="00497CE3" w:rsidRDefault="00497CE3" w:rsidP="00497CE3">
            <w:r>
              <w:t>Hylaeochampsidae</w:t>
            </w:r>
          </w:p>
        </w:tc>
        <w:tc>
          <w:tcPr>
            <w:tcW w:w="610" w:type="pct"/>
          </w:tcPr>
          <w:p w14:paraId="77D2CE04" w14:textId="77777777" w:rsidR="00497CE3" w:rsidRDefault="00497CE3" w:rsidP="00497CE3">
            <w:pPr>
              <w:jc w:val="center"/>
            </w:pPr>
            <w:r>
              <w:t>-</w:t>
            </w:r>
          </w:p>
        </w:tc>
        <w:tc>
          <w:tcPr>
            <w:tcW w:w="610" w:type="pct"/>
          </w:tcPr>
          <w:p w14:paraId="6D365893" w14:textId="77777777" w:rsidR="00497CE3" w:rsidRDefault="00497CE3" w:rsidP="00497CE3">
            <w:pPr>
              <w:jc w:val="center"/>
            </w:pPr>
            <w:r>
              <w:t>-</w:t>
            </w:r>
          </w:p>
        </w:tc>
        <w:tc>
          <w:tcPr>
            <w:tcW w:w="864" w:type="pct"/>
          </w:tcPr>
          <w:p w14:paraId="58F0F99C" w14:textId="77777777" w:rsidR="00497CE3" w:rsidRDefault="00497CE3" w:rsidP="00497CE3">
            <w:pPr>
              <w:jc w:val="center"/>
            </w:pPr>
            <w:r>
              <w:t>-</w:t>
            </w:r>
          </w:p>
        </w:tc>
        <w:tc>
          <w:tcPr>
            <w:tcW w:w="763" w:type="pct"/>
          </w:tcPr>
          <w:p w14:paraId="2FA4B967" w14:textId="77777777" w:rsidR="00497CE3" w:rsidRDefault="00497CE3" w:rsidP="00497CE3">
            <w:pPr>
              <w:jc w:val="center"/>
            </w:pPr>
            <w:r>
              <w:t>1</w:t>
            </w:r>
          </w:p>
        </w:tc>
        <w:tc>
          <w:tcPr>
            <w:tcW w:w="986" w:type="pct"/>
          </w:tcPr>
          <w:p w14:paraId="5D697530" w14:textId="77777777" w:rsidR="00497CE3" w:rsidRDefault="00497CE3" w:rsidP="00497CE3">
            <w:pPr>
              <w:jc w:val="center"/>
            </w:pPr>
            <w:r>
              <w:t>-</w:t>
            </w:r>
          </w:p>
        </w:tc>
      </w:tr>
      <w:tr w:rsidR="00497CE3" w14:paraId="159515C4" w14:textId="77777777" w:rsidTr="00497CE3">
        <w:tc>
          <w:tcPr>
            <w:tcW w:w="1167" w:type="pct"/>
          </w:tcPr>
          <w:p w14:paraId="6DD55BEC" w14:textId="77777777" w:rsidR="00497CE3" w:rsidRDefault="00497CE3" w:rsidP="00497CE3">
            <w:r>
              <w:t>Crown-Crocodylia</w:t>
            </w:r>
          </w:p>
        </w:tc>
        <w:tc>
          <w:tcPr>
            <w:tcW w:w="610" w:type="pct"/>
          </w:tcPr>
          <w:p w14:paraId="2D345A5B" w14:textId="77777777" w:rsidR="00497CE3" w:rsidRDefault="00497CE3" w:rsidP="00497CE3">
            <w:pPr>
              <w:jc w:val="center"/>
            </w:pPr>
            <w:r>
              <w:t>-</w:t>
            </w:r>
          </w:p>
        </w:tc>
        <w:tc>
          <w:tcPr>
            <w:tcW w:w="610" w:type="pct"/>
          </w:tcPr>
          <w:p w14:paraId="4C7B2502" w14:textId="77777777" w:rsidR="00497CE3" w:rsidRDefault="00497CE3" w:rsidP="00497CE3">
            <w:pPr>
              <w:jc w:val="center"/>
            </w:pPr>
            <w:r>
              <w:t>-</w:t>
            </w:r>
          </w:p>
        </w:tc>
        <w:tc>
          <w:tcPr>
            <w:tcW w:w="864" w:type="pct"/>
          </w:tcPr>
          <w:p w14:paraId="2B47904D" w14:textId="77777777" w:rsidR="00497CE3" w:rsidRDefault="00497CE3" w:rsidP="00497CE3">
            <w:pPr>
              <w:jc w:val="center"/>
            </w:pPr>
            <w:r>
              <w:t>-</w:t>
            </w:r>
          </w:p>
        </w:tc>
        <w:tc>
          <w:tcPr>
            <w:tcW w:w="763" w:type="pct"/>
          </w:tcPr>
          <w:p w14:paraId="737793E4" w14:textId="77777777" w:rsidR="00497CE3" w:rsidRDefault="00497CE3" w:rsidP="00497CE3">
            <w:pPr>
              <w:jc w:val="center"/>
            </w:pPr>
            <w:r>
              <w:t>3</w:t>
            </w:r>
          </w:p>
        </w:tc>
        <w:tc>
          <w:tcPr>
            <w:tcW w:w="986" w:type="pct"/>
          </w:tcPr>
          <w:p w14:paraId="4D717B54" w14:textId="77777777" w:rsidR="00497CE3" w:rsidRPr="00040B93" w:rsidRDefault="00497CE3" w:rsidP="00497CE3">
            <w:pPr>
              <w:jc w:val="center"/>
            </w:pPr>
            <w:r>
              <w:t>2</w:t>
            </w:r>
          </w:p>
        </w:tc>
      </w:tr>
      <w:tr w:rsidR="00497CE3" w14:paraId="5C825EB6" w14:textId="77777777" w:rsidTr="00497CE3">
        <w:tc>
          <w:tcPr>
            <w:tcW w:w="1167" w:type="pct"/>
          </w:tcPr>
          <w:p w14:paraId="1370C84A" w14:textId="77777777" w:rsidR="00497CE3" w:rsidRDefault="00497CE3" w:rsidP="00497CE3">
            <w:r>
              <w:t>Goniopholididae</w:t>
            </w:r>
          </w:p>
        </w:tc>
        <w:tc>
          <w:tcPr>
            <w:tcW w:w="610" w:type="pct"/>
          </w:tcPr>
          <w:p w14:paraId="68C06851" w14:textId="77777777" w:rsidR="00497CE3" w:rsidRDefault="00497CE3" w:rsidP="00497CE3">
            <w:pPr>
              <w:jc w:val="center"/>
            </w:pPr>
            <w:r>
              <w:t>-</w:t>
            </w:r>
          </w:p>
        </w:tc>
        <w:tc>
          <w:tcPr>
            <w:tcW w:w="610" w:type="pct"/>
          </w:tcPr>
          <w:p w14:paraId="386ED66D" w14:textId="77777777" w:rsidR="00497CE3" w:rsidRDefault="00497CE3" w:rsidP="00497CE3">
            <w:pPr>
              <w:jc w:val="center"/>
            </w:pPr>
            <w:r>
              <w:t>-</w:t>
            </w:r>
          </w:p>
        </w:tc>
        <w:tc>
          <w:tcPr>
            <w:tcW w:w="864" w:type="pct"/>
          </w:tcPr>
          <w:p w14:paraId="0F24D5C3" w14:textId="77777777" w:rsidR="00497CE3" w:rsidRDefault="00497CE3" w:rsidP="00497CE3">
            <w:pPr>
              <w:jc w:val="center"/>
            </w:pPr>
            <w:r>
              <w:t>-</w:t>
            </w:r>
          </w:p>
        </w:tc>
        <w:tc>
          <w:tcPr>
            <w:tcW w:w="763" w:type="pct"/>
          </w:tcPr>
          <w:p w14:paraId="13295C3B" w14:textId="77777777" w:rsidR="00497CE3" w:rsidRDefault="00497CE3" w:rsidP="00497CE3">
            <w:pPr>
              <w:jc w:val="center"/>
            </w:pPr>
            <w:r>
              <w:t>4</w:t>
            </w:r>
          </w:p>
        </w:tc>
        <w:tc>
          <w:tcPr>
            <w:tcW w:w="986" w:type="pct"/>
          </w:tcPr>
          <w:p w14:paraId="34C3F45D" w14:textId="77777777" w:rsidR="00497CE3" w:rsidRPr="00040B93" w:rsidRDefault="00497CE3" w:rsidP="00497CE3">
            <w:pPr>
              <w:jc w:val="center"/>
            </w:pPr>
            <w:r>
              <w:t>2</w:t>
            </w:r>
          </w:p>
        </w:tc>
      </w:tr>
      <w:tr w:rsidR="00497CE3" w14:paraId="4A947009" w14:textId="77777777" w:rsidTr="00497CE3">
        <w:tc>
          <w:tcPr>
            <w:tcW w:w="1167" w:type="pct"/>
          </w:tcPr>
          <w:p w14:paraId="10785E89" w14:textId="77777777" w:rsidR="00497CE3" w:rsidRDefault="00497CE3" w:rsidP="00497CE3">
            <w:r>
              <w:t>Pholidosauridae</w:t>
            </w:r>
          </w:p>
        </w:tc>
        <w:tc>
          <w:tcPr>
            <w:tcW w:w="610" w:type="pct"/>
          </w:tcPr>
          <w:p w14:paraId="74CF6F41" w14:textId="77777777" w:rsidR="00497CE3" w:rsidRDefault="00497CE3" w:rsidP="00497CE3">
            <w:pPr>
              <w:jc w:val="center"/>
            </w:pPr>
            <w:r>
              <w:t>3</w:t>
            </w:r>
          </w:p>
        </w:tc>
        <w:tc>
          <w:tcPr>
            <w:tcW w:w="610" w:type="pct"/>
          </w:tcPr>
          <w:p w14:paraId="54EC0760" w14:textId="77777777" w:rsidR="00497CE3" w:rsidRDefault="00497CE3" w:rsidP="00497CE3">
            <w:pPr>
              <w:jc w:val="center"/>
            </w:pPr>
            <w:r>
              <w:t>3</w:t>
            </w:r>
          </w:p>
        </w:tc>
        <w:tc>
          <w:tcPr>
            <w:tcW w:w="864" w:type="pct"/>
          </w:tcPr>
          <w:p w14:paraId="7DE3C3F7" w14:textId="77777777" w:rsidR="00497CE3" w:rsidRDefault="00497CE3" w:rsidP="00497CE3">
            <w:pPr>
              <w:jc w:val="center"/>
            </w:pPr>
            <w:r>
              <w:t>3</w:t>
            </w:r>
          </w:p>
        </w:tc>
        <w:tc>
          <w:tcPr>
            <w:tcW w:w="763" w:type="pct"/>
          </w:tcPr>
          <w:p w14:paraId="25E1CF9F" w14:textId="77777777" w:rsidR="00497CE3" w:rsidRDefault="00497CE3" w:rsidP="00497CE3">
            <w:pPr>
              <w:jc w:val="center"/>
            </w:pPr>
            <w:r>
              <w:t>5</w:t>
            </w:r>
          </w:p>
        </w:tc>
        <w:tc>
          <w:tcPr>
            <w:tcW w:w="986" w:type="pct"/>
          </w:tcPr>
          <w:p w14:paraId="62E6C806" w14:textId="77777777" w:rsidR="00497CE3" w:rsidRPr="00040B93" w:rsidRDefault="00497CE3" w:rsidP="00497CE3">
            <w:pPr>
              <w:jc w:val="center"/>
            </w:pPr>
            <w:r>
              <w:t>8</w:t>
            </w:r>
          </w:p>
        </w:tc>
      </w:tr>
      <w:tr w:rsidR="00497CE3" w14:paraId="73466775" w14:textId="77777777" w:rsidTr="00497CE3">
        <w:tc>
          <w:tcPr>
            <w:tcW w:w="1167" w:type="pct"/>
          </w:tcPr>
          <w:p w14:paraId="3B9AEBA7" w14:textId="77777777" w:rsidR="00497CE3" w:rsidRDefault="00497CE3" w:rsidP="00497CE3">
            <w:r>
              <w:t>Basal to dyrosaurids</w:t>
            </w:r>
          </w:p>
        </w:tc>
        <w:tc>
          <w:tcPr>
            <w:tcW w:w="610" w:type="pct"/>
          </w:tcPr>
          <w:p w14:paraId="414F2C1A" w14:textId="77777777" w:rsidR="00497CE3" w:rsidRDefault="00497CE3" w:rsidP="00497CE3">
            <w:pPr>
              <w:jc w:val="center"/>
            </w:pPr>
            <w:r>
              <w:t>-</w:t>
            </w:r>
          </w:p>
        </w:tc>
        <w:tc>
          <w:tcPr>
            <w:tcW w:w="610" w:type="pct"/>
          </w:tcPr>
          <w:p w14:paraId="155BB166" w14:textId="77777777" w:rsidR="00497CE3" w:rsidRDefault="00497CE3" w:rsidP="00497CE3">
            <w:pPr>
              <w:jc w:val="center"/>
            </w:pPr>
            <w:r>
              <w:t>-</w:t>
            </w:r>
          </w:p>
        </w:tc>
        <w:tc>
          <w:tcPr>
            <w:tcW w:w="864" w:type="pct"/>
          </w:tcPr>
          <w:p w14:paraId="79B14242" w14:textId="77777777" w:rsidR="00497CE3" w:rsidRDefault="00497CE3" w:rsidP="00497CE3">
            <w:pPr>
              <w:jc w:val="center"/>
            </w:pPr>
            <w:r>
              <w:t>-</w:t>
            </w:r>
          </w:p>
        </w:tc>
        <w:tc>
          <w:tcPr>
            <w:tcW w:w="763" w:type="pct"/>
          </w:tcPr>
          <w:p w14:paraId="2047E4A0" w14:textId="77777777" w:rsidR="00497CE3" w:rsidRDefault="00497CE3" w:rsidP="00497CE3">
            <w:pPr>
              <w:jc w:val="center"/>
            </w:pPr>
            <w:r>
              <w:t>-</w:t>
            </w:r>
          </w:p>
        </w:tc>
        <w:tc>
          <w:tcPr>
            <w:tcW w:w="986" w:type="pct"/>
          </w:tcPr>
          <w:p w14:paraId="011A9157" w14:textId="77777777" w:rsidR="00497CE3" w:rsidRDefault="00497CE3" w:rsidP="00497CE3">
            <w:pPr>
              <w:jc w:val="center"/>
            </w:pPr>
            <w:r>
              <w:t>3</w:t>
            </w:r>
          </w:p>
        </w:tc>
      </w:tr>
      <w:tr w:rsidR="00497CE3" w14:paraId="0A5A11B1" w14:textId="77777777" w:rsidTr="00497CE3">
        <w:tc>
          <w:tcPr>
            <w:tcW w:w="1167" w:type="pct"/>
            <w:tcBorders>
              <w:bottom w:val="single" w:sz="4" w:space="0" w:color="auto"/>
            </w:tcBorders>
          </w:tcPr>
          <w:p w14:paraId="6EFBDDD3" w14:textId="77777777" w:rsidR="00497CE3" w:rsidRDefault="00497CE3" w:rsidP="00497CE3">
            <w:r>
              <w:t>Dyrosauridae</w:t>
            </w:r>
          </w:p>
        </w:tc>
        <w:tc>
          <w:tcPr>
            <w:tcW w:w="610" w:type="pct"/>
            <w:tcBorders>
              <w:bottom w:val="single" w:sz="4" w:space="0" w:color="auto"/>
            </w:tcBorders>
          </w:tcPr>
          <w:p w14:paraId="4F79E9CD" w14:textId="77777777" w:rsidR="00497CE3" w:rsidRDefault="00497CE3" w:rsidP="00497CE3">
            <w:pPr>
              <w:jc w:val="center"/>
            </w:pPr>
            <w:r>
              <w:t>13</w:t>
            </w:r>
          </w:p>
        </w:tc>
        <w:tc>
          <w:tcPr>
            <w:tcW w:w="610" w:type="pct"/>
            <w:tcBorders>
              <w:bottom w:val="single" w:sz="4" w:space="0" w:color="auto"/>
            </w:tcBorders>
          </w:tcPr>
          <w:p w14:paraId="130B4AF2" w14:textId="77777777" w:rsidR="00497CE3" w:rsidRDefault="00497CE3" w:rsidP="00497CE3">
            <w:pPr>
              <w:jc w:val="center"/>
            </w:pPr>
            <w:r>
              <w:t>14</w:t>
            </w:r>
          </w:p>
        </w:tc>
        <w:tc>
          <w:tcPr>
            <w:tcW w:w="864" w:type="pct"/>
            <w:tcBorders>
              <w:bottom w:val="single" w:sz="4" w:space="0" w:color="auto"/>
            </w:tcBorders>
          </w:tcPr>
          <w:p w14:paraId="3346E7DA" w14:textId="77777777" w:rsidR="00497CE3" w:rsidRDefault="00497CE3" w:rsidP="00497CE3">
            <w:pPr>
              <w:jc w:val="center"/>
            </w:pPr>
            <w:r>
              <w:t>15</w:t>
            </w:r>
          </w:p>
        </w:tc>
        <w:tc>
          <w:tcPr>
            <w:tcW w:w="763" w:type="pct"/>
            <w:tcBorders>
              <w:bottom w:val="single" w:sz="4" w:space="0" w:color="auto"/>
            </w:tcBorders>
          </w:tcPr>
          <w:p w14:paraId="42396A0A" w14:textId="77777777" w:rsidR="00497CE3" w:rsidRDefault="00497CE3" w:rsidP="00497CE3">
            <w:pPr>
              <w:jc w:val="center"/>
            </w:pPr>
            <w:r>
              <w:t>4</w:t>
            </w:r>
          </w:p>
        </w:tc>
        <w:tc>
          <w:tcPr>
            <w:tcW w:w="986" w:type="pct"/>
          </w:tcPr>
          <w:p w14:paraId="2FA5E54A" w14:textId="77777777" w:rsidR="00497CE3" w:rsidRPr="00040B93" w:rsidRDefault="00497CE3" w:rsidP="00497CE3">
            <w:pPr>
              <w:jc w:val="center"/>
            </w:pPr>
            <w:r>
              <w:t>15</w:t>
            </w:r>
          </w:p>
        </w:tc>
      </w:tr>
      <w:tr w:rsidR="00497CE3" w:rsidRPr="00DF6A85" w14:paraId="42227B0A" w14:textId="77777777" w:rsidTr="00497CE3">
        <w:tc>
          <w:tcPr>
            <w:tcW w:w="1167" w:type="pct"/>
            <w:tcBorders>
              <w:right w:val="nil"/>
            </w:tcBorders>
            <w:shd w:val="clear" w:color="auto" w:fill="F2F2F2" w:themeFill="background1" w:themeFillShade="F2"/>
          </w:tcPr>
          <w:p w14:paraId="3C65638E" w14:textId="77777777" w:rsidR="00497CE3" w:rsidRPr="00466CF0" w:rsidRDefault="00497CE3" w:rsidP="00497CE3">
            <w:pPr>
              <w:rPr>
                <w:sz w:val="12"/>
              </w:rPr>
            </w:pPr>
          </w:p>
        </w:tc>
        <w:tc>
          <w:tcPr>
            <w:tcW w:w="610" w:type="pct"/>
            <w:tcBorders>
              <w:left w:val="nil"/>
              <w:right w:val="nil"/>
            </w:tcBorders>
            <w:shd w:val="clear" w:color="auto" w:fill="F2F2F2" w:themeFill="background1" w:themeFillShade="F2"/>
          </w:tcPr>
          <w:p w14:paraId="18A91787" w14:textId="77777777" w:rsidR="00497CE3" w:rsidRPr="00466CF0" w:rsidRDefault="00497CE3" w:rsidP="00497CE3">
            <w:pPr>
              <w:jc w:val="center"/>
              <w:rPr>
                <w:sz w:val="12"/>
              </w:rPr>
            </w:pPr>
          </w:p>
        </w:tc>
        <w:tc>
          <w:tcPr>
            <w:tcW w:w="610" w:type="pct"/>
            <w:tcBorders>
              <w:left w:val="nil"/>
              <w:right w:val="nil"/>
            </w:tcBorders>
            <w:shd w:val="clear" w:color="auto" w:fill="F2F2F2" w:themeFill="background1" w:themeFillShade="F2"/>
          </w:tcPr>
          <w:p w14:paraId="29F860D3" w14:textId="77777777" w:rsidR="00497CE3" w:rsidRPr="00466CF0" w:rsidRDefault="00497CE3" w:rsidP="00497CE3">
            <w:pPr>
              <w:jc w:val="center"/>
              <w:rPr>
                <w:sz w:val="12"/>
              </w:rPr>
            </w:pPr>
          </w:p>
        </w:tc>
        <w:tc>
          <w:tcPr>
            <w:tcW w:w="864" w:type="pct"/>
            <w:tcBorders>
              <w:left w:val="nil"/>
              <w:right w:val="nil"/>
            </w:tcBorders>
            <w:shd w:val="clear" w:color="auto" w:fill="F2F2F2" w:themeFill="background1" w:themeFillShade="F2"/>
          </w:tcPr>
          <w:p w14:paraId="38A73CC5" w14:textId="77777777" w:rsidR="00497CE3" w:rsidRPr="00466CF0" w:rsidRDefault="00497CE3" w:rsidP="00497CE3">
            <w:pPr>
              <w:jc w:val="center"/>
              <w:rPr>
                <w:sz w:val="12"/>
              </w:rPr>
            </w:pPr>
          </w:p>
        </w:tc>
        <w:tc>
          <w:tcPr>
            <w:tcW w:w="763" w:type="pct"/>
            <w:tcBorders>
              <w:left w:val="nil"/>
              <w:right w:val="nil"/>
            </w:tcBorders>
            <w:shd w:val="clear" w:color="auto" w:fill="F2F2F2" w:themeFill="background1" w:themeFillShade="F2"/>
          </w:tcPr>
          <w:p w14:paraId="02D31B4D" w14:textId="77777777" w:rsidR="00497CE3" w:rsidRPr="00466CF0" w:rsidRDefault="00497CE3" w:rsidP="00497CE3">
            <w:pPr>
              <w:jc w:val="center"/>
              <w:rPr>
                <w:sz w:val="12"/>
              </w:rPr>
            </w:pPr>
          </w:p>
        </w:tc>
        <w:tc>
          <w:tcPr>
            <w:tcW w:w="986" w:type="pct"/>
            <w:tcBorders>
              <w:left w:val="nil"/>
            </w:tcBorders>
            <w:shd w:val="clear" w:color="auto" w:fill="F2F2F2" w:themeFill="background1" w:themeFillShade="F2"/>
          </w:tcPr>
          <w:p w14:paraId="77CB0241" w14:textId="77777777" w:rsidR="00497CE3" w:rsidRPr="00466CF0" w:rsidRDefault="00497CE3" w:rsidP="00497CE3">
            <w:pPr>
              <w:jc w:val="center"/>
              <w:rPr>
                <w:sz w:val="12"/>
              </w:rPr>
            </w:pPr>
          </w:p>
        </w:tc>
      </w:tr>
      <w:tr w:rsidR="00497CE3" w14:paraId="7BD6BBD0" w14:textId="77777777" w:rsidTr="00497CE3">
        <w:tc>
          <w:tcPr>
            <w:tcW w:w="1167" w:type="pct"/>
            <w:tcBorders>
              <w:bottom w:val="single" w:sz="4" w:space="0" w:color="auto"/>
            </w:tcBorders>
          </w:tcPr>
          <w:p w14:paraId="3FD7101D" w14:textId="77777777" w:rsidR="00497CE3" w:rsidRPr="00DF6A85" w:rsidRDefault="00497CE3" w:rsidP="00497CE3">
            <w:pPr>
              <w:rPr>
                <w:b/>
              </w:rPr>
            </w:pPr>
            <w:r w:rsidRPr="00DF6A85">
              <w:rPr>
                <w:b/>
              </w:rPr>
              <w:t>Total number</w:t>
            </w:r>
            <w:r>
              <w:rPr>
                <w:b/>
              </w:rPr>
              <w:t xml:space="preserve"> of OTUs</w:t>
            </w:r>
          </w:p>
        </w:tc>
        <w:tc>
          <w:tcPr>
            <w:tcW w:w="610" w:type="pct"/>
            <w:tcBorders>
              <w:bottom w:val="single" w:sz="4" w:space="0" w:color="auto"/>
            </w:tcBorders>
          </w:tcPr>
          <w:p w14:paraId="38920E70" w14:textId="77777777" w:rsidR="00497CE3" w:rsidRPr="00DF6A85" w:rsidRDefault="00497CE3" w:rsidP="00497CE3">
            <w:pPr>
              <w:jc w:val="center"/>
              <w:rPr>
                <w:b/>
              </w:rPr>
            </w:pPr>
            <w:r>
              <w:rPr>
                <w:b/>
              </w:rPr>
              <w:t>16</w:t>
            </w:r>
          </w:p>
        </w:tc>
        <w:tc>
          <w:tcPr>
            <w:tcW w:w="610" w:type="pct"/>
            <w:tcBorders>
              <w:bottom w:val="single" w:sz="4" w:space="0" w:color="auto"/>
            </w:tcBorders>
          </w:tcPr>
          <w:p w14:paraId="5640B9B9" w14:textId="77777777" w:rsidR="00497CE3" w:rsidRPr="00DF6A85" w:rsidRDefault="00497CE3" w:rsidP="00497CE3">
            <w:pPr>
              <w:jc w:val="center"/>
              <w:rPr>
                <w:b/>
              </w:rPr>
            </w:pPr>
            <w:r>
              <w:rPr>
                <w:b/>
              </w:rPr>
              <w:t>17</w:t>
            </w:r>
          </w:p>
        </w:tc>
        <w:tc>
          <w:tcPr>
            <w:tcW w:w="864" w:type="pct"/>
            <w:tcBorders>
              <w:bottom w:val="single" w:sz="4" w:space="0" w:color="auto"/>
            </w:tcBorders>
          </w:tcPr>
          <w:p w14:paraId="0C21E2A6" w14:textId="77777777" w:rsidR="00497CE3" w:rsidRPr="00DF6A85" w:rsidRDefault="00497CE3" w:rsidP="00497CE3">
            <w:pPr>
              <w:jc w:val="center"/>
              <w:rPr>
                <w:b/>
              </w:rPr>
            </w:pPr>
            <w:r w:rsidRPr="00DF6A85">
              <w:rPr>
                <w:b/>
              </w:rPr>
              <w:t>18</w:t>
            </w:r>
          </w:p>
        </w:tc>
        <w:tc>
          <w:tcPr>
            <w:tcW w:w="763" w:type="pct"/>
            <w:tcBorders>
              <w:bottom w:val="single" w:sz="4" w:space="0" w:color="auto"/>
            </w:tcBorders>
          </w:tcPr>
          <w:p w14:paraId="0B00B820" w14:textId="77777777" w:rsidR="00497CE3" w:rsidRPr="00DF6A85" w:rsidRDefault="00497CE3" w:rsidP="00497CE3">
            <w:pPr>
              <w:jc w:val="center"/>
              <w:rPr>
                <w:b/>
              </w:rPr>
            </w:pPr>
            <w:r>
              <w:rPr>
                <w:b/>
              </w:rPr>
              <w:t>49</w:t>
            </w:r>
          </w:p>
        </w:tc>
        <w:tc>
          <w:tcPr>
            <w:tcW w:w="986" w:type="pct"/>
          </w:tcPr>
          <w:p w14:paraId="35A4517B" w14:textId="77777777" w:rsidR="00497CE3" w:rsidRPr="00DF6A85" w:rsidRDefault="00497CE3" w:rsidP="00497CE3">
            <w:pPr>
              <w:jc w:val="center"/>
              <w:rPr>
                <w:b/>
              </w:rPr>
            </w:pPr>
            <w:r>
              <w:rPr>
                <w:b/>
              </w:rPr>
              <w:t>37</w:t>
            </w:r>
          </w:p>
        </w:tc>
      </w:tr>
      <w:tr w:rsidR="00497CE3" w14:paraId="12B059E8" w14:textId="77777777" w:rsidTr="00497CE3">
        <w:tc>
          <w:tcPr>
            <w:tcW w:w="1167" w:type="pct"/>
            <w:tcBorders>
              <w:right w:val="nil"/>
            </w:tcBorders>
            <w:shd w:val="clear" w:color="auto" w:fill="F2F2F2" w:themeFill="background1" w:themeFillShade="F2"/>
          </w:tcPr>
          <w:p w14:paraId="77F01C7C" w14:textId="77777777" w:rsidR="00497CE3" w:rsidRPr="00466CF0" w:rsidRDefault="00497CE3" w:rsidP="00497CE3">
            <w:pPr>
              <w:rPr>
                <w:sz w:val="12"/>
              </w:rPr>
            </w:pPr>
          </w:p>
        </w:tc>
        <w:tc>
          <w:tcPr>
            <w:tcW w:w="610" w:type="pct"/>
            <w:tcBorders>
              <w:left w:val="nil"/>
              <w:right w:val="nil"/>
            </w:tcBorders>
            <w:shd w:val="clear" w:color="auto" w:fill="F2F2F2" w:themeFill="background1" w:themeFillShade="F2"/>
          </w:tcPr>
          <w:p w14:paraId="5181C00D" w14:textId="77777777" w:rsidR="00497CE3" w:rsidRPr="00466CF0" w:rsidRDefault="00497CE3" w:rsidP="00497CE3">
            <w:pPr>
              <w:jc w:val="center"/>
              <w:rPr>
                <w:sz w:val="12"/>
              </w:rPr>
            </w:pPr>
          </w:p>
        </w:tc>
        <w:tc>
          <w:tcPr>
            <w:tcW w:w="610" w:type="pct"/>
            <w:tcBorders>
              <w:left w:val="nil"/>
              <w:right w:val="nil"/>
            </w:tcBorders>
            <w:shd w:val="clear" w:color="auto" w:fill="F2F2F2" w:themeFill="background1" w:themeFillShade="F2"/>
          </w:tcPr>
          <w:p w14:paraId="79B18810" w14:textId="77777777" w:rsidR="00497CE3" w:rsidRPr="00466CF0" w:rsidRDefault="00497CE3" w:rsidP="00497CE3">
            <w:pPr>
              <w:jc w:val="center"/>
              <w:rPr>
                <w:sz w:val="12"/>
              </w:rPr>
            </w:pPr>
          </w:p>
        </w:tc>
        <w:tc>
          <w:tcPr>
            <w:tcW w:w="864" w:type="pct"/>
            <w:tcBorders>
              <w:left w:val="nil"/>
              <w:right w:val="nil"/>
            </w:tcBorders>
            <w:shd w:val="clear" w:color="auto" w:fill="F2F2F2" w:themeFill="background1" w:themeFillShade="F2"/>
          </w:tcPr>
          <w:p w14:paraId="2ABDC9BF" w14:textId="77777777" w:rsidR="00497CE3" w:rsidRPr="00466CF0" w:rsidRDefault="00497CE3" w:rsidP="00497CE3">
            <w:pPr>
              <w:jc w:val="center"/>
              <w:rPr>
                <w:sz w:val="12"/>
              </w:rPr>
            </w:pPr>
          </w:p>
        </w:tc>
        <w:tc>
          <w:tcPr>
            <w:tcW w:w="763" w:type="pct"/>
            <w:tcBorders>
              <w:left w:val="nil"/>
              <w:right w:val="nil"/>
            </w:tcBorders>
            <w:shd w:val="clear" w:color="auto" w:fill="F2F2F2" w:themeFill="background1" w:themeFillShade="F2"/>
          </w:tcPr>
          <w:p w14:paraId="4DF168A5" w14:textId="77777777" w:rsidR="00497CE3" w:rsidRPr="00466CF0" w:rsidRDefault="00497CE3" w:rsidP="00497CE3">
            <w:pPr>
              <w:jc w:val="center"/>
              <w:rPr>
                <w:sz w:val="12"/>
              </w:rPr>
            </w:pPr>
          </w:p>
        </w:tc>
        <w:tc>
          <w:tcPr>
            <w:tcW w:w="986" w:type="pct"/>
            <w:tcBorders>
              <w:left w:val="nil"/>
            </w:tcBorders>
            <w:shd w:val="clear" w:color="auto" w:fill="F2F2F2" w:themeFill="background1" w:themeFillShade="F2"/>
          </w:tcPr>
          <w:p w14:paraId="41486DFD" w14:textId="77777777" w:rsidR="00497CE3" w:rsidRPr="00466CF0" w:rsidRDefault="00497CE3" w:rsidP="00497CE3">
            <w:pPr>
              <w:jc w:val="center"/>
              <w:rPr>
                <w:sz w:val="12"/>
              </w:rPr>
            </w:pPr>
          </w:p>
        </w:tc>
      </w:tr>
      <w:tr w:rsidR="00497CE3" w14:paraId="38F9C7F8" w14:textId="77777777" w:rsidTr="00497CE3">
        <w:tc>
          <w:tcPr>
            <w:tcW w:w="1167" w:type="pct"/>
            <w:tcBorders>
              <w:bottom w:val="single" w:sz="4" w:space="0" w:color="auto"/>
            </w:tcBorders>
          </w:tcPr>
          <w:p w14:paraId="1275C857" w14:textId="77777777" w:rsidR="00497CE3" w:rsidRPr="00DF6A85" w:rsidRDefault="00497CE3" w:rsidP="00497CE3">
            <w:pPr>
              <w:rPr>
                <w:b/>
              </w:rPr>
            </w:pPr>
            <w:r>
              <w:rPr>
                <w:b/>
              </w:rPr>
              <w:t>Total character number</w:t>
            </w:r>
          </w:p>
        </w:tc>
        <w:tc>
          <w:tcPr>
            <w:tcW w:w="610" w:type="pct"/>
            <w:tcBorders>
              <w:bottom w:val="single" w:sz="4" w:space="0" w:color="auto"/>
            </w:tcBorders>
          </w:tcPr>
          <w:p w14:paraId="4B9367C7" w14:textId="77777777" w:rsidR="00497CE3" w:rsidRPr="00DF6A85" w:rsidRDefault="00497CE3" w:rsidP="00497CE3">
            <w:pPr>
              <w:jc w:val="center"/>
              <w:rPr>
                <w:b/>
              </w:rPr>
            </w:pPr>
            <w:r w:rsidRPr="00DF6A85">
              <w:rPr>
                <w:b/>
              </w:rPr>
              <w:t>82</w:t>
            </w:r>
          </w:p>
        </w:tc>
        <w:tc>
          <w:tcPr>
            <w:tcW w:w="610" w:type="pct"/>
            <w:tcBorders>
              <w:bottom w:val="single" w:sz="4" w:space="0" w:color="auto"/>
            </w:tcBorders>
          </w:tcPr>
          <w:p w14:paraId="710123A4" w14:textId="77777777" w:rsidR="00497CE3" w:rsidRPr="00DF6A85" w:rsidRDefault="00497CE3" w:rsidP="00497CE3">
            <w:pPr>
              <w:jc w:val="center"/>
              <w:rPr>
                <w:b/>
              </w:rPr>
            </w:pPr>
            <w:r w:rsidRPr="00DF6A85">
              <w:rPr>
                <w:b/>
              </w:rPr>
              <w:t>82</w:t>
            </w:r>
          </w:p>
        </w:tc>
        <w:tc>
          <w:tcPr>
            <w:tcW w:w="864" w:type="pct"/>
            <w:tcBorders>
              <w:bottom w:val="single" w:sz="4" w:space="0" w:color="auto"/>
            </w:tcBorders>
          </w:tcPr>
          <w:p w14:paraId="53C14F6D" w14:textId="77777777" w:rsidR="00497CE3" w:rsidRPr="00DF6A85" w:rsidRDefault="00497CE3" w:rsidP="00497CE3">
            <w:pPr>
              <w:jc w:val="center"/>
              <w:rPr>
                <w:b/>
              </w:rPr>
            </w:pPr>
            <w:r w:rsidRPr="00DF6A85">
              <w:rPr>
                <w:b/>
              </w:rPr>
              <w:t>82</w:t>
            </w:r>
          </w:p>
        </w:tc>
        <w:tc>
          <w:tcPr>
            <w:tcW w:w="763" w:type="pct"/>
            <w:tcBorders>
              <w:bottom w:val="single" w:sz="4" w:space="0" w:color="auto"/>
            </w:tcBorders>
          </w:tcPr>
          <w:p w14:paraId="3A10E463" w14:textId="77777777" w:rsidR="00497CE3" w:rsidRDefault="00497CE3" w:rsidP="00497CE3">
            <w:pPr>
              <w:jc w:val="center"/>
              <w:rPr>
                <w:b/>
              </w:rPr>
            </w:pPr>
            <w:r w:rsidRPr="00261EC1">
              <w:rPr>
                <w:b/>
              </w:rPr>
              <w:t>234</w:t>
            </w:r>
          </w:p>
        </w:tc>
        <w:tc>
          <w:tcPr>
            <w:tcW w:w="986" w:type="pct"/>
          </w:tcPr>
          <w:p w14:paraId="351670FF" w14:textId="77777777" w:rsidR="00497CE3" w:rsidRPr="00040B93" w:rsidRDefault="00497CE3" w:rsidP="00497CE3">
            <w:pPr>
              <w:jc w:val="center"/>
              <w:rPr>
                <w:b/>
                <w:highlight w:val="yellow"/>
              </w:rPr>
            </w:pPr>
            <w:r w:rsidRPr="00040B93">
              <w:rPr>
                <w:b/>
              </w:rPr>
              <w:t>120</w:t>
            </w:r>
          </w:p>
        </w:tc>
      </w:tr>
      <w:tr w:rsidR="00497CE3" w14:paraId="31F7E977" w14:textId="77777777" w:rsidTr="00497CE3">
        <w:tc>
          <w:tcPr>
            <w:tcW w:w="1167" w:type="pct"/>
            <w:tcBorders>
              <w:right w:val="nil"/>
            </w:tcBorders>
            <w:shd w:val="clear" w:color="auto" w:fill="F2F2F2" w:themeFill="background1" w:themeFillShade="F2"/>
          </w:tcPr>
          <w:p w14:paraId="61794D0F" w14:textId="77777777" w:rsidR="00497CE3" w:rsidRPr="00466CF0" w:rsidRDefault="00497CE3" w:rsidP="00497CE3">
            <w:pPr>
              <w:rPr>
                <w:b/>
                <w:sz w:val="12"/>
              </w:rPr>
            </w:pPr>
          </w:p>
        </w:tc>
        <w:tc>
          <w:tcPr>
            <w:tcW w:w="610" w:type="pct"/>
            <w:tcBorders>
              <w:left w:val="nil"/>
              <w:right w:val="nil"/>
            </w:tcBorders>
            <w:shd w:val="clear" w:color="auto" w:fill="F2F2F2" w:themeFill="background1" w:themeFillShade="F2"/>
          </w:tcPr>
          <w:p w14:paraId="058E1BBC" w14:textId="77777777" w:rsidR="00497CE3" w:rsidRPr="00466CF0" w:rsidRDefault="00497CE3" w:rsidP="00497CE3">
            <w:pPr>
              <w:jc w:val="center"/>
              <w:rPr>
                <w:b/>
                <w:sz w:val="12"/>
              </w:rPr>
            </w:pPr>
          </w:p>
        </w:tc>
        <w:tc>
          <w:tcPr>
            <w:tcW w:w="610" w:type="pct"/>
            <w:tcBorders>
              <w:left w:val="nil"/>
              <w:right w:val="nil"/>
            </w:tcBorders>
            <w:shd w:val="clear" w:color="auto" w:fill="F2F2F2" w:themeFill="background1" w:themeFillShade="F2"/>
          </w:tcPr>
          <w:p w14:paraId="37CAA243" w14:textId="77777777" w:rsidR="00497CE3" w:rsidRPr="00466CF0" w:rsidRDefault="00497CE3" w:rsidP="00497CE3">
            <w:pPr>
              <w:jc w:val="center"/>
              <w:rPr>
                <w:b/>
                <w:sz w:val="12"/>
              </w:rPr>
            </w:pPr>
          </w:p>
        </w:tc>
        <w:tc>
          <w:tcPr>
            <w:tcW w:w="864" w:type="pct"/>
            <w:tcBorders>
              <w:left w:val="nil"/>
              <w:right w:val="nil"/>
            </w:tcBorders>
            <w:shd w:val="clear" w:color="auto" w:fill="F2F2F2" w:themeFill="background1" w:themeFillShade="F2"/>
          </w:tcPr>
          <w:p w14:paraId="73BFA932" w14:textId="77777777" w:rsidR="00497CE3" w:rsidRPr="00466CF0" w:rsidRDefault="00497CE3" w:rsidP="00497CE3">
            <w:pPr>
              <w:jc w:val="center"/>
              <w:rPr>
                <w:b/>
                <w:sz w:val="12"/>
              </w:rPr>
            </w:pPr>
          </w:p>
        </w:tc>
        <w:tc>
          <w:tcPr>
            <w:tcW w:w="763" w:type="pct"/>
            <w:tcBorders>
              <w:left w:val="nil"/>
              <w:right w:val="nil"/>
            </w:tcBorders>
            <w:shd w:val="clear" w:color="auto" w:fill="F2F2F2" w:themeFill="background1" w:themeFillShade="F2"/>
          </w:tcPr>
          <w:p w14:paraId="1ACAE099" w14:textId="77777777" w:rsidR="00497CE3" w:rsidRPr="00466CF0" w:rsidRDefault="00497CE3" w:rsidP="00497CE3">
            <w:pPr>
              <w:jc w:val="center"/>
              <w:rPr>
                <w:b/>
                <w:sz w:val="12"/>
              </w:rPr>
            </w:pPr>
          </w:p>
        </w:tc>
        <w:tc>
          <w:tcPr>
            <w:tcW w:w="986" w:type="pct"/>
            <w:tcBorders>
              <w:left w:val="nil"/>
            </w:tcBorders>
            <w:shd w:val="clear" w:color="auto" w:fill="F2F2F2" w:themeFill="background1" w:themeFillShade="F2"/>
          </w:tcPr>
          <w:p w14:paraId="741703C1" w14:textId="77777777" w:rsidR="00497CE3" w:rsidRPr="00466CF0" w:rsidRDefault="00497CE3" w:rsidP="00497CE3">
            <w:pPr>
              <w:jc w:val="center"/>
              <w:rPr>
                <w:b/>
                <w:sz w:val="12"/>
              </w:rPr>
            </w:pPr>
          </w:p>
        </w:tc>
      </w:tr>
      <w:tr w:rsidR="00497CE3" w14:paraId="6BDAC7C2" w14:textId="77777777" w:rsidTr="00497CE3">
        <w:tc>
          <w:tcPr>
            <w:tcW w:w="1167" w:type="pct"/>
          </w:tcPr>
          <w:p w14:paraId="0EC458DE" w14:textId="77777777" w:rsidR="00497CE3" w:rsidRPr="0059011A" w:rsidRDefault="00497CE3" w:rsidP="00497CE3">
            <w:pPr>
              <w:rPr>
                <w:b/>
                <w:i/>
              </w:rPr>
            </w:pPr>
            <w:r w:rsidRPr="0059011A">
              <w:rPr>
                <w:b/>
                <w:i/>
              </w:rPr>
              <w:t>OTU # / Characters #</w:t>
            </w:r>
          </w:p>
        </w:tc>
        <w:tc>
          <w:tcPr>
            <w:tcW w:w="610" w:type="pct"/>
          </w:tcPr>
          <w:p w14:paraId="1D91FFF0" w14:textId="77777777" w:rsidR="00497CE3" w:rsidRPr="0059011A" w:rsidRDefault="00497CE3" w:rsidP="00497CE3">
            <w:pPr>
              <w:jc w:val="center"/>
              <w:rPr>
                <w:b/>
                <w:i/>
              </w:rPr>
            </w:pPr>
            <w:r w:rsidRPr="0059011A">
              <w:rPr>
                <w:b/>
                <w:i/>
              </w:rPr>
              <w:t>5.125</w:t>
            </w:r>
            <w:r>
              <w:rPr>
                <w:b/>
                <w:i/>
              </w:rPr>
              <w:t xml:space="preserve"> : 1</w:t>
            </w:r>
          </w:p>
        </w:tc>
        <w:tc>
          <w:tcPr>
            <w:tcW w:w="610" w:type="pct"/>
          </w:tcPr>
          <w:p w14:paraId="05145203" w14:textId="77777777" w:rsidR="00497CE3" w:rsidRPr="0059011A" w:rsidRDefault="00497CE3" w:rsidP="00497CE3">
            <w:pPr>
              <w:jc w:val="center"/>
              <w:rPr>
                <w:b/>
                <w:i/>
              </w:rPr>
            </w:pPr>
            <w:r w:rsidRPr="0059011A">
              <w:rPr>
                <w:b/>
                <w:i/>
              </w:rPr>
              <w:t>4.824</w:t>
            </w:r>
            <w:r>
              <w:rPr>
                <w:b/>
                <w:i/>
              </w:rPr>
              <w:t xml:space="preserve"> : 1</w:t>
            </w:r>
          </w:p>
        </w:tc>
        <w:tc>
          <w:tcPr>
            <w:tcW w:w="864" w:type="pct"/>
          </w:tcPr>
          <w:p w14:paraId="779AFCED" w14:textId="77777777" w:rsidR="00497CE3" w:rsidRPr="0059011A" w:rsidRDefault="00497CE3" w:rsidP="00497CE3">
            <w:pPr>
              <w:jc w:val="center"/>
              <w:rPr>
                <w:b/>
                <w:i/>
              </w:rPr>
            </w:pPr>
            <w:r w:rsidRPr="0059011A">
              <w:rPr>
                <w:b/>
                <w:i/>
              </w:rPr>
              <w:t>4.556</w:t>
            </w:r>
            <w:r>
              <w:rPr>
                <w:b/>
                <w:i/>
              </w:rPr>
              <w:t xml:space="preserve"> : 1</w:t>
            </w:r>
          </w:p>
        </w:tc>
        <w:tc>
          <w:tcPr>
            <w:tcW w:w="763" w:type="pct"/>
          </w:tcPr>
          <w:p w14:paraId="0FE60703" w14:textId="77777777" w:rsidR="00497CE3" w:rsidRPr="0059011A" w:rsidRDefault="00497CE3" w:rsidP="00497CE3">
            <w:pPr>
              <w:jc w:val="center"/>
              <w:rPr>
                <w:b/>
                <w:i/>
              </w:rPr>
            </w:pPr>
            <w:r w:rsidRPr="0059011A">
              <w:rPr>
                <w:b/>
                <w:i/>
              </w:rPr>
              <w:t>4.776</w:t>
            </w:r>
            <w:r>
              <w:rPr>
                <w:b/>
                <w:i/>
              </w:rPr>
              <w:t xml:space="preserve"> : 1</w:t>
            </w:r>
          </w:p>
        </w:tc>
        <w:tc>
          <w:tcPr>
            <w:tcW w:w="986" w:type="pct"/>
          </w:tcPr>
          <w:p w14:paraId="06A7BBC2" w14:textId="77777777" w:rsidR="00497CE3" w:rsidRPr="0059011A" w:rsidRDefault="00497CE3" w:rsidP="00497CE3">
            <w:pPr>
              <w:jc w:val="center"/>
              <w:rPr>
                <w:b/>
                <w:i/>
              </w:rPr>
            </w:pPr>
            <w:r w:rsidRPr="0059011A">
              <w:rPr>
                <w:b/>
                <w:i/>
              </w:rPr>
              <w:t>3.243</w:t>
            </w:r>
            <w:r>
              <w:rPr>
                <w:b/>
                <w:i/>
              </w:rPr>
              <w:t xml:space="preserve"> : 1</w:t>
            </w:r>
          </w:p>
        </w:tc>
      </w:tr>
    </w:tbl>
    <w:p w14:paraId="432E45DA" w14:textId="77777777" w:rsidR="00497CE3" w:rsidRDefault="00497CE3" w:rsidP="00497CE3">
      <w:r>
        <w:br w:type="page"/>
      </w:r>
    </w:p>
    <w:p w14:paraId="613A9715" w14:textId="282E849F" w:rsidR="00497CE3" w:rsidRDefault="00497CE3" w:rsidP="00497CE3">
      <w:r w:rsidRPr="00214A9F">
        <w:rPr>
          <w:b/>
          <w:i/>
        </w:rPr>
        <w:t>Table (S</w:t>
      </w:r>
      <w:r>
        <w:rPr>
          <w:b/>
          <w:i/>
        </w:rPr>
        <w:t>3</w:t>
      </w:r>
      <w:r w:rsidRPr="00214A9F">
        <w:rPr>
          <w:b/>
          <w:i/>
        </w:rPr>
        <w:t>.</w:t>
      </w:r>
      <w:r>
        <w:rPr>
          <w:b/>
          <w:i/>
        </w:rPr>
        <w:t>5</w:t>
      </w:r>
      <w:r w:rsidRPr="00214A9F">
        <w:rPr>
          <w:b/>
          <w:i/>
        </w:rPr>
        <w:t>).</w:t>
      </w:r>
      <w:r>
        <w:t xml:space="preserve"> Break-down of the OTUs per clade from the major different iterations of the Young dataset, ultimately merged into the Hastings and Young (H+Y) matrix. Young </w:t>
      </w:r>
      <w:r w:rsidRPr="008D7E55">
        <w:rPr>
          <w:i/>
        </w:rPr>
        <w:t>et al</w:t>
      </w:r>
      <w:r>
        <w:t xml:space="preserve">. (2016) utilised two datasets: 1) first iteration of a merged dataset, an updated version of the matrix of Hastings </w:t>
      </w:r>
      <w:r w:rsidRPr="00040B93">
        <w:rPr>
          <w:i/>
        </w:rPr>
        <w:t>et al</w:t>
      </w:r>
      <w:r>
        <w:t>. (2015) with characters used by Young; and 2) an updated version of Young (2014) matrix. Note, the taxonomic break-down is based on the current topology, which for some OTUs will differ from the position they had in earlier less complete analyses.</w:t>
      </w:r>
      <w:r w:rsidRPr="003405B3">
        <w:rPr>
          <w:b/>
        </w:rPr>
        <w:t xml:space="preserve"> </w:t>
      </w:r>
      <w:r w:rsidRPr="001A1E90">
        <w:rPr>
          <w:b/>
        </w:rPr>
        <w:t>*</w:t>
      </w:r>
      <w:r>
        <w:t xml:space="preserve"> note, the analysis for Young </w:t>
      </w:r>
      <w:r w:rsidRPr="001A1E90">
        <w:rPr>
          <w:i/>
        </w:rPr>
        <w:t>et al</w:t>
      </w:r>
      <w:r>
        <w:t xml:space="preserve">. (2013a) is actually a precursor to the Young </w:t>
      </w:r>
      <w:r w:rsidRPr="001A1E90">
        <w:rPr>
          <w:i/>
        </w:rPr>
        <w:t>et al</w:t>
      </w:r>
      <w:r>
        <w:t>. (2012) paper, which ended up being published first.</w:t>
      </w:r>
    </w:p>
    <w:tbl>
      <w:tblPr>
        <w:tblStyle w:val="TableGrid"/>
        <w:tblW w:w="5000" w:type="pct"/>
        <w:tblInd w:w="0" w:type="dxa"/>
        <w:tblLook w:val="04A0" w:firstRow="1" w:lastRow="0" w:firstColumn="1" w:lastColumn="0" w:noHBand="0" w:noVBand="1"/>
      </w:tblPr>
      <w:tblGrid>
        <w:gridCol w:w="2972"/>
        <w:gridCol w:w="1276"/>
        <w:gridCol w:w="1417"/>
        <w:gridCol w:w="1702"/>
        <w:gridCol w:w="1275"/>
        <w:gridCol w:w="1275"/>
        <w:gridCol w:w="1135"/>
        <w:gridCol w:w="1554"/>
        <w:gridCol w:w="1342"/>
      </w:tblGrid>
      <w:tr w:rsidR="00497CE3" w14:paraId="093D8ECB" w14:textId="77777777" w:rsidTr="00497CE3">
        <w:tc>
          <w:tcPr>
            <w:tcW w:w="1065" w:type="pct"/>
          </w:tcPr>
          <w:p w14:paraId="1FC2E722" w14:textId="77777777" w:rsidR="00497CE3" w:rsidRPr="003405B3" w:rsidRDefault="00497CE3" w:rsidP="00497CE3">
            <w:pPr>
              <w:rPr>
                <w:sz w:val="22"/>
                <w:szCs w:val="22"/>
              </w:rPr>
            </w:pPr>
            <w:r w:rsidRPr="003405B3">
              <w:rPr>
                <w:sz w:val="22"/>
                <w:szCs w:val="22"/>
              </w:rPr>
              <w:t>Clades of OTUs</w:t>
            </w:r>
          </w:p>
        </w:tc>
        <w:tc>
          <w:tcPr>
            <w:tcW w:w="457" w:type="pct"/>
          </w:tcPr>
          <w:p w14:paraId="1329C96A" w14:textId="77777777" w:rsidR="00497CE3" w:rsidRPr="003405B3" w:rsidRDefault="00497CE3" w:rsidP="00497CE3">
            <w:pPr>
              <w:jc w:val="center"/>
              <w:rPr>
                <w:sz w:val="22"/>
                <w:szCs w:val="22"/>
              </w:rPr>
            </w:pPr>
            <w:r w:rsidRPr="003405B3">
              <w:rPr>
                <w:sz w:val="22"/>
                <w:szCs w:val="22"/>
              </w:rPr>
              <w:t>Young</w:t>
            </w:r>
          </w:p>
          <w:p w14:paraId="4520949D" w14:textId="77777777" w:rsidR="00497CE3" w:rsidRPr="003405B3" w:rsidRDefault="00497CE3" w:rsidP="00497CE3">
            <w:pPr>
              <w:jc w:val="center"/>
              <w:rPr>
                <w:sz w:val="22"/>
                <w:szCs w:val="22"/>
              </w:rPr>
            </w:pPr>
            <w:r w:rsidRPr="003405B3">
              <w:rPr>
                <w:sz w:val="22"/>
                <w:szCs w:val="22"/>
              </w:rPr>
              <w:t>(2006)</w:t>
            </w:r>
          </w:p>
        </w:tc>
        <w:tc>
          <w:tcPr>
            <w:tcW w:w="508" w:type="pct"/>
          </w:tcPr>
          <w:p w14:paraId="0DF23237" w14:textId="77777777" w:rsidR="00497CE3" w:rsidRPr="003405B3" w:rsidRDefault="00497CE3" w:rsidP="00497CE3">
            <w:pPr>
              <w:jc w:val="center"/>
              <w:rPr>
                <w:sz w:val="22"/>
                <w:szCs w:val="22"/>
              </w:rPr>
            </w:pPr>
            <w:r w:rsidRPr="003405B3">
              <w:rPr>
                <w:sz w:val="22"/>
                <w:szCs w:val="22"/>
              </w:rPr>
              <w:t>Wilkinson</w:t>
            </w:r>
          </w:p>
          <w:p w14:paraId="1F7D2007" w14:textId="77777777" w:rsidR="00497CE3" w:rsidRPr="003405B3" w:rsidRDefault="00497CE3" w:rsidP="00497CE3">
            <w:pPr>
              <w:jc w:val="center"/>
              <w:rPr>
                <w:sz w:val="22"/>
                <w:szCs w:val="22"/>
              </w:rPr>
            </w:pPr>
            <w:r w:rsidRPr="003405B3">
              <w:rPr>
                <w:i/>
                <w:sz w:val="22"/>
                <w:szCs w:val="22"/>
              </w:rPr>
              <w:t>et al</w:t>
            </w:r>
            <w:r w:rsidRPr="003405B3">
              <w:rPr>
                <w:sz w:val="22"/>
                <w:szCs w:val="22"/>
              </w:rPr>
              <w:t>. (2008)</w:t>
            </w:r>
          </w:p>
        </w:tc>
        <w:tc>
          <w:tcPr>
            <w:tcW w:w="610" w:type="pct"/>
          </w:tcPr>
          <w:p w14:paraId="1E42814A" w14:textId="77777777" w:rsidR="00497CE3" w:rsidRPr="003405B3" w:rsidRDefault="00497CE3" w:rsidP="00497CE3">
            <w:pPr>
              <w:jc w:val="center"/>
              <w:rPr>
                <w:sz w:val="22"/>
                <w:szCs w:val="22"/>
              </w:rPr>
            </w:pPr>
            <w:r w:rsidRPr="003405B3">
              <w:rPr>
                <w:sz w:val="22"/>
                <w:szCs w:val="22"/>
              </w:rPr>
              <w:t>Young (2009) / Young &amp;</w:t>
            </w:r>
          </w:p>
          <w:p w14:paraId="7866B810" w14:textId="77777777" w:rsidR="00497CE3" w:rsidRPr="003405B3" w:rsidRDefault="00497CE3" w:rsidP="00497CE3">
            <w:pPr>
              <w:jc w:val="center"/>
              <w:rPr>
                <w:sz w:val="22"/>
                <w:szCs w:val="22"/>
              </w:rPr>
            </w:pPr>
            <w:r w:rsidRPr="003405B3">
              <w:rPr>
                <w:sz w:val="22"/>
                <w:szCs w:val="22"/>
              </w:rPr>
              <w:t>Andrade (2009)</w:t>
            </w:r>
          </w:p>
        </w:tc>
        <w:tc>
          <w:tcPr>
            <w:tcW w:w="457" w:type="pct"/>
          </w:tcPr>
          <w:p w14:paraId="17B04942" w14:textId="77777777" w:rsidR="00497CE3" w:rsidRPr="003405B3" w:rsidRDefault="00497CE3" w:rsidP="00497CE3">
            <w:pPr>
              <w:jc w:val="center"/>
              <w:rPr>
                <w:sz w:val="22"/>
                <w:szCs w:val="22"/>
              </w:rPr>
            </w:pPr>
            <w:r w:rsidRPr="003405B3">
              <w:rPr>
                <w:sz w:val="22"/>
                <w:szCs w:val="22"/>
              </w:rPr>
              <w:t xml:space="preserve">Young </w:t>
            </w:r>
            <w:r w:rsidRPr="003405B3">
              <w:rPr>
                <w:i/>
                <w:sz w:val="22"/>
                <w:szCs w:val="22"/>
              </w:rPr>
              <w:t>et al</w:t>
            </w:r>
            <w:r w:rsidRPr="003405B3">
              <w:rPr>
                <w:sz w:val="22"/>
                <w:szCs w:val="22"/>
              </w:rPr>
              <w:t>. (2011)</w:t>
            </w:r>
          </w:p>
        </w:tc>
        <w:tc>
          <w:tcPr>
            <w:tcW w:w="457" w:type="pct"/>
          </w:tcPr>
          <w:p w14:paraId="60F71DCD" w14:textId="77777777" w:rsidR="00497CE3" w:rsidRPr="003405B3" w:rsidRDefault="00497CE3" w:rsidP="00497CE3">
            <w:pPr>
              <w:jc w:val="center"/>
              <w:rPr>
                <w:sz w:val="22"/>
                <w:szCs w:val="22"/>
              </w:rPr>
            </w:pPr>
            <w:r w:rsidRPr="003405B3">
              <w:rPr>
                <w:sz w:val="22"/>
                <w:szCs w:val="22"/>
              </w:rPr>
              <w:t xml:space="preserve">Young </w:t>
            </w:r>
            <w:r w:rsidRPr="003405B3">
              <w:rPr>
                <w:i/>
                <w:sz w:val="22"/>
                <w:szCs w:val="22"/>
              </w:rPr>
              <w:t>et al</w:t>
            </w:r>
            <w:r w:rsidRPr="003405B3">
              <w:rPr>
                <w:sz w:val="22"/>
                <w:szCs w:val="22"/>
              </w:rPr>
              <w:t xml:space="preserve">. (2013a) </w:t>
            </w:r>
            <w:r w:rsidRPr="003405B3">
              <w:rPr>
                <w:b/>
                <w:sz w:val="22"/>
                <w:szCs w:val="22"/>
              </w:rPr>
              <w:t>*</w:t>
            </w:r>
          </w:p>
        </w:tc>
        <w:tc>
          <w:tcPr>
            <w:tcW w:w="407" w:type="pct"/>
          </w:tcPr>
          <w:p w14:paraId="033F1D7D" w14:textId="77777777" w:rsidR="00497CE3" w:rsidRPr="003405B3" w:rsidRDefault="00497CE3" w:rsidP="00497CE3">
            <w:pPr>
              <w:jc w:val="center"/>
              <w:rPr>
                <w:i/>
                <w:sz w:val="22"/>
                <w:szCs w:val="22"/>
              </w:rPr>
            </w:pPr>
            <w:r w:rsidRPr="003405B3">
              <w:rPr>
                <w:sz w:val="22"/>
                <w:szCs w:val="22"/>
              </w:rPr>
              <w:t xml:space="preserve">Young </w:t>
            </w:r>
            <w:r w:rsidRPr="003405B3">
              <w:rPr>
                <w:i/>
                <w:sz w:val="22"/>
                <w:szCs w:val="22"/>
              </w:rPr>
              <w:t>et</w:t>
            </w:r>
          </w:p>
          <w:p w14:paraId="275AF9FC" w14:textId="77777777" w:rsidR="00497CE3" w:rsidRPr="003405B3" w:rsidRDefault="00497CE3" w:rsidP="00497CE3">
            <w:pPr>
              <w:jc w:val="center"/>
              <w:rPr>
                <w:sz w:val="22"/>
                <w:szCs w:val="22"/>
              </w:rPr>
            </w:pPr>
            <w:r w:rsidRPr="003405B3">
              <w:rPr>
                <w:i/>
                <w:sz w:val="22"/>
                <w:szCs w:val="22"/>
              </w:rPr>
              <w:t>al</w:t>
            </w:r>
            <w:r w:rsidRPr="003405B3">
              <w:rPr>
                <w:sz w:val="22"/>
                <w:szCs w:val="22"/>
              </w:rPr>
              <w:t>. (2012)</w:t>
            </w:r>
          </w:p>
        </w:tc>
        <w:tc>
          <w:tcPr>
            <w:tcW w:w="557" w:type="pct"/>
          </w:tcPr>
          <w:p w14:paraId="68350D84" w14:textId="77777777" w:rsidR="00497CE3" w:rsidRPr="003405B3" w:rsidRDefault="00497CE3" w:rsidP="00497CE3">
            <w:pPr>
              <w:jc w:val="center"/>
              <w:rPr>
                <w:sz w:val="22"/>
                <w:szCs w:val="22"/>
              </w:rPr>
            </w:pPr>
            <w:r w:rsidRPr="003405B3">
              <w:rPr>
                <w:sz w:val="22"/>
                <w:szCs w:val="22"/>
              </w:rPr>
              <w:t xml:space="preserve">Young </w:t>
            </w:r>
            <w:r w:rsidRPr="003405B3">
              <w:rPr>
                <w:i/>
                <w:sz w:val="22"/>
                <w:szCs w:val="22"/>
              </w:rPr>
              <w:t>et al</w:t>
            </w:r>
            <w:r w:rsidRPr="003405B3">
              <w:rPr>
                <w:sz w:val="22"/>
                <w:szCs w:val="22"/>
              </w:rPr>
              <w:t>. (2013) / Young (2014)</w:t>
            </w:r>
          </w:p>
        </w:tc>
        <w:tc>
          <w:tcPr>
            <w:tcW w:w="481" w:type="pct"/>
          </w:tcPr>
          <w:p w14:paraId="5654710B" w14:textId="77777777" w:rsidR="00497CE3" w:rsidRPr="003405B3" w:rsidRDefault="00497CE3" w:rsidP="00497CE3">
            <w:pPr>
              <w:jc w:val="center"/>
              <w:rPr>
                <w:i/>
                <w:sz w:val="22"/>
                <w:szCs w:val="22"/>
              </w:rPr>
            </w:pPr>
            <w:r w:rsidRPr="003405B3">
              <w:rPr>
                <w:sz w:val="22"/>
                <w:szCs w:val="22"/>
              </w:rPr>
              <w:t xml:space="preserve">Young </w:t>
            </w:r>
            <w:r w:rsidRPr="003405B3">
              <w:rPr>
                <w:i/>
                <w:sz w:val="22"/>
                <w:szCs w:val="22"/>
              </w:rPr>
              <w:t>et</w:t>
            </w:r>
          </w:p>
          <w:p w14:paraId="0081A903" w14:textId="77777777" w:rsidR="00497CE3" w:rsidRPr="003405B3" w:rsidRDefault="00497CE3" w:rsidP="00497CE3">
            <w:pPr>
              <w:jc w:val="center"/>
              <w:rPr>
                <w:sz w:val="22"/>
                <w:szCs w:val="22"/>
              </w:rPr>
            </w:pPr>
            <w:r w:rsidRPr="003405B3">
              <w:rPr>
                <w:i/>
                <w:sz w:val="22"/>
                <w:szCs w:val="22"/>
              </w:rPr>
              <w:t>al</w:t>
            </w:r>
            <w:r w:rsidRPr="003405B3">
              <w:rPr>
                <w:sz w:val="22"/>
                <w:szCs w:val="22"/>
              </w:rPr>
              <w:t>. (2016, ds2-Young)</w:t>
            </w:r>
          </w:p>
        </w:tc>
      </w:tr>
      <w:tr w:rsidR="00497CE3" w14:paraId="0EA4618D" w14:textId="77777777" w:rsidTr="00497CE3">
        <w:tc>
          <w:tcPr>
            <w:tcW w:w="1065" w:type="pct"/>
          </w:tcPr>
          <w:p w14:paraId="199BA5CA" w14:textId="77777777" w:rsidR="00497CE3" w:rsidRPr="000D23CC" w:rsidRDefault="00497CE3" w:rsidP="00497CE3">
            <w:pPr>
              <w:rPr>
                <w:sz w:val="22"/>
              </w:rPr>
            </w:pPr>
            <w:r w:rsidRPr="000D23CC">
              <w:rPr>
                <w:sz w:val="22"/>
              </w:rPr>
              <w:t>Non-crocodylomorph outgroup</w:t>
            </w:r>
          </w:p>
        </w:tc>
        <w:tc>
          <w:tcPr>
            <w:tcW w:w="457" w:type="pct"/>
          </w:tcPr>
          <w:p w14:paraId="03340387" w14:textId="77777777" w:rsidR="00497CE3" w:rsidRDefault="00497CE3" w:rsidP="00497CE3">
            <w:pPr>
              <w:jc w:val="center"/>
            </w:pPr>
            <w:r>
              <w:t>-</w:t>
            </w:r>
          </w:p>
        </w:tc>
        <w:tc>
          <w:tcPr>
            <w:tcW w:w="508" w:type="pct"/>
          </w:tcPr>
          <w:p w14:paraId="7D77F24C" w14:textId="77777777" w:rsidR="00497CE3" w:rsidRDefault="00497CE3" w:rsidP="00497CE3">
            <w:pPr>
              <w:jc w:val="center"/>
            </w:pPr>
            <w:r>
              <w:t>-</w:t>
            </w:r>
          </w:p>
        </w:tc>
        <w:tc>
          <w:tcPr>
            <w:tcW w:w="610" w:type="pct"/>
          </w:tcPr>
          <w:p w14:paraId="7D974229" w14:textId="77777777" w:rsidR="00497CE3" w:rsidRDefault="00497CE3" w:rsidP="00497CE3">
            <w:pPr>
              <w:jc w:val="center"/>
            </w:pPr>
            <w:r>
              <w:t>1</w:t>
            </w:r>
          </w:p>
        </w:tc>
        <w:tc>
          <w:tcPr>
            <w:tcW w:w="457" w:type="pct"/>
          </w:tcPr>
          <w:p w14:paraId="2ED21176" w14:textId="77777777" w:rsidR="00497CE3" w:rsidRDefault="00497CE3" w:rsidP="00497CE3">
            <w:pPr>
              <w:jc w:val="center"/>
            </w:pPr>
            <w:r>
              <w:t>1</w:t>
            </w:r>
          </w:p>
        </w:tc>
        <w:tc>
          <w:tcPr>
            <w:tcW w:w="457" w:type="pct"/>
          </w:tcPr>
          <w:p w14:paraId="4BF4AB5E" w14:textId="77777777" w:rsidR="00497CE3" w:rsidRDefault="00497CE3" w:rsidP="00497CE3">
            <w:pPr>
              <w:jc w:val="center"/>
            </w:pPr>
            <w:r>
              <w:t>1</w:t>
            </w:r>
          </w:p>
        </w:tc>
        <w:tc>
          <w:tcPr>
            <w:tcW w:w="407" w:type="pct"/>
          </w:tcPr>
          <w:p w14:paraId="045F0447" w14:textId="77777777" w:rsidR="00497CE3" w:rsidRDefault="00497CE3" w:rsidP="00497CE3">
            <w:pPr>
              <w:jc w:val="center"/>
            </w:pPr>
            <w:r>
              <w:t>1</w:t>
            </w:r>
          </w:p>
        </w:tc>
        <w:tc>
          <w:tcPr>
            <w:tcW w:w="557" w:type="pct"/>
          </w:tcPr>
          <w:p w14:paraId="4C33C413" w14:textId="77777777" w:rsidR="00497CE3" w:rsidRDefault="00497CE3" w:rsidP="00497CE3">
            <w:pPr>
              <w:jc w:val="center"/>
            </w:pPr>
            <w:r>
              <w:t>1</w:t>
            </w:r>
          </w:p>
        </w:tc>
        <w:tc>
          <w:tcPr>
            <w:tcW w:w="481" w:type="pct"/>
          </w:tcPr>
          <w:p w14:paraId="78F5F426" w14:textId="77777777" w:rsidR="00497CE3" w:rsidRDefault="00497CE3" w:rsidP="00497CE3">
            <w:pPr>
              <w:jc w:val="center"/>
            </w:pPr>
            <w:r>
              <w:t>1</w:t>
            </w:r>
          </w:p>
        </w:tc>
      </w:tr>
      <w:tr w:rsidR="00497CE3" w14:paraId="139DCF15" w14:textId="77777777" w:rsidTr="00497CE3">
        <w:tc>
          <w:tcPr>
            <w:tcW w:w="1065" w:type="pct"/>
          </w:tcPr>
          <w:p w14:paraId="533F088E" w14:textId="77777777" w:rsidR="00497CE3" w:rsidRPr="000D23CC" w:rsidRDefault="00497CE3" w:rsidP="00497CE3">
            <w:pPr>
              <w:rPr>
                <w:sz w:val="22"/>
              </w:rPr>
            </w:pPr>
            <w:r w:rsidRPr="000D23CC">
              <w:rPr>
                <w:sz w:val="22"/>
              </w:rPr>
              <w:t>‘Sphenosuchia’ s. l.</w:t>
            </w:r>
          </w:p>
        </w:tc>
        <w:tc>
          <w:tcPr>
            <w:tcW w:w="457" w:type="pct"/>
          </w:tcPr>
          <w:p w14:paraId="3438217A" w14:textId="77777777" w:rsidR="00497CE3" w:rsidRDefault="00497CE3" w:rsidP="00497CE3">
            <w:pPr>
              <w:jc w:val="center"/>
            </w:pPr>
            <w:r>
              <w:t>-</w:t>
            </w:r>
          </w:p>
        </w:tc>
        <w:tc>
          <w:tcPr>
            <w:tcW w:w="508" w:type="pct"/>
          </w:tcPr>
          <w:p w14:paraId="686922C1" w14:textId="77777777" w:rsidR="00497CE3" w:rsidRDefault="00497CE3" w:rsidP="00497CE3">
            <w:pPr>
              <w:jc w:val="center"/>
            </w:pPr>
            <w:r>
              <w:t>2</w:t>
            </w:r>
          </w:p>
        </w:tc>
        <w:tc>
          <w:tcPr>
            <w:tcW w:w="610" w:type="pct"/>
          </w:tcPr>
          <w:p w14:paraId="2467335C" w14:textId="77777777" w:rsidR="00497CE3" w:rsidRDefault="00497CE3" w:rsidP="00497CE3">
            <w:pPr>
              <w:jc w:val="center"/>
            </w:pPr>
            <w:r>
              <w:t>3</w:t>
            </w:r>
          </w:p>
        </w:tc>
        <w:tc>
          <w:tcPr>
            <w:tcW w:w="457" w:type="pct"/>
          </w:tcPr>
          <w:p w14:paraId="262A23D2" w14:textId="77777777" w:rsidR="00497CE3" w:rsidRDefault="00497CE3" w:rsidP="00497CE3">
            <w:pPr>
              <w:jc w:val="center"/>
            </w:pPr>
            <w:r>
              <w:t>1</w:t>
            </w:r>
          </w:p>
        </w:tc>
        <w:tc>
          <w:tcPr>
            <w:tcW w:w="457" w:type="pct"/>
          </w:tcPr>
          <w:p w14:paraId="39ACE922" w14:textId="77777777" w:rsidR="00497CE3" w:rsidRDefault="00497CE3" w:rsidP="00497CE3">
            <w:pPr>
              <w:jc w:val="center"/>
            </w:pPr>
            <w:r>
              <w:t>1</w:t>
            </w:r>
          </w:p>
        </w:tc>
        <w:tc>
          <w:tcPr>
            <w:tcW w:w="407" w:type="pct"/>
          </w:tcPr>
          <w:p w14:paraId="39789FE2" w14:textId="77777777" w:rsidR="00497CE3" w:rsidRDefault="00497CE3" w:rsidP="00497CE3">
            <w:pPr>
              <w:jc w:val="center"/>
            </w:pPr>
            <w:r>
              <w:t>3</w:t>
            </w:r>
          </w:p>
        </w:tc>
        <w:tc>
          <w:tcPr>
            <w:tcW w:w="557" w:type="pct"/>
          </w:tcPr>
          <w:p w14:paraId="639A7578" w14:textId="77777777" w:rsidR="00497CE3" w:rsidRDefault="00497CE3" w:rsidP="00497CE3">
            <w:pPr>
              <w:jc w:val="center"/>
            </w:pPr>
            <w:r>
              <w:t>3</w:t>
            </w:r>
          </w:p>
        </w:tc>
        <w:tc>
          <w:tcPr>
            <w:tcW w:w="481" w:type="pct"/>
          </w:tcPr>
          <w:p w14:paraId="37996AAA" w14:textId="77777777" w:rsidR="00497CE3" w:rsidRDefault="00497CE3" w:rsidP="00497CE3">
            <w:pPr>
              <w:jc w:val="center"/>
            </w:pPr>
            <w:r>
              <w:t>4</w:t>
            </w:r>
          </w:p>
        </w:tc>
      </w:tr>
      <w:tr w:rsidR="00497CE3" w14:paraId="1984E222" w14:textId="77777777" w:rsidTr="00497CE3">
        <w:tc>
          <w:tcPr>
            <w:tcW w:w="1065" w:type="pct"/>
          </w:tcPr>
          <w:p w14:paraId="281E0B82" w14:textId="77777777" w:rsidR="00497CE3" w:rsidRPr="000D23CC" w:rsidRDefault="00497CE3" w:rsidP="00497CE3">
            <w:pPr>
              <w:rPr>
                <w:sz w:val="22"/>
              </w:rPr>
            </w:pPr>
            <w:r w:rsidRPr="000D23CC">
              <w:rPr>
                <w:sz w:val="22"/>
              </w:rPr>
              <w:t>Basal crocodyliforms</w:t>
            </w:r>
          </w:p>
        </w:tc>
        <w:tc>
          <w:tcPr>
            <w:tcW w:w="457" w:type="pct"/>
          </w:tcPr>
          <w:p w14:paraId="23AC3A84" w14:textId="77777777" w:rsidR="00497CE3" w:rsidRPr="00C4011C" w:rsidRDefault="00497CE3" w:rsidP="00497CE3">
            <w:pPr>
              <w:jc w:val="center"/>
            </w:pPr>
            <w:r>
              <w:t>1</w:t>
            </w:r>
          </w:p>
        </w:tc>
        <w:tc>
          <w:tcPr>
            <w:tcW w:w="508" w:type="pct"/>
          </w:tcPr>
          <w:p w14:paraId="214DADF3" w14:textId="77777777" w:rsidR="00497CE3" w:rsidRPr="00C4011C" w:rsidRDefault="00497CE3" w:rsidP="00497CE3">
            <w:pPr>
              <w:jc w:val="center"/>
            </w:pPr>
            <w:r>
              <w:t>1</w:t>
            </w:r>
          </w:p>
        </w:tc>
        <w:tc>
          <w:tcPr>
            <w:tcW w:w="610" w:type="pct"/>
          </w:tcPr>
          <w:p w14:paraId="3C170E82" w14:textId="77777777" w:rsidR="00497CE3" w:rsidRPr="00C4011C" w:rsidRDefault="00497CE3" w:rsidP="00497CE3">
            <w:pPr>
              <w:jc w:val="center"/>
            </w:pPr>
            <w:r>
              <w:t>1</w:t>
            </w:r>
          </w:p>
        </w:tc>
        <w:tc>
          <w:tcPr>
            <w:tcW w:w="457" w:type="pct"/>
          </w:tcPr>
          <w:p w14:paraId="5B9452CA" w14:textId="77777777" w:rsidR="00497CE3" w:rsidRDefault="00497CE3" w:rsidP="00497CE3">
            <w:pPr>
              <w:jc w:val="center"/>
            </w:pPr>
            <w:r>
              <w:t>1</w:t>
            </w:r>
          </w:p>
        </w:tc>
        <w:tc>
          <w:tcPr>
            <w:tcW w:w="457" w:type="pct"/>
          </w:tcPr>
          <w:p w14:paraId="6438E6BF" w14:textId="77777777" w:rsidR="00497CE3" w:rsidRDefault="00497CE3" w:rsidP="00497CE3">
            <w:pPr>
              <w:jc w:val="center"/>
            </w:pPr>
            <w:r>
              <w:t>1</w:t>
            </w:r>
          </w:p>
        </w:tc>
        <w:tc>
          <w:tcPr>
            <w:tcW w:w="407" w:type="pct"/>
          </w:tcPr>
          <w:p w14:paraId="75F925A5" w14:textId="77777777" w:rsidR="00497CE3" w:rsidRPr="00C4011C" w:rsidRDefault="00497CE3" w:rsidP="00497CE3">
            <w:pPr>
              <w:jc w:val="center"/>
            </w:pPr>
            <w:r>
              <w:t>1</w:t>
            </w:r>
          </w:p>
        </w:tc>
        <w:tc>
          <w:tcPr>
            <w:tcW w:w="557" w:type="pct"/>
          </w:tcPr>
          <w:p w14:paraId="7226193C" w14:textId="77777777" w:rsidR="00497CE3" w:rsidRDefault="00497CE3" w:rsidP="00497CE3">
            <w:pPr>
              <w:jc w:val="center"/>
            </w:pPr>
            <w:r>
              <w:t>1</w:t>
            </w:r>
          </w:p>
        </w:tc>
        <w:tc>
          <w:tcPr>
            <w:tcW w:w="481" w:type="pct"/>
          </w:tcPr>
          <w:p w14:paraId="3AA2FB06" w14:textId="77777777" w:rsidR="00497CE3" w:rsidRPr="00C4011C" w:rsidRDefault="00497CE3" w:rsidP="00497CE3">
            <w:pPr>
              <w:jc w:val="center"/>
            </w:pPr>
            <w:r>
              <w:t>1</w:t>
            </w:r>
          </w:p>
        </w:tc>
      </w:tr>
      <w:tr w:rsidR="00497CE3" w14:paraId="2A8345FC" w14:textId="77777777" w:rsidTr="00497CE3">
        <w:tc>
          <w:tcPr>
            <w:tcW w:w="1065" w:type="pct"/>
          </w:tcPr>
          <w:p w14:paraId="19E3FABC" w14:textId="77777777" w:rsidR="00497CE3" w:rsidRPr="000D23CC" w:rsidRDefault="00497CE3" w:rsidP="00497CE3">
            <w:pPr>
              <w:rPr>
                <w:sz w:val="22"/>
              </w:rPr>
            </w:pPr>
            <w:r w:rsidRPr="000D23CC">
              <w:rPr>
                <w:sz w:val="22"/>
              </w:rPr>
              <w:t>Notosuchia s. l.</w:t>
            </w:r>
          </w:p>
        </w:tc>
        <w:tc>
          <w:tcPr>
            <w:tcW w:w="457" w:type="pct"/>
          </w:tcPr>
          <w:p w14:paraId="5A16C39B" w14:textId="77777777" w:rsidR="00497CE3" w:rsidRDefault="00497CE3" w:rsidP="00497CE3">
            <w:pPr>
              <w:jc w:val="center"/>
            </w:pPr>
            <w:r>
              <w:t>-</w:t>
            </w:r>
          </w:p>
        </w:tc>
        <w:tc>
          <w:tcPr>
            <w:tcW w:w="508" w:type="pct"/>
          </w:tcPr>
          <w:p w14:paraId="365AEBD3" w14:textId="77777777" w:rsidR="00497CE3" w:rsidRDefault="00497CE3" w:rsidP="00497CE3">
            <w:pPr>
              <w:jc w:val="center"/>
            </w:pPr>
            <w:r>
              <w:t>-</w:t>
            </w:r>
          </w:p>
        </w:tc>
        <w:tc>
          <w:tcPr>
            <w:tcW w:w="610" w:type="pct"/>
          </w:tcPr>
          <w:p w14:paraId="5915C150" w14:textId="77777777" w:rsidR="00497CE3" w:rsidRPr="00C4011C" w:rsidRDefault="00497CE3" w:rsidP="00497CE3">
            <w:pPr>
              <w:jc w:val="center"/>
            </w:pPr>
            <w:r>
              <w:t>11</w:t>
            </w:r>
          </w:p>
        </w:tc>
        <w:tc>
          <w:tcPr>
            <w:tcW w:w="457" w:type="pct"/>
          </w:tcPr>
          <w:p w14:paraId="32A5F4BA" w14:textId="77777777" w:rsidR="00497CE3" w:rsidRDefault="00497CE3" w:rsidP="00497CE3">
            <w:pPr>
              <w:jc w:val="center"/>
            </w:pPr>
            <w:r>
              <w:t>-</w:t>
            </w:r>
          </w:p>
        </w:tc>
        <w:tc>
          <w:tcPr>
            <w:tcW w:w="457" w:type="pct"/>
          </w:tcPr>
          <w:p w14:paraId="23AA552B" w14:textId="77777777" w:rsidR="00497CE3" w:rsidRDefault="00497CE3" w:rsidP="00497CE3">
            <w:pPr>
              <w:jc w:val="center"/>
            </w:pPr>
            <w:r>
              <w:t>-</w:t>
            </w:r>
          </w:p>
        </w:tc>
        <w:tc>
          <w:tcPr>
            <w:tcW w:w="407" w:type="pct"/>
          </w:tcPr>
          <w:p w14:paraId="5892250B" w14:textId="77777777" w:rsidR="00497CE3" w:rsidRPr="00C4011C" w:rsidRDefault="00497CE3" w:rsidP="00497CE3">
            <w:pPr>
              <w:jc w:val="center"/>
            </w:pPr>
            <w:r>
              <w:t>11</w:t>
            </w:r>
          </w:p>
        </w:tc>
        <w:tc>
          <w:tcPr>
            <w:tcW w:w="557" w:type="pct"/>
          </w:tcPr>
          <w:p w14:paraId="79A3E957" w14:textId="77777777" w:rsidR="00497CE3" w:rsidRDefault="00497CE3" w:rsidP="00497CE3">
            <w:pPr>
              <w:jc w:val="center"/>
            </w:pPr>
            <w:r>
              <w:t>11</w:t>
            </w:r>
          </w:p>
        </w:tc>
        <w:tc>
          <w:tcPr>
            <w:tcW w:w="481" w:type="pct"/>
          </w:tcPr>
          <w:p w14:paraId="203BA059" w14:textId="77777777" w:rsidR="00497CE3" w:rsidRDefault="00497CE3" w:rsidP="00497CE3">
            <w:pPr>
              <w:jc w:val="center"/>
            </w:pPr>
            <w:r>
              <w:t>12</w:t>
            </w:r>
          </w:p>
        </w:tc>
      </w:tr>
      <w:tr w:rsidR="00497CE3" w14:paraId="2C71A80D" w14:textId="77777777" w:rsidTr="00497CE3">
        <w:tc>
          <w:tcPr>
            <w:tcW w:w="1065" w:type="pct"/>
          </w:tcPr>
          <w:p w14:paraId="09208B40" w14:textId="77777777" w:rsidR="00497CE3" w:rsidRPr="000D23CC" w:rsidRDefault="00497CE3" w:rsidP="00497CE3">
            <w:pPr>
              <w:rPr>
                <w:sz w:val="22"/>
              </w:rPr>
            </w:pPr>
            <w:r w:rsidRPr="000D23CC">
              <w:rPr>
                <w:sz w:val="22"/>
              </w:rPr>
              <w:t>Atoposauridae</w:t>
            </w:r>
          </w:p>
        </w:tc>
        <w:tc>
          <w:tcPr>
            <w:tcW w:w="457" w:type="pct"/>
          </w:tcPr>
          <w:p w14:paraId="408ABA4A" w14:textId="77777777" w:rsidR="00497CE3" w:rsidRDefault="00497CE3" w:rsidP="00497CE3">
            <w:pPr>
              <w:jc w:val="center"/>
            </w:pPr>
            <w:r>
              <w:t>1</w:t>
            </w:r>
          </w:p>
        </w:tc>
        <w:tc>
          <w:tcPr>
            <w:tcW w:w="508" w:type="pct"/>
          </w:tcPr>
          <w:p w14:paraId="251990E3" w14:textId="77777777" w:rsidR="00497CE3" w:rsidRPr="00C4011C" w:rsidRDefault="00497CE3" w:rsidP="00497CE3">
            <w:pPr>
              <w:jc w:val="center"/>
            </w:pPr>
            <w:r>
              <w:t>1</w:t>
            </w:r>
          </w:p>
        </w:tc>
        <w:tc>
          <w:tcPr>
            <w:tcW w:w="610" w:type="pct"/>
          </w:tcPr>
          <w:p w14:paraId="60D80C6F" w14:textId="77777777" w:rsidR="00497CE3" w:rsidRPr="00C4011C" w:rsidRDefault="00497CE3" w:rsidP="00497CE3">
            <w:pPr>
              <w:jc w:val="center"/>
            </w:pPr>
            <w:r>
              <w:t>2</w:t>
            </w:r>
          </w:p>
        </w:tc>
        <w:tc>
          <w:tcPr>
            <w:tcW w:w="457" w:type="pct"/>
          </w:tcPr>
          <w:p w14:paraId="5B61F276" w14:textId="77777777" w:rsidR="00497CE3" w:rsidRDefault="00497CE3" w:rsidP="00497CE3">
            <w:pPr>
              <w:jc w:val="center"/>
            </w:pPr>
            <w:r>
              <w:t>-</w:t>
            </w:r>
          </w:p>
        </w:tc>
        <w:tc>
          <w:tcPr>
            <w:tcW w:w="457" w:type="pct"/>
          </w:tcPr>
          <w:p w14:paraId="579F8789" w14:textId="77777777" w:rsidR="00497CE3" w:rsidRDefault="00497CE3" w:rsidP="00497CE3">
            <w:pPr>
              <w:jc w:val="center"/>
            </w:pPr>
            <w:r>
              <w:t>-</w:t>
            </w:r>
          </w:p>
        </w:tc>
        <w:tc>
          <w:tcPr>
            <w:tcW w:w="407" w:type="pct"/>
          </w:tcPr>
          <w:p w14:paraId="1E1F777A" w14:textId="77777777" w:rsidR="00497CE3" w:rsidRPr="00C4011C" w:rsidRDefault="00497CE3" w:rsidP="00497CE3">
            <w:pPr>
              <w:jc w:val="center"/>
            </w:pPr>
            <w:r>
              <w:t>2</w:t>
            </w:r>
          </w:p>
        </w:tc>
        <w:tc>
          <w:tcPr>
            <w:tcW w:w="557" w:type="pct"/>
          </w:tcPr>
          <w:p w14:paraId="38373B98" w14:textId="77777777" w:rsidR="00497CE3" w:rsidRDefault="00497CE3" w:rsidP="00497CE3">
            <w:pPr>
              <w:jc w:val="center"/>
            </w:pPr>
            <w:r>
              <w:t>2</w:t>
            </w:r>
          </w:p>
        </w:tc>
        <w:tc>
          <w:tcPr>
            <w:tcW w:w="481" w:type="pct"/>
          </w:tcPr>
          <w:p w14:paraId="39F5F981" w14:textId="77777777" w:rsidR="00497CE3" w:rsidRPr="00C4011C" w:rsidRDefault="00497CE3" w:rsidP="00497CE3">
            <w:pPr>
              <w:jc w:val="center"/>
            </w:pPr>
            <w:r>
              <w:t>2</w:t>
            </w:r>
          </w:p>
        </w:tc>
      </w:tr>
      <w:tr w:rsidR="00497CE3" w14:paraId="36257606" w14:textId="77777777" w:rsidTr="00497CE3">
        <w:tc>
          <w:tcPr>
            <w:tcW w:w="1065" w:type="pct"/>
          </w:tcPr>
          <w:p w14:paraId="1F48BA90" w14:textId="77777777" w:rsidR="00497CE3" w:rsidRPr="000D23CC" w:rsidRDefault="00497CE3" w:rsidP="00497CE3">
            <w:pPr>
              <w:rPr>
                <w:sz w:val="22"/>
              </w:rPr>
            </w:pPr>
            <w:r w:rsidRPr="000D23CC">
              <w:rPr>
                <w:sz w:val="22"/>
              </w:rPr>
              <w:t>Goniopholididae</w:t>
            </w:r>
          </w:p>
        </w:tc>
        <w:tc>
          <w:tcPr>
            <w:tcW w:w="457" w:type="pct"/>
          </w:tcPr>
          <w:p w14:paraId="4429F6DC" w14:textId="77777777" w:rsidR="00497CE3" w:rsidRDefault="00497CE3" w:rsidP="00497CE3">
            <w:pPr>
              <w:jc w:val="center"/>
            </w:pPr>
            <w:r>
              <w:t>1</w:t>
            </w:r>
          </w:p>
        </w:tc>
        <w:tc>
          <w:tcPr>
            <w:tcW w:w="508" w:type="pct"/>
          </w:tcPr>
          <w:p w14:paraId="18F039E1" w14:textId="77777777" w:rsidR="00497CE3" w:rsidRPr="00C4011C" w:rsidRDefault="00497CE3" w:rsidP="00497CE3">
            <w:pPr>
              <w:jc w:val="center"/>
            </w:pPr>
            <w:r>
              <w:t>1</w:t>
            </w:r>
          </w:p>
        </w:tc>
        <w:tc>
          <w:tcPr>
            <w:tcW w:w="610" w:type="pct"/>
          </w:tcPr>
          <w:p w14:paraId="52E92C0D" w14:textId="77777777" w:rsidR="00497CE3" w:rsidRPr="00C4011C" w:rsidRDefault="00497CE3" w:rsidP="00497CE3">
            <w:pPr>
              <w:jc w:val="center"/>
            </w:pPr>
            <w:r>
              <w:t>5</w:t>
            </w:r>
          </w:p>
        </w:tc>
        <w:tc>
          <w:tcPr>
            <w:tcW w:w="457" w:type="pct"/>
          </w:tcPr>
          <w:p w14:paraId="564BDB38" w14:textId="77777777" w:rsidR="00497CE3" w:rsidRDefault="00497CE3" w:rsidP="00497CE3">
            <w:pPr>
              <w:jc w:val="center"/>
            </w:pPr>
            <w:r>
              <w:t>3</w:t>
            </w:r>
          </w:p>
        </w:tc>
        <w:tc>
          <w:tcPr>
            <w:tcW w:w="457" w:type="pct"/>
          </w:tcPr>
          <w:p w14:paraId="3725CDC8" w14:textId="77777777" w:rsidR="00497CE3" w:rsidRDefault="00497CE3" w:rsidP="00497CE3">
            <w:pPr>
              <w:jc w:val="center"/>
            </w:pPr>
            <w:r>
              <w:t>3</w:t>
            </w:r>
          </w:p>
        </w:tc>
        <w:tc>
          <w:tcPr>
            <w:tcW w:w="407" w:type="pct"/>
          </w:tcPr>
          <w:p w14:paraId="405454B6" w14:textId="77777777" w:rsidR="00497CE3" w:rsidRPr="00C4011C" w:rsidRDefault="00497CE3" w:rsidP="00497CE3">
            <w:pPr>
              <w:jc w:val="center"/>
            </w:pPr>
            <w:r>
              <w:t>4</w:t>
            </w:r>
          </w:p>
        </w:tc>
        <w:tc>
          <w:tcPr>
            <w:tcW w:w="557" w:type="pct"/>
          </w:tcPr>
          <w:p w14:paraId="7E42A8E6" w14:textId="77777777" w:rsidR="00497CE3" w:rsidRDefault="00497CE3" w:rsidP="00497CE3">
            <w:pPr>
              <w:jc w:val="center"/>
            </w:pPr>
            <w:r>
              <w:t>4</w:t>
            </w:r>
          </w:p>
        </w:tc>
        <w:tc>
          <w:tcPr>
            <w:tcW w:w="481" w:type="pct"/>
          </w:tcPr>
          <w:p w14:paraId="5E567724" w14:textId="77777777" w:rsidR="00497CE3" w:rsidRPr="00C4011C" w:rsidRDefault="00497CE3" w:rsidP="00497CE3">
            <w:pPr>
              <w:jc w:val="center"/>
            </w:pPr>
            <w:r>
              <w:t>5</w:t>
            </w:r>
          </w:p>
        </w:tc>
      </w:tr>
      <w:tr w:rsidR="00497CE3" w14:paraId="04F7005D" w14:textId="77777777" w:rsidTr="00497CE3">
        <w:tc>
          <w:tcPr>
            <w:tcW w:w="1065" w:type="pct"/>
          </w:tcPr>
          <w:p w14:paraId="562D84C4" w14:textId="77777777" w:rsidR="00497CE3" w:rsidRPr="000D23CC" w:rsidRDefault="00497CE3" w:rsidP="00497CE3">
            <w:pPr>
              <w:rPr>
                <w:sz w:val="22"/>
              </w:rPr>
            </w:pPr>
            <w:r w:rsidRPr="000D23CC">
              <w:rPr>
                <w:sz w:val="22"/>
              </w:rPr>
              <w:t>Susisuchidae</w:t>
            </w:r>
          </w:p>
        </w:tc>
        <w:tc>
          <w:tcPr>
            <w:tcW w:w="457" w:type="pct"/>
          </w:tcPr>
          <w:p w14:paraId="2B4B4313" w14:textId="77777777" w:rsidR="00497CE3" w:rsidRDefault="00497CE3" w:rsidP="00497CE3">
            <w:pPr>
              <w:jc w:val="center"/>
            </w:pPr>
            <w:r>
              <w:t>-</w:t>
            </w:r>
          </w:p>
        </w:tc>
        <w:tc>
          <w:tcPr>
            <w:tcW w:w="508" w:type="pct"/>
          </w:tcPr>
          <w:p w14:paraId="0158EAA6" w14:textId="77777777" w:rsidR="00497CE3" w:rsidRDefault="00497CE3" w:rsidP="00497CE3">
            <w:pPr>
              <w:jc w:val="center"/>
            </w:pPr>
            <w:r>
              <w:t>-</w:t>
            </w:r>
          </w:p>
        </w:tc>
        <w:tc>
          <w:tcPr>
            <w:tcW w:w="610" w:type="pct"/>
          </w:tcPr>
          <w:p w14:paraId="4B2EA55D" w14:textId="77777777" w:rsidR="00497CE3" w:rsidRPr="00C4011C" w:rsidRDefault="00497CE3" w:rsidP="00497CE3">
            <w:pPr>
              <w:jc w:val="center"/>
            </w:pPr>
            <w:r>
              <w:t>2</w:t>
            </w:r>
          </w:p>
        </w:tc>
        <w:tc>
          <w:tcPr>
            <w:tcW w:w="457" w:type="pct"/>
          </w:tcPr>
          <w:p w14:paraId="578AD06E" w14:textId="77777777" w:rsidR="00497CE3" w:rsidRDefault="00497CE3" w:rsidP="00497CE3">
            <w:pPr>
              <w:jc w:val="center"/>
            </w:pPr>
            <w:r>
              <w:t>1</w:t>
            </w:r>
          </w:p>
        </w:tc>
        <w:tc>
          <w:tcPr>
            <w:tcW w:w="457" w:type="pct"/>
          </w:tcPr>
          <w:p w14:paraId="036AE3A2" w14:textId="77777777" w:rsidR="00497CE3" w:rsidRDefault="00497CE3" w:rsidP="00497CE3">
            <w:pPr>
              <w:jc w:val="center"/>
            </w:pPr>
            <w:r>
              <w:t>1</w:t>
            </w:r>
          </w:p>
        </w:tc>
        <w:tc>
          <w:tcPr>
            <w:tcW w:w="407" w:type="pct"/>
          </w:tcPr>
          <w:p w14:paraId="36AB5EE5" w14:textId="77777777" w:rsidR="00497CE3" w:rsidRPr="00C4011C" w:rsidRDefault="00497CE3" w:rsidP="00497CE3">
            <w:pPr>
              <w:jc w:val="center"/>
            </w:pPr>
            <w:r>
              <w:t>2</w:t>
            </w:r>
          </w:p>
        </w:tc>
        <w:tc>
          <w:tcPr>
            <w:tcW w:w="557" w:type="pct"/>
          </w:tcPr>
          <w:p w14:paraId="67645500" w14:textId="77777777" w:rsidR="00497CE3" w:rsidRDefault="00497CE3" w:rsidP="00497CE3">
            <w:pPr>
              <w:jc w:val="center"/>
            </w:pPr>
            <w:r>
              <w:t>2</w:t>
            </w:r>
          </w:p>
        </w:tc>
        <w:tc>
          <w:tcPr>
            <w:tcW w:w="481" w:type="pct"/>
          </w:tcPr>
          <w:p w14:paraId="0F1DCABA" w14:textId="77777777" w:rsidR="00497CE3" w:rsidRDefault="00497CE3" w:rsidP="00497CE3">
            <w:pPr>
              <w:jc w:val="center"/>
            </w:pPr>
            <w:r>
              <w:t>2</w:t>
            </w:r>
          </w:p>
        </w:tc>
      </w:tr>
      <w:tr w:rsidR="00497CE3" w14:paraId="02F1B0C4" w14:textId="77777777" w:rsidTr="00497CE3">
        <w:tc>
          <w:tcPr>
            <w:tcW w:w="1065" w:type="pct"/>
          </w:tcPr>
          <w:p w14:paraId="12D5AB82" w14:textId="77777777" w:rsidR="00497CE3" w:rsidRPr="000D23CC" w:rsidRDefault="00497CE3" w:rsidP="00497CE3">
            <w:pPr>
              <w:rPr>
                <w:sz w:val="22"/>
              </w:rPr>
            </w:pPr>
            <w:r w:rsidRPr="000D23CC">
              <w:rPr>
                <w:sz w:val="22"/>
              </w:rPr>
              <w:t>Hylaeochampsidae</w:t>
            </w:r>
          </w:p>
        </w:tc>
        <w:tc>
          <w:tcPr>
            <w:tcW w:w="457" w:type="pct"/>
          </w:tcPr>
          <w:p w14:paraId="2A2144CA" w14:textId="77777777" w:rsidR="00497CE3" w:rsidRDefault="00497CE3" w:rsidP="00497CE3">
            <w:pPr>
              <w:jc w:val="center"/>
            </w:pPr>
            <w:r>
              <w:t>-</w:t>
            </w:r>
          </w:p>
        </w:tc>
        <w:tc>
          <w:tcPr>
            <w:tcW w:w="508" w:type="pct"/>
          </w:tcPr>
          <w:p w14:paraId="5958B373" w14:textId="77777777" w:rsidR="00497CE3" w:rsidRDefault="00497CE3" w:rsidP="00497CE3">
            <w:pPr>
              <w:jc w:val="center"/>
            </w:pPr>
            <w:r>
              <w:t>-</w:t>
            </w:r>
          </w:p>
        </w:tc>
        <w:tc>
          <w:tcPr>
            <w:tcW w:w="610" w:type="pct"/>
          </w:tcPr>
          <w:p w14:paraId="3AE93A37" w14:textId="77777777" w:rsidR="00497CE3" w:rsidRPr="00C4011C" w:rsidRDefault="00497CE3" w:rsidP="00497CE3">
            <w:pPr>
              <w:jc w:val="center"/>
            </w:pPr>
            <w:r>
              <w:t>-</w:t>
            </w:r>
          </w:p>
        </w:tc>
        <w:tc>
          <w:tcPr>
            <w:tcW w:w="457" w:type="pct"/>
          </w:tcPr>
          <w:p w14:paraId="206B17FD" w14:textId="77777777" w:rsidR="00497CE3" w:rsidRDefault="00497CE3" w:rsidP="00497CE3">
            <w:pPr>
              <w:jc w:val="center"/>
            </w:pPr>
            <w:r>
              <w:t>-</w:t>
            </w:r>
          </w:p>
        </w:tc>
        <w:tc>
          <w:tcPr>
            <w:tcW w:w="457" w:type="pct"/>
          </w:tcPr>
          <w:p w14:paraId="47840DBE" w14:textId="77777777" w:rsidR="00497CE3" w:rsidRDefault="00497CE3" w:rsidP="00497CE3">
            <w:pPr>
              <w:jc w:val="center"/>
            </w:pPr>
            <w:r>
              <w:t>-</w:t>
            </w:r>
          </w:p>
        </w:tc>
        <w:tc>
          <w:tcPr>
            <w:tcW w:w="407" w:type="pct"/>
          </w:tcPr>
          <w:p w14:paraId="300FFAC8" w14:textId="77777777" w:rsidR="00497CE3" w:rsidRPr="00C4011C" w:rsidRDefault="00497CE3" w:rsidP="00497CE3">
            <w:pPr>
              <w:jc w:val="center"/>
            </w:pPr>
            <w:r>
              <w:t>-</w:t>
            </w:r>
          </w:p>
        </w:tc>
        <w:tc>
          <w:tcPr>
            <w:tcW w:w="557" w:type="pct"/>
          </w:tcPr>
          <w:p w14:paraId="70148C71" w14:textId="77777777" w:rsidR="00497CE3" w:rsidRDefault="00497CE3" w:rsidP="00497CE3">
            <w:pPr>
              <w:jc w:val="center"/>
            </w:pPr>
            <w:r>
              <w:t>-</w:t>
            </w:r>
          </w:p>
        </w:tc>
        <w:tc>
          <w:tcPr>
            <w:tcW w:w="481" w:type="pct"/>
          </w:tcPr>
          <w:p w14:paraId="5F5CB752" w14:textId="77777777" w:rsidR="00497CE3" w:rsidRDefault="00497CE3" w:rsidP="00497CE3">
            <w:pPr>
              <w:jc w:val="center"/>
            </w:pPr>
            <w:r>
              <w:t>2</w:t>
            </w:r>
          </w:p>
        </w:tc>
      </w:tr>
      <w:tr w:rsidR="00497CE3" w14:paraId="5CB4F313" w14:textId="77777777" w:rsidTr="00497CE3">
        <w:tc>
          <w:tcPr>
            <w:tcW w:w="1065" w:type="pct"/>
          </w:tcPr>
          <w:p w14:paraId="0D16F8DE" w14:textId="77777777" w:rsidR="00497CE3" w:rsidRPr="000D23CC" w:rsidRDefault="00497CE3" w:rsidP="00497CE3">
            <w:pPr>
              <w:rPr>
                <w:sz w:val="22"/>
              </w:rPr>
            </w:pPr>
            <w:r w:rsidRPr="000D23CC">
              <w:rPr>
                <w:sz w:val="22"/>
              </w:rPr>
              <w:t>Crown-Crocodylia</w:t>
            </w:r>
          </w:p>
        </w:tc>
        <w:tc>
          <w:tcPr>
            <w:tcW w:w="457" w:type="pct"/>
          </w:tcPr>
          <w:p w14:paraId="45560FD4" w14:textId="77777777" w:rsidR="00497CE3" w:rsidRDefault="00497CE3" w:rsidP="00497CE3">
            <w:pPr>
              <w:jc w:val="center"/>
            </w:pPr>
            <w:r>
              <w:t>-</w:t>
            </w:r>
          </w:p>
        </w:tc>
        <w:tc>
          <w:tcPr>
            <w:tcW w:w="508" w:type="pct"/>
          </w:tcPr>
          <w:p w14:paraId="11AA04D0" w14:textId="77777777" w:rsidR="00497CE3" w:rsidRDefault="00497CE3" w:rsidP="00497CE3">
            <w:pPr>
              <w:jc w:val="center"/>
            </w:pPr>
            <w:r>
              <w:t>2</w:t>
            </w:r>
          </w:p>
        </w:tc>
        <w:tc>
          <w:tcPr>
            <w:tcW w:w="610" w:type="pct"/>
          </w:tcPr>
          <w:p w14:paraId="42874AB9" w14:textId="77777777" w:rsidR="00497CE3" w:rsidRPr="00C4011C" w:rsidRDefault="00497CE3" w:rsidP="00497CE3">
            <w:pPr>
              <w:jc w:val="center"/>
            </w:pPr>
            <w:r>
              <w:t>4</w:t>
            </w:r>
          </w:p>
        </w:tc>
        <w:tc>
          <w:tcPr>
            <w:tcW w:w="457" w:type="pct"/>
          </w:tcPr>
          <w:p w14:paraId="5B4A66A9" w14:textId="77777777" w:rsidR="00497CE3" w:rsidRDefault="00497CE3" w:rsidP="00497CE3">
            <w:pPr>
              <w:jc w:val="center"/>
            </w:pPr>
            <w:r>
              <w:t>3</w:t>
            </w:r>
          </w:p>
        </w:tc>
        <w:tc>
          <w:tcPr>
            <w:tcW w:w="457" w:type="pct"/>
          </w:tcPr>
          <w:p w14:paraId="505137DC" w14:textId="77777777" w:rsidR="00497CE3" w:rsidRDefault="00497CE3" w:rsidP="00497CE3">
            <w:pPr>
              <w:jc w:val="center"/>
            </w:pPr>
            <w:r>
              <w:t>3</w:t>
            </w:r>
          </w:p>
        </w:tc>
        <w:tc>
          <w:tcPr>
            <w:tcW w:w="407" w:type="pct"/>
          </w:tcPr>
          <w:p w14:paraId="56D8E44A" w14:textId="77777777" w:rsidR="00497CE3" w:rsidRPr="00C4011C" w:rsidRDefault="00497CE3" w:rsidP="00497CE3">
            <w:pPr>
              <w:jc w:val="center"/>
            </w:pPr>
            <w:r>
              <w:t>3</w:t>
            </w:r>
          </w:p>
        </w:tc>
        <w:tc>
          <w:tcPr>
            <w:tcW w:w="557" w:type="pct"/>
          </w:tcPr>
          <w:p w14:paraId="59BABDE7" w14:textId="77777777" w:rsidR="00497CE3" w:rsidRDefault="00497CE3" w:rsidP="00497CE3">
            <w:pPr>
              <w:jc w:val="center"/>
            </w:pPr>
            <w:r>
              <w:t>3</w:t>
            </w:r>
          </w:p>
        </w:tc>
        <w:tc>
          <w:tcPr>
            <w:tcW w:w="481" w:type="pct"/>
          </w:tcPr>
          <w:p w14:paraId="6C142AA5" w14:textId="77777777" w:rsidR="00497CE3" w:rsidRPr="00C4011C" w:rsidRDefault="00497CE3" w:rsidP="00497CE3">
            <w:pPr>
              <w:jc w:val="center"/>
            </w:pPr>
            <w:r>
              <w:t>4</w:t>
            </w:r>
          </w:p>
        </w:tc>
      </w:tr>
      <w:tr w:rsidR="00497CE3" w14:paraId="12B51C61" w14:textId="77777777" w:rsidTr="00497CE3">
        <w:tc>
          <w:tcPr>
            <w:tcW w:w="1065" w:type="pct"/>
          </w:tcPr>
          <w:p w14:paraId="24DE18EA" w14:textId="77777777" w:rsidR="00497CE3" w:rsidRPr="000D23CC" w:rsidRDefault="00497CE3" w:rsidP="00497CE3">
            <w:pPr>
              <w:rPr>
                <w:sz w:val="22"/>
              </w:rPr>
            </w:pPr>
            <w:r w:rsidRPr="000D23CC">
              <w:rPr>
                <w:sz w:val="22"/>
              </w:rPr>
              <w:t>Pholidosauridae</w:t>
            </w:r>
          </w:p>
        </w:tc>
        <w:tc>
          <w:tcPr>
            <w:tcW w:w="457" w:type="pct"/>
          </w:tcPr>
          <w:p w14:paraId="776E89E5" w14:textId="77777777" w:rsidR="00497CE3" w:rsidRDefault="00497CE3" w:rsidP="00497CE3">
            <w:pPr>
              <w:jc w:val="center"/>
            </w:pPr>
            <w:r>
              <w:t>-</w:t>
            </w:r>
          </w:p>
        </w:tc>
        <w:tc>
          <w:tcPr>
            <w:tcW w:w="508" w:type="pct"/>
          </w:tcPr>
          <w:p w14:paraId="66ACFB91" w14:textId="77777777" w:rsidR="00497CE3" w:rsidRDefault="00497CE3" w:rsidP="00497CE3">
            <w:pPr>
              <w:jc w:val="center"/>
            </w:pPr>
            <w:r>
              <w:t>-</w:t>
            </w:r>
          </w:p>
        </w:tc>
        <w:tc>
          <w:tcPr>
            <w:tcW w:w="610" w:type="pct"/>
          </w:tcPr>
          <w:p w14:paraId="153BE0BD" w14:textId="77777777" w:rsidR="00497CE3" w:rsidRPr="00C4011C" w:rsidRDefault="00497CE3" w:rsidP="00497CE3">
            <w:pPr>
              <w:jc w:val="center"/>
            </w:pPr>
            <w:r>
              <w:t>6</w:t>
            </w:r>
          </w:p>
        </w:tc>
        <w:tc>
          <w:tcPr>
            <w:tcW w:w="457" w:type="pct"/>
          </w:tcPr>
          <w:p w14:paraId="35297E30" w14:textId="77777777" w:rsidR="00497CE3" w:rsidRDefault="00497CE3" w:rsidP="00497CE3">
            <w:pPr>
              <w:jc w:val="center"/>
            </w:pPr>
            <w:r>
              <w:t>1</w:t>
            </w:r>
          </w:p>
        </w:tc>
        <w:tc>
          <w:tcPr>
            <w:tcW w:w="457" w:type="pct"/>
          </w:tcPr>
          <w:p w14:paraId="13DAD4E0" w14:textId="77777777" w:rsidR="00497CE3" w:rsidRDefault="00497CE3" w:rsidP="00497CE3">
            <w:pPr>
              <w:jc w:val="center"/>
            </w:pPr>
            <w:r>
              <w:t>1</w:t>
            </w:r>
          </w:p>
        </w:tc>
        <w:tc>
          <w:tcPr>
            <w:tcW w:w="407" w:type="pct"/>
          </w:tcPr>
          <w:p w14:paraId="4D255C42" w14:textId="77777777" w:rsidR="00497CE3" w:rsidRPr="00C4011C" w:rsidRDefault="00497CE3" w:rsidP="00497CE3">
            <w:pPr>
              <w:jc w:val="center"/>
            </w:pPr>
            <w:r>
              <w:t>1</w:t>
            </w:r>
          </w:p>
        </w:tc>
        <w:tc>
          <w:tcPr>
            <w:tcW w:w="557" w:type="pct"/>
          </w:tcPr>
          <w:p w14:paraId="2D512360" w14:textId="77777777" w:rsidR="00497CE3" w:rsidRDefault="00497CE3" w:rsidP="00497CE3">
            <w:pPr>
              <w:jc w:val="center"/>
            </w:pPr>
            <w:r>
              <w:t>1</w:t>
            </w:r>
          </w:p>
        </w:tc>
        <w:tc>
          <w:tcPr>
            <w:tcW w:w="481" w:type="pct"/>
          </w:tcPr>
          <w:p w14:paraId="1CC6D3B9" w14:textId="77777777" w:rsidR="00497CE3" w:rsidRDefault="00497CE3" w:rsidP="00497CE3">
            <w:pPr>
              <w:jc w:val="center"/>
            </w:pPr>
            <w:r>
              <w:t>7</w:t>
            </w:r>
          </w:p>
        </w:tc>
      </w:tr>
      <w:tr w:rsidR="00497CE3" w14:paraId="04057E11" w14:textId="77777777" w:rsidTr="00497CE3">
        <w:tc>
          <w:tcPr>
            <w:tcW w:w="1065" w:type="pct"/>
          </w:tcPr>
          <w:p w14:paraId="490E633E" w14:textId="77777777" w:rsidR="00497CE3" w:rsidRPr="000D23CC" w:rsidRDefault="00497CE3" w:rsidP="00497CE3">
            <w:pPr>
              <w:rPr>
                <w:sz w:val="22"/>
              </w:rPr>
            </w:pPr>
            <w:r w:rsidRPr="000D23CC">
              <w:rPr>
                <w:sz w:val="22"/>
              </w:rPr>
              <w:t>Basal to dyrosaurids</w:t>
            </w:r>
          </w:p>
        </w:tc>
        <w:tc>
          <w:tcPr>
            <w:tcW w:w="457" w:type="pct"/>
          </w:tcPr>
          <w:p w14:paraId="48022F98" w14:textId="77777777" w:rsidR="00497CE3" w:rsidRDefault="00497CE3" w:rsidP="00497CE3">
            <w:pPr>
              <w:jc w:val="center"/>
            </w:pPr>
            <w:r>
              <w:t>-</w:t>
            </w:r>
          </w:p>
        </w:tc>
        <w:tc>
          <w:tcPr>
            <w:tcW w:w="508" w:type="pct"/>
          </w:tcPr>
          <w:p w14:paraId="16E8AD8B" w14:textId="77777777" w:rsidR="00497CE3" w:rsidRDefault="00497CE3" w:rsidP="00497CE3">
            <w:pPr>
              <w:jc w:val="center"/>
            </w:pPr>
            <w:r>
              <w:t>-</w:t>
            </w:r>
          </w:p>
        </w:tc>
        <w:tc>
          <w:tcPr>
            <w:tcW w:w="610" w:type="pct"/>
          </w:tcPr>
          <w:p w14:paraId="7756605F" w14:textId="77777777" w:rsidR="00497CE3" w:rsidRPr="00C4011C" w:rsidRDefault="00497CE3" w:rsidP="00497CE3">
            <w:pPr>
              <w:jc w:val="center"/>
            </w:pPr>
            <w:r>
              <w:t>-</w:t>
            </w:r>
          </w:p>
        </w:tc>
        <w:tc>
          <w:tcPr>
            <w:tcW w:w="457" w:type="pct"/>
          </w:tcPr>
          <w:p w14:paraId="47BC032A" w14:textId="77777777" w:rsidR="00497CE3" w:rsidRDefault="00497CE3" w:rsidP="00497CE3">
            <w:pPr>
              <w:jc w:val="center"/>
            </w:pPr>
            <w:r>
              <w:t>-</w:t>
            </w:r>
          </w:p>
        </w:tc>
        <w:tc>
          <w:tcPr>
            <w:tcW w:w="457" w:type="pct"/>
          </w:tcPr>
          <w:p w14:paraId="12D23668" w14:textId="77777777" w:rsidR="00497CE3" w:rsidRDefault="00497CE3" w:rsidP="00497CE3">
            <w:pPr>
              <w:jc w:val="center"/>
            </w:pPr>
            <w:r>
              <w:t>-</w:t>
            </w:r>
          </w:p>
        </w:tc>
        <w:tc>
          <w:tcPr>
            <w:tcW w:w="407" w:type="pct"/>
          </w:tcPr>
          <w:p w14:paraId="257DE696" w14:textId="77777777" w:rsidR="00497CE3" w:rsidRPr="00C4011C" w:rsidRDefault="00497CE3" w:rsidP="00497CE3">
            <w:pPr>
              <w:jc w:val="center"/>
            </w:pPr>
            <w:r>
              <w:t>-</w:t>
            </w:r>
          </w:p>
        </w:tc>
        <w:tc>
          <w:tcPr>
            <w:tcW w:w="557" w:type="pct"/>
          </w:tcPr>
          <w:p w14:paraId="6A03C1CF" w14:textId="77777777" w:rsidR="00497CE3" w:rsidRDefault="00497CE3" w:rsidP="00497CE3">
            <w:pPr>
              <w:jc w:val="center"/>
            </w:pPr>
            <w:r>
              <w:t>-</w:t>
            </w:r>
          </w:p>
        </w:tc>
        <w:tc>
          <w:tcPr>
            <w:tcW w:w="481" w:type="pct"/>
          </w:tcPr>
          <w:p w14:paraId="2D2F20AE" w14:textId="77777777" w:rsidR="00497CE3" w:rsidRDefault="00497CE3" w:rsidP="00497CE3">
            <w:pPr>
              <w:jc w:val="center"/>
            </w:pPr>
            <w:r>
              <w:t>3</w:t>
            </w:r>
          </w:p>
        </w:tc>
      </w:tr>
      <w:tr w:rsidR="00497CE3" w14:paraId="3267F2F1" w14:textId="77777777" w:rsidTr="00497CE3">
        <w:tc>
          <w:tcPr>
            <w:tcW w:w="1065" w:type="pct"/>
          </w:tcPr>
          <w:p w14:paraId="61C21742" w14:textId="77777777" w:rsidR="00497CE3" w:rsidRPr="000D23CC" w:rsidRDefault="00497CE3" w:rsidP="00497CE3">
            <w:pPr>
              <w:rPr>
                <w:sz w:val="22"/>
              </w:rPr>
            </w:pPr>
            <w:r w:rsidRPr="000D23CC">
              <w:rPr>
                <w:sz w:val="22"/>
              </w:rPr>
              <w:t>Dyrosauridae</w:t>
            </w:r>
          </w:p>
        </w:tc>
        <w:tc>
          <w:tcPr>
            <w:tcW w:w="457" w:type="pct"/>
          </w:tcPr>
          <w:p w14:paraId="6E032AF2" w14:textId="77777777" w:rsidR="00497CE3" w:rsidRDefault="00497CE3" w:rsidP="00497CE3">
            <w:pPr>
              <w:jc w:val="center"/>
            </w:pPr>
            <w:r>
              <w:t>-</w:t>
            </w:r>
          </w:p>
        </w:tc>
        <w:tc>
          <w:tcPr>
            <w:tcW w:w="508" w:type="pct"/>
          </w:tcPr>
          <w:p w14:paraId="0A937C4E" w14:textId="77777777" w:rsidR="00497CE3" w:rsidRDefault="00497CE3" w:rsidP="00497CE3">
            <w:pPr>
              <w:jc w:val="center"/>
            </w:pPr>
            <w:r>
              <w:t>-</w:t>
            </w:r>
          </w:p>
        </w:tc>
        <w:tc>
          <w:tcPr>
            <w:tcW w:w="610" w:type="pct"/>
          </w:tcPr>
          <w:p w14:paraId="57146F83" w14:textId="77777777" w:rsidR="00497CE3" w:rsidRPr="00C4011C" w:rsidRDefault="00497CE3" w:rsidP="00497CE3">
            <w:pPr>
              <w:jc w:val="center"/>
            </w:pPr>
            <w:r>
              <w:t>7</w:t>
            </w:r>
          </w:p>
        </w:tc>
        <w:tc>
          <w:tcPr>
            <w:tcW w:w="457" w:type="pct"/>
          </w:tcPr>
          <w:p w14:paraId="4606D0C0" w14:textId="77777777" w:rsidR="00497CE3" w:rsidRDefault="00497CE3" w:rsidP="00497CE3">
            <w:pPr>
              <w:jc w:val="center"/>
            </w:pPr>
            <w:r>
              <w:t>-</w:t>
            </w:r>
          </w:p>
        </w:tc>
        <w:tc>
          <w:tcPr>
            <w:tcW w:w="457" w:type="pct"/>
          </w:tcPr>
          <w:p w14:paraId="0E833FA1" w14:textId="77777777" w:rsidR="00497CE3" w:rsidRDefault="00497CE3" w:rsidP="00497CE3">
            <w:pPr>
              <w:jc w:val="center"/>
            </w:pPr>
            <w:r>
              <w:t>-</w:t>
            </w:r>
          </w:p>
        </w:tc>
        <w:tc>
          <w:tcPr>
            <w:tcW w:w="407" w:type="pct"/>
          </w:tcPr>
          <w:p w14:paraId="5C2CA9DA" w14:textId="77777777" w:rsidR="00497CE3" w:rsidRPr="00C4011C" w:rsidRDefault="00497CE3" w:rsidP="00497CE3">
            <w:pPr>
              <w:jc w:val="center"/>
            </w:pPr>
            <w:r>
              <w:t>-</w:t>
            </w:r>
          </w:p>
        </w:tc>
        <w:tc>
          <w:tcPr>
            <w:tcW w:w="557" w:type="pct"/>
          </w:tcPr>
          <w:p w14:paraId="387CEA09" w14:textId="77777777" w:rsidR="00497CE3" w:rsidRDefault="00497CE3" w:rsidP="00497CE3">
            <w:pPr>
              <w:jc w:val="center"/>
            </w:pPr>
            <w:r>
              <w:t>-</w:t>
            </w:r>
          </w:p>
        </w:tc>
        <w:tc>
          <w:tcPr>
            <w:tcW w:w="481" w:type="pct"/>
          </w:tcPr>
          <w:p w14:paraId="2B2B2CF1" w14:textId="77777777" w:rsidR="00497CE3" w:rsidRDefault="00497CE3" w:rsidP="00497CE3">
            <w:pPr>
              <w:jc w:val="center"/>
            </w:pPr>
            <w:r>
              <w:t>8</w:t>
            </w:r>
          </w:p>
        </w:tc>
      </w:tr>
      <w:tr w:rsidR="00497CE3" w14:paraId="4CC64518" w14:textId="77777777" w:rsidTr="00497CE3">
        <w:tc>
          <w:tcPr>
            <w:tcW w:w="1065" w:type="pct"/>
          </w:tcPr>
          <w:p w14:paraId="58DFD5C6" w14:textId="77777777" w:rsidR="00497CE3" w:rsidRPr="000D23CC" w:rsidRDefault="00497CE3" w:rsidP="00497CE3">
            <w:pPr>
              <w:rPr>
                <w:sz w:val="22"/>
              </w:rPr>
            </w:pPr>
            <w:r w:rsidRPr="000D23CC">
              <w:rPr>
                <w:sz w:val="22"/>
              </w:rPr>
              <w:t>Teleosauroids</w:t>
            </w:r>
          </w:p>
        </w:tc>
        <w:tc>
          <w:tcPr>
            <w:tcW w:w="457" w:type="pct"/>
          </w:tcPr>
          <w:p w14:paraId="1E18FF0C" w14:textId="77777777" w:rsidR="00497CE3" w:rsidRPr="00C4011C" w:rsidRDefault="00497CE3" w:rsidP="00497CE3">
            <w:pPr>
              <w:jc w:val="center"/>
            </w:pPr>
            <w:r>
              <w:t>1</w:t>
            </w:r>
          </w:p>
        </w:tc>
        <w:tc>
          <w:tcPr>
            <w:tcW w:w="508" w:type="pct"/>
          </w:tcPr>
          <w:p w14:paraId="3FFD3B56" w14:textId="77777777" w:rsidR="00497CE3" w:rsidRPr="00C4011C" w:rsidRDefault="00497CE3" w:rsidP="00497CE3">
            <w:pPr>
              <w:jc w:val="center"/>
            </w:pPr>
            <w:r>
              <w:t>1</w:t>
            </w:r>
          </w:p>
        </w:tc>
        <w:tc>
          <w:tcPr>
            <w:tcW w:w="610" w:type="pct"/>
          </w:tcPr>
          <w:p w14:paraId="70DA331F" w14:textId="77777777" w:rsidR="00497CE3" w:rsidRPr="00C4011C" w:rsidRDefault="00497CE3" w:rsidP="00497CE3">
            <w:pPr>
              <w:jc w:val="center"/>
            </w:pPr>
            <w:r>
              <w:t>4</w:t>
            </w:r>
          </w:p>
        </w:tc>
        <w:tc>
          <w:tcPr>
            <w:tcW w:w="457" w:type="pct"/>
          </w:tcPr>
          <w:p w14:paraId="7DE82724" w14:textId="77777777" w:rsidR="00497CE3" w:rsidRDefault="00497CE3" w:rsidP="00497CE3">
            <w:pPr>
              <w:jc w:val="center"/>
            </w:pPr>
            <w:r>
              <w:t>1</w:t>
            </w:r>
          </w:p>
        </w:tc>
        <w:tc>
          <w:tcPr>
            <w:tcW w:w="457" w:type="pct"/>
          </w:tcPr>
          <w:p w14:paraId="4E328C15" w14:textId="77777777" w:rsidR="00497CE3" w:rsidRDefault="00497CE3" w:rsidP="00497CE3">
            <w:pPr>
              <w:jc w:val="center"/>
            </w:pPr>
            <w:r>
              <w:t>1</w:t>
            </w:r>
          </w:p>
        </w:tc>
        <w:tc>
          <w:tcPr>
            <w:tcW w:w="407" w:type="pct"/>
          </w:tcPr>
          <w:p w14:paraId="0434F326" w14:textId="77777777" w:rsidR="00497CE3" w:rsidRPr="00C4011C" w:rsidRDefault="00497CE3" w:rsidP="00497CE3">
            <w:pPr>
              <w:jc w:val="center"/>
            </w:pPr>
            <w:r>
              <w:t>9</w:t>
            </w:r>
          </w:p>
        </w:tc>
        <w:tc>
          <w:tcPr>
            <w:tcW w:w="557" w:type="pct"/>
          </w:tcPr>
          <w:p w14:paraId="7E60B365" w14:textId="77777777" w:rsidR="00497CE3" w:rsidRPr="00C4011C" w:rsidRDefault="00497CE3" w:rsidP="00497CE3">
            <w:pPr>
              <w:jc w:val="center"/>
            </w:pPr>
            <w:r>
              <w:t>9</w:t>
            </w:r>
          </w:p>
        </w:tc>
        <w:tc>
          <w:tcPr>
            <w:tcW w:w="481" w:type="pct"/>
          </w:tcPr>
          <w:p w14:paraId="5ECF2B8A" w14:textId="77777777" w:rsidR="00497CE3" w:rsidRPr="00C4011C" w:rsidRDefault="00497CE3" w:rsidP="00497CE3">
            <w:pPr>
              <w:jc w:val="center"/>
            </w:pPr>
            <w:r>
              <w:t>12</w:t>
            </w:r>
          </w:p>
        </w:tc>
      </w:tr>
      <w:tr w:rsidR="00497CE3" w14:paraId="6D71135B" w14:textId="77777777" w:rsidTr="00497CE3">
        <w:tc>
          <w:tcPr>
            <w:tcW w:w="1065" w:type="pct"/>
          </w:tcPr>
          <w:p w14:paraId="6D557C23" w14:textId="77777777" w:rsidR="00497CE3" w:rsidRPr="000D23CC" w:rsidRDefault="00497CE3" w:rsidP="00497CE3">
            <w:pPr>
              <w:rPr>
                <w:sz w:val="22"/>
              </w:rPr>
            </w:pPr>
            <w:r w:rsidRPr="000D23CC">
              <w:rPr>
                <w:sz w:val="22"/>
              </w:rPr>
              <w:t>Basal metriorhynchoids</w:t>
            </w:r>
          </w:p>
        </w:tc>
        <w:tc>
          <w:tcPr>
            <w:tcW w:w="457" w:type="pct"/>
          </w:tcPr>
          <w:p w14:paraId="0388436E" w14:textId="77777777" w:rsidR="00497CE3" w:rsidRPr="00C4011C" w:rsidRDefault="00497CE3" w:rsidP="00497CE3">
            <w:pPr>
              <w:jc w:val="center"/>
            </w:pPr>
            <w:r>
              <w:t>2</w:t>
            </w:r>
          </w:p>
        </w:tc>
        <w:tc>
          <w:tcPr>
            <w:tcW w:w="508" w:type="pct"/>
          </w:tcPr>
          <w:p w14:paraId="1D8F780E" w14:textId="77777777" w:rsidR="00497CE3" w:rsidRPr="00C4011C" w:rsidRDefault="00497CE3" w:rsidP="00497CE3">
            <w:pPr>
              <w:jc w:val="center"/>
            </w:pPr>
            <w:r>
              <w:t>2</w:t>
            </w:r>
          </w:p>
        </w:tc>
        <w:tc>
          <w:tcPr>
            <w:tcW w:w="610" w:type="pct"/>
          </w:tcPr>
          <w:p w14:paraId="23FD6131" w14:textId="77777777" w:rsidR="00497CE3" w:rsidRPr="00C4011C" w:rsidRDefault="00497CE3" w:rsidP="00497CE3">
            <w:pPr>
              <w:jc w:val="center"/>
            </w:pPr>
            <w:r>
              <w:t>6</w:t>
            </w:r>
          </w:p>
        </w:tc>
        <w:tc>
          <w:tcPr>
            <w:tcW w:w="457" w:type="pct"/>
          </w:tcPr>
          <w:p w14:paraId="4A865FCE" w14:textId="77777777" w:rsidR="00497CE3" w:rsidRDefault="00497CE3" w:rsidP="00497CE3">
            <w:pPr>
              <w:jc w:val="center"/>
            </w:pPr>
            <w:r>
              <w:t>6</w:t>
            </w:r>
          </w:p>
        </w:tc>
        <w:tc>
          <w:tcPr>
            <w:tcW w:w="457" w:type="pct"/>
          </w:tcPr>
          <w:p w14:paraId="201634DC" w14:textId="77777777" w:rsidR="00497CE3" w:rsidRDefault="00497CE3" w:rsidP="00497CE3">
            <w:pPr>
              <w:jc w:val="center"/>
            </w:pPr>
            <w:r>
              <w:t>6</w:t>
            </w:r>
          </w:p>
        </w:tc>
        <w:tc>
          <w:tcPr>
            <w:tcW w:w="407" w:type="pct"/>
          </w:tcPr>
          <w:p w14:paraId="0EF6994B" w14:textId="77777777" w:rsidR="00497CE3" w:rsidRPr="00C4011C" w:rsidRDefault="00497CE3" w:rsidP="00497CE3">
            <w:pPr>
              <w:jc w:val="center"/>
            </w:pPr>
            <w:r>
              <w:t>6</w:t>
            </w:r>
          </w:p>
        </w:tc>
        <w:tc>
          <w:tcPr>
            <w:tcW w:w="557" w:type="pct"/>
          </w:tcPr>
          <w:p w14:paraId="25637CA8" w14:textId="77777777" w:rsidR="00497CE3" w:rsidRPr="0027147C" w:rsidRDefault="00497CE3" w:rsidP="00497CE3">
            <w:pPr>
              <w:jc w:val="center"/>
            </w:pPr>
            <w:r>
              <w:t>6</w:t>
            </w:r>
          </w:p>
        </w:tc>
        <w:tc>
          <w:tcPr>
            <w:tcW w:w="481" w:type="pct"/>
          </w:tcPr>
          <w:p w14:paraId="74B20B86" w14:textId="77777777" w:rsidR="00497CE3" w:rsidRPr="00C4011C" w:rsidRDefault="00497CE3" w:rsidP="00497CE3">
            <w:pPr>
              <w:jc w:val="center"/>
            </w:pPr>
            <w:r>
              <w:t>6</w:t>
            </w:r>
          </w:p>
        </w:tc>
      </w:tr>
      <w:tr w:rsidR="00497CE3" w14:paraId="6E32EF98" w14:textId="77777777" w:rsidTr="00497CE3">
        <w:tc>
          <w:tcPr>
            <w:tcW w:w="1065" w:type="pct"/>
          </w:tcPr>
          <w:p w14:paraId="260077AE" w14:textId="77777777" w:rsidR="00497CE3" w:rsidRPr="000D23CC" w:rsidRDefault="00497CE3" w:rsidP="00497CE3">
            <w:pPr>
              <w:rPr>
                <w:sz w:val="22"/>
              </w:rPr>
            </w:pPr>
            <w:r w:rsidRPr="000D23CC">
              <w:rPr>
                <w:sz w:val="22"/>
              </w:rPr>
              <w:t>Basal metriorhynchines</w:t>
            </w:r>
          </w:p>
        </w:tc>
        <w:tc>
          <w:tcPr>
            <w:tcW w:w="457" w:type="pct"/>
          </w:tcPr>
          <w:p w14:paraId="7AFC1E28" w14:textId="77777777" w:rsidR="00497CE3" w:rsidRPr="00C4011C" w:rsidRDefault="00497CE3" w:rsidP="00497CE3">
            <w:pPr>
              <w:jc w:val="center"/>
            </w:pPr>
            <w:r>
              <w:t>4</w:t>
            </w:r>
          </w:p>
        </w:tc>
        <w:tc>
          <w:tcPr>
            <w:tcW w:w="508" w:type="pct"/>
          </w:tcPr>
          <w:p w14:paraId="351DDD77" w14:textId="77777777" w:rsidR="00497CE3" w:rsidRPr="00C4011C" w:rsidRDefault="00497CE3" w:rsidP="00497CE3">
            <w:pPr>
              <w:jc w:val="center"/>
            </w:pPr>
            <w:r>
              <w:t>5</w:t>
            </w:r>
          </w:p>
        </w:tc>
        <w:tc>
          <w:tcPr>
            <w:tcW w:w="610" w:type="pct"/>
          </w:tcPr>
          <w:p w14:paraId="55C5FEAA" w14:textId="77777777" w:rsidR="00497CE3" w:rsidRPr="00C4011C" w:rsidRDefault="00497CE3" w:rsidP="00497CE3">
            <w:pPr>
              <w:jc w:val="center"/>
            </w:pPr>
            <w:r>
              <w:t>6</w:t>
            </w:r>
          </w:p>
        </w:tc>
        <w:tc>
          <w:tcPr>
            <w:tcW w:w="457" w:type="pct"/>
          </w:tcPr>
          <w:p w14:paraId="27C790D5" w14:textId="77777777" w:rsidR="00497CE3" w:rsidRDefault="00497CE3" w:rsidP="00497CE3">
            <w:pPr>
              <w:jc w:val="center"/>
            </w:pPr>
            <w:r>
              <w:t>5</w:t>
            </w:r>
          </w:p>
        </w:tc>
        <w:tc>
          <w:tcPr>
            <w:tcW w:w="457" w:type="pct"/>
          </w:tcPr>
          <w:p w14:paraId="2E0C0363" w14:textId="77777777" w:rsidR="00497CE3" w:rsidRDefault="00497CE3" w:rsidP="00497CE3">
            <w:pPr>
              <w:jc w:val="center"/>
            </w:pPr>
            <w:r>
              <w:t>5</w:t>
            </w:r>
          </w:p>
        </w:tc>
        <w:tc>
          <w:tcPr>
            <w:tcW w:w="407" w:type="pct"/>
          </w:tcPr>
          <w:p w14:paraId="1DEAB5CC" w14:textId="77777777" w:rsidR="00497CE3" w:rsidRPr="00C4011C" w:rsidRDefault="00497CE3" w:rsidP="00497CE3">
            <w:pPr>
              <w:jc w:val="center"/>
            </w:pPr>
            <w:r>
              <w:t>5</w:t>
            </w:r>
          </w:p>
        </w:tc>
        <w:tc>
          <w:tcPr>
            <w:tcW w:w="557" w:type="pct"/>
          </w:tcPr>
          <w:p w14:paraId="504D1BDD" w14:textId="77777777" w:rsidR="00497CE3" w:rsidRPr="0027147C" w:rsidRDefault="00497CE3" w:rsidP="00497CE3">
            <w:pPr>
              <w:tabs>
                <w:tab w:val="left" w:pos="495"/>
                <w:tab w:val="center" w:pos="730"/>
              </w:tabs>
              <w:jc w:val="center"/>
            </w:pPr>
            <w:r>
              <w:t>5</w:t>
            </w:r>
          </w:p>
        </w:tc>
        <w:tc>
          <w:tcPr>
            <w:tcW w:w="481" w:type="pct"/>
          </w:tcPr>
          <w:p w14:paraId="3932D570" w14:textId="77777777" w:rsidR="00497CE3" w:rsidRPr="00C4011C" w:rsidRDefault="00497CE3" w:rsidP="00497CE3">
            <w:pPr>
              <w:jc w:val="center"/>
            </w:pPr>
            <w:r>
              <w:t>3</w:t>
            </w:r>
          </w:p>
        </w:tc>
      </w:tr>
      <w:tr w:rsidR="00497CE3" w14:paraId="59B66693" w14:textId="77777777" w:rsidTr="00497CE3">
        <w:tc>
          <w:tcPr>
            <w:tcW w:w="1065" w:type="pct"/>
          </w:tcPr>
          <w:p w14:paraId="331E861E" w14:textId="77777777" w:rsidR="00497CE3" w:rsidRPr="000D23CC" w:rsidRDefault="00497CE3" w:rsidP="00497CE3">
            <w:pPr>
              <w:rPr>
                <w:sz w:val="22"/>
              </w:rPr>
            </w:pPr>
            <w:r w:rsidRPr="000D23CC">
              <w:rPr>
                <w:sz w:val="22"/>
              </w:rPr>
              <w:t>Rhacheosaurini</w:t>
            </w:r>
          </w:p>
        </w:tc>
        <w:tc>
          <w:tcPr>
            <w:tcW w:w="457" w:type="pct"/>
          </w:tcPr>
          <w:p w14:paraId="350BF5F4" w14:textId="77777777" w:rsidR="00497CE3" w:rsidRPr="00C4011C" w:rsidRDefault="00497CE3" w:rsidP="00497CE3">
            <w:pPr>
              <w:jc w:val="center"/>
            </w:pPr>
            <w:r>
              <w:t>4</w:t>
            </w:r>
          </w:p>
        </w:tc>
        <w:tc>
          <w:tcPr>
            <w:tcW w:w="508" w:type="pct"/>
          </w:tcPr>
          <w:p w14:paraId="26E76F4E" w14:textId="77777777" w:rsidR="00497CE3" w:rsidRPr="00C4011C" w:rsidRDefault="00497CE3" w:rsidP="00497CE3">
            <w:pPr>
              <w:jc w:val="center"/>
            </w:pPr>
            <w:r>
              <w:t>5</w:t>
            </w:r>
          </w:p>
        </w:tc>
        <w:tc>
          <w:tcPr>
            <w:tcW w:w="610" w:type="pct"/>
          </w:tcPr>
          <w:p w14:paraId="17A5B8C3" w14:textId="77777777" w:rsidR="00497CE3" w:rsidRPr="00C4011C" w:rsidRDefault="00497CE3" w:rsidP="00497CE3">
            <w:pPr>
              <w:jc w:val="center"/>
            </w:pPr>
            <w:r>
              <w:t>12</w:t>
            </w:r>
          </w:p>
        </w:tc>
        <w:tc>
          <w:tcPr>
            <w:tcW w:w="457" w:type="pct"/>
          </w:tcPr>
          <w:p w14:paraId="4BADD7DF" w14:textId="77777777" w:rsidR="00497CE3" w:rsidRDefault="00497CE3" w:rsidP="00497CE3">
            <w:pPr>
              <w:jc w:val="center"/>
            </w:pPr>
            <w:r>
              <w:t>11</w:t>
            </w:r>
          </w:p>
        </w:tc>
        <w:tc>
          <w:tcPr>
            <w:tcW w:w="457" w:type="pct"/>
          </w:tcPr>
          <w:p w14:paraId="673F6757" w14:textId="77777777" w:rsidR="00497CE3" w:rsidRDefault="00497CE3" w:rsidP="00497CE3">
            <w:pPr>
              <w:jc w:val="center"/>
            </w:pPr>
            <w:r>
              <w:t>11</w:t>
            </w:r>
          </w:p>
        </w:tc>
        <w:tc>
          <w:tcPr>
            <w:tcW w:w="407" w:type="pct"/>
          </w:tcPr>
          <w:p w14:paraId="066C72F0" w14:textId="77777777" w:rsidR="00497CE3" w:rsidRPr="00C4011C" w:rsidRDefault="00497CE3" w:rsidP="00497CE3">
            <w:pPr>
              <w:jc w:val="center"/>
            </w:pPr>
            <w:r>
              <w:t>11</w:t>
            </w:r>
          </w:p>
        </w:tc>
        <w:tc>
          <w:tcPr>
            <w:tcW w:w="557" w:type="pct"/>
          </w:tcPr>
          <w:p w14:paraId="09821E1C" w14:textId="77777777" w:rsidR="00497CE3" w:rsidRPr="00C4011C" w:rsidRDefault="00497CE3" w:rsidP="00497CE3">
            <w:pPr>
              <w:jc w:val="center"/>
            </w:pPr>
            <w:r>
              <w:t>11</w:t>
            </w:r>
          </w:p>
        </w:tc>
        <w:tc>
          <w:tcPr>
            <w:tcW w:w="481" w:type="pct"/>
          </w:tcPr>
          <w:p w14:paraId="5FC9BF22" w14:textId="77777777" w:rsidR="00497CE3" w:rsidRPr="00C4011C" w:rsidRDefault="00497CE3" w:rsidP="00497CE3">
            <w:pPr>
              <w:jc w:val="center"/>
            </w:pPr>
            <w:r>
              <w:t>13</w:t>
            </w:r>
          </w:p>
        </w:tc>
      </w:tr>
      <w:tr w:rsidR="00497CE3" w14:paraId="5DED483A" w14:textId="77777777" w:rsidTr="00497CE3">
        <w:tc>
          <w:tcPr>
            <w:tcW w:w="1065" w:type="pct"/>
          </w:tcPr>
          <w:p w14:paraId="4589EC78" w14:textId="77777777" w:rsidR="00497CE3" w:rsidRPr="000D23CC" w:rsidRDefault="00497CE3" w:rsidP="00497CE3">
            <w:pPr>
              <w:rPr>
                <w:sz w:val="22"/>
              </w:rPr>
            </w:pPr>
            <w:r w:rsidRPr="000D23CC">
              <w:rPr>
                <w:sz w:val="22"/>
              </w:rPr>
              <w:t>Basal geosaurines</w:t>
            </w:r>
          </w:p>
        </w:tc>
        <w:tc>
          <w:tcPr>
            <w:tcW w:w="457" w:type="pct"/>
          </w:tcPr>
          <w:p w14:paraId="574193FB" w14:textId="77777777" w:rsidR="00497CE3" w:rsidRPr="00C4011C" w:rsidRDefault="00497CE3" w:rsidP="00497CE3">
            <w:pPr>
              <w:jc w:val="center"/>
            </w:pPr>
            <w:r>
              <w:t>3</w:t>
            </w:r>
          </w:p>
        </w:tc>
        <w:tc>
          <w:tcPr>
            <w:tcW w:w="508" w:type="pct"/>
          </w:tcPr>
          <w:p w14:paraId="09D6DC9A" w14:textId="77777777" w:rsidR="00497CE3" w:rsidRPr="00C4011C" w:rsidRDefault="00497CE3" w:rsidP="00497CE3">
            <w:pPr>
              <w:jc w:val="center"/>
            </w:pPr>
            <w:r>
              <w:t>3</w:t>
            </w:r>
          </w:p>
        </w:tc>
        <w:tc>
          <w:tcPr>
            <w:tcW w:w="610" w:type="pct"/>
          </w:tcPr>
          <w:p w14:paraId="12D9C050" w14:textId="77777777" w:rsidR="00497CE3" w:rsidRPr="00C4011C" w:rsidRDefault="00497CE3" w:rsidP="00497CE3">
            <w:pPr>
              <w:jc w:val="center"/>
            </w:pPr>
            <w:r>
              <w:t>5</w:t>
            </w:r>
          </w:p>
        </w:tc>
        <w:tc>
          <w:tcPr>
            <w:tcW w:w="457" w:type="pct"/>
          </w:tcPr>
          <w:p w14:paraId="46B371A9" w14:textId="77777777" w:rsidR="00497CE3" w:rsidRDefault="00497CE3" w:rsidP="00497CE3">
            <w:pPr>
              <w:jc w:val="center"/>
            </w:pPr>
            <w:r>
              <w:t>5</w:t>
            </w:r>
          </w:p>
        </w:tc>
        <w:tc>
          <w:tcPr>
            <w:tcW w:w="457" w:type="pct"/>
          </w:tcPr>
          <w:p w14:paraId="6D1C4DDD" w14:textId="77777777" w:rsidR="00497CE3" w:rsidRDefault="00497CE3" w:rsidP="00497CE3">
            <w:pPr>
              <w:jc w:val="center"/>
            </w:pPr>
            <w:r>
              <w:t>5</w:t>
            </w:r>
          </w:p>
        </w:tc>
        <w:tc>
          <w:tcPr>
            <w:tcW w:w="407" w:type="pct"/>
          </w:tcPr>
          <w:p w14:paraId="71E3FF95" w14:textId="77777777" w:rsidR="00497CE3" w:rsidRPr="00C4011C" w:rsidRDefault="00497CE3" w:rsidP="00497CE3">
            <w:pPr>
              <w:jc w:val="center"/>
            </w:pPr>
            <w:r>
              <w:t>5</w:t>
            </w:r>
          </w:p>
        </w:tc>
        <w:tc>
          <w:tcPr>
            <w:tcW w:w="557" w:type="pct"/>
          </w:tcPr>
          <w:p w14:paraId="52D0F156" w14:textId="77777777" w:rsidR="00497CE3" w:rsidRPr="00C4011C" w:rsidRDefault="00497CE3" w:rsidP="00497CE3">
            <w:pPr>
              <w:jc w:val="center"/>
            </w:pPr>
            <w:r>
              <w:t>5</w:t>
            </w:r>
          </w:p>
        </w:tc>
        <w:tc>
          <w:tcPr>
            <w:tcW w:w="481" w:type="pct"/>
          </w:tcPr>
          <w:p w14:paraId="34C753F9" w14:textId="77777777" w:rsidR="00497CE3" w:rsidRPr="00C4011C" w:rsidRDefault="00497CE3" w:rsidP="00497CE3">
            <w:pPr>
              <w:jc w:val="center"/>
            </w:pPr>
            <w:r>
              <w:t>5</w:t>
            </w:r>
          </w:p>
        </w:tc>
      </w:tr>
      <w:tr w:rsidR="00497CE3" w14:paraId="38FFB544" w14:textId="77777777" w:rsidTr="00497CE3">
        <w:tc>
          <w:tcPr>
            <w:tcW w:w="1065" w:type="pct"/>
            <w:tcBorders>
              <w:bottom w:val="single" w:sz="4" w:space="0" w:color="auto"/>
            </w:tcBorders>
          </w:tcPr>
          <w:p w14:paraId="72F8D1ED" w14:textId="77777777" w:rsidR="00497CE3" w:rsidRPr="000D23CC" w:rsidRDefault="00497CE3" w:rsidP="00497CE3">
            <w:pPr>
              <w:rPr>
                <w:sz w:val="22"/>
              </w:rPr>
            </w:pPr>
            <w:r w:rsidRPr="000D23CC">
              <w:rPr>
                <w:sz w:val="22"/>
              </w:rPr>
              <w:t>Geosaurini</w:t>
            </w:r>
          </w:p>
        </w:tc>
        <w:tc>
          <w:tcPr>
            <w:tcW w:w="457" w:type="pct"/>
            <w:tcBorders>
              <w:bottom w:val="single" w:sz="4" w:space="0" w:color="auto"/>
            </w:tcBorders>
          </w:tcPr>
          <w:p w14:paraId="4E9A70C6" w14:textId="77777777" w:rsidR="00497CE3" w:rsidRPr="00C4011C" w:rsidRDefault="00497CE3" w:rsidP="00497CE3">
            <w:pPr>
              <w:jc w:val="center"/>
            </w:pPr>
            <w:r>
              <w:t>4</w:t>
            </w:r>
          </w:p>
        </w:tc>
        <w:tc>
          <w:tcPr>
            <w:tcW w:w="508" w:type="pct"/>
            <w:tcBorders>
              <w:bottom w:val="single" w:sz="4" w:space="0" w:color="auto"/>
            </w:tcBorders>
          </w:tcPr>
          <w:p w14:paraId="15E5498D" w14:textId="77777777" w:rsidR="00497CE3" w:rsidRPr="00C4011C" w:rsidRDefault="00497CE3" w:rsidP="00497CE3">
            <w:pPr>
              <w:jc w:val="center"/>
            </w:pPr>
            <w:r>
              <w:t>5</w:t>
            </w:r>
          </w:p>
        </w:tc>
        <w:tc>
          <w:tcPr>
            <w:tcW w:w="610" w:type="pct"/>
            <w:tcBorders>
              <w:bottom w:val="single" w:sz="4" w:space="0" w:color="auto"/>
            </w:tcBorders>
          </w:tcPr>
          <w:p w14:paraId="18437619" w14:textId="77777777" w:rsidR="00497CE3" w:rsidRPr="00C4011C" w:rsidRDefault="00497CE3" w:rsidP="00497CE3">
            <w:pPr>
              <w:jc w:val="center"/>
            </w:pPr>
            <w:r>
              <w:t>11</w:t>
            </w:r>
          </w:p>
        </w:tc>
        <w:tc>
          <w:tcPr>
            <w:tcW w:w="457" w:type="pct"/>
            <w:tcBorders>
              <w:bottom w:val="single" w:sz="4" w:space="0" w:color="auto"/>
            </w:tcBorders>
          </w:tcPr>
          <w:p w14:paraId="6F1668AF" w14:textId="77777777" w:rsidR="00497CE3" w:rsidRDefault="00497CE3" w:rsidP="00497CE3">
            <w:pPr>
              <w:jc w:val="center"/>
            </w:pPr>
            <w:r>
              <w:t>11</w:t>
            </w:r>
          </w:p>
        </w:tc>
        <w:tc>
          <w:tcPr>
            <w:tcW w:w="457" w:type="pct"/>
            <w:tcBorders>
              <w:bottom w:val="single" w:sz="4" w:space="0" w:color="auto"/>
            </w:tcBorders>
          </w:tcPr>
          <w:p w14:paraId="49BAE5FA" w14:textId="77777777" w:rsidR="00497CE3" w:rsidRDefault="00497CE3" w:rsidP="00497CE3">
            <w:pPr>
              <w:jc w:val="center"/>
            </w:pPr>
            <w:r>
              <w:t>12</w:t>
            </w:r>
          </w:p>
        </w:tc>
        <w:tc>
          <w:tcPr>
            <w:tcW w:w="407" w:type="pct"/>
            <w:tcBorders>
              <w:bottom w:val="single" w:sz="4" w:space="0" w:color="auto"/>
            </w:tcBorders>
          </w:tcPr>
          <w:p w14:paraId="221590F2" w14:textId="77777777" w:rsidR="00497CE3" w:rsidRPr="00C4011C" w:rsidRDefault="00497CE3" w:rsidP="00497CE3">
            <w:pPr>
              <w:jc w:val="center"/>
            </w:pPr>
            <w:r>
              <w:t>9</w:t>
            </w:r>
          </w:p>
        </w:tc>
        <w:tc>
          <w:tcPr>
            <w:tcW w:w="557" w:type="pct"/>
            <w:tcBorders>
              <w:bottom w:val="single" w:sz="4" w:space="0" w:color="auto"/>
            </w:tcBorders>
          </w:tcPr>
          <w:p w14:paraId="306667AF" w14:textId="77777777" w:rsidR="00497CE3" w:rsidRPr="00C4011C" w:rsidRDefault="00497CE3" w:rsidP="00497CE3">
            <w:pPr>
              <w:jc w:val="center"/>
            </w:pPr>
            <w:r>
              <w:t>11</w:t>
            </w:r>
          </w:p>
        </w:tc>
        <w:tc>
          <w:tcPr>
            <w:tcW w:w="481" w:type="pct"/>
          </w:tcPr>
          <w:p w14:paraId="63A48142" w14:textId="77777777" w:rsidR="00497CE3" w:rsidRPr="00C4011C" w:rsidRDefault="00497CE3" w:rsidP="00497CE3">
            <w:pPr>
              <w:jc w:val="center"/>
            </w:pPr>
            <w:r>
              <w:t>14</w:t>
            </w:r>
          </w:p>
        </w:tc>
      </w:tr>
      <w:tr w:rsidR="00497CE3" w14:paraId="3CB4F916" w14:textId="77777777" w:rsidTr="00497CE3">
        <w:tc>
          <w:tcPr>
            <w:tcW w:w="1065" w:type="pct"/>
            <w:tcBorders>
              <w:right w:val="nil"/>
            </w:tcBorders>
            <w:shd w:val="clear" w:color="auto" w:fill="F2F2F2" w:themeFill="background1" w:themeFillShade="F2"/>
          </w:tcPr>
          <w:p w14:paraId="44D9C7F2" w14:textId="77777777" w:rsidR="00497CE3" w:rsidRPr="00466CF0" w:rsidRDefault="00497CE3" w:rsidP="00497CE3">
            <w:pPr>
              <w:rPr>
                <w:sz w:val="12"/>
              </w:rPr>
            </w:pPr>
          </w:p>
        </w:tc>
        <w:tc>
          <w:tcPr>
            <w:tcW w:w="457" w:type="pct"/>
            <w:tcBorders>
              <w:left w:val="nil"/>
              <w:right w:val="nil"/>
            </w:tcBorders>
            <w:shd w:val="clear" w:color="auto" w:fill="F2F2F2" w:themeFill="background1" w:themeFillShade="F2"/>
          </w:tcPr>
          <w:p w14:paraId="71D86B5F" w14:textId="77777777" w:rsidR="00497CE3" w:rsidRPr="00466CF0" w:rsidRDefault="00497CE3" w:rsidP="00497CE3">
            <w:pPr>
              <w:jc w:val="center"/>
              <w:rPr>
                <w:sz w:val="12"/>
              </w:rPr>
            </w:pPr>
          </w:p>
        </w:tc>
        <w:tc>
          <w:tcPr>
            <w:tcW w:w="508" w:type="pct"/>
            <w:tcBorders>
              <w:left w:val="nil"/>
              <w:right w:val="nil"/>
            </w:tcBorders>
            <w:shd w:val="clear" w:color="auto" w:fill="F2F2F2" w:themeFill="background1" w:themeFillShade="F2"/>
          </w:tcPr>
          <w:p w14:paraId="169C2143" w14:textId="77777777" w:rsidR="00497CE3" w:rsidRPr="00466CF0" w:rsidRDefault="00497CE3" w:rsidP="00497CE3">
            <w:pPr>
              <w:jc w:val="center"/>
              <w:rPr>
                <w:sz w:val="12"/>
              </w:rPr>
            </w:pPr>
          </w:p>
        </w:tc>
        <w:tc>
          <w:tcPr>
            <w:tcW w:w="610" w:type="pct"/>
            <w:tcBorders>
              <w:left w:val="nil"/>
              <w:right w:val="nil"/>
            </w:tcBorders>
            <w:shd w:val="clear" w:color="auto" w:fill="F2F2F2" w:themeFill="background1" w:themeFillShade="F2"/>
          </w:tcPr>
          <w:p w14:paraId="7EB4C3A7" w14:textId="77777777" w:rsidR="00497CE3" w:rsidRPr="00466CF0" w:rsidRDefault="00497CE3" w:rsidP="00497CE3">
            <w:pPr>
              <w:jc w:val="center"/>
              <w:rPr>
                <w:sz w:val="12"/>
              </w:rPr>
            </w:pPr>
          </w:p>
        </w:tc>
        <w:tc>
          <w:tcPr>
            <w:tcW w:w="457" w:type="pct"/>
            <w:tcBorders>
              <w:left w:val="nil"/>
              <w:right w:val="nil"/>
            </w:tcBorders>
            <w:shd w:val="clear" w:color="auto" w:fill="F2F2F2" w:themeFill="background1" w:themeFillShade="F2"/>
          </w:tcPr>
          <w:p w14:paraId="77C2E656" w14:textId="77777777" w:rsidR="00497CE3" w:rsidRPr="00466CF0" w:rsidRDefault="00497CE3" w:rsidP="00497CE3">
            <w:pPr>
              <w:jc w:val="center"/>
              <w:rPr>
                <w:sz w:val="12"/>
              </w:rPr>
            </w:pPr>
          </w:p>
        </w:tc>
        <w:tc>
          <w:tcPr>
            <w:tcW w:w="457" w:type="pct"/>
            <w:tcBorders>
              <w:left w:val="nil"/>
              <w:right w:val="nil"/>
            </w:tcBorders>
            <w:shd w:val="clear" w:color="auto" w:fill="F2F2F2" w:themeFill="background1" w:themeFillShade="F2"/>
          </w:tcPr>
          <w:p w14:paraId="0B0B5713" w14:textId="77777777" w:rsidR="00497CE3" w:rsidRPr="00466CF0" w:rsidRDefault="00497CE3" w:rsidP="00497CE3">
            <w:pPr>
              <w:jc w:val="center"/>
              <w:rPr>
                <w:sz w:val="12"/>
              </w:rPr>
            </w:pPr>
          </w:p>
        </w:tc>
        <w:tc>
          <w:tcPr>
            <w:tcW w:w="407" w:type="pct"/>
            <w:tcBorders>
              <w:left w:val="nil"/>
              <w:right w:val="nil"/>
            </w:tcBorders>
            <w:shd w:val="clear" w:color="auto" w:fill="F2F2F2" w:themeFill="background1" w:themeFillShade="F2"/>
          </w:tcPr>
          <w:p w14:paraId="4D1821AF" w14:textId="77777777" w:rsidR="00497CE3" w:rsidRPr="00466CF0" w:rsidRDefault="00497CE3" w:rsidP="00497CE3">
            <w:pPr>
              <w:jc w:val="center"/>
              <w:rPr>
                <w:sz w:val="12"/>
              </w:rPr>
            </w:pPr>
          </w:p>
        </w:tc>
        <w:tc>
          <w:tcPr>
            <w:tcW w:w="557" w:type="pct"/>
            <w:tcBorders>
              <w:left w:val="nil"/>
              <w:right w:val="nil"/>
            </w:tcBorders>
            <w:shd w:val="clear" w:color="auto" w:fill="F2F2F2" w:themeFill="background1" w:themeFillShade="F2"/>
          </w:tcPr>
          <w:p w14:paraId="31D10FBD" w14:textId="77777777" w:rsidR="00497CE3" w:rsidRPr="00466CF0" w:rsidRDefault="00497CE3" w:rsidP="00497CE3">
            <w:pPr>
              <w:jc w:val="center"/>
              <w:rPr>
                <w:sz w:val="12"/>
              </w:rPr>
            </w:pPr>
          </w:p>
        </w:tc>
        <w:tc>
          <w:tcPr>
            <w:tcW w:w="481" w:type="pct"/>
            <w:tcBorders>
              <w:left w:val="nil"/>
            </w:tcBorders>
            <w:shd w:val="clear" w:color="auto" w:fill="F2F2F2" w:themeFill="background1" w:themeFillShade="F2"/>
          </w:tcPr>
          <w:p w14:paraId="3C55A558" w14:textId="77777777" w:rsidR="00497CE3" w:rsidRPr="00466CF0" w:rsidRDefault="00497CE3" w:rsidP="00497CE3">
            <w:pPr>
              <w:jc w:val="center"/>
              <w:rPr>
                <w:sz w:val="12"/>
              </w:rPr>
            </w:pPr>
          </w:p>
        </w:tc>
      </w:tr>
      <w:tr w:rsidR="00497CE3" w14:paraId="71DA07BE" w14:textId="77777777" w:rsidTr="00497CE3">
        <w:tc>
          <w:tcPr>
            <w:tcW w:w="1065" w:type="pct"/>
          </w:tcPr>
          <w:p w14:paraId="05C48BD9" w14:textId="77777777" w:rsidR="00497CE3" w:rsidRPr="00B805BC" w:rsidRDefault="00497CE3" w:rsidP="00497CE3">
            <w:pPr>
              <w:rPr>
                <w:b/>
              </w:rPr>
            </w:pPr>
            <w:r w:rsidRPr="00B805BC">
              <w:rPr>
                <w:b/>
              </w:rPr>
              <w:t>Total number of OTUs</w:t>
            </w:r>
          </w:p>
        </w:tc>
        <w:tc>
          <w:tcPr>
            <w:tcW w:w="457" w:type="pct"/>
          </w:tcPr>
          <w:p w14:paraId="6035C8EA" w14:textId="77777777" w:rsidR="00497CE3" w:rsidRPr="007509D6" w:rsidRDefault="00497CE3" w:rsidP="00497CE3">
            <w:pPr>
              <w:jc w:val="center"/>
              <w:rPr>
                <w:b/>
              </w:rPr>
            </w:pPr>
            <w:r w:rsidRPr="007509D6">
              <w:rPr>
                <w:b/>
              </w:rPr>
              <w:t>21</w:t>
            </w:r>
          </w:p>
        </w:tc>
        <w:tc>
          <w:tcPr>
            <w:tcW w:w="508" w:type="pct"/>
          </w:tcPr>
          <w:p w14:paraId="0A69A4FC" w14:textId="77777777" w:rsidR="00497CE3" w:rsidRPr="007509D6" w:rsidRDefault="00497CE3" w:rsidP="00497CE3">
            <w:pPr>
              <w:jc w:val="center"/>
              <w:rPr>
                <w:b/>
              </w:rPr>
            </w:pPr>
            <w:r w:rsidRPr="007509D6">
              <w:rPr>
                <w:b/>
              </w:rPr>
              <w:t>28</w:t>
            </w:r>
          </w:p>
        </w:tc>
        <w:tc>
          <w:tcPr>
            <w:tcW w:w="610" w:type="pct"/>
          </w:tcPr>
          <w:p w14:paraId="11EB0136" w14:textId="77777777" w:rsidR="00497CE3" w:rsidRPr="007509D6" w:rsidRDefault="00497CE3" w:rsidP="00497CE3">
            <w:pPr>
              <w:jc w:val="center"/>
              <w:rPr>
                <w:b/>
              </w:rPr>
            </w:pPr>
            <w:r>
              <w:rPr>
                <w:b/>
              </w:rPr>
              <w:t>86</w:t>
            </w:r>
          </w:p>
        </w:tc>
        <w:tc>
          <w:tcPr>
            <w:tcW w:w="457" w:type="pct"/>
          </w:tcPr>
          <w:p w14:paraId="7F9A27CA" w14:textId="77777777" w:rsidR="00497CE3" w:rsidRDefault="00497CE3" w:rsidP="00497CE3">
            <w:pPr>
              <w:jc w:val="center"/>
              <w:rPr>
                <w:b/>
              </w:rPr>
            </w:pPr>
            <w:r>
              <w:rPr>
                <w:b/>
              </w:rPr>
              <w:t>50</w:t>
            </w:r>
          </w:p>
        </w:tc>
        <w:tc>
          <w:tcPr>
            <w:tcW w:w="457" w:type="pct"/>
          </w:tcPr>
          <w:p w14:paraId="57F572E8" w14:textId="77777777" w:rsidR="00497CE3" w:rsidRDefault="00497CE3" w:rsidP="00497CE3">
            <w:pPr>
              <w:jc w:val="center"/>
              <w:rPr>
                <w:b/>
              </w:rPr>
            </w:pPr>
            <w:r>
              <w:rPr>
                <w:b/>
              </w:rPr>
              <w:t>51</w:t>
            </w:r>
          </w:p>
        </w:tc>
        <w:tc>
          <w:tcPr>
            <w:tcW w:w="407" w:type="pct"/>
          </w:tcPr>
          <w:p w14:paraId="7E46184D" w14:textId="77777777" w:rsidR="00497CE3" w:rsidRPr="007509D6" w:rsidRDefault="00497CE3" w:rsidP="00497CE3">
            <w:pPr>
              <w:jc w:val="center"/>
              <w:rPr>
                <w:b/>
              </w:rPr>
            </w:pPr>
            <w:r>
              <w:rPr>
                <w:b/>
              </w:rPr>
              <w:t>73</w:t>
            </w:r>
          </w:p>
        </w:tc>
        <w:tc>
          <w:tcPr>
            <w:tcW w:w="557" w:type="pct"/>
          </w:tcPr>
          <w:p w14:paraId="621F42FF" w14:textId="77777777" w:rsidR="00497CE3" w:rsidRPr="007509D6" w:rsidRDefault="00497CE3" w:rsidP="00497CE3">
            <w:pPr>
              <w:jc w:val="center"/>
              <w:rPr>
                <w:b/>
              </w:rPr>
            </w:pPr>
            <w:r>
              <w:rPr>
                <w:b/>
              </w:rPr>
              <w:t>75</w:t>
            </w:r>
          </w:p>
        </w:tc>
        <w:tc>
          <w:tcPr>
            <w:tcW w:w="481" w:type="pct"/>
          </w:tcPr>
          <w:p w14:paraId="645A28BF" w14:textId="77777777" w:rsidR="00497CE3" w:rsidRPr="007509D6" w:rsidRDefault="00497CE3" w:rsidP="00497CE3">
            <w:pPr>
              <w:jc w:val="center"/>
              <w:rPr>
                <w:b/>
              </w:rPr>
            </w:pPr>
            <w:r w:rsidRPr="007509D6">
              <w:rPr>
                <w:b/>
              </w:rPr>
              <w:t>104</w:t>
            </w:r>
          </w:p>
        </w:tc>
      </w:tr>
      <w:tr w:rsidR="00497CE3" w14:paraId="1977FEF6" w14:textId="77777777" w:rsidTr="00497CE3">
        <w:tc>
          <w:tcPr>
            <w:tcW w:w="1065" w:type="pct"/>
            <w:tcBorders>
              <w:right w:val="nil"/>
            </w:tcBorders>
            <w:shd w:val="clear" w:color="auto" w:fill="F2F2F2" w:themeFill="background1" w:themeFillShade="F2"/>
          </w:tcPr>
          <w:p w14:paraId="5467F47D" w14:textId="77777777" w:rsidR="00497CE3" w:rsidRPr="00466CF0" w:rsidRDefault="00497CE3" w:rsidP="00497CE3">
            <w:pPr>
              <w:rPr>
                <w:sz w:val="12"/>
                <w:szCs w:val="16"/>
              </w:rPr>
            </w:pPr>
          </w:p>
        </w:tc>
        <w:tc>
          <w:tcPr>
            <w:tcW w:w="457" w:type="pct"/>
            <w:tcBorders>
              <w:left w:val="nil"/>
              <w:right w:val="nil"/>
            </w:tcBorders>
            <w:shd w:val="clear" w:color="auto" w:fill="F2F2F2" w:themeFill="background1" w:themeFillShade="F2"/>
          </w:tcPr>
          <w:p w14:paraId="331B51FA" w14:textId="77777777" w:rsidR="00497CE3" w:rsidRPr="00466CF0" w:rsidRDefault="00497CE3" w:rsidP="00497CE3">
            <w:pPr>
              <w:jc w:val="center"/>
              <w:rPr>
                <w:sz w:val="12"/>
                <w:szCs w:val="16"/>
              </w:rPr>
            </w:pPr>
          </w:p>
        </w:tc>
        <w:tc>
          <w:tcPr>
            <w:tcW w:w="508" w:type="pct"/>
            <w:tcBorders>
              <w:left w:val="nil"/>
              <w:right w:val="nil"/>
            </w:tcBorders>
            <w:shd w:val="clear" w:color="auto" w:fill="F2F2F2" w:themeFill="background1" w:themeFillShade="F2"/>
          </w:tcPr>
          <w:p w14:paraId="3A24B33F" w14:textId="77777777" w:rsidR="00497CE3" w:rsidRPr="00466CF0" w:rsidRDefault="00497CE3" w:rsidP="00497CE3">
            <w:pPr>
              <w:jc w:val="center"/>
              <w:rPr>
                <w:sz w:val="12"/>
                <w:szCs w:val="16"/>
              </w:rPr>
            </w:pPr>
          </w:p>
        </w:tc>
        <w:tc>
          <w:tcPr>
            <w:tcW w:w="610" w:type="pct"/>
            <w:tcBorders>
              <w:left w:val="nil"/>
              <w:right w:val="nil"/>
            </w:tcBorders>
            <w:shd w:val="clear" w:color="auto" w:fill="F2F2F2" w:themeFill="background1" w:themeFillShade="F2"/>
          </w:tcPr>
          <w:p w14:paraId="2CFD400B" w14:textId="77777777" w:rsidR="00497CE3" w:rsidRPr="00466CF0" w:rsidRDefault="00497CE3" w:rsidP="00497CE3">
            <w:pPr>
              <w:jc w:val="center"/>
              <w:rPr>
                <w:sz w:val="12"/>
                <w:szCs w:val="16"/>
              </w:rPr>
            </w:pPr>
          </w:p>
        </w:tc>
        <w:tc>
          <w:tcPr>
            <w:tcW w:w="457" w:type="pct"/>
            <w:tcBorders>
              <w:left w:val="nil"/>
              <w:right w:val="nil"/>
            </w:tcBorders>
            <w:shd w:val="clear" w:color="auto" w:fill="F2F2F2" w:themeFill="background1" w:themeFillShade="F2"/>
          </w:tcPr>
          <w:p w14:paraId="0A8EBCC4" w14:textId="77777777" w:rsidR="00497CE3" w:rsidRPr="00466CF0" w:rsidRDefault="00497CE3" w:rsidP="00497CE3">
            <w:pPr>
              <w:jc w:val="center"/>
              <w:rPr>
                <w:sz w:val="12"/>
                <w:szCs w:val="16"/>
              </w:rPr>
            </w:pPr>
          </w:p>
        </w:tc>
        <w:tc>
          <w:tcPr>
            <w:tcW w:w="457" w:type="pct"/>
            <w:tcBorders>
              <w:left w:val="nil"/>
              <w:right w:val="nil"/>
            </w:tcBorders>
            <w:shd w:val="clear" w:color="auto" w:fill="F2F2F2" w:themeFill="background1" w:themeFillShade="F2"/>
          </w:tcPr>
          <w:p w14:paraId="20EC6BB8" w14:textId="77777777" w:rsidR="00497CE3" w:rsidRPr="00466CF0" w:rsidRDefault="00497CE3" w:rsidP="00497CE3">
            <w:pPr>
              <w:jc w:val="center"/>
              <w:rPr>
                <w:sz w:val="12"/>
                <w:szCs w:val="16"/>
              </w:rPr>
            </w:pPr>
          </w:p>
        </w:tc>
        <w:tc>
          <w:tcPr>
            <w:tcW w:w="407" w:type="pct"/>
            <w:tcBorders>
              <w:left w:val="nil"/>
              <w:right w:val="nil"/>
            </w:tcBorders>
            <w:shd w:val="clear" w:color="auto" w:fill="F2F2F2" w:themeFill="background1" w:themeFillShade="F2"/>
          </w:tcPr>
          <w:p w14:paraId="28ED3462" w14:textId="77777777" w:rsidR="00497CE3" w:rsidRPr="00466CF0" w:rsidRDefault="00497CE3" w:rsidP="00497CE3">
            <w:pPr>
              <w:jc w:val="center"/>
              <w:rPr>
                <w:sz w:val="12"/>
                <w:szCs w:val="16"/>
              </w:rPr>
            </w:pPr>
          </w:p>
        </w:tc>
        <w:tc>
          <w:tcPr>
            <w:tcW w:w="557" w:type="pct"/>
            <w:tcBorders>
              <w:left w:val="nil"/>
              <w:right w:val="nil"/>
            </w:tcBorders>
            <w:shd w:val="clear" w:color="auto" w:fill="F2F2F2" w:themeFill="background1" w:themeFillShade="F2"/>
          </w:tcPr>
          <w:p w14:paraId="2EFF5278" w14:textId="77777777" w:rsidR="00497CE3" w:rsidRPr="00466CF0" w:rsidRDefault="00497CE3" w:rsidP="00497CE3">
            <w:pPr>
              <w:jc w:val="center"/>
              <w:rPr>
                <w:sz w:val="12"/>
                <w:szCs w:val="16"/>
              </w:rPr>
            </w:pPr>
          </w:p>
        </w:tc>
        <w:tc>
          <w:tcPr>
            <w:tcW w:w="481" w:type="pct"/>
            <w:tcBorders>
              <w:left w:val="nil"/>
            </w:tcBorders>
            <w:shd w:val="clear" w:color="auto" w:fill="F2F2F2" w:themeFill="background1" w:themeFillShade="F2"/>
          </w:tcPr>
          <w:p w14:paraId="140B8848" w14:textId="77777777" w:rsidR="00497CE3" w:rsidRPr="00466CF0" w:rsidRDefault="00497CE3" w:rsidP="00497CE3">
            <w:pPr>
              <w:jc w:val="center"/>
              <w:rPr>
                <w:sz w:val="12"/>
                <w:szCs w:val="16"/>
              </w:rPr>
            </w:pPr>
          </w:p>
        </w:tc>
      </w:tr>
      <w:tr w:rsidR="00497CE3" w14:paraId="7BEE44AA" w14:textId="77777777" w:rsidTr="00497CE3">
        <w:tc>
          <w:tcPr>
            <w:tcW w:w="1065" w:type="pct"/>
            <w:tcBorders>
              <w:bottom w:val="single" w:sz="4" w:space="0" w:color="auto"/>
            </w:tcBorders>
          </w:tcPr>
          <w:p w14:paraId="2B7CDDD0" w14:textId="77777777" w:rsidR="00497CE3" w:rsidRPr="00927881" w:rsidRDefault="00497CE3" w:rsidP="00497CE3">
            <w:pPr>
              <w:rPr>
                <w:b/>
              </w:rPr>
            </w:pPr>
            <w:r w:rsidRPr="00927881">
              <w:rPr>
                <w:b/>
              </w:rPr>
              <w:t xml:space="preserve">Total </w:t>
            </w:r>
            <w:r>
              <w:rPr>
                <w:b/>
              </w:rPr>
              <w:t xml:space="preserve">character </w:t>
            </w:r>
            <w:r w:rsidRPr="00927881">
              <w:rPr>
                <w:b/>
              </w:rPr>
              <w:t>number</w:t>
            </w:r>
          </w:p>
        </w:tc>
        <w:tc>
          <w:tcPr>
            <w:tcW w:w="457" w:type="pct"/>
            <w:tcBorders>
              <w:bottom w:val="single" w:sz="4" w:space="0" w:color="auto"/>
            </w:tcBorders>
          </w:tcPr>
          <w:p w14:paraId="7056421C" w14:textId="77777777" w:rsidR="00497CE3" w:rsidRPr="00927881" w:rsidRDefault="00497CE3" w:rsidP="00497CE3">
            <w:pPr>
              <w:jc w:val="center"/>
              <w:rPr>
                <w:b/>
              </w:rPr>
            </w:pPr>
            <w:r w:rsidRPr="00927881">
              <w:rPr>
                <w:b/>
              </w:rPr>
              <w:t>54</w:t>
            </w:r>
          </w:p>
        </w:tc>
        <w:tc>
          <w:tcPr>
            <w:tcW w:w="508" w:type="pct"/>
            <w:tcBorders>
              <w:bottom w:val="single" w:sz="4" w:space="0" w:color="auto"/>
            </w:tcBorders>
          </w:tcPr>
          <w:p w14:paraId="38332C4D" w14:textId="77777777" w:rsidR="00497CE3" w:rsidRPr="00927881" w:rsidRDefault="00497CE3" w:rsidP="00497CE3">
            <w:pPr>
              <w:jc w:val="center"/>
              <w:rPr>
                <w:b/>
              </w:rPr>
            </w:pPr>
            <w:r>
              <w:rPr>
                <w:b/>
              </w:rPr>
              <w:t>82</w:t>
            </w:r>
          </w:p>
        </w:tc>
        <w:tc>
          <w:tcPr>
            <w:tcW w:w="610" w:type="pct"/>
            <w:tcBorders>
              <w:bottom w:val="single" w:sz="4" w:space="0" w:color="auto"/>
            </w:tcBorders>
          </w:tcPr>
          <w:p w14:paraId="1E3750D4" w14:textId="77777777" w:rsidR="00497CE3" w:rsidRPr="00927881" w:rsidRDefault="00497CE3" w:rsidP="00497CE3">
            <w:pPr>
              <w:jc w:val="center"/>
              <w:rPr>
                <w:b/>
              </w:rPr>
            </w:pPr>
            <w:r>
              <w:rPr>
                <w:b/>
              </w:rPr>
              <w:t>166</w:t>
            </w:r>
          </w:p>
        </w:tc>
        <w:tc>
          <w:tcPr>
            <w:tcW w:w="457" w:type="pct"/>
            <w:tcBorders>
              <w:bottom w:val="single" w:sz="4" w:space="0" w:color="auto"/>
            </w:tcBorders>
          </w:tcPr>
          <w:p w14:paraId="4B249A19" w14:textId="77777777" w:rsidR="00497CE3" w:rsidRDefault="00497CE3" w:rsidP="00497CE3">
            <w:pPr>
              <w:jc w:val="center"/>
              <w:rPr>
                <w:b/>
              </w:rPr>
            </w:pPr>
            <w:r>
              <w:rPr>
                <w:b/>
              </w:rPr>
              <w:t>190</w:t>
            </w:r>
          </w:p>
        </w:tc>
        <w:tc>
          <w:tcPr>
            <w:tcW w:w="457" w:type="pct"/>
            <w:tcBorders>
              <w:bottom w:val="single" w:sz="4" w:space="0" w:color="auto"/>
            </w:tcBorders>
          </w:tcPr>
          <w:p w14:paraId="56389D0D" w14:textId="77777777" w:rsidR="00497CE3" w:rsidRDefault="00497CE3" w:rsidP="00497CE3">
            <w:pPr>
              <w:jc w:val="center"/>
              <w:rPr>
                <w:b/>
              </w:rPr>
            </w:pPr>
            <w:r>
              <w:rPr>
                <w:b/>
              </w:rPr>
              <w:t>201</w:t>
            </w:r>
          </w:p>
        </w:tc>
        <w:tc>
          <w:tcPr>
            <w:tcW w:w="407" w:type="pct"/>
            <w:tcBorders>
              <w:bottom w:val="single" w:sz="4" w:space="0" w:color="auto"/>
            </w:tcBorders>
          </w:tcPr>
          <w:p w14:paraId="54EDF21C" w14:textId="77777777" w:rsidR="00497CE3" w:rsidRPr="00927881" w:rsidRDefault="00497CE3" w:rsidP="00497CE3">
            <w:pPr>
              <w:jc w:val="center"/>
              <w:rPr>
                <w:b/>
              </w:rPr>
            </w:pPr>
            <w:r>
              <w:rPr>
                <w:b/>
              </w:rPr>
              <w:t>240</w:t>
            </w:r>
          </w:p>
        </w:tc>
        <w:tc>
          <w:tcPr>
            <w:tcW w:w="557" w:type="pct"/>
            <w:tcBorders>
              <w:bottom w:val="single" w:sz="4" w:space="0" w:color="auto"/>
            </w:tcBorders>
          </w:tcPr>
          <w:p w14:paraId="476DF5B6" w14:textId="77777777" w:rsidR="00497CE3" w:rsidRDefault="00497CE3" w:rsidP="00497CE3">
            <w:pPr>
              <w:jc w:val="center"/>
              <w:rPr>
                <w:b/>
              </w:rPr>
            </w:pPr>
            <w:r>
              <w:rPr>
                <w:b/>
              </w:rPr>
              <w:t>251</w:t>
            </w:r>
          </w:p>
        </w:tc>
        <w:tc>
          <w:tcPr>
            <w:tcW w:w="481" w:type="pct"/>
          </w:tcPr>
          <w:p w14:paraId="60782347" w14:textId="77777777" w:rsidR="00497CE3" w:rsidRPr="00927881" w:rsidRDefault="00497CE3" w:rsidP="00497CE3">
            <w:pPr>
              <w:jc w:val="center"/>
              <w:rPr>
                <w:b/>
              </w:rPr>
            </w:pPr>
            <w:r>
              <w:rPr>
                <w:b/>
              </w:rPr>
              <w:t>298</w:t>
            </w:r>
          </w:p>
        </w:tc>
      </w:tr>
      <w:tr w:rsidR="00497CE3" w14:paraId="6B78BB98" w14:textId="77777777" w:rsidTr="00497CE3">
        <w:tc>
          <w:tcPr>
            <w:tcW w:w="1065" w:type="pct"/>
            <w:tcBorders>
              <w:right w:val="nil"/>
            </w:tcBorders>
            <w:shd w:val="clear" w:color="auto" w:fill="F2F2F2" w:themeFill="background1" w:themeFillShade="F2"/>
          </w:tcPr>
          <w:p w14:paraId="7ECD20D8" w14:textId="77777777" w:rsidR="00497CE3" w:rsidRPr="00466CF0" w:rsidRDefault="00497CE3" w:rsidP="00497CE3">
            <w:pPr>
              <w:rPr>
                <w:b/>
                <w:sz w:val="12"/>
              </w:rPr>
            </w:pPr>
          </w:p>
        </w:tc>
        <w:tc>
          <w:tcPr>
            <w:tcW w:w="457" w:type="pct"/>
            <w:tcBorders>
              <w:left w:val="nil"/>
              <w:right w:val="nil"/>
            </w:tcBorders>
            <w:shd w:val="clear" w:color="auto" w:fill="F2F2F2" w:themeFill="background1" w:themeFillShade="F2"/>
          </w:tcPr>
          <w:p w14:paraId="1E71FEAC" w14:textId="77777777" w:rsidR="00497CE3" w:rsidRPr="00466CF0" w:rsidRDefault="00497CE3" w:rsidP="00497CE3">
            <w:pPr>
              <w:jc w:val="center"/>
              <w:rPr>
                <w:b/>
                <w:sz w:val="12"/>
              </w:rPr>
            </w:pPr>
          </w:p>
        </w:tc>
        <w:tc>
          <w:tcPr>
            <w:tcW w:w="508" w:type="pct"/>
            <w:tcBorders>
              <w:left w:val="nil"/>
              <w:right w:val="nil"/>
            </w:tcBorders>
            <w:shd w:val="clear" w:color="auto" w:fill="F2F2F2" w:themeFill="background1" w:themeFillShade="F2"/>
          </w:tcPr>
          <w:p w14:paraId="1643DE3C" w14:textId="77777777" w:rsidR="00497CE3" w:rsidRPr="00466CF0" w:rsidRDefault="00497CE3" w:rsidP="00497CE3">
            <w:pPr>
              <w:jc w:val="center"/>
              <w:rPr>
                <w:b/>
                <w:sz w:val="12"/>
              </w:rPr>
            </w:pPr>
          </w:p>
        </w:tc>
        <w:tc>
          <w:tcPr>
            <w:tcW w:w="610" w:type="pct"/>
            <w:tcBorders>
              <w:left w:val="nil"/>
              <w:right w:val="nil"/>
            </w:tcBorders>
            <w:shd w:val="clear" w:color="auto" w:fill="F2F2F2" w:themeFill="background1" w:themeFillShade="F2"/>
          </w:tcPr>
          <w:p w14:paraId="44B15DCB" w14:textId="77777777" w:rsidR="00497CE3" w:rsidRPr="00466CF0" w:rsidRDefault="00497CE3" w:rsidP="00497CE3">
            <w:pPr>
              <w:jc w:val="center"/>
              <w:rPr>
                <w:b/>
                <w:sz w:val="12"/>
              </w:rPr>
            </w:pPr>
          </w:p>
        </w:tc>
        <w:tc>
          <w:tcPr>
            <w:tcW w:w="457" w:type="pct"/>
            <w:tcBorders>
              <w:left w:val="nil"/>
              <w:right w:val="nil"/>
            </w:tcBorders>
            <w:shd w:val="clear" w:color="auto" w:fill="F2F2F2" w:themeFill="background1" w:themeFillShade="F2"/>
          </w:tcPr>
          <w:p w14:paraId="6367FED9" w14:textId="77777777" w:rsidR="00497CE3" w:rsidRPr="00466CF0" w:rsidRDefault="00497CE3" w:rsidP="00497CE3">
            <w:pPr>
              <w:jc w:val="center"/>
              <w:rPr>
                <w:b/>
                <w:sz w:val="12"/>
              </w:rPr>
            </w:pPr>
          </w:p>
        </w:tc>
        <w:tc>
          <w:tcPr>
            <w:tcW w:w="457" w:type="pct"/>
            <w:tcBorders>
              <w:left w:val="nil"/>
              <w:right w:val="nil"/>
            </w:tcBorders>
            <w:shd w:val="clear" w:color="auto" w:fill="F2F2F2" w:themeFill="background1" w:themeFillShade="F2"/>
          </w:tcPr>
          <w:p w14:paraId="27A8BD53" w14:textId="77777777" w:rsidR="00497CE3" w:rsidRPr="00466CF0" w:rsidRDefault="00497CE3" w:rsidP="00497CE3">
            <w:pPr>
              <w:jc w:val="center"/>
              <w:rPr>
                <w:b/>
                <w:sz w:val="12"/>
              </w:rPr>
            </w:pPr>
          </w:p>
        </w:tc>
        <w:tc>
          <w:tcPr>
            <w:tcW w:w="407" w:type="pct"/>
            <w:tcBorders>
              <w:left w:val="nil"/>
              <w:right w:val="nil"/>
            </w:tcBorders>
            <w:shd w:val="clear" w:color="auto" w:fill="F2F2F2" w:themeFill="background1" w:themeFillShade="F2"/>
          </w:tcPr>
          <w:p w14:paraId="0F73E19C" w14:textId="77777777" w:rsidR="00497CE3" w:rsidRPr="00466CF0" w:rsidRDefault="00497CE3" w:rsidP="00497CE3">
            <w:pPr>
              <w:jc w:val="center"/>
              <w:rPr>
                <w:b/>
                <w:sz w:val="12"/>
              </w:rPr>
            </w:pPr>
          </w:p>
        </w:tc>
        <w:tc>
          <w:tcPr>
            <w:tcW w:w="557" w:type="pct"/>
            <w:tcBorders>
              <w:left w:val="nil"/>
              <w:right w:val="nil"/>
            </w:tcBorders>
            <w:shd w:val="clear" w:color="auto" w:fill="F2F2F2" w:themeFill="background1" w:themeFillShade="F2"/>
          </w:tcPr>
          <w:p w14:paraId="6BA2E9F2" w14:textId="77777777" w:rsidR="00497CE3" w:rsidRPr="00466CF0" w:rsidRDefault="00497CE3" w:rsidP="00497CE3">
            <w:pPr>
              <w:jc w:val="center"/>
              <w:rPr>
                <w:b/>
                <w:sz w:val="12"/>
              </w:rPr>
            </w:pPr>
          </w:p>
        </w:tc>
        <w:tc>
          <w:tcPr>
            <w:tcW w:w="481" w:type="pct"/>
            <w:tcBorders>
              <w:left w:val="nil"/>
            </w:tcBorders>
            <w:shd w:val="clear" w:color="auto" w:fill="F2F2F2" w:themeFill="background1" w:themeFillShade="F2"/>
          </w:tcPr>
          <w:p w14:paraId="63F5E5AB" w14:textId="77777777" w:rsidR="00497CE3" w:rsidRPr="00466CF0" w:rsidRDefault="00497CE3" w:rsidP="00497CE3">
            <w:pPr>
              <w:jc w:val="center"/>
              <w:rPr>
                <w:b/>
                <w:sz w:val="12"/>
              </w:rPr>
            </w:pPr>
          </w:p>
        </w:tc>
      </w:tr>
      <w:tr w:rsidR="00497CE3" w14:paraId="4F7B01DC" w14:textId="77777777" w:rsidTr="00497CE3">
        <w:tc>
          <w:tcPr>
            <w:tcW w:w="1065" w:type="pct"/>
            <w:tcBorders>
              <w:bottom w:val="single" w:sz="4" w:space="0" w:color="auto"/>
            </w:tcBorders>
          </w:tcPr>
          <w:p w14:paraId="11C19455" w14:textId="77777777" w:rsidR="00497CE3" w:rsidRPr="000D23CC" w:rsidRDefault="00497CE3" w:rsidP="00497CE3">
            <w:pPr>
              <w:rPr>
                <w:b/>
                <w:sz w:val="22"/>
              </w:rPr>
            </w:pPr>
            <w:r w:rsidRPr="000D23CC">
              <w:rPr>
                <w:b/>
                <w:i/>
                <w:sz w:val="22"/>
              </w:rPr>
              <w:t>OTU # / Characters #</w:t>
            </w:r>
          </w:p>
        </w:tc>
        <w:tc>
          <w:tcPr>
            <w:tcW w:w="457" w:type="pct"/>
            <w:tcBorders>
              <w:bottom w:val="single" w:sz="4" w:space="0" w:color="auto"/>
            </w:tcBorders>
          </w:tcPr>
          <w:p w14:paraId="4A6439C0" w14:textId="77777777" w:rsidR="00497CE3" w:rsidRPr="000D23CC" w:rsidRDefault="00497CE3" w:rsidP="00497CE3">
            <w:pPr>
              <w:jc w:val="center"/>
              <w:rPr>
                <w:b/>
                <w:i/>
                <w:sz w:val="22"/>
              </w:rPr>
            </w:pPr>
            <w:r w:rsidRPr="000D23CC">
              <w:rPr>
                <w:b/>
                <w:i/>
                <w:sz w:val="22"/>
              </w:rPr>
              <w:t>2.571 : 1</w:t>
            </w:r>
          </w:p>
        </w:tc>
        <w:tc>
          <w:tcPr>
            <w:tcW w:w="508" w:type="pct"/>
            <w:tcBorders>
              <w:bottom w:val="single" w:sz="4" w:space="0" w:color="auto"/>
            </w:tcBorders>
          </w:tcPr>
          <w:p w14:paraId="02084F6C" w14:textId="77777777" w:rsidR="00497CE3" w:rsidRPr="000D23CC" w:rsidRDefault="00497CE3" w:rsidP="00497CE3">
            <w:pPr>
              <w:jc w:val="center"/>
              <w:rPr>
                <w:b/>
                <w:i/>
                <w:sz w:val="22"/>
              </w:rPr>
            </w:pPr>
            <w:r w:rsidRPr="000D23CC">
              <w:rPr>
                <w:b/>
                <w:i/>
                <w:sz w:val="22"/>
              </w:rPr>
              <w:t>2.929 : 1</w:t>
            </w:r>
          </w:p>
        </w:tc>
        <w:tc>
          <w:tcPr>
            <w:tcW w:w="610" w:type="pct"/>
            <w:tcBorders>
              <w:bottom w:val="single" w:sz="4" w:space="0" w:color="auto"/>
            </w:tcBorders>
          </w:tcPr>
          <w:p w14:paraId="13DB9F74" w14:textId="77777777" w:rsidR="00497CE3" w:rsidRPr="000D23CC" w:rsidRDefault="00497CE3" w:rsidP="00497CE3">
            <w:pPr>
              <w:jc w:val="center"/>
              <w:rPr>
                <w:b/>
                <w:i/>
                <w:sz w:val="22"/>
              </w:rPr>
            </w:pPr>
            <w:r w:rsidRPr="000D23CC">
              <w:rPr>
                <w:b/>
                <w:i/>
                <w:sz w:val="22"/>
              </w:rPr>
              <w:t>1.930 : 1</w:t>
            </w:r>
          </w:p>
        </w:tc>
        <w:tc>
          <w:tcPr>
            <w:tcW w:w="457" w:type="pct"/>
            <w:tcBorders>
              <w:bottom w:val="single" w:sz="4" w:space="0" w:color="auto"/>
            </w:tcBorders>
          </w:tcPr>
          <w:p w14:paraId="6B80E7FA" w14:textId="77777777" w:rsidR="00497CE3" w:rsidRPr="000D23CC" w:rsidRDefault="00497CE3" w:rsidP="00497CE3">
            <w:pPr>
              <w:jc w:val="center"/>
              <w:rPr>
                <w:b/>
                <w:i/>
                <w:sz w:val="22"/>
              </w:rPr>
            </w:pPr>
            <w:r w:rsidRPr="000D23CC">
              <w:rPr>
                <w:b/>
                <w:i/>
                <w:sz w:val="22"/>
              </w:rPr>
              <w:t>3.800 : 1</w:t>
            </w:r>
          </w:p>
        </w:tc>
        <w:tc>
          <w:tcPr>
            <w:tcW w:w="457" w:type="pct"/>
            <w:tcBorders>
              <w:bottom w:val="single" w:sz="4" w:space="0" w:color="auto"/>
            </w:tcBorders>
          </w:tcPr>
          <w:p w14:paraId="4B505390" w14:textId="77777777" w:rsidR="00497CE3" w:rsidRPr="000D23CC" w:rsidRDefault="00497CE3" w:rsidP="00497CE3">
            <w:pPr>
              <w:jc w:val="center"/>
              <w:rPr>
                <w:b/>
                <w:i/>
                <w:sz w:val="22"/>
              </w:rPr>
            </w:pPr>
            <w:r w:rsidRPr="000D23CC">
              <w:rPr>
                <w:b/>
                <w:i/>
                <w:sz w:val="22"/>
              </w:rPr>
              <w:t>3.941 : 1</w:t>
            </w:r>
          </w:p>
        </w:tc>
        <w:tc>
          <w:tcPr>
            <w:tcW w:w="407" w:type="pct"/>
            <w:tcBorders>
              <w:bottom w:val="single" w:sz="4" w:space="0" w:color="auto"/>
            </w:tcBorders>
          </w:tcPr>
          <w:p w14:paraId="63A28AF6" w14:textId="77777777" w:rsidR="00497CE3" w:rsidRPr="000D23CC" w:rsidRDefault="00497CE3" w:rsidP="00497CE3">
            <w:pPr>
              <w:jc w:val="center"/>
              <w:rPr>
                <w:b/>
                <w:i/>
                <w:sz w:val="22"/>
              </w:rPr>
            </w:pPr>
            <w:r w:rsidRPr="000D23CC">
              <w:rPr>
                <w:b/>
                <w:i/>
                <w:sz w:val="22"/>
              </w:rPr>
              <w:t>3.288 : 1</w:t>
            </w:r>
          </w:p>
        </w:tc>
        <w:tc>
          <w:tcPr>
            <w:tcW w:w="557" w:type="pct"/>
            <w:tcBorders>
              <w:bottom w:val="single" w:sz="4" w:space="0" w:color="auto"/>
            </w:tcBorders>
          </w:tcPr>
          <w:p w14:paraId="6DB9DC6D" w14:textId="77777777" w:rsidR="00497CE3" w:rsidRPr="000D23CC" w:rsidRDefault="00497CE3" w:rsidP="00497CE3">
            <w:pPr>
              <w:jc w:val="center"/>
              <w:rPr>
                <w:b/>
                <w:i/>
                <w:sz w:val="22"/>
              </w:rPr>
            </w:pPr>
            <w:r w:rsidRPr="000D23CC">
              <w:rPr>
                <w:b/>
                <w:i/>
                <w:sz w:val="22"/>
              </w:rPr>
              <w:t>3.467 : 1</w:t>
            </w:r>
          </w:p>
        </w:tc>
        <w:tc>
          <w:tcPr>
            <w:tcW w:w="481" w:type="pct"/>
            <w:tcBorders>
              <w:bottom w:val="single" w:sz="4" w:space="0" w:color="auto"/>
            </w:tcBorders>
          </w:tcPr>
          <w:p w14:paraId="0E4A325E" w14:textId="77777777" w:rsidR="00497CE3" w:rsidRPr="000D23CC" w:rsidRDefault="00497CE3" w:rsidP="00497CE3">
            <w:pPr>
              <w:jc w:val="center"/>
              <w:rPr>
                <w:b/>
                <w:i/>
                <w:sz w:val="22"/>
              </w:rPr>
            </w:pPr>
            <w:r w:rsidRPr="000D23CC">
              <w:rPr>
                <w:b/>
                <w:i/>
                <w:sz w:val="22"/>
              </w:rPr>
              <w:t>2.865 : 1</w:t>
            </w:r>
          </w:p>
        </w:tc>
      </w:tr>
    </w:tbl>
    <w:p w14:paraId="3D033A3A" w14:textId="77777777" w:rsidR="00497CE3" w:rsidRPr="0076638B" w:rsidRDefault="00497CE3" w:rsidP="00497CE3">
      <w:pPr>
        <w:rPr>
          <w:sz w:val="2"/>
        </w:rPr>
      </w:pPr>
    </w:p>
    <w:p w14:paraId="3FDD8CBA" w14:textId="77777777" w:rsidR="00497CE3" w:rsidRDefault="00497CE3" w:rsidP="00497CE3">
      <w:r>
        <w:br w:type="page"/>
      </w:r>
    </w:p>
    <w:p w14:paraId="316C8441" w14:textId="77777777" w:rsidR="00497CE3" w:rsidRDefault="00497CE3" w:rsidP="00497CE3">
      <w:pPr>
        <w:rPr>
          <w:b/>
          <w:i/>
        </w:rPr>
        <w:sectPr w:rsidR="00497CE3" w:rsidSect="00497CE3">
          <w:pgSz w:w="16838" w:h="11906" w:orient="landscape"/>
          <w:pgMar w:top="1440" w:right="1440" w:bottom="1440" w:left="1440" w:header="708" w:footer="708" w:gutter="0"/>
          <w:cols w:space="708"/>
          <w:docGrid w:linePitch="360"/>
        </w:sectPr>
      </w:pPr>
    </w:p>
    <w:p w14:paraId="2B1A6C6F" w14:textId="01CCCD47" w:rsidR="00497CE3" w:rsidRDefault="00497CE3" w:rsidP="00497CE3">
      <w:r w:rsidRPr="00214A9F">
        <w:rPr>
          <w:b/>
          <w:i/>
        </w:rPr>
        <w:t xml:space="preserve">Table </w:t>
      </w:r>
      <w:r>
        <w:rPr>
          <w:b/>
          <w:i/>
        </w:rPr>
        <w:t>(S3.6)</w:t>
      </w:r>
      <w:r w:rsidRPr="00214A9F">
        <w:rPr>
          <w:b/>
          <w:i/>
        </w:rPr>
        <w:t>.</w:t>
      </w:r>
      <w:r>
        <w:t xml:space="preserve"> Break-down of the OTUs per clade from the different iterations of the merged Hastings + Young matrix. Note, the taxonomic break-down is based on the current topology, which for some OTUs will differ from the position they had in earlier less complete analyses.</w:t>
      </w:r>
    </w:p>
    <w:tbl>
      <w:tblPr>
        <w:tblStyle w:val="TableGrid"/>
        <w:tblW w:w="0" w:type="auto"/>
        <w:tblInd w:w="0" w:type="dxa"/>
        <w:tblLook w:val="04A0" w:firstRow="1" w:lastRow="0" w:firstColumn="1" w:lastColumn="0" w:noHBand="0" w:noVBand="1"/>
      </w:tblPr>
      <w:tblGrid>
        <w:gridCol w:w="3256"/>
        <w:gridCol w:w="2430"/>
        <w:gridCol w:w="2673"/>
        <w:gridCol w:w="2409"/>
        <w:gridCol w:w="1985"/>
      </w:tblGrid>
      <w:tr w:rsidR="00497CE3" w14:paraId="59279C73" w14:textId="77777777" w:rsidTr="00B93FD1">
        <w:tc>
          <w:tcPr>
            <w:tcW w:w="3256" w:type="dxa"/>
          </w:tcPr>
          <w:p w14:paraId="144C768C" w14:textId="77777777" w:rsidR="00497CE3" w:rsidRDefault="00497CE3" w:rsidP="00497CE3">
            <w:r>
              <w:t>Clades of OTUs</w:t>
            </w:r>
          </w:p>
        </w:tc>
        <w:tc>
          <w:tcPr>
            <w:tcW w:w="2430" w:type="dxa"/>
          </w:tcPr>
          <w:p w14:paraId="546C9D45" w14:textId="77777777" w:rsidR="00497CE3" w:rsidRDefault="00497CE3" w:rsidP="00497CE3">
            <w:pPr>
              <w:jc w:val="center"/>
            </w:pPr>
            <w:r>
              <w:t xml:space="preserve">Ristevski </w:t>
            </w:r>
            <w:r w:rsidRPr="00654163">
              <w:rPr>
                <w:i/>
              </w:rPr>
              <w:t>et al</w:t>
            </w:r>
            <w:r>
              <w:t>. (2018)</w:t>
            </w:r>
          </w:p>
        </w:tc>
        <w:tc>
          <w:tcPr>
            <w:tcW w:w="2673" w:type="dxa"/>
          </w:tcPr>
          <w:p w14:paraId="65DA33AF" w14:textId="77777777" w:rsidR="00497CE3" w:rsidRPr="0035713B" w:rsidRDefault="00497CE3" w:rsidP="00497CE3">
            <w:pPr>
              <w:jc w:val="center"/>
            </w:pPr>
            <w:r w:rsidRPr="0035713B">
              <w:t xml:space="preserve">Smith </w:t>
            </w:r>
            <w:r w:rsidRPr="003A1198">
              <w:rPr>
                <w:i/>
              </w:rPr>
              <w:t>et al</w:t>
            </w:r>
            <w:r w:rsidRPr="0035713B">
              <w:t>. (in review)</w:t>
            </w:r>
          </w:p>
        </w:tc>
        <w:tc>
          <w:tcPr>
            <w:tcW w:w="2409" w:type="dxa"/>
          </w:tcPr>
          <w:p w14:paraId="7EFDB5AF" w14:textId="77777777" w:rsidR="00497CE3" w:rsidRDefault="00497CE3" w:rsidP="00497CE3">
            <w:pPr>
              <w:jc w:val="center"/>
            </w:pPr>
            <w:r w:rsidRPr="00C45E05">
              <w:rPr>
                <w:sz w:val="22"/>
              </w:rPr>
              <w:t xml:space="preserve">Ősi </w:t>
            </w:r>
            <w:r w:rsidRPr="00C45E05">
              <w:rPr>
                <w:i/>
                <w:sz w:val="22"/>
              </w:rPr>
              <w:t>et al</w:t>
            </w:r>
            <w:r w:rsidRPr="00C45E05">
              <w:rPr>
                <w:sz w:val="22"/>
              </w:rPr>
              <w:t>. (in review)</w:t>
            </w:r>
          </w:p>
        </w:tc>
        <w:tc>
          <w:tcPr>
            <w:tcW w:w="1985" w:type="dxa"/>
          </w:tcPr>
          <w:p w14:paraId="662FF71A" w14:textId="77777777" w:rsidR="00497CE3" w:rsidRDefault="00497CE3" w:rsidP="00497CE3">
            <w:pPr>
              <w:jc w:val="center"/>
            </w:pPr>
            <w:r>
              <w:t>Current</w:t>
            </w:r>
          </w:p>
        </w:tc>
      </w:tr>
      <w:tr w:rsidR="00497CE3" w14:paraId="64EC9B45" w14:textId="77777777" w:rsidTr="00B93FD1">
        <w:tc>
          <w:tcPr>
            <w:tcW w:w="3256" w:type="dxa"/>
          </w:tcPr>
          <w:p w14:paraId="5FA9D938" w14:textId="77777777" w:rsidR="00497CE3" w:rsidRDefault="00497CE3" w:rsidP="00497CE3">
            <w:r>
              <w:t>Non-crocodylomorph outgroup</w:t>
            </w:r>
          </w:p>
        </w:tc>
        <w:tc>
          <w:tcPr>
            <w:tcW w:w="2430" w:type="dxa"/>
          </w:tcPr>
          <w:p w14:paraId="11FF1356" w14:textId="77777777" w:rsidR="00497CE3" w:rsidRDefault="00497CE3" w:rsidP="00497CE3">
            <w:pPr>
              <w:jc w:val="center"/>
            </w:pPr>
            <w:r>
              <w:t>1</w:t>
            </w:r>
          </w:p>
        </w:tc>
        <w:tc>
          <w:tcPr>
            <w:tcW w:w="2673" w:type="dxa"/>
          </w:tcPr>
          <w:p w14:paraId="0195837E" w14:textId="77777777" w:rsidR="00497CE3" w:rsidRPr="0035713B" w:rsidRDefault="00497CE3" w:rsidP="00497CE3">
            <w:pPr>
              <w:jc w:val="center"/>
            </w:pPr>
            <w:r w:rsidRPr="0035713B">
              <w:t>1</w:t>
            </w:r>
          </w:p>
        </w:tc>
        <w:tc>
          <w:tcPr>
            <w:tcW w:w="2409" w:type="dxa"/>
          </w:tcPr>
          <w:p w14:paraId="5FE2238E" w14:textId="77777777" w:rsidR="00497CE3" w:rsidRDefault="00497CE3" w:rsidP="00497CE3">
            <w:pPr>
              <w:jc w:val="center"/>
            </w:pPr>
            <w:r>
              <w:t>1</w:t>
            </w:r>
          </w:p>
        </w:tc>
        <w:tc>
          <w:tcPr>
            <w:tcW w:w="1985" w:type="dxa"/>
          </w:tcPr>
          <w:p w14:paraId="017AF3EE" w14:textId="77777777" w:rsidR="00497CE3" w:rsidRDefault="00497CE3" w:rsidP="00497CE3">
            <w:pPr>
              <w:jc w:val="center"/>
            </w:pPr>
            <w:r>
              <w:t>1</w:t>
            </w:r>
          </w:p>
        </w:tc>
      </w:tr>
      <w:tr w:rsidR="00497CE3" w14:paraId="2E4E0737" w14:textId="77777777" w:rsidTr="00B93FD1">
        <w:tc>
          <w:tcPr>
            <w:tcW w:w="3256" w:type="dxa"/>
          </w:tcPr>
          <w:p w14:paraId="640D8D8B" w14:textId="77777777" w:rsidR="00497CE3" w:rsidRDefault="00497CE3" w:rsidP="00497CE3">
            <w:r>
              <w:t>‘Sphenosuchia’ s. l.</w:t>
            </w:r>
          </w:p>
        </w:tc>
        <w:tc>
          <w:tcPr>
            <w:tcW w:w="2430" w:type="dxa"/>
          </w:tcPr>
          <w:p w14:paraId="76FBECE0" w14:textId="77777777" w:rsidR="00497CE3" w:rsidRDefault="00497CE3" w:rsidP="00497CE3">
            <w:pPr>
              <w:jc w:val="center"/>
            </w:pPr>
            <w:r>
              <w:t>5</w:t>
            </w:r>
          </w:p>
        </w:tc>
        <w:tc>
          <w:tcPr>
            <w:tcW w:w="2673" w:type="dxa"/>
          </w:tcPr>
          <w:p w14:paraId="39BB5658" w14:textId="77777777" w:rsidR="00497CE3" w:rsidRPr="0035713B" w:rsidRDefault="00497CE3" w:rsidP="00497CE3">
            <w:pPr>
              <w:jc w:val="center"/>
            </w:pPr>
            <w:r w:rsidRPr="0035713B">
              <w:t>5</w:t>
            </w:r>
          </w:p>
        </w:tc>
        <w:tc>
          <w:tcPr>
            <w:tcW w:w="2409" w:type="dxa"/>
          </w:tcPr>
          <w:p w14:paraId="62EC494E" w14:textId="77777777" w:rsidR="00497CE3" w:rsidRDefault="00497CE3" w:rsidP="00497CE3">
            <w:pPr>
              <w:jc w:val="center"/>
            </w:pPr>
            <w:r>
              <w:t>5</w:t>
            </w:r>
          </w:p>
        </w:tc>
        <w:tc>
          <w:tcPr>
            <w:tcW w:w="1985" w:type="dxa"/>
          </w:tcPr>
          <w:p w14:paraId="1DC51F49" w14:textId="77777777" w:rsidR="00497CE3" w:rsidRDefault="00497CE3" w:rsidP="00497CE3">
            <w:pPr>
              <w:jc w:val="center"/>
            </w:pPr>
            <w:r>
              <w:t>5</w:t>
            </w:r>
          </w:p>
        </w:tc>
      </w:tr>
      <w:tr w:rsidR="00497CE3" w14:paraId="2EE48600" w14:textId="77777777" w:rsidTr="00B93FD1">
        <w:tc>
          <w:tcPr>
            <w:tcW w:w="3256" w:type="dxa"/>
          </w:tcPr>
          <w:p w14:paraId="02779EB4" w14:textId="77777777" w:rsidR="00497CE3" w:rsidRDefault="00497CE3" w:rsidP="00497CE3">
            <w:r>
              <w:t>Basal crocodyliforms</w:t>
            </w:r>
          </w:p>
        </w:tc>
        <w:tc>
          <w:tcPr>
            <w:tcW w:w="2430" w:type="dxa"/>
          </w:tcPr>
          <w:p w14:paraId="42100B13" w14:textId="77777777" w:rsidR="00497CE3" w:rsidRPr="00C4011C" w:rsidRDefault="00497CE3" w:rsidP="00497CE3">
            <w:pPr>
              <w:jc w:val="center"/>
            </w:pPr>
            <w:r>
              <w:t>5</w:t>
            </w:r>
          </w:p>
        </w:tc>
        <w:tc>
          <w:tcPr>
            <w:tcW w:w="2673" w:type="dxa"/>
          </w:tcPr>
          <w:p w14:paraId="7C85ADC5" w14:textId="77777777" w:rsidR="00497CE3" w:rsidRPr="0035713B" w:rsidRDefault="00497CE3" w:rsidP="00497CE3">
            <w:pPr>
              <w:jc w:val="center"/>
            </w:pPr>
            <w:r w:rsidRPr="0035713B">
              <w:t>5</w:t>
            </w:r>
          </w:p>
        </w:tc>
        <w:tc>
          <w:tcPr>
            <w:tcW w:w="2409" w:type="dxa"/>
          </w:tcPr>
          <w:p w14:paraId="2F68558E" w14:textId="77777777" w:rsidR="00497CE3" w:rsidRPr="00C4011C" w:rsidRDefault="00497CE3" w:rsidP="00497CE3">
            <w:pPr>
              <w:jc w:val="center"/>
            </w:pPr>
            <w:r>
              <w:t>5</w:t>
            </w:r>
          </w:p>
        </w:tc>
        <w:tc>
          <w:tcPr>
            <w:tcW w:w="1985" w:type="dxa"/>
          </w:tcPr>
          <w:p w14:paraId="50A6ED25" w14:textId="77777777" w:rsidR="00497CE3" w:rsidRDefault="00497CE3" w:rsidP="00497CE3">
            <w:pPr>
              <w:jc w:val="center"/>
            </w:pPr>
            <w:r>
              <w:t>5</w:t>
            </w:r>
          </w:p>
        </w:tc>
      </w:tr>
      <w:tr w:rsidR="00497CE3" w14:paraId="677F2D2F" w14:textId="77777777" w:rsidTr="00B93FD1">
        <w:tc>
          <w:tcPr>
            <w:tcW w:w="3256" w:type="dxa"/>
          </w:tcPr>
          <w:p w14:paraId="0FF57483" w14:textId="77777777" w:rsidR="00497CE3" w:rsidRDefault="00497CE3" w:rsidP="00497CE3">
            <w:r>
              <w:t>Notosuchia s. l.</w:t>
            </w:r>
          </w:p>
        </w:tc>
        <w:tc>
          <w:tcPr>
            <w:tcW w:w="2430" w:type="dxa"/>
          </w:tcPr>
          <w:p w14:paraId="56837624" w14:textId="77777777" w:rsidR="00497CE3" w:rsidRDefault="00497CE3" w:rsidP="00497CE3">
            <w:pPr>
              <w:jc w:val="center"/>
            </w:pPr>
            <w:r>
              <w:t>12</w:t>
            </w:r>
          </w:p>
        </w:tc>
        <w:tc>
          <w:tcPr>
            <w:tcW w:w="2673" w:type="dxa"/>
          </w:tcPr>
          <w:p w14:paraId="0C5837E5" w14:textId="77777777" w:rsidR="00497CE3" w:rsidRPr="0035713B" w:rsidRDefault="00497CE3" w:rsidP="00497CE3">
            <w:pPr>
              <w:jc w:val="center"/>
            </w:pPr>
            <w:r w:rsidRPr="0035713B">
              <w:t>12</w:t>
            </w:r>
          </w:p>
        </w:tc>
        <w:tc>
          <w:tcPr>
            <w:tcW w:w="2409" w:type="dxa"/>
          </w:tcPr>
          <w:p w14:paraId="2F65067D" w14:textId="77777777" w:rsidR="00497CE3" w:rsidRDefault="00497CE3" w:rsidP="00497CE3">
            <w:pPr>
              <w:jc w:val="center"/>
            </w:pPr>
            <w:r>
              <w:t>12</w:t>
            </w:r>
          </w:p>
        </w:tc>
        <w:tc>
          <w:tcPr>
            <w:tcW w:w="1985" w:type="dxa"/>
          </w:tcPr>
          <w:p w14:paraId="51B6A906" w14:textId="77777777" w:rsidR="00497CE3" w:rsidRDefault="00497CE3" w:rsidP="00497CE3">
            <w:pPr>
              <w:jc w:val="center"/>
            </w:pPr>
            <w:r>
              <w:t>12</w:t>
            </w:r>
          </w:p>
        </w:tc>
      </w:tr>
      <w:tr w:rsidR="00497CE3" w14:paraId="34C08692" w14:textId="77777777" w:rsidTr="00B93FD1">
        <w:tc>
          <w:tcPr>
            <w:tcW w:w="3256" w:type="dxa"/>
          </w:tcPr>
          <w:p w14:paraId="14F55465" w14:textId="77777777" w:rsidR="00497CE3" w:rsidRDefault="00497CE3" w:rsidP="00497CE3">
            <w:r>
              <w:t>Atoposauridae</w:t>
            </w:r>
          </w:p>
        </w:tc>
        <w:tc>
          <w:tcPr>
            <w:tcW w:w="2430" w:type="dxa"/>
          </w:tcPr>
          <w:p w14:paraId="22B364E2" w14:textId="77777777" w:rsidR="00497CE3" w:rsidRDefault="00497CE3" w:rsidP="00497CE3">
            <w:pPr>
              <w:jc w:val="center"/>
            </w:pPr>
            <w:r>
              <w:t>2</w:t>
            </w:r>
          </w:p>
        </w:tc>
        <w:tc>
          <w:tcPr>
            <w:tcW w:w="2673" w:type="dxa"/>
          </w:tcPr>
          <w:p w14:paraId="573202CC" w14:textId="77777777" w:rsidR="00497CE3" w:rsidRPr="0035713B" w:rsidRDefault="00497CE3" w:rsidP="00497CE3">
            <w:pPr>
              <w:jc w:val="center"/>
            </w:pPr>
            <w:r w:rsidRPr="0035713B">
              <w:t>2</w:t>
            </w:r>
          </w:p>
        </w:tc>
        <w:tc>
          <w:tcPr>
            <w:tcW w:w="2409" w:type="dxa"/>
          </w:tcPr>
          <w:p w14:paraId="34A23E00" w14:textId="77777777" w:rsidR="00497CE3" w:rsidRPr="00C4011C" w:rsidRDefault="00497CE3" w:rsidP="00497CE3">
            <w:pPr>
              <w:jc w:val="center"/>
            </w:pPr>
            <w:r>
              <w:t>2</w:t>
            </w:r>
          </w:p>
        </w:tc>
        <w:tc>
          <w:tcPr>
            <w:tcW w:w="1985" w:type="dxa"/>
          </w:tcPr>
          <w:p w14:paraId="4F31636F" w14:textId="77777777" w:rsidR="00497CE3" w:rsidRDefault="00497CE3" w:rsidP="00497CE3">
            <w:pPr>
              <w:jc w:val="center"/>
            </w:pPr>
            <w:r>
              <w:t>2</w:t>
            </w:r>
          </w:p>
        </w:tc>
      </w:tr>
      <w:tr w:rsidR="00497CE3" w14:paraId="03068F19" w14:textId="77777777" w:rsidTr="00B93FD1">
        <w:tc>
          <w:tcPr>
            <w:tcW w:w="3256" w:type="dxa"/>
          </w:tcPr>
          <w:p w14:paraId="58F7626F" w14:textId="77777777" w:rsidR="00497CE3" w:rsidRDefault="00497CE3" w:rsidP="00497CE3">
            <w:r>
              <w:t>Goniopholididae</w:t>
            </w:r>
          </w:p>
        </w:tc>
        <w:tc>
          <w:tcPr>
            <w:tcW w:w="2430" w:type="dxa"/>
          </w:tcPr>
          <w:p w14:paraId="25881C89" w14:textId="77777777" w:rsidR="00497CE3" w:rsidRDefault="00497CE3" w:rsidP="00497CE3">
            <w:pPr>
              <w:jc w:val="center"/>
            </w:pPr>
            <w:r>
              <w:t>8</w:t>
            </w:r>
          </w:p>
        </w:tc>
        <w:tc>
          <w:tcPr>
            <w:tcW w:w="2673" w:type="dxa"/>
          </w:tcPr>
          <w:p w14:paraId="71BB6FEF" w14:textId="77777777" w:rsidR="00497CE3" w:rsidRPr="0035713B" w:rsidRDefault="00497CE3" w:rsidP="00497CE3">
            <w:pPr>
              <w:jc w:val="center"/>
            </w:pPr>
            <w:r w:rsidRPr="0035713B">
              <w:t>6</w:t>
            </w:r>
          </w:p>
        </w:tc>
        <w:tc>
          <w:tcPr>
            <w:tcW w:w="2409" w:type="dxa"/>
          </w:tcPr>
          <w:p w14:paraId="3EC21E8F" w14:textId="77777777" w:rsidR="00497CE3" w:rsidRPr="00C4011C" w:rsidRDefault="00497CE3" w:rsidP="00497CE3">
            <w:pPr>
              <w:jc w:val="center"/>
            </w:pPr>
            <w:r>
              <w:t>7</w:t>
            </w:r>
          </w:p>
        </w:tc>
        <w:tc>
          <w:tcPr>
            <w:tcW w:w="1985" w:type="dxa"/>
          </w:tcPr>
          <w:p w14:paraId="381B1BCE" w14:textId="77777777" w:rsidR="00497CE3" w:rsidRDefault="00497CE3" w:rsidP="00497CE3">
            <w:pPr>
              <w:jc w:val="center"/>
            </w:pPr>
            <w:r>
              <w:t>7</w:t>
            </w:r>
          </w:p>
        </w:tc>
      </w:tr>
      <w:tr w:rsidR="00497CE3" w14:paraId="2C1E55AF" w14:textId="77777777" w:rsidTr="00B93FD1">
        <w:tc>
          <w:tcPr>
            <w:tcW w:w="3256" w:type="dxa"/>
          </w:tcPr>
          <w:p w14:paraId="2DAC5CB8" w14:textId="77777777" w:rsidR="00497CE3" w:rsidRDefault="00497CE3" w:rsidP="00497CE3">
            <w:r>
              <w:t>Bernissartiidae</w:t>
            </w:r>
          </w:p>
        </w:tc>
        <w:tc>
          <w:tcPr>
            <w:tcW w:w="2430" w:type="dxa"/>
          </w:tcPr>
          <w:p w14:paraId="486DBFE2" w14:textId="77777777" w:rsidR="00497CE3" w:rsidRDefault="00497CE3" w:rsidP="00497CE3">
            <w:pPr>
              <w:jc w:val="center"/>
            </w:pPr>
            <w:r>
              <w:t>2</w:t>
            </w:r>
          </w:p>
        </w:tc>
        <w:tc>
          <w:tcPr>
            <w:tcW w:w="2673" w:type="dxa"/>
          </w:tcPr>
          <w:p w14:paraId="3567250F" w14:textId="77777777" w:rsidR="00497CE3" w:rsidRPr="0035713B" w:rsidRDefault="00497CE3" w:rsidP="00497CE3">
            <w:pPr>
              <w:jc w:val="center"/>
            </w:pPr>
            <w:r w:rsidRPr="0035713B">
              <w:t>2</w:t>
            </w:r>
          </w:p>
        </w:tc>
        <w:tc>
          <w:tcPr>
            <w:tcW w:w="2409" w:type="dxa"/>
          </w:tcPr>
          <w:p w14:paraId="51056FC3" w14:textId="77777777" w:rsidR="00497CE3" w:rsidRDefault="00497CE3" w:rsidP="00497CE3">
            <w:pPr>
              <w:jc w:val="center"/>
            </w:pPr>
            <w:r>
              <w:t>2</w:t>
            </w:r>
          </w:p>
        </w:tc>
        <w:tc>
          <w:tcPr>
            <w:tcW w:w="1985" w:type="dxa"/>
          </w:tcPr>
          <w:p w14:paraId="589D7856" w14:textId="77777777" w:rsidR="00497CE3" w:rsidRDefault="00497CE3" w:rsidP="00497CE3">
            <w:pPr>
              <w:jc w:val="center"/>
            </w:pPr>
            <w:r>
              <w:t>2</w:t>
            </w:r>
          </w:p>
        </w:tc>
      </w:tr>
      <w:tr w:rsidR="00497CE3" w14:paraId="68796888" w14:textId="77777777" w:rsidTr="00B93FD1">
        <w:tc>
          <w:tcPr>
            <w:tcW w:w="3256" w:type="dxa"/>
          </w:tcPr>
          <w:p w14:paraId="22C9D745" w14:textId="77777777" w:rsidR="00497CE3" w:rsidRDefault="00497CE3" w:rsidP="00497CE3">
            <w:r>
              <w:t>Susisuchidae</w:t>
            </w:r>
          </w:p>
        </w:tc>
        <w:tc>
          <w:tcPr>
            <w:tcW w:w="2430" w:type="dxa"/>
          </w:tcPr>
          <w:p w14:paraId="34542A7D" w14:textId="77777777" w:rsidR="00497CE3" w:rsidRDefault="00497CE3" w:rsidP="00497CE3">
            <w:pPr>
              <w:jc w:val="center"/>
            </w:pPr>
            <w:r>
              <w:t>2</w:t>
            </w:r>
          </w:p>
        </w:tc>
        <w:tc>
          <w:tcPr>
            <w:tcW w:w="2673" w:type="dxa"/>
          </w:tcPr>
          <w:p w14:paraId="1BEECEA3" w14:textId="77777777" w:rsidR="00497CE3" w:rsidRPr="0035713B" w:rsidRDefault="00497CE3" w:rsidP="00497CE3">
            <w:pPr>
              <w:jc w:val="center"/>
            </w:pPr>
            <w:r w:rsidRPr="0035713B">
              <w:t>2</w:t>
            </w:r>
          </w:p>
        </w:tc>
        <w:tc>
          <w:tcPr>
            <w:tcW w:w="2409" w:type="dxa"/>
          </w:tcPr>
          <w:p w14:paraId="3379F2CC" w14:textId="77777777" w:rsidR="00497CE3" w:rsidRPr="00C4011C" w:rsidRDefault="00497CE3" w:rsidP="00497CE3">
            <w:pPr>
              <w:jc w:val="center"/>
            </w:pPr>
            <w:r>
              <w:t>2</w:t>
            </w:r>
          </w:p>
        </w:tc>
        <w:tc>
          <w:tcPr>
            <w:tcW w:w="1985" w:type="dxa"/>
          </w:tcPr>
          <w:p w14:paraId="68643CB2" w14:textId="77777777" w:rsidR="00497CE3" w:rsidRDefault="00497CE3" w:rsidP="00497CE3">
            <w:pPr>
              <w:jc w:val="center"/>
            </w:pPr>
            <w:r>
              <w:t>2</w:t>
            </w:r>
          </w:p>
        </w:tc>
      </w:tr>
      <w:tr w:rsidR="00497CE3" w14:paraId="7591741F" w14:textId="77777777" w:rsidTr="00B93FD1">
        <w:tc>
          <w:tcPr>
            <w:tcW w:w="3256" w:type="dxa"/>
          </w:tcPr>
          <w:p w14:paraId="14AC0A84" w14:textId="77777777" w:rsidR="00497CE3" w:rsidRDefault="00497CE3" w:rsidP="00497CE3">
            <w:r>
              <w:t>Hylaeochampsidae</w:t>
            </w:r>
          </w:p>
        </w:tc>
        <w:tc>
          <w:tcPr>
            <w:tcW w:w="2430" w:type="dxa"/>
          </w:tcPr>
          <w:p w14:paraId="271C2D04" w14:textId="77777777" w:rsidR="00497CE3" w:rsidRDefault="00497CE3" w:rsidP="00497CE3">
            <w:pPr>
              <w:jc w:val="center"/>
            </w:pPr>
            <w:r>
              <w:t>2</w:t>
            </w:r>
          </w:p>
        </w:tc>
        <w:tc>
          <w:tcPr>
            <w:tcW w:w="2673" w:type="dxa"/>
          </w:tcPr>
          <w:p w14:paraId="7EF7BBBB" w14:textId="77777777" w:rsidR="00497CE3" w:rsidRPr="0035713B" w:rsidRDefault="00497CE3" w:rsidP="00497CE3">
            <w:pPr>
              <w:jc w:val="center"/>
            </w:pPr>
            <w:r w:rsidRPr="0035713B">
              <w:t>2</w:t>
            </w:r>
          </w:p>
        </w:tc>
        <w:tc>
          <w:tcPr>
            <w:tcW w:w="2409" w:type="dxa"/>
          </w:tcPr>
          <w:p w14:paraId="00E9E781" w14:textId="77777777" w:rsidR="00497CE3" w:rsidRPr="00C4011C" w:rsidRDefault="00497CE3" w:rsidP="00497CE3">
            <w:pPr>
              <w:jc w:val="center"/>
            </w:pPr>
            <w:r>
              <w:t>2</w:t>
            </w:r>
          </w:p>
        </w:tc>
        <w:tc>
          <w:tcPr>
            <w:tcW w:w="1985" w:type="dxa"/>
          </w:tcPr>
          <w:p w14:paraId="2862E900" w14:textId="77777777" w:rsidR="00497CE3" w:rsidRDefault="00497CE3" w:rsidP="00497CE3">
            <w:pPr>
              <w:jc w:val="center"/>
            </w:pPr>
            <w:r>
              <w:t>2</w:t>
            </w:r>
          </w:p>
        </w:tc>
      </w:tr>
      <w:tr w:rsidR="00497CE3" w14:paraId="4A752659" w14:textId="77777777" w:rsidTr="00B93FD1">
        <w:tc>
          <w:tcPr>
            <w:tcW w:w="3256" w:type="dxa"/>
          </w:tcPr>
          <w:p w14:paraId="6820CDC5" w14:textId="77777777" w:rsidR="00497CE3" w:rsidRDefault="00497CE3" w:rsidP="00497CE3">
            <w:r>
              <w:t>Crown-Crocodylia</w:t>
            </w:r>
          </w:p>
        </w:tc>
        <w:tc>
          <w:tcPr>
            <w:tcW w:w="2430" w:type="dxa"/>
          </w:tcPr>
          <w:p w14:paraId="4D82F494" w14:textId="77777777" w:rsidR="00497CE3" w:rsidRDefault="00497CE3" w:rsidP="00497CE3">
            <w:pPr>
              <w:jc w:val="center"/>
            </w:pPr>
            <w:r>
              <w:t>4</w:t>
            </w:r>
          </w:p>
        </w:tc>
        <w:tc>
          <w:tcPr>
            <w:tcW w:w="2673" w:type="dxa"/>
          </w:tcPr>
          <w:p w14:paraId="33EDAED4" w14:textId="77777777" w:rsidR="00497CE3" w:rsidRPr="0035713B" w:rsidRDefault="00497CE3" w:rsidP="00497CE3">
            <w:pPr>
              <w:jc w:val="center"/>
            </w:pPr>
            <w:r w:rsidRPr="0035713B">
              <w:t>4</w:t>
            </w:r>
          </w:p>
        </w:tc>
        <w:tc>
          <w:tcPr>
            <w:tcW w:w="2409" w:type="dxa"/>
          </w:tcPr>
          <w:p w14:paraId="4058C56B" w14:textId="77777777" w:rsidR="00497CE3" w:rsidRPr="00C4011C" w:rsidRDefault="00497CE3" w:rsidP="00497CE3">
            <w:pPr>
              <w:jc w:val="center"/>
            </w:pPr>
            <w:r>
              <w:t>4</w:t>
            </w:r>
          </w:p>
        </w:tc>
        <w:tc>
          <w:tcPr>
            <w:tcW w:w="1985" w:type="dxa"/>
          </w:tcPr>
          <w:p w14:paraId="289A81E0" w14:textId="77777777" w:rsidR="00497CE3" w:rsidRDefault="00497CE3" w:rsidP="00497CE3">
            <w:pPr>
              <w:jc w:val="center"/>
            </w:pPr>
            <w:r>
              <w:t>4</w:t>
            </w:r>
          </w:p>
        </w:tc>
      </w:tr>
      <w:tr w:rsidR="00497CE3" w14:paraId="43E37FCD" w14:textId="77777777" w:rsidTr="00B93FD1">
        <w:tc>
          <w:tcPr>
            <w:tcW w:w="3256" w:type="dxa"/>
          </w:tcPr>
          <w:p w14:paraId="0B4CF21C" w14:textId="77777777" w:rsidR="00497CE3" w:rsidRDefault="00497CE3" w:rsidP="00497CE3">
            <w:r>
              <w:t>Pholidosauridae</w:t>
            </w:r>
          </w:p>
        </w:tc>
        <w:tc>
          <w:tcPr>
            <w:tcW w:w="2430" w:type="dxa"/>
          </w:tcPr>
          <w:p w14:paraId="21F0E47B" w14:textId="77777777" w:rsidR="00497CE3" w:rsidRDefault="00497CE3" w:rsidP="00497CE3">
            <w:pPr>
              <w:jc w:val="center"/>
            </w:pPr>
            <w:r>
              <w:t>10</w:t>
            </w:r>
          </w:p>
        </w:tc>
        <w:tc>
          <w:tcPr>
            <w:tcW w:w="2673" w:type="dxa"/>
          </w:tcPr>
          <w:p w14:paraId="317A0106" w14:textId="77777777" w:rsidR="00497CE3" w:rsidRPr="0035713B" w:rsidRDefault="00497CE3" w:rsidP="00497CE3">
            <w:pPr>
              <w:jc w:val="center"/>
            </w:pPr>
            <w:r w:rsidRPr="0035713B">
              <w:t>11</w:t>
            </w:r>
          </w:p>
        </w:tc>
        <w:tc>
          <w:tcPr>
            <w:tcW w:w="2409" w:type="dxa"/>
          </w:tcPr>
          <w:p w14:paraId="308621D1" w14:textId="77777777" w:rsidR="00497CE3" w:rsidRPr="00C4011C" w:rsidRDefault="00497CE3" w:rsidP="00497CE3">
            <w:pPr>
              <w:jc w:val="center"/>
            </w:pPr>
            <w:r w:rsidRPr="00480FE2">
              <w:t>11</w:t>
            </w:r>
          </w:p>
        </w:tc>
        <w:tc>
          <w:tcPr>
            <w:tcW w:w="1985" w:type="dxa"/>
          </w:tcPr>
          <w:p w14:paraId="24CC1237" w14:textId="77777777" w:rsidR="00497CE3" w:rsidRPr="00480FE2" w:rsidRDefault="00497CE3" w:rsidP="00497CE3">
            <w:pPr>
              <w:jc w:val="center"/>
            </w:pPr>
            <w:r>
              <w:t>11</w:t>
            </w:r>
          </w:p>
        </w:tc>
      </w:tr>
      <w:tr w:rsidR="00497CE3" w14:paraId="40628369" w14:textId="77777777" w:rsidTr="00B93FD1">
        <w:tc>
          <w:tcPr>
            <w:tcW w:w="3256" w:type="dxa"/>
          </w:tcPr>
          <w:p w14:paraId="09AAC1AE" w14:textId="77777777" w:rsidR="00497CE3" w:rsidRDefault="00497CE3" w:rsidP="00497CE3">
            <w:r>
              <w:t>Basal to dyrosaurids</w:t>
            </w:r>
          </w:p>
        </w:tc>
        <w:tc>
          <w:tcPr>
            <w:tcW w:w="2430" w:type="dxa"/>
          </w:tcPr>
          <w:p w14:paraId="76D4DA64" w14:textId="77777777" w:rsidR="00497CE3" w:rsidRDefault="00497CE3" w:rsidP="00497CE3">
            <w:pPr>
              <w:jc w:val="center"/>
            </w:pPr>
            <w:r>
              <w:t>1</w:t>
            </w:r>
          </w:p>
        </w:tc>
        <w:tc>
          <w:tcPr>
            <w:tcW w:w="2673" w:type="dxa"/>
          </w:tcPr>
          <w:p w14:paraId="5ECB38A5" w14:textId="77777777" w:rsidR="00497CE3" w:rsidRPr="0035713B" w:rsidRDefault="00497CE3" w:rsidP="00497CE3">
            <w:pPr>
              <w:jc w:val="center"/>
            </w:pPr>
            <w:r w:rsidRPr="0035713B">
              <w:t>2</w:t>
            </w:r>
          </w:p>
        </w:tc>
        <w:tc>
          <w:tcPr>
            <w:tcW w:w="2409" w:type="dxa"/>
          </w:tcPr>
          <w:p w14:paraId="3548F7C5" w14:textId="77777777" w:rsidR="00497CE3" w:rsidRPr="00C4011C" w:rsidRDefault="00497CE3" w:rsidP="00497CE3">
            <w:pPr>
              <w:jc w:val="center"/>
            </w:pPr>
            <w:r>
              <w:t>2</w:t>
            </w:r>
          </w:p>
        </w:tc>
        <w:tc>
          <w:tcPr>
            <w:tcW w:w="1985" w:type="dxa"/>
          </w:tcPr>
          <w:p w14:paraId="4B5614A3" w14:textId="77777777" w:rsidR="00497CE3" w:rsidRDefault="00497CE3" w:rsidP="00497CE3">
            <w:pPr>
              <w:jc w:val="center"/>
            </w:pPr>
            <w:r>
              <w:t>2</w:t>
            </w:r>
          </w:p>
        </w:tc>
      </w:tr>
      <w:tr w:rsidR="00497CE3" w14:paraId="626F6CDB" w14:textId="77777777" w:rsidTr="00B93FD1">
        <w:tc>
          <w:tcPr>
            <w:tcW w:w="3256" w:type="dxa"/>
          </w:tcPr>
          <w:p w14:paraId="1E5836F4" w14:textId="77777777" w:rsidR="00497CE3" w:rsidRDefault="00497CE3" w:rsidP="00497CE3">
            <w:r>
              <w:t>Dyrosauridae</w:t>
            </w:r>
          </w:p>
        </w:tc>
        <w:tc>
          <w:tcPr>
            <w:tcW w:w="2430" w:type="dxa"/>
          </w:tcPr>
          <w:p w14:paraId="3940E005" w14:textId="77777777" w:rsidR="00497CE3" w:rsidRDefault="00497CE3" w:rsidP="00497CE3">
            <w:pPr>
              <w:jc w:val="center"/>
            </w:pPr>
            <w:r>
              <w:t>16</w:t>
            </w:r>
          </w:p>
        </w:tc>
        <w:tc>
          <w:tcPr>
            <w:tcW w:w="2673" w:type="dxa"/>
          </w:tcPr>
          <w:p w14:paraId="08DEEE32" w14:textId="77777777" w:rsidR="00497CE3" w:rsidRPr="0035713B" w:rsidRDefault="00497CE3" w:rsidP="00497CE3">
            <w:pPr>
              <w:jc w:val="center"/>
            </w:pPr>
            <w:r w:rsidRPr="0035713B">
              <w:t>17</w:t>
            </w:r>
          </w:p>
        </w:tc>
        <w:tc>
          <w:tcPr>
            <w:tcW w:w="2409" w:type="dxa"/>
          </w:tcPr>
          <w:p w14:paraId="6B64A77D" w14:textId="77777777" w:rsidR="00497CE3" w:rsidRPr="00C4011C" w:rsidRDefault="00497CE3" w:rsidP="00497CE3">
            <w:pPr>
              <w:jc w:val="center"/>
            </w:pPr>
            <w:r>
              <w:t>17</w:t>
            </w:r>
          </w:p>
        </w:tc>
        <w:tc>
          <w:tcPr>
            <w:tcW w:w="1985" w:type="dxa"/>
          </w:tcPr>
          <w:p w14:paraId="0F7A5083" w14:textId="77777777" w:rsidR="00497CE3" w:rsidRDefault="00497CE3" w:rsidP="00497CE3">
            <w:pPr>
              <w:jc w:val="center"/>
            </w:pPr>
            <w:r>
              <w:t>17</w:t>
            </w:r>
          </w:p>
        </w:tc>
      </w:tr>
      <w:tr w:rsidR="00497CE3" w14:paraId="5914C6F8" w14:textId="77777777" w:rsidTr="00B93FD1">
        <w:tc>
          <w:tcPr>
            <w:tcW w:w="3256" w:type="dxa"/>
          </w:tcPr>
          <w:p w14:paraId="67B00165" w14:textId="77777777" w:rsidR="00497CE3" w:rsidRDefault="00497CE3" w:rsidP="00497CE3">
            <w:r>
              <w:t>Teleosauroids</w:t>
            </w:r>
          </w:p>
        </w:tc>
        <w:tc>
          <w:tcPr>
            <w:tcW w:w="2430" w:type="dxa"/>
          </w:tcPr>
          <w:p w14:paraId="663278D9" w14:textId="77777777" w:rsidR="00497CE3" w:rsidRPr="00C4011C" w:rsidRDefault="00497CE3" w:rsidP="00497CE3">
            <w:pPr>
              <w:jc w:val="center"/>
            </w:pPr>
            <w:r>
              <w:t>18</w:t>
            </w:r>
          </w:p>
        </w:tc>
        <w:tc>
          <w:tcPr>
            <w:tcW w:w="2673" w:type="dxa"/>
          </w:tcPr>
          <w:p w14:paraId="39531205" w14:textId="77777777" w:rsidR="00497CE3" w:rsidRPr="0035713B" w:rsidRDefault="00497CE3" w:rsidP="00497CE3">
            <w:pPr>
              <w:jc w:val="center"/>
            </w:pPr>
            <w:r w:rsidRPr="0035713B">
              <w:t>18</w:t>
            </w:r>
          </w:p>
        </w:tc>
        <w:tc>
          <w:tcPr>
            <w:tcW w:w="2409" w:type="dxa"/>
          </w:tcPr>
          <w:p w14:paraId="42E726F4" w14:textId="77777777" w:rsidR="00497CE3" w:rsidRPr="00C4011C" w:rsidRDefault="00497CE3" w:rsidP="00497CE3">
            <w:pPr>
              <w:jc w:val="center"/>
            </w:pPr>
            <w:r>
              <w:t>18</w:t>
            </w:r>
          </w:p>
        </w:tc>
        <w:tc>
          <w:tcPr>
            <w:tcW w:w="1985" w:type="dxa"/>
          </w:tcPr>
          <w:p w14:paraId="38CE3003" w14:textId="77777777" w:rsidR="00497CE3" w:rsidRDefault="00497CE3" w:rsidP="00497CE3">
            <w:pPr>
              <w:jc w:val="center"/>
            </w:pPr>
            <w:r>
              <w:t>20</w:t>
            </w:r>
          </w:p>
        </w:tc>
      </w:tr>
      <w:tr w:rsidR="00497CE3" w14:paraId="516A43F7" w14:textId="77777777" w:rsidTr="00B93FD1">
        <w:tc>
          <w:tcPr>
            <w:tcW w:w="3256" w:type="dxa"/>
          </w:tcPr>
          <w:p w14:paraId="0D21F6CE" w14:textId="77777777" w:rsidR="00497CE3" w:rsidRDefault="00497CE3" w:rsidP="00497CE3">
            <w:r>
              <w:t>Basal metriorhynchoids</w:t>
            </w:r>
          </w:p>
        </w:tc>
        <w:tc>
          <w:tcPr>
            <w:tcW w:w="2430" w:type="dxa"/>
          </w:tcPr>
          <w:p w14:paraId="6B060716" w14:textId="77777777" w:rsidR="00497CE3" w:rsidRPr="00C4011C" w:rsidRDefault="00497CE3" w:rsidP="00497CE3">
            <w:pPr>
              <w:jc w:val="center"/>
            </w:pPr>
            <w:r>
              <w:t>7</w:t>
            </w:r>
          </w:p>
        </w:tc>
        <w:tc>
          <w:tcPr>
            <w:tcW w:w="2673" w:type="dxa"/>
          </w:tcPr>
          <w:p w14:paraId="614AD76B" w14:textId="77777777" w:rsidR="00497CE3" w:rsidRPr="0035713B" w:rsidRDefault="00497CE3" w:rsidP="00497CE3">
            <w:pPr>
              <w:jc w:val="center"/>
            </w:pPr>
            <w:r w:rsidRPr="0035713B">
              <w:t>7</w:t>
            </w:r>
          </w:p>
        </w:tc>
        <w:tc>
          <w:tcPr>
            <w:tcW w:w="2409" w:type="dxa"/>
          </w:tcPr>
          <w:p w14:paraId="0F370A9A" w14:textId="77777777" w:rsidR="00497CE3" w:rsidRPr="00C4011C" w:rsidRDefault="00497CE3" w:rsidP="00497CE3">
            <w:pPr>
              <w:jc w:val="center"/>
            </w:pPr>
            <w:r>
              <w:t>8</w:t>
            </w:r>
          </w:p>
        </w:tc>
        <w:tc>
          <w:tcPr>
            <w:tcW w:w="1985" w:type="dxa"/>
          </w:tcPr>
          <w:p w14:paraId="4D9E6A8B" w14:textId="77777777" w:rsidR="00497CE3" w:rsidRDefault="00497CE3" w:rsidP="00497CE3">
            <w:pPr>
              <w:jc w:val="center"/>
            </w:pPr>
            <w:r>
              <w:t>8</w:t>
            </w:r>
          </w:p>
        </w:tc>
      </w:tr>
      <w:tr w:rsidR="00497CE3" w14:paraId="05AE9952" w14:textId="77777777" w:rsidTr="00B93FD1">
        <w:tc>
          <w:tcPr>
            <w:tcW w:w="3256" w:type="dxa"/>
          </w:tcPr>
          <w:p w14:paraId="74BE4307" w14:textId="77777777" w:rsidR="00497CE3" w:rsidRDefault="00497CE3" w:rsidP="00497CE3">
            <w:r>
              <w:t>Basal metriorhynchines</w:t>
            </w:r>
          </w:p>
        </w:tc>
        <w:tc>
          <w:tcPr>
            <w:tcW w:w="2430" w:type="dxa"/>
          </w:tcPr>
          <w:p w14:paraId="421E5DC0" w14:textId="77777777" w:rsidR="00497CE3" w:rsidRPr="00C4011C" w:rsidRDefault="00497CE3" w:rsidP="00497CE3">
            <w:pPr>
              <w:jc w:val="center"/>
            </w:pPr>
            <w:r>
              <w:t>4</w:t>
            </w:r>
          </w:p>
        </w:tc>
        <w:tc>
          <w:tcPr>
            <w:tcW w:w="2673" w:type="dxa"/>
          </w:tcPr>
          <w:p w14:paraId="21FF727B" w14:textId="77777777" w:rsidR="00497CE3" w:rsidRPr="0035713B" w:rsidRDefault="00497CE3" w:rsidP="00497CE3">
            <w:pPr>
              <w:jc w:val="center"/>
            </w:pPr>
            <w:r w:rsidRPr="0035713B">
              <w:t>4</w:t>
            </w:r>
          </w:p>
        </w:tc>
        <w:tc>
          <w:tcPr>
            <w:tcW w:w="2409" w:type="dxa"/>
          </w:tcPr>
          <w:p w14:paraId="5FD7A974" w14:textId="77777777" w:rsidR="00497CE3" w:rsidRPr="00C4011C" w:rsidRDefault="00497CE3" w:rsidP="00497CE3">
            <w:pPr>
              <w:jc w:val="center"/>
            </w:pPr>
            <w:r>
              <w:t>4</w:t>
            </w:r>
          </w:p>
        </w:tc>
        <w:tc>
          <w:tcPr>
            <w:tcW w:w="1985" w:type="dxa"/>
          </w:tcPr>
          <w:p w14:paraId="6F8CBFFF" w14:textId="77777777" w:rsidR="00497CE3" w:rsidRDefault="00497CE3" w:rsidP="00497CE3">
            <w:pPr>
              <w:jc w:val="center"/>
            </w:pPr>
            <w:r>
              <w:t>4</w:t>
            </w:r>
          </w:p>
        </w:tc>
      </w:tr>
      <w:tr w:rsidR="00497CE3" w14:paraId="7A007D28" w14:textId="77777777" w:rsidTr="00B93FD1">
        <w:tc>
          <w:tcPr>
            <w:tcW w:w="3256" w:type="dxa"/>
          </w:tcPr>
          <w:p w14:paraId="163C7FAF" w14:textId="77777777" w:rsidR="00497CE3" w:rsidRDefault="00497CE3" w:rsidP="00497CE3">
            <w:r>
              <w:t>Rhacheosaurini</w:t>
            </w:r>
          </w:p>
        </w:tc>
        <w:tc>
          <w:tcPr>
            <w:tcW w:w="2430" w:type="dxa"/>
          </w:tcPr>
          <w:p w14:paraId="29FB2C73" w14:textId="77777777" w:rsidR="00497CE3" w:rsidRPr="00C4011C" w:rsidRDefault="00497CE3" w:rsidP="00497CE3">
            <w:pPr>
              <w:jc w:val="center"/>
            </w:pPr>
            <w:r>
              <w:t>14</w:t>
            </w:r>
          </w:p>
        </w:tc>
        <w:tc>
          <w:tcPr>
            <w:tcW w:w="2673" w:type="dxa"/>
          </w:tcPr>
          <w:p w14:paraId="23E50362" w14:textId="77777777" w:rsidR="00497CE3" w:rsidRPr="0035713B" w:rsidRDefault="00497CE3" w:rsidP="00497CE3">
            <w:pPr>
              <w:jc w:val="center"/>
            </w:pPr>
            <w:r w:rsidRPr="0035713B">
              <w:t>14</w:t>
            </w:r>
          </w:p>
        </w:tc>
        <w:tc>
          <w:tcPr>
            <w:tcW w:w="2409" w:type="dxa"/>
          </w:tcPr>
          <w:p w14:paraId="23BF84A5" w14:textId="77777777" w:rsidR="00497CE3" w:rsidRPr="00C4011C" w:rsidRDefault="00497CE3" w:rsidP="00497CE3">
            <w:pPr>
              <w:jc w:val="center"/>
            </w:pPr>
            <w:r>
              <w:t>14</w:t>
            </w:r>
          </w:p>
        </w:tc>
        <w:tc>
          <w:tcPr>
            <w:tcW w:w="1985" w:type="dxa"/>
          </w:tcPr>
          <w:p w14:paraId="055070B5" w14:textId="77777777" w:rsidR="00497CE3" w:rsidRDefault="00497CE3" w:rsidP="00497CE3">
            <w:pPr>
              <w:jc w:val="center"/>
            </w:pPr>
            <w:r>
              <w:t>14</w:t>
            </w:r>
          </w:p>
        </w:tc>
      </w:tr>
      <w:tr w:rsidR="00497CE3" w14:paraId="4A832F88" w14:textId="77777777" w:rsidTr="00B93FD1">
        <w:tc>
          <w:tcPr>
            <w:tcW w:w="3256" w:type="dxa"/>
          </w:tcPr>
          <w:p w14:paraId="7FCE6A94" w14:textId="77777777" w:rsidR="00497CE3" w:rsidRDefault="00497CE3" w:rsidP="00497CE3">
            <w:r>
              <w:t>Basal geosaurines</w:t>
            </w:r>
          </w:p>
        </w:tc>
        <w:tc>
          <w:tcPr>
            <w:tcW w:w="2430" w:type="dxa"/>
          </w:tcPr>
          <w:p w14:paraId="2CDBA421" w14:textId="77777777" w:rsidR="00497CE3" w:rsidRPr="00C4011C" w:rsidRDefault="00497CE3" w:rsidP="00497CE3">
            <w:pPr>
              <w:jc w:val="center"/>
            </w:pPr>
            <w:r>
              <w:t>5</w:t>
            </w:r>
          </w:p>
        </w:tc>
        <w:tc>
          <w:tcPr>
            <w:tcW w:w="2673" w:type="dxa"/>
          </w:tcPr>
          <w:p w14:paraId="01346347" w14:textId="77777777" w:rsidR="00497CE3" w:rsidRPr="0035713B" w:rsidRDefault="00497CE3" w:rsidP="00497CE3">
            <w:pPr>
              <w:jc w:val="center"/>
            </w:pPr>
            <w:r w:rsidRPr="0035713B">
              <w:t>5</w:t>
            </w:r>
          </w:p>
        </w:tc>
        <w:tc>
          <w:tcPr>
            <w:tcW w:w="2409" w:type="dxa"/>
          </w:tcPr>
          <w:p w14:paraId="51D153BD" w14:textId="77777777" w:rsidR="00497CE3" w:rsidRPr="00C4011C" w:rsidRDefault="00497CE3" w:rsidP="00497CE3">
            <w:pPr>
              <w:jc w:val="center"/>
            </w:pPr>
            <w:r>
              <w:t>5</w:t>
            </w:r>
          </w:p>
        </w:tc>
        <w:tc>
          <w:tcPr>
            <w:tcW w:w="1985" w:type="dxa"/>
          </w:tcPr>
          <w:p w14:paraId="6686554C" w14:textId="77777777" w:rsidR="00497CE3" w:rsidRDefault="00497CE3" w:rsidP="00497CE3">
            <w:pPr>
              <w:jc w:val="center"/>
            </w:pPr>
            <w:r>
              <w:t>5</w:t>
            </w:r>
          </w:p>
        </w:tc>
      </w:tr>
      <w:tr w:rsidR="00497CE3" w14:paraId="0F9894D8" w14:textId="77777777" w:rsidTr="00B93FD1">
        <w:tc>
          <w:tcPr>
            <w:tcW w:w="3256" w:type="dxa"/>
            <w:tcBorders>
              <w:bottom w:val="single" w:sz="4" w:space="0" w:color="auto"/>
            </w:tcBorders>
          </w:tcPr>
          <w:p w14:paraId="25C355F7" w14:textId="77777777" w:rsidR="00497CE3" w:rsidRDefault="00497CE3" w:rsidP="00497CE3">
            <w:r>
              <w:t>Geosaurini</w:t>
            </w:r>
          </w:p>
        </w:tc>
        <w:tc>
          <w:tcPr>
            <w:tcW w:w="2430" w:type="dxa"/>
            <w:tcBorders>
              <w:bottom w:val="single" w:sz="4" w:space="0" w:color="auto"/>
            </w:tcBorders>
          </w:tcPr>
          <w:p w14:paraId="51C5AB3D" w14:textId="77777777" w:rsidR="00497CE3" w:rsidRPr="00C4011C" w:rsidRDefault="00497CE3" w:rsidP="00497CE3">
            <w:pPr>
              <w:jc w:val="center"/>
            </w:pPr>
            <w:r>
              <w:t>19</w:t>
            </w:r>
          </w:p>
        </w:tc>
        <w:tc>
          <w:tcPr>
            <w:tcW w:w="2673" w:type="dxa"/>
            <w:tcBorders>
              <w:bottom w:val="single" w:sz="4" w:space="0" w:color="auto"/>
            </w:tcBorders>
          </w:tcPr>
          <w:p w14:paraId="27471A14" w14:textId="77777777" w:rsidR="00497CE3" w:rsidRPr="0035713B" w:rsidRDefault="00497CE3" w:rsidP="00497CE3">
            <w:pPr>
              <w:jc w:val="center"/>
            </w:pPr>
            <w:r w:rsidRPr="0035713B">
              <w:t>19</w:t>
            </w:r>
          </w:p>
        </w:tc>
        <w:tc>
          <w:tcPr>
            <w:tcW w:w="2409" w:type="dxa"/>
            <w:tcBorders>
              <w:bottom w:val="single" w:sz="4" w:space="0" w:color="auto"/>
            </w:tcBorders>
          </w:tcPr>
          <w:p w14:paraId="6DC03FB7" w14:textId="77777777" w:rsidR="00497CE3" w:rsidRPr="00C4011C" w:rsidRDefault="00497CE3" w:rsidP="00497CE3">
            <w:pPr>
              <w:jc w:val="center"/>
            </w:pPr>
            <w:r>
              <w:t>19</w:t>
            </w:r>
          </w:p>
        </w:tc>
        <w:tc>
          <w:tcPr>
            <w:tcW w:w="1985" w:type="dxa"/>
            <w:tcBorders>
              <w:bottom w:val="single" w:sz="4" w:space="0" w:color="auto"/>
            </w:tcBorders>
          </w:tcPr>
          <w:p w14:paraId="03593024" w14:textId="77777777" w:rsidR="00497CE3" w:rsidRDefault="00497CE3" w:rsidP="00497CE3">
            <w:pPr>
              <w:jc w:val="center"/>
            </w:pPr>
            <w:r>
              <w:t>19</w:t>
            </w:r>
          </w:p>
        </w:tc>
      </w:tr>
      <w:tr w:rsidR="00497CE3" w:rsidRPr="00C04E91" w14:paraId="054F918B" w14:textId="77777777" w:rsidTr="00B93FD1">
        <w:tc>
          <w:tcPr>
            <w:tcW w:w="3256" w:type="dxa"/>
            <w:tcBorders>
              <w:right w:val="nil"/>
            </w:tcBorders>
            <w:shd w:val="clear" w:color="auto" w:fill="F2F2F2" w:themeFill="background1" w:themeFillShade="F2"/>
          </w:tcPr>
          <w:p w14:paraId="6B92EC0C" w14:textId="77777777" w:rsidR="00497CE3" w:rsidRPr="00C04E91" w:rsidRDefault="00497CE3" w:rsidP="00497CE3">
            <w:pPr>
              <w:rPr>
                <w:sz w:val="12"/>
                <w:szCs w:val="12"/>
              </w:rPr>
            </w:pPr>
          </w:p>
        </w:tc>
        <w:tc>
          <w:tcPr>
            <w:tcW w:w="2430" w:type="dxa"/>
            <w:tcBorders>
              <w:left w:val="nil"/>
              <w:right w:val="nil"/>
            </w:tcBorders>
            <w:shd w:val="clear" w:color="auto" w:fill="F2F2F2" w:themeFill="background1" w:themeFillShade="F2"/>
          </w:tcPr>
          <w:p w14:paraId="7E76706E" w14:textId="77777777" w:rsidR="00497CE3" w:rsidRPr="00C04E91" w:rsidRDefault="00497CE3" w:rsidP="00497CE3">
            <w:pPr>
              <w:jc w:val="center"/>
              <w:rPr>
                <w:sz w:val="12"/>
                <w:szCs w:val="12"/>
              </w:rPr>
            </w:pPr>
          </w:p>
        </w:tc>
        <w:tc>
          <w:tcPr>
            <w:tcW w:w="2673" w:type="dxa"/>
            <w:tcBorders>
              <w:left w:val="nil"/>
              <w:right w:val="nil"/>
            </w:tcBorders>
            <w:shd w:val="clear" w:color="auto" w:fill="F2F2F2" w:themeFill="background1" w:themeFillShade="F2"/>
          </w:tcPr>
          <w:p w14:paraId="20C437B4" w14:textId="77777777" w:rsidR="00497CE3" w:rsidRPr="00C04E91" w:rsidRDefault="00497CE3" w:rsidP="00497CE3">
            <w:pPr>
              <w:jc w:val="center"/>
              <w:rPr>
                <w:sz w:val="12"/>
                <w:szCs w:val="12"/>
              </w:rPr>
            </w:pPr>
          </w:p>
        </w:tc>
        <w:tc>
          <w:tcPr>
            <w:tcW w:w="2409" w:type="dxa"/>
            <w:tcBorders>
              <w:left w:val="nil"/>
              <w:right w:val="nil"/>
            </w:tcBorders>
            <w:shd w:val="clear" w:color="auto" w:fill="F2F2F2" w:themeFill="background1" w:themeFillShade="F2"/>
          </w:tcPr>
          <w:p w14:paraId="2299C517" w14:textId="77777777" w:rsidR="00497CE3" w:rsidRPr="00C04E91" w:rsidRDefault="00497CE3" w:rsidP="00497CE3">
            <w:pPr>
              <w:jc w:val="center"/>
              <w:rPr>
                <w:sz w:val="12"/>
                <w:szCs w:val="12"/>
              </w:rPr>
            </w:pPr>
          </w:p>
        </w:tc>
        <w:tc>
          <w:tcPr>
            <w:tcW w:w="1985" w:type="dxa"/>
            <w:tcBorders>
              <w:left w:val="nil"/>
              <w:right w:val="single" w:sz="4" w:space="0" w:color="auto"/>
            </w:tcBorders>
            <w:shd w:val="clear" w:color="auto" w:fill="F2F2F2" w:themeFill="background1" w:themeFillShade="F2"/>
          </w:tcPr>
          <w:p w14:paraId="002ACEE3" w14:textId="77777777" w:rsidR="00497CE3" w:rsidRPr="00C04E91" w:rsidRDefault="00497CE3" w:rsidP="00497CE3">
            <w:pPr>
              <w:jc w:val="center"/>
              <w:rPr>
                <w:sz w:val="12"/>
                <w:szCs w:val="12"/>
              </w:rPr>
            </w:pPr>
          </w:p>
        </w:tc>
      </w:tr>
      <w:tr w:rsidR="00497CE3" w14:paraId="72D994C0" w14:textId="77777777" w:rsidTr="00B93FD1">
        <w:tc>
          <w:tcPr>
            <w:tcW w:w="3256" w:type="dxa"/>
          </w:tcPr>
          <w:p w14:paraId="588F2204" w14:textId="77777777" w:rsidR="00497CE3" w:rsidRPr="00B805BC" w:rsidRDefault="00497CE3" w:rsidP="00497CE3">
            <w:pPr>
              <w:rPr>
                <w:b/>
              </w:rPr>
            </w:pPr>
            <w:r w:rsidRPr="00B805BC">
              <w:rPr>
                <w:b/>
              </w:rPr>
              <w:t>Total number of OTUs</w:t>
            </w:r>
          </w:p>
        </w:tc>
        <w:tc>
          <w:tcPr>
            <w:tcW w:w="2430" w:type="dxa"/>
          </w:tcPr>
          <w:p w14:paraId="0618D539" w14:textId="77777777" w:rsidR="00497CE3" w:rsidRPr="007509D6" w:rsidRDefault="00497CE3" w:rsidP="00497CE3">
            <w:pPr>
              <w:jc w:val="center"/>
              <w:rPr>
                <w:b/>
              </w:rPr>
            </w:pPr>
            <w:r>
              <w:rPr>
                <w:b/>
              </w:rPr>
              <w:t>137</w:t>
            </w:r>
          </w:p>
        </w:tc>
        <w:tc>
          <w:tcPr>
            <w:tcW w:w="2673" w:type="dxa"/>
          </w:tcPr>
          <w:p w14:paraId="01B8B045" w14:textId="77777777" w:rsidR="00497CE3" w:rsidRPr="0035713B" w:rsidRDefault="00497CE3" w:rsidP="00497CE3">
            <w:pPr>
              <w:jc w:val="center"/>
            </w:pPr>
            <w:r w:rsidRPr="003A1198">
              <w:rPr>
                <w:b/>
              </w:rPr>
              <w:t>138</w:t>
            </w:r>
          </w:p>
        </w:tc>
        <w:tc>
          <w:tcPr>
            <w:tcW w:w="2409" w:type="dxa"/>
            <w:tcBorders>
              <w:bottom w:val="single" w:sz="4" w:space="0" w:color="auto"/>
            </w:tcBorders>
          </w:tcPr>
          <w:p w14:paraId="254F0243" w14:textId="77777777" w:rsidR="00497CE3" w:rsidRPr="007509D6" w:rsidRDefault="00497CE3" w:rsidP="00497CE3">
            <w:pPr>
              <w:jc w:val="center"/>
              <w:rPr>
                <w:b/>
              </w:rPr>
            </w:pPr>
            <w:r w:rsidRPr="00C04E91">
              <w:rPr>
                <w:b/>
              </w:rPr>
              <w:t>140</w:t>
            </w:r>
          </w:p>
        </w:tc>
        <w:tc>
          <w:tcPr>
            <w:tcW w:w="1985" w:type="dxa"/>
            <w:tcBorders>
              <w:bottom w:val="single" w:sz="4" w:space="0" w:color="auto"/>
            </w:tcBorders>
          </w:tcPr>
          <w:p w14:paraId="63168AD9" w14:textId="77777777" w:rsidR="00497CE3" w:rsidRPr="00C04E91" w:rsidRDefault="00497CE3" w:rsidP="00497CE3">
            <w:pPr>
              <w:jc w:val="center"/>
              <w:rPr>
                <w:b/>
              </w:rPr>
            </w:pPr>
            <w:r>
              <w:rPr>
                <w:b/>
              </w:rPr>
              <w:t>142</w:t>
            </w:r>
          </w:p>
        </w:tc>
      </w:tr>
      <w:tr w:rsidR="00497CE3" w:rsidRPr="00C04E91" w14:paraId="6BF3312C" w14:textId="77777777" w:rsidTr="00B93FD1">
        <w:tc>
          <w:tcPr>
            <w:tcW w:w="3256" w:type="dxa"/>
            <w:tcBorders>
              <w:right w:val="nil"/>
            </w:tcBorders>
            <w:shd w:val="clear" w:color="auto" w:fill="F2F2F2" w:themeFill="background1" w:themeFillShade="F2"/>
          </w:tcPr>
          <w:p w14:paraId="202C7580" w14:textId="77777777" w:rsidR="00497CE3" w:rsidRPr="00C04E91" w:rsidRDefault="00497CE3" w:rsidP="00497CE3">
            <w:pPr>
              <w:rPr>
                <w:sz w:val="12"/>
                <w:szCs w:val="12"/>
              </w:rPr>
            </w:pPr>
          </w:p>
        </w:tc>
        <w:tc>
          <w:tcPr>
            <w:tcW w:w="2430" w:type="dxa"/>
            <w:tcBorders>
              <w:left w:val="nil"/>
              <w:right w:val="nil"/>
            </w:tcBorders>
            <w:shd w:val="clear" w:color="auto" w:fill="F2F2F2" w:themeFill="background1" w:themeFillShade="F2"/>
          </w:tcPr>
          <w:p w14:paraId="64A46AC4" w14:textId="77777777" w:rsidR="00497CE3" w:rsidRPr="00C04E91" w:rsidRDefault="00497CE3" w:rsidP="00497CE3">
            <w:pPr>
              <w:jc w:val="center"/>
              <w:rPr>
                <w:sz w:val="12"/>
                <w:szCs w:val="12"/>
              </w:rPr>
            </w:pPr>
          </w:p>
        </w:tc>
        <w:tc>
          <w:tcPr>
            <w:tcW w:w="2673" w:type="dxa"/>
            <w:tcBorders>
              <w:left w:val="nil"/>
              <w:right w:val="nil"/>
            </w:tcBorders>
            <w:shd w:val="clear" w:color="auto" w:fill="F2F2F2" w:themeFill="background1" w:themeFillShade="F2"/>
          </w:tcPr>
          <w:p w14:paraId="12A0D50C" w14:textId="77777777" w:rsidR="00497CE3" w:rsidRPr="00C04E91" w:rsidRDefault="00497CE3" w:rsidP="00497CE3">
            <w:pPr>
              <w:jc w:val="center"/>
              <w:rPr>
                <w:sz w:val="12"/>
                <w:szCs w:val="12"/>
              </w:rPr>
            </w:pPr>
          </w:p>
        </w:tc>
        <w:tc>
          <w:tcPr>
            <w:tcW w:w="2409" w:type="dxa"/>
            <w:tcBorders>
              <w:left w:val="nil"/>
              <w:right w:val="nil"/>
            </w:tcBorders>
            <w:shd w:val="clear" w:color="auto" w:fill="F2F2F2" w:themeFill="background1" w:themeFillShade="F2"/>
          </w:tcPr>
          <w:p w14:paraId="3F19D9CB" w14:textId="77777777" w:rsidR="00497CE3" w:rsidRPr="00C04E91" w:rsidRDefault="00497CE3" w:rsidP="00497CE3">
            <w:pPr>
              <w:jc w:val="center"/>
              <w:rPr>
                <w:sz w:val="12"/>
                <w:szCs w:val="12"/>
              </w:rPr>
            </w:pPr>
          </w:p>
        </w:tc>
        <w:tc>
          <w:tcPr>
            <w:tcW w:w="1985" w:type="dxa"/>
            <w:tcBorders>
              <w:left w:val="nil"/>
              <w:right w:val="single" w:sz="4" w:space="0" w:color="auto"/>
            </w:tcBorders>
            <w:shd w:val="clear" w:color="auto" w:fill="F2F2F2" w:themeFill="background1" w:themeFillShade="F2"/>
          </w:tcPr>
          <w:p w14:paraId="5DC50F92" w14:textId="77777777" w:rsidR="00497CE3" w:rsidRPr="00C04E91" w:rsidRDefault="00497CE3" w:rsidP="00497CE3">
            <w:pPr>
              <w:jc w:val="center"/>
              <w:rPr>
                <w:sz w:val="12"/>
                <w:szCs w:val="12"/>
              </w:rPr>
            </w:pPr>
          </w:p>
        </w:tc>
      </w:tr>
      <w:tr w:rsidR="00497CE3" w14:paraId="25DD58F5" w14:textId="77777777" w:rsidTr="00B93FD1">
        <w:tc>
          <w:tcPr>
            <w:tcW w:w="3256" w:type="dxa"/>
            <w:tcBorders>
              <w:bottom w:val="single" w:sz="4" w:space="0" w:color="auto"/>
            </w:tcBorders>
          </w:tcPr>
          <w:p w14:paraId="6BB25CB8" w14:textId="77777777" w:rsidR="00497CE3" w:rsidRPr="00927881" w:rsidRDefault="00497CE3" w:rsidP="00497CE3">
            <w:pPr>
              <w:rPr>
                <w:b/>
              </w:rPr>
            </w:pPr>
            <w:r w:rsidRPr="00927881">
              <w:rPr>
                <w:b/>
              </w:rPr>
              <w:t xml:space="preserve">Total </w:t>
            </w:r>
            <w:r>
              <w:rPr>
                <w:b/>
              </w:rPr>
              <w:t xml:space="preserve">character </w:t>
            </w:r>
            <w:r w:rsidRPr="00927881">
              <w:rPr>
                <w:b/>
              </w:rPr>
              <w:t>number</w:t>
            </w:r>
          </w:p>
        </w:tc>
        <w:tc>
          <w:tcPr>
            <w:tcW w:w="2430" w:type="dxa"/>
            <w:tcBorders>
              <w:bottom w:val="single" w:sz="4" w:space="0" w:color="auto"/>
            </w:tcBorders>
          </w:tcPr>
          <w:p w14:paraId="349BE2E0" w14:textId="77777777" w:rsidR="00497CE3" w:rsidRPr="00927881" w:rsidRDefault="00497CE3" w:rsidP="00497CE3">
            <w:pPr>
              <w:jc w:val="center"/>
              <w:rPr>
                <w:b/>
              </w:rPr>
            </w:pPr>
            <w:r>
              <w:rPr>
                <w:b/>
              </w:rPr>
              <w:t>387</w:t>
            </w:r>
          </w:p>
        </w:tc>
        <w:tc>
          <w:tcPr>
            <w:tcW w:w="2673" w:type="dxa"/>
            <w:tcBorders>
              <w:bottom w:val="single" w:sz="4" w:space="0" w:color="auto"/>
            </w:tcBorders>
          </w:tcPr>
          <w:p w14:paraId="5B5B71BB" w14:textId="77777777" w:rsidR="00497CE3" w:rsidRPr="003A1198" w:rsidRDefault="00497CE3" w:rsidP="00497CE3">
            <w:pPr>
              <w:jc w:val="center"/>
              <w:rPr>
                <w:b/>
                <w:i/>
              </w:rPr>
            </w:pPr>
            <w:r w:rsidRPr="002016E4">
              <w:rPr>
                <w:b/>
              </w:rPr>
              <w:t>393</w:t>
            </w:r>
          </w:p>
        </w:tc>
        <w:tc>
          <w:tcPr>
            <w:tcW w:w="2409" w:type="dxa"/>
            <w:tcBorders>
              <w:bottom w:val="single" w:sz="4" w:space="0" w:color="auto"/>
            </w:tcBorders>
          </w:tcPr>
          <w:p w14:paraId="5E270247" w14:textId="77777777" w:rsidR="00497CE3" w:rsidRDefault="00497CE3" w:rsidP="00497CE3">
            <w:pPr>
              <w:jc w:val="center"/>
              <w:rPr>
                <w:b/>
              </w:rPr>
            </w:pPr>
            <w:r w:rsidRPr="00C04E91">
              <w:rPr>
                <w:b/>
              </w:rPr>
              <w:t>454</w:t>
            </w:r>
          </w:p>
        </w:tc>
        <w:tc>
          <w:tcPr>
            <w:tcW w:w="1985" w:type="dxa"/>
            <w:tcBorders>
              <w:bottom w:val="single" w:sz="4" w:space="0" w:color="auto"/>
            </w:tcBorders>
          </w:tcPr>
          <w:p w14:paraId="198F347D" w14:textId="77777777" w:rsidR="00497CE3" w:rsidRPr="00DE1B02" w:rsidRDefault="00497CE3" w:rsidP="00497CE3">
            <w:pPr>
              <w:jc w:val="center"/>
              <w:rPr>
                <w:b/>
                <w:highlight w:val="yellow"/>
              </w:rPr>
            </w:pPr>
            <w:r w:rsidRPr="00B23BB0">
              <w:rPr>
                <w:b/>
              </w:rPr>
              <w:t>454</w:t>
            </w:r>
          </w:p>
        </w:tc>
      </w:tr>
      <w:tr w:rsidR="00497CE3" w:rsidRPr="00C04E91" w14:paraId="17485CED" w14:textId="77777777" w:rsidTr="00B93FD1">
        <w:tc>
          <w:tcPr>
            <w:tcW w:w="3256" w:type="dxa"/>
            <w:tcBorders>
              <w:right w:val="nil"/>
            </w:tcBorders>
            <w:shd w:val="clear" w:color="auto" w:fill="F2F2F2" w:themeFill="background1" w:themeFillShade="F2"/>
          </w:tcPr>
          <w:p w14:paraId="37AA75AA" w14:textId="77777777" w:rsidR="00497CE3" w:rsidRPr="00C04E91" w:rsidRDefault="00497CE3" w:rsidP="00497CE3">
            <w:pPr>
              <w:rPr>
                <w:b/>
                <w:sz w:val="12"/>
                <w:szCs w:val="12"/>
              </w:rPr>
            </w:pPr>
          </w:p>
        </w:tc>
        <w:tc>
          <w:tcPr>
            <w:tcW w:w="2430" w:type="dxa"/>
            <w:tcBorders>
              <w:left w:val="nil"/>
              <w:right w:val="nil"/>
            </w:tcBorders>
            <w:shd w:val="clear" w:color="auto" w:fill="F2F2F2" w:themeFill="background1" w:themeFillShade="F2"/>
          </w:tcPr>
          <w:p w14:paraId="2170B940" w14:textId="77777777" w:rsidR="00497CE3" w:rsidRPr="00C04E91" w:rsidRDefault="00497CE3" w:rsidP="00497CE3">
            <w:pPr>
              <w:jc w:val="center"/>
              <w:rPr>
                <w:b/>
                <w:sz w:val="12"/>
                <w:szCs w:val="12"/>
              </w:rPr>
            </w:pPr>
          </w:p>
        </w:tc>
        <w:tc>
          <w:tcPr>
            <w:tcW w:w="2673" w:type="dxa"/>
            <w:tcBorders>
              <w:left w:val="nil"/>
              <w:right w:val="nil"/>
            </w:tcBorders>
            <w:shd w:val="clear" w:color="auto" w:fill="F2F2F2" w:themeFill="background1" w:themeFillShade="F2"/>
          </w:tcPr>
          <w:p w14:paraId="7C7F9274" w14:textId="77777777" w:rsidR="00497CE3" w:rsidRPr="00C04E91" w:rsidRDefault="00497CE3" w:rsidP="00497CE3">
            <w:pPr>
              <w:jc w:val="center"/>
              <w:rPr>
                <w:sz w:val="12"/>
                <w:szCs w:val="12"/>
              </w:rPr>
            </w:pPr>
          </w:p>
        </w:tc>
        <w:tc>
          <w:tcPr>
            <w:tcW w:w="2409" w:type="dxa"/>
            <w:tcBorders>
              <w:left w:val="nil"/>
              <w:right w:val="nil"/>
            </w:tcBorders>
            <w:shd w:val="clear" w:color="auto" w:fill="F2F2F2" w:themeFill="background1" w:themeFillShade="F2"/>
          </w:tcPr>
          <w:p w14:paraId="452273E9" w14:textId="77777777" w:rsidR="00497CE3" w:rsidRPr="00C04E91" w:rsidRDefault="00497CE3" w:rsidP="00497CE3">
            <w:pPr>
              <w:jc w:val="center"/>
              <w:rPr>
                <w:b/>
                <w:sz w:val="12"/>
                <w:szCs w:val="12"/>
              </w:rPr>
            </w:pPr>
          </w:p>
        </w:tc>
        <w:tc>
          <w:tcPr>
            <w:tcW w:w="1985" w:type="dxa"/>
            <w:tcBorders>
              <w:left w:val="nil"/>
              <w:right w:val="single" w:sz="4" w:space="0" w:color="auto"/>
            </w:tcBorders>
            <w:shd w:val="clear" w:color="auto" w:fill="F2F2F2" w:themeFill="background1" w:themeFillShade="F2"/>
          </w:tcPr>
          <w:p w14:paraId="55C59094" w14:textId="77777777" w:rsidR="00497CE3" w:rsidRPr="00C04E91" w:rsidRDefault="00497CE3" w:rsidP="00497CE3">
            <w:pPr>
              <w:jc w:val="center"/>
              <w:rPr>
                <w:b/>
                <w:sz w:val="12"/>
                <w:szCs w:val="12"/>
              </w:rPr>
            </w:pPr>
          </w:p>
        </w:tc>
      </w:tr>
      <w:tr w:rsidR="00497CE3" w14:paraId="51A03B3D" w14:textId="77777777" w:rsidTr="00B93FD1">
        <w:tc>
          <w:tcPr>
            <w:tcW w:w="3256" w:type="dxa"/>
            <w:tcBorders>
              <w:bottom w:val="single" w:sz="4" w:space="0" w:color="auto"/>
            </w:tcBorders>
          </w:tcPr>
          <w:p w14:paraId="4E21BDCC" w14:textId="77777777" w:rsidR="00497CE3" w:rsidRPr="00927881" w:rsidRDefault="00497CE3" w:rsidP="00497CE3">
            <w:pPr>
              <w:rPr>
                <w:b/>
              </w:rPr>
            </w:pPr>
            <w:r w:rsidRPr="0059011A">
              <w:rPr>
                <w:b/>
                <w:i/>
              </w:rPr>
              <w:t>OTU # / Characters #</w:t>
            </w:r>
          </w:p>
        </w:tc>
        <w:tc>
          <w:tcPr>
            <w:tcW w:w="2430" w:type="dxa"/>
            <w:tcBorders>
              <w:bottom w:val="single" w:sz="4" w:space="0" w:color="auto"/>
            </w:tcBorders>
          </w:tcPr>
          <w:p w14:paraId="7F7B22CE" w14:textId="77777777" w:rsidR="00497CE3" w:rsidRPr="00031C93" w:rsidRDefault="00497CE3" w:rsidP="00497CE3">
            <w:pPr>
              <w:jc w:val="center"/>
              <w:rPr>
                <w:b/>
                <w:i/>
              </w:rPr>
            </w:pPr>
            <w:r w:rsidRPr="00031C93">
              <w:rPr>
                <w:b/>
                <w:i/>
              </w:rPr>
              <w:t>2.825</w:t>
            </w:r>
            <w:r>
              <w:rPr>
                <w:b/>
                <w:i/>
              </w:rPr>
              <w:t xml:space="preserve"> : 1</w:t>
            </w:r>
          </w:p>
        </w:tc>
        <w:tc>
          <w:tcPr>
            <w:tcW w:w="2673" w:type="dxa"/>
            <w:tcBorders>
              <w:bottom w:val="single" w:sz="4" w:space="0" w:color="auto"/>
            </w:tcBorders>
          </w:tcPr>
          <w:p w14:paraId="31F34806" w14:textId="77777777" w:rsidR="00497CE3" w:rsidRPr="003A1198" w:rsidRDefault="00497CE3" w:rsidP="00497CE3">
            <w:pPr>
              <w:jc w:val="center"/>
              <w:rPr>
                <w:b/>
                <w:i/>
              </w:rPr>
            </w:pPr>
            <w:r w:rsidRPr="003A1198">
              <w:rPr>
                <w:b/>
                <w:i/>
              </w:rPr>
              <w:t>2.848 : 1</w:t>
            </w:r>
          </w:p>
        </w:tc>
        <w:tc>
          <w:tcPr>
            <w:tcW w:w="2409" w:type="dxa"/>
            <w:tcBorders>
              <w:bottom w:val="single" w:sz="4" w:space="0" w:color="auto"/>
            </w:tcBorders>
          </w:tcPr>
          <w:p w14:paraId="5D1EEC83" w14:textId="77777777" w:rsidR="00497CE3" w:rsidRPr="00031C93" w:rsidRDefault="00497CE3" w:rsidP="00497CE3">
            <w:pPr>
              <w:jc w:val="center"/>
              <w:rPr>
                <w:b/>
                <w:i/>
              </w:rPr>
            </w:pPr>
            <w:r w:rsidRPr="00C04E91">
              <w:rPr>
                <w:b/>
                <w:i/>
              </w:rPr>
              <w:t>3.243</w:t>
            </w:r>
            <w:r>
              <w:rPr>
                <w:b/>
                <w:i/>
              </w:rPr>
              <w:t xml:space="preserve"> : 1</w:t>
            </w:r>
          </w:p>
        </w:tc>
        <w:tc>
          <w:tcPr>
            <w:tcW w:w="1985" w:type="dxa"/>
            <w:tcBorders>
              <w:bottom w:val="single" w:sz="4" w:space="0" w:color="auto"/>
            </w:tcBorders>
          </w:tcPr>
          <w:p w14:paraId="066451BC" w14:textId="77777777" w:rsidR="00497CE3" w:rsidRDefault="00497CE3" w:rsidP="00497CE3">
            <w:pPr>
              <w:jc w:val="center"/>
              <w:rPr>
                <w:b/>
                <w:i/>
                <w:highlight w:val="yellow"/>
              </w:rPr>
            </w:pPr>
            <w:r>
              <w:rPr>
                <w:b/>
                <w:i/>
              </w:rPr>
              <w:t xml:space="preserve">3.197 </w:t>
            </w:r>
            <w:r w:rsidRPr="00B23BB0">
              <w:rPr>
                <w:b/>
                <w:i/>
              </w:rPr>
              <w:t>: 1</w:t>
            </w:r>
          </w:p>
        </w:tc>
      </w:tr>
    </w:tbl>
    <w:p w14:paraId="07C94DA6" w14:textId="77777777" w:rsidR="00497CE3" w:rsidRDefault="00497CE3" w:rsidP="00497CE3"/>
    <w:p w14:paraId="0E1942B9" w14:textId="0767FFC2" w:rsidR="00497CE3" w:rsidRDefault="00497CE3" w:rsidP="00497CE3">
      <w:pPr>
        <w:sectPr w:rsidR="00497CE3" w:rsidSect="00497CE3">
          <w:pgSz w:w="16838" w:h="11906" w:orient="landscape"/>
          <w:pgMar w:top="1440" w:right="1440" w:bottom="1440" w:left="1440" w:header="708" w:footer="708" w:gutter="0"/>
          <w:cols w:space="708"/>
          <w:docGrid w:linePitch="360"/>
        </w:sectPr>
      </w:pPr>
    </w:p>
    <w:p w14:paraId="095B5380" w14:textId="660328C8" w:rsidR="00497CE3" w:rsidRDefault="00497CE3" w:rsidP="00497CE3">
      <w:pPr>
        <w:rPr>
          <w:b/>
          <w:sz w:val="28"/>
        </w:rPr>
      </w:pPr>
      <w:r>
        <w:rPr>
          <w:b/>
          <w:sz w:val="28"/>
        </w:rPr>
        <w:t>S4) Supplementary references</w:t>
      </w:r>
    </w:p>
    <w:p w14:paraId="0F9F0D66" w14:textId="77777777" w:rsidR="00497CE3" w:rsidRDefault="00497CE3" w:rsidP="00497CE3"/>
    <w:p w14:paraId="63D1C8DC" w14:textId="77777777" w:rsidR="00497CE3" w:rsidRDefault="00497CE3" w:rsidP="00497CE3">
      <w:pPr>
        <w:autoSpaceDE w:val="0"/>
        <w:autoSpaceDN w:val="0"/>
        <w:adjustRightInd w:val="0"/>
      </w:pPr>
      <w:r>
        <w:rPr>
          <w:b/>
          <w:bCs/>
        </w:rPr>
        <w:t xml:space="preserve">Aguilera E, Salas H, Peña E. 1989. </w:t>
      </w:r>
      <w:r>
        <w:t xml:space="preserve">La Formación Cajones: Cretácico terminal del subandino central de Bolivia. </w:t>
      </w:r>
      <w:r>
        <w:rPr>
          <w:i/>
          <w:iCs/>
        </w:rPr>
        <w:t>Revista Técnica YPFB</w:t>
      </w:r>
      <w:r>
        <w:t xml:space="preserve"> </w:t>
      </w:r>
      <w:r>
        <w:rPr>
          <w:b/>
        </w:rPr>
        <w:t>10</w:t>
      </w:r>
      <w:r>
        <w:t>: 131–148.</w:t>
      </w:r>
    </w:p>
    <w:p w14:paraId="021392B7" w14:textId="77777777" w:rsidR="00497CE3" w:rsidRDefault="00497CE3" w:rsidP="00497CE3">
      <w:pPr>
        <w:autoSpaceDE w:val="0"/>
        <w:autoSpaceDN w:val="0"/>
        <w:adjustRightInd w:val="0"/>
        <w:rPr>
          <w:lang w:val="en-US"/>
        </w:rPr>
      </w:pPr>
      <w:r>
        <w:rPr>
          <w:rFonts w:eastAsia="Times New Roman"/>
          <w:b/>
          <w:lang w:val="en-US"/>
        </w:rPr>
        <w:t>Allen ER.</w:t>
      </w:r>
      <w:r>
        <w:rPr>
          <w:rFonts w:eastAsia="Times New Roman"/>
          <w:lang w:val="en-US"/>
        </w:rPr>
        <w:t xml:space="preserve"> </w:t>
      </w:r>
      <w:r>
        <w:rPr>
          <w:rFonts w:eastAsia="Times New Roman"/>
          <w:b/>
          <w:lang w:val="en-US"/>
        </w:rPr>
        <w:t>2012.</w:t>
      </w:r>
      <w:r>
        <w:rPr>
          <w:rFonts w:eastAsia="Times New Roman"/>
          <w:lang w:val="en-US"/>
        </w:rPr>
        <w:t xml:space="preserve"> </w:t>
      </w:r>
      <w:r>
        <w:rPr>
          <w:rFonts w:eastAsia="Times New Roman"/>
          <w:i/>
          <w:lang w:val="en-US"/>
        </w:rPr>
        <w:t>Analysis of North American goniopholidid crocodyliforms in a phylogenetic context.</w:t>
      </w:r>
      <w:r>
        <w:rPr>
          <w:rFonts w:eastAsia="Times New Roman"/>
          <w:lang w:val="en-US"/>
        </w:rPr>
        <w:t xml:space="preserve"> Unpublished MS (Master of Science) thesis. University of Iowa, 100 pp.</w:t>
      </w:r>
      <w:r>
        <w:rPr>
          <w:lang w:val="en-US"/>
        </w:rPr>
        <w:t xml:space="preserve"> </w:t>
      </w:r>
    </w:p>
    <w:p w14:paraId="43F03472" w14:textId="77777777" w:rsidR="00497CE3" w:rsidRDefault="00497CE3" w:rsidP="00497CE3">
      <w:pPr>
        <w:autoSpaceDE w:val="0"/>
        <w:autoSpaceDN w:val="0"/>
        <w:adjustRightInd w:val="0"/>
        <w:rPr>
          <w:i/>
          <w:iCs/>
        </w:rPr>
      </w:pPr>
      <w:bookmarkStart w:id="64" w:name="_Hlk485385964"/>
      <w:r>
        <w:rPr>
          <w:b/>
          <w:bCs/>
        </w:rPr>
        <w:t xml:space="preserve">Andrade MB. 2005. </w:t>
      </w:r>
      <w:r>
        <w:rPr>
          <w:i/>
          <w:iCs/>
        </w:rPr>
        <w:t>Revisão sistemática e taxonômica dos Notosuchia (Metasuchia, Crocodylomorpha)</w:t>
      </w:r>
      <w:r>
        <w:t>. Unpublished MS (Master of Science) thesis. Universidade Estadual Paulista, Rio Claro, 239 pp.</w:t>
      </w:r>
    </w:p>
    <w:bookmarkEnd w:id="64"/>
    <w:p w14:paraId="7118DB92" w14:textId="77777777" w:rsidR="00497CE3" w:rsidRDefault="00497CE3" w:rsidP="00497CE3">
      <w:pPr>
        <w:autoSpaceDE w:val="0"/>
        <w:autoSpaceDN w:val="0"/>
        <w:adjustRightInd w:val="0"/>
      </w:pPr>
      <w:r>
        <w:rPr>
          <w:b/>
          <w:bCs/>
        </w:rPr>
        <w:t xml:space="preserve">Andrade MB. 2009. </w:t>
      </w:r>
      <w:r>
        <w:t xml:space="preserve">Solving a century-old mystery: the structure and function of the maxillary depressions of </w:t>
      </w:r>
      <w:r>
        <w:rPr>
          <w:i/>
          <w:iCs/>
        </w:rPr>
        <w:t xml:space="preserve">Goniopholis </w:t>
      </w:r>
      <w:r>
        <w:t xml:space="preserve">(Crocodylomorpha, Neosuchia). </w:t>
      </w:r>
      <w:r>
        <w:rPr>
          <w:i/>
          <w:iCs/>
        </w:rPr>
        <w:t>Journal of Vertebrate</w:t>
      </w:r>
      <w:r>
        <w:t xml:space="preserve"> </w:t>
      </w:r>
      <w:r>
        <w:rPr>
          <w:i/>
          <w:iCs/>
        </w:rPr>
        <w:t>Paleontology</w:t>
      </w:r>
      <w:r>
        <w:t xml:space="preserve"> </w:t>
      </w:r>
      <w:r>
        <w:rPr>
          <w:b/>
        </w:rPr>
        <w:t xml:space="preserve">29 </w:t>
      </w:r>
      <w:r>
        <w:t>(3): 54A–55A.</w:t>
      </w:r>
    </w:p>
    <w:p w14:paraId="61AC5EEE" w14:textId="77777777" w:rsidR="00497CE3" w:rsidRDefault="00497CE3" w:rsidP="00497CE3">
      <w:pPr>
        <w:autoSpaceDE w:val="0"/>
        <w:autoSpaceDN w:val="0"/>
        <w:adjustRightInd w:val="0"/>
        <w:rPr>
          <w:i/>
          <w:iCs/>
        </w:rPr>
      </w:pPr>
      <w:bookmarkStart w:id="65" w:name="_Hlk485386318"/>
      <w:r>
        <w:rPr>
          <w:b/>
          <w:bCs/>
        </w:rPr>
        <w:t xml:space="preserve">Andrade MB. 2010. </w:t>
      </w:r>
      <w:r>
        <w:rPr>
          <w:i/>
          <w:iCs/>
        </w:rPr>
        <w:t>The evolution of Gondwanan Mesoeucrocodylia (Crurotarsi, Crocodylomorpha) from Jurassic to Cretaceous</w:t>
      </w:r>
      <w:r>
        <w:t>. Unpublished PhD thesis, University of Bristol, Bristol, 256 pp.</w:t>
      </w:r>
    </w:p>
    <w:bookmarkEnd w:id="65"/>
    <w:p w14:paraId="2CC2CA12" w14:textId="77777777" w:rsidR="00497CE3" w:rsidRDefault="00497CE3" w:rsidP="00497CE3">
      <w:pPr>
        <w:autoSpaceDE w:val="0"/>
        <w:autoSpaceDN w:val="0"/>
        <w:adjustRightInd w:val="0"/>
      </w:pPr>
      <w:r>
        <w:rPr>
          <w:b/>
          <w:bCs/>
        </w:rPr>
        <w:t xml:space="preserve">Andrade MB, Bertini RJ. 2005. </w:t>
      </w:r>
      <w:r>
        <w:t xml:space="preserve">Bibliographic revision of </w:t>
      </w:r>
      <w:r>
        <w:rPr>
          <w:i/>
          <w:iCs/>
        </w:rPr>
        <w:t xml:space="preserve">Uruguaysuchus </w:t>
      </w:r>
      <w:r>
        <w:t xml:space="preserve">(Mesoeucrocodylia: Crocodylomorpha): is </w:t>
      </w:r>
      <w:r>
        <w:rPr>
          <w:i/>
          <w:iCs/>
        </w:rPr>
        <w:t xml:space="preserve">Uruguaysuchus terrai </w:t>
      </w:r>
      <w:r>
        <w:t xml:space="preserve">a valid species?. Pp. 21–22 in Congresso Latino Americano de Paleontologia de Vertebrados, 2. </w:t>
      </w:r>
      <w:r>
        <w:rPr>
          <w:i/>
          <w:iCs/>
        </w:rPr>
        <w:t>Boletim</w:t>
      </w:r>
      <w:r>
        <w:t>, Rio de Janeiro, Museu Nacional/UFRJ.</w:t>
      </w:r>
    </w:p>
    <w:p w14:paraId="47CEE6CF" w14:textId="77777777" w:rsidR="00497CE3" w:rsidRDefault="00497CE3" w:rsidP="00497CE3">
      <w:pPr>
        <w:autoSpaceDE w:val="0"/>
        <w:autoSpaceDN w:val="0"/>
        <w:adjustRightInd w:val="0"/>
      </w:pPr>
      <w:bookmarkStart w:id="66" w:name="_Hlk485386052"/>
      <w:r>
        <w:rPr>
          <w:b/>
          <w:bCs/>
        </w:rPr>
        <w:t xml:space="preserve">Andrade MB, Bertini RJ. 2008a. </w:t>
      </w:r>
      <w:r>
        <w:t xml:space="preserve">A new </w:t>
      </w:r>
      <w:r>
        <w:rPr>
          <w:i/>
          <w:iCs/>
        </w:rPr>
        <w:t xml:space="preserve">Sphagesaurus </w:t>
      </w:r>
      <w:r>
        <w:t xml:space="preserve">(Mesoeucrocodylia: Notosuchia) from the Upper Cretaceous of Monte Alto City (Bauru Group, Brazil), and a revision of the Sphagesauridae. </w:t>
      </w:r>
      <w:r>
        <w:rPr>
          <w:i/>
          <w:iCs/>
        </w:rPr>
        <w:t>Historical Biology</w:t>
      </w:r>
      <w:r>
        <w:t xml:space="preserve"> </w:t>
      </w:r>
      <w:r>
        <w:rPr>
          <w:b/>
        </w:rPr>
        <w:t xml:space="preserve">20 </w:t>
      </w:r>
      <w:r>
        <w:t>(2): 101–136. DOI: 10.1080/08912960701642949.</w:t>
      </w:r>
    </w:p>
    <w:p w14:paraId="67797DF8" w14:textId="77777777" w:rsidR="00497CE3" w:rsidRDefault="00497CE3" w:rsidP="00497CE3">
      <w:pPr>
        <w:autoSpaceDE w:val="0"/>
        <w:autoSpaceDN w:val="0"/>
        <w:adjustRightInd w:val="0"/>
      </w:pPr>
      <w:bookmarkStart w:id="67" w:name="_Hlk485386128"/>
      <w:bookmarkEnd w:id="66"/>
      <w:r>
        <w:rPr>
          <w:b/>
          <w:bCs/>
        </w:rPr>
        <w:t xml:space="preserve">Andrade MB, Bertini RJ. 2008b. </w:t>
      </w:r>
      <w:r>
        <w:t xml:space="preserve">Morphological and anatomical observations about </w:t>
      </w:r>
      <w:r>
        <w:rPr>
          <w:i/>
          <w:iCs/>
        </w:rPr>
        <w:t xml:space="preserve">Mariliasuchus amarali </w:t>
      </w:r>
      <w:r>
        <w:t xml:space="preserve">and </w:t>
      </w:r>
      <w:r>
        <w:rPr>
          <w:i/>
          <w:iCs/>
        </w:rPr>
        <w:t xml:space="preserve">Notosuchus terrestris </w:t>
      </w:r>
      <w:r>
        <w:t xml:space="preserve">(Mesoeucrocodylia), and their phylogenetical relationships with other South American notosuchians. </w:t>
      </w:r>
      <w:r>
        <w:rPr>
          <w:i/>
          <w:iCs/>
        </w:rPr>
        <w:t>Arquivos do Museu Nacional</w:t>
      </w:r>
      <w:r>
        <w:t xml:space="preserve"> </w:t>
      </w:r>
      <w:r>
        <w:rPr>
          <w:b/>
        </w:rPr>
        <w:t xml:space="preserve">66 </w:t>
      </w:r>
      <w:r>
        <w:t>(1): 5–62.</w:t>
      </w:r>
    </w:p>
    <w:bookmarkEnd w:id="67"/>
    <w:p w14:paraId="3AE28D14" w14:textId="77777777" w:rsidR="00497CE3" w:rsidRDefault="00497CE3" w:rsidP="00497CE3">
      <w:pPr>
        <w:autoSpaceDE w:val="0"/>
        <w:autoSpaceDN w:val="0"/>
        <w:adjustRightInd w:val="0"/>
        <w:rPr>
          <w:i/>
          <w:iCs/>
        </w:rPr>
      </w:pPr>
      <w:r>
        <w:rPr>
          <w:b/>
          <w:bCs/>
        </w:rPr>
        <w:t xml:space="preserve">Andrade MB, Bertini RJ. 2008c. </w:t>
      </w:r>
      <w:r>
        <w:t xml:space="preserve">Morphology of the dental carinae in </w:t>
      </w:r>
      <w:r>
        <w:rPr>
          <w:i/>
          <w:iCs/>
        </w:rPr>
        <w:t xml:space="preserve">Mariliasuchus amarali </w:t>
      </w:r>
      <w:r>
        <w:t xml:space="preserve">(Crocodylomorpha, Notosuchia) and the pattern of tooth serration among basal Mesoeucrocodylia. </w:t>
      </w:r>
      <w:r>
        <w:rPr>
          <w:i/>
          <w:iCs/>
        </w:rPr>
        <w:t>Arquivos do Museu Nacional</w:t>
      </w:r>
      <w:r>
        <w:t xml:space="preserve"> </w:t>
      </w:r>
      <w:r>
        <w:rPr>
          <w:b/>
        </w:rPr>
        <w:t xml:space="preserve">66 </w:t>
      </w:r>
      <w:r>
        <w:t>(1): 63–82.</w:t>
      </w:r>
    </w:p>
    <w:p w14:paraId="204B0704" w14:textId="77777777" w:rsidR="00497CE3" w:rsidRDefault="00497CE3" w:rsidP="00497CE3">
      <w:pPr>
        <w:autoSpaceDE w:val="0"/>
        <w:autoSpaceDN w:val="0"/>
        <w:adjustRightInd w:val="0"/>
      </w:pPr>
      <w:r>
        <w:rPr>
          <w:b/>
          <w:bCs/>
        </w:rPr>
        <w:t xml:space="preserve">Andrade MB, Bertini RJ. 2008d. </w:t>
      </w:r>
      <w:r>
        <w:t xml:space="preserve">The </w:t>
      </w:r>
      <w:r>
        <w:rPr>
          <w:i/>
          <w:iCs/>
        </w:rPr>
        <w:t xml:space="preserve">Chimaerasuchus </w:t>
      </w:r>
      <w:r>
        <w:t xml:space="preserve">paradox: critical revision of a poorly known fossil crocodylomorph. Pp. 13 in Calvo, JO, Valieri, RJ, Porfiri, JD, Santos, D. Congreso Latino-Americano de Paleontologia de Vertebrados, 3. </w:t>
      </w:r>
      <w:r>
        <w:rPr>
          <w:i/>
          <w:iCs/>
        </w:rPr>
        <w:t>Actas</w:t>
      </w:r>
      <w:r>
        <w:t>, Neuquén, Universidad Nacional del Comahue.</w:t>
      </w:r>
    </w:p>
    <w:p w14:paraId="7958FA9E" w14:textId="77777777" w:rsidR="00497CE3" w:rsidRDefault="00497CE3" w:rsidP="00497CE3">
      <w:pPr>
        <w:autoSpaceDE w:val="0"/>
        <w:autoSpaceDN w:val="0"/>
        <w:adjustRightInd w:val="0"/>
      </w:pPr>
      <w:bookmarkStart w:id="68" w:name="_Hlk485386325"/>
      <w:r>
        <w:rPr>
          <w:rFonts w:eastAsia="Times New Roman"/>
          <w:b/>
          <w:lang w:val="en-US"/>
        </w:rPr>
        <w:t>Andrade MB, Edmonds R, Benton MJ, Schouten R.</w:t>
      </w:r>
      <w:r>
        <w:rPr>
          <w:rFonts w:eastAsia="Times New Roman"/>
          <w:lang w:val="en-US"/>
        </w:rPr>
        <w:t xml:space="preserve"> </w:t>
      </w:r>
      <w:r>
        <w:rPr>
          <w:rFonts w:eastAsia="Times New Roman"/>
          <w:b/>
          <w:lang w:val="en-US"/>
        </w:rPr>
        <w:t>2011.</w:t>
      </w:r>
      <w:r>
        <w:rPr>
          <w:rFonts w:eastAsia="Times New Roman"/>
          <w:lang w:val="en-US"/>
        </w:rPr>
        <w:t xml:space="preserve"> A new Berriasian species of </w:t>
      </w:r>
      <w:r>
        <w:rPr>
          <w:rFonts w:eastAsia="Times New Roman"/>
          <w:i/>
          <w:iCs/>
          <w:lang w:val="en-US"/>
        </w:rPr>
        <w:t>Goniopholis</w:t>
      </w:r>
      <w:r>
        <w:rPr>
          <w:rFonts w:eastAsia="Times New Roman"/>
          <w:lang w:val="en-US"/>
        </w:rPr>
        <w:t xml:space="preserve"> (Mesoeucrocodylia, Neosuchia) from England, and a review of the genus. </w:t>
      </w:r>
      <w:r>
        <w:rPr>
          <w:rFonts w:eastAsia="Times New Roman"/>
          <w:i/>
          <w:iCs/>
          <w:lang w:val="en-US"/>
        </w:rPr>
        <w:t>Zoological Journal of the Linnean Society</w:t>
      </w:r>
      <w:r>
        <w:rPr>
          <w:rFonts w:eastAsia="Times New Roman"/>
          <w:lang w:val="en-US"/>
        </w:rPr>
        <w:t xml:space="preserve"> </w:t>
      </w:r>
      <w:r>
        <w:rPr>
          <w:rFonts w:eastAsia="Times New Roman"/>
          <w:b/>
          <w:lang w:val="en-US"/>
        </w:rPr>
        <w:t>163</w:t>
      </w:r>
      <w:r>
        <w:rPr>
          <w:rFonts w:eastAsia="Times New Roman"/>
          <w:lang w:val="en-US"/>
        </w:rPr>
        <w:t>: 66</w:t>
      </w:r>
      <w:r>
        <w:t>–</w:t>
      </w:r>
      <w:r>
        <w:rPr>
          <w:rFonts w:eastAsia="Times New Roman"/>
          <w:lang w:val="en-US"/>
        </w:rPr>
        <w:t>108.</w:t>
      </w:r>
    </w:p>
    <w:bookmarkEnd w:id="68"/>
    <w:p w14:paraId="65937B41" w14:textId="77777777" w:rsidR="00497CE3" w:rsidRDefault="00497CE3" w:rsidP="00497CE3">
      <w:pPr>
        <w:autoSpaceDE w:val="0"/>
        <w:autoSpaceDN w:val="0"/>
        <w:adjustRightInd w:val="0"/>
        <w:rPr>
          <w:i/>
          <w:iCs/>
        </w:rPr>
      </w:pPr>
      <w:r>
        <w:rPr>
          <w:rFonts w:eastAsia="Times New Roman"/>
          <w:b/>
          <w:lang w:val="en-US"/>
        </w:rPr>
        <w:t>Andrade MB, Hornung JJ.</w:t>
      </w:r>
      <w:r>
        <w:rPr>
          <w:rFonts w:eastAsia="Times New Roman"/>
          <w:lang w:val="en-US"/>
        </w:rPr>
        <w:t xml:space="preserve"> </w:t>
      </w:r>
      <w:r>
        <w:rPr>
          <w:rFonts w:eastAsia="Times New Roman"/>
          <w:b/>
          <w:lang w:val="en-US"/>
        </w:rPr>
        <w:t>2011.</w:t>
      </w:r>
      <w:r>
        <w:rPr>
          <w:rFonts w:eastAsia="Times New Roman"/>
          <w:lang w:val="en-US"/>
        </w:rPr>
        <w:t xml:space="preserve"> A new look into the periorbital morphology of </w:t>
      </w:r>
      <w:r>
        <w:rPr>
          <w:rFonts w:eastAsia="Times New Roman"/>
          <w:i/>
          <w:iCs/>
          <w:lang w:val="en-US"/>
        </w:rPr>
        <w:t>Goniopholis</w:t>
      </w:r>
      <w:r>
        <w:rPr>
          <w:rFonts w:eastAsia="Times New Roman"/>
          <w:lang w:val="en-US"/>
        </w:rPr>
        <w:t xml:space="preserve"> (Mesoeucrocodylia, Neosuchia) and related forms. </w:t>
      </w:r>
      <w:r>
        <w:rPr>
          <w:rFonts w:eastAsia="Times New Roman"/>
          <w:i/>
          <w:iCs/>
          <w:lang w:val="en-US"/>
        </w:rPr>
        <w:t>Journal of Vertebrate Paleontology</w:t>
      </w:r>
      <w:r>
        <w:rPr>
          <w:rFonts w:eastAsia="Times New Roman"/>
          <w:lang w:val="en-US"/>
        </w:rPr>
        <w:t xml:space="preserve"> </w:t>
      </w:r>
      <w:r>
        <w:rPr>
          <w:rFonts w:eastAsia="Times New Roman"/>
          <w:b/>
          <w:lang w:val="en-US"/>
        </w:rPr>
        <w:t>31</w:t>
      </w:r>
      <w:r>
        <w:rPr>
          <w:rFonts w:eastAsia="Times New Roman"/>
          <w:lang w:val="en-US"/>
        </w:rPr>
        <w:t>: 352</w:t>
      </w:r>
      <w:r>
        <w:t>–</w:t>
      </w:r>
      <w:r>
        <w:rPr>
          <w:rFonts w:eastAsia="Times New Roman"/>
          <w:lang w:val="en-US"/>
        </w:rPr>
        <w:t>368.</w:t>
      </w:r>
    </w:p>
    <w:p w14:paraId="65EC5031" w14:textId="77777777" w:rsidR="00497CE3" w:rsidRDefault="00497CE3" w:rsidP="00497CE3">
      <w:pPr>
        <w:autoSpaceDE w:val="0"/>
        <w:autoSpaceDN w:val="0"/>
        <w:adjustRightInd w:val="0"/>
      </w:pPr>
      <w:bookmarkStart w:id="69" w:name="_Hlk485386382"/>
      <w:r>
        <w:rPr>
          <w:b/>
          <w:bCs/>
        </w:rPr>
        <w:t xml:space="preserve">Andrade MB, Young MT, Desojo JB, Brusatte SL. 2010. </w:t>
      </w:r>
      <w:r>
        <w:t xml:space="preserve">The evolution of extreme hypercarnivory in Metriorhynchidae (Mesoeucrocodylia: Thalattosuchia) based on evidence from microscopic denticle morphology. </w:t>
      </w:r>
      <w:r>
        <w:rPr>
          <w:i/>
          <w:iCs/>
        </w:rPr>
        <w:t xml:space="preserve">Journal of Vertebrate Paleontology </w:t>
      </w:r>
      <w:r>
        <w:rPr>
          <w:b/>
          <w:bCs/>
        </w:rPr>
        <w:t xml:space="preserve">30 </w:t>
      </w:r>
      <w:r>
        <w:t>(5): 1451–1465.</w:t>
      </w:r>
    </w:p>
    <w:p w14:paraId="35CD5100" w14:textId="77777777" w:rsidR="00497CE3" w:rsidRDefault="00497CE3" w:rsidP="00497CE3">
      <w:r>
        <w:rPr>
          <w:b/>
        </w:rPr>
        <w:t>Andrews CW. 1909.</w:t>
      </w:r>
      <w:r>
        <w:t xml:space="preserve"> XXXVIII. - On some new Steneosaurs from the Oxford Clay of Peterborough. </w:t>
      </w:r>
      <w:r>
        <w:rPr>
          <w:i/>
        </w:rPr>
        <w:t>Annals and Magazine of Natural History</w:t>
      </w:r>
      <w:r>
        <w:t xml:space="preserve"> </w:t>
      </w:r>
      <w:r>
        <w:rPr>
          <w:b/>
        </w:rPr>
        <w:t>3</w:t>
      </w:r>
      <w:r>
        <w:t>: 299–308.</w:t>
      </w:r>
    </w:p>
    <w:p w14:paraId="20A947BE" w14:textId="77777777" w:rsidR="00497CE3" w:rsidRDefault="00497CE3" w:rsidP="00497CE3">
      <w:pPr>
        <w:autoSpaceDE w:val="0"/>
        <w:autoSpaceDN w:val="0"/>
        <w:adjustRightInd w:val="0"/>
      </w:pPr>
      <w:bookmarkStart w:id="70" w:name="_Hlk485386462"/>
      <w:bookmarkEnd w:id="69"/>
      <w:r>
        <w:rPr>
          <w:b/>
          <w:bCs/>
        </w:rPr>
        <w:t xml:space="preserve">Andrews CW. 1913. </w:t>
      </w:r>
      <w:r>
        <w:rPr>
          <w:i/>
          <w:iCs/>
        </w:rPr>
        <w:t>A descriptive catalogue of the marine reptiles of the Oxford Clay based on the Leeds Collection in the Brittish Museum (Natural History), London – Part II</w:t>
      </w:r>
      <w:r>
        <w:t>. London: Taylor, Francis. 206 pp.</w:t>
      </w:r>
    </w:p>
    <w:bookmarkEnd w:id="70"/>
    <w:p w14:paraId="1931F63A" w14:textId="77777777" w:rsidR="00497CE3" w:rsidRDefault="00497CE3" w:rsidP="00497CE3">
      <w:pPr>
        <w:autoSpaceDE w:val="0"/>
        <w:autoSpaceDN w:val="0"/>
        <w:adjustRightInd w:val="0"/>
      </w:pPr>
      <w:r>
        <w:rPr>
          <w:b/>
          <w:bCs/>
        </w:rPr>
        <w:t xml:space="preserve">Arruda JT, Carvalho IS, Vasconcellos FM. 2004. </w:t>
      </w:r>
      <w:r>
        <w:t xml:space="preserve">Baurusuquídeos da Bacia Bauru (Cretáceo Superior, Brasil). </w:t>
      </w:r>
      <w:r>
        <w:rPr>
          <w:i/>
          <w:iCs/>
        </w:rPr>
        <w:t>Anuário do Instituto de Geociências</w:t>
      </w:r>
      <w:r>
        <w:t xml:space="preserve"> </w:t>
      </w:r>
      <w:r>
        <w:rPr>
          <w:b/>
        </w:rPr>
        <w:t>27</w:t>
      </w:r>
      <w:r>
        <w:t>: 65–75.</w:t>
      </w:r>
    </w:p>
    <w:p w14:paraId="2CBFDD5F" w14:textId="77777777" w:rsidR="00497CE3" w:rsidRDefault="00497CE3" w:rsidP="00497CE3">
      <w:pPr>
        <w:autoSpaceDE w:val="0"/>
        <w:autoSpaceDN w:val="0"/>
        <w:adjustRightInd w:val="0"/>
        <w:rPr>
          <w:lang w:val="en-US"/>
        </w:rPr>
      </w:pPr>
      <w:r>
        <w:rPr>
          <w:rFonts w:eastAsia="Times New Roman"/>
          <w:b/>
          <w:lang w:val="en-US"/>
        </w:rPr>
        <w:t>Averianov AO.</w:t>
      </w:r>
      <w:r>
        <w:rPr>
          <w:rFonts w:eastAsia="Times New Roman"/>
          <w:lang w:val="en-US"/>
        </w:rPr>
        <w:t xml:space="preserve"> </w:t>
      </w:r>
      <w:r>
        <w:rPr>
          <w:rFonts w:eastAsia="Times New Roman"/>
          <w:b/>
          <w:lang w:val="en-US"/>
        </w:rPr>
        <w:t>2000.</w:t>
      </w:r>
      <w:r>
        <w:rPr>
          <w:rFonts w:eastAsia="Times New Roman"/>
          <w:lang w:val="en-US"/>
        </w:rPr>
        <w:t xml:space="preserve"> </w:t>
      </w:r>
      <w:r>
        <w:rPr>
          <w:rFonts w:eastAsia="Times New Roman"/>
          <w:i/>
          <w:iCs/>
          <w:lang w:val="en-US"/>
        </w:rPr>
        <w:t xml:space="preserve">Sunosuchus </w:t>
      </w:r>
      <w:r>
        <w:rPr>
          <w:rFonts w:eastAsia="Times New Roman"/>
          <w:lang w:val="en-US"/>
        </w:rPr>
        <w:t xml:space="preserve">sp. (Crocodylomorpha, Goniopholididae) from the Middle Jurassic of Kirghisia. </w:t>
      </w:r>
      <w:r>
        <w:rPr>
          <w:rFonts w:eastAsia="Times New Roman"/>
          <w:i/>
          <w:iCs/>
          <w:lang w:val="en-US"/>
        </w:rPr>
        <w:t>Journal of Vertebrate</w:t>
      </w:r>
      <w:r>
        <w:rPr>
          <w:rFonts w:eastAsia="Times New Roman"/>
          <w:lang w:val="en-US"/>
        </w:rPr>
        <w:t xml:space="preserve"> </w:t>
      </w:r>
      <w:r>
        <w:rPr>
          <w:rFonts w:eastAsia="Times New Roman"/>
          <w:i/>
          <w:iCs/>
          <w:lang w:val="en-US"/>
        </w:rPr>
        <w:t xml:space="preserve">Paleontology </w:t>
      </w:r>
      <w:r>
        <w:rPr>
          <w:rFonts w:eastAsia="Times New Roman"/>
          <w:b/>
          <w:lang w:val="en-US"/>
        </w:rPr>
        <w:t>20</w:t>
      </w:r>
      <w:r>
        <w:rPr>
          <w:rFonts w:eastAsia="Times New Roman"/>
          <w:lang w:val="en-US"/>
        </w:rPr>
        <w:t>: 776</w:t>
      </w:r>
      <w:r>
        <w:t>–</w:t>
      </w:r>
      <w:r>
        <w:rPr>
          <w:rFonts w:eastAsia="Times New Roman"/>
          <w:lang w:val="en-US"/>
        </w:rPr>
        <w:t>779.</w:t>
      </w:r>
    </w:p>
    <w:p w14:paraId="579C583B" w14:textId="77777777" w:rsidR="00497CE3" w:rsidRDefault="00497CE3" w:rsidP="00497CE3">
      <w:pPr>
        <w:autoSpaceDE w:val="0"/>
        <w:autoSpaceDN w:val="0"/>
        <w:adjustRightInd w:val="0"/>
      </w:pPr>
      <w:r>
        <w:rPr>
          <w:rFonts w:eastAsia="Times New Roman"/>
          <w:b/>
          <w:lang w:val="en-US"/>
        </w:rPr>
        <w:t>Avilla LS, Fernandes R, Ramos DFB.</w:t>
      </w:r>
      <w:r>
        <w:rPr>
          <w:rFonts w:eastAsia="Times New Roman"/>
          <w:lang w:val="en-US"/>
        </w:rPr>
        <w:t xml:space="preserve"> </w:t>
      </w:r>
      <w:r>
        <w:rPr>
          <w:rFonts w:eastAsia="Times New Roman"/>
          <w:b/>
          <w:lang w:val="en-US"/>
        </w:rPr>
        <w:t>2004.</w:t>
      </w:r>
      <w:r>
        <w:rPr>
          <w:rFonts w:eastAsia="Times New Roman"/>
          <w:lang w:val="en-US"/>
        </w:rPr>
        <w:t xml:space="preserve"> Bite marks on a crocodylomorph from the Upper Cretaceous of Brazil: evidence of social behavior? </w:t>
      </w:r>
      <w:r>
        <w:rPr>
          <w:rFonts w:eastAsia="Times New Roman"/>
          <w:i/>
          <w:lang w:val="en-US"/>
        </w:rPr>
        <w:t>Journal of Vertebrate Paleontology</w:t>
      </w:r>
      <w:r>
        <w:rPr>
          <w:rFonts w:eastAsia="Times New Roman"/>
          <w:lang w:val="en-US"/>
        </w:rPr>
        <w:t xml:space="preserve"> </w:t>
      </w:r>
      <w:r>
        <w:rPr>
          <w:rFonts w:eastAsia="Times New Roman"/>
          <w:b/>
          <w:lang w:val="en-US"/>
        </w:rPr>
        <w:t>24</w:t>
      </w:r>
      <w:r>
        <w:rPr>
          <w:rFonts w:eastAsia="Times New Roman"/>
          <w:lang w:val="en-US"/>
        </w:rPr>
        <w:t>: 971</w:t>
      </w:r>
      <w:r>
        <w:t>–</w:t>
      </w:r>
      <w:r>
        <w:rPr>
          <w:rFonts w:eastAsia="Times New Roman"/>
          <w:lang w:val="en-US"/>
        </w:rPr>
        <w:t>973.</w:t>
      </w:r>
    </w:p>
    <w:p w14:paraId="23F1BDA8" w14:textId="77777777" w:rsidR="00497CE3" w:rsidRDefault="00497CE3" w:rsidP="00497CE3">
      <w:pPr>
        <w:autoSpaceDE w:val="0"/>
        <w:autoSpaceDN w:val="0"/>
        <w:adjustRightInd w:val="0"/>
      </w:pPr>
      <w:r>
        <w:rPr>
          <w:b/>
          <w:bCs/>
        </w:rPr>
        <w:t xml:space="preserve">Barbosa JA, Kellner, AWA, Viana MSS. 2008. </w:t>
      </w:r>
      <w:r>
        <w:t xml:space="preserve">New dyrosaurid crocodylomorph and evidences for faunal turnover at the K–P transition in Brazil. </w:t>
      </w:r>
      <w:r>
        <w:rPr>
          <w:i/>
          <w:iCs/>
        </w:rPr>
        <w:t>Proceeding of the Royal Society B</w:t>
      </w:r>
      <w:r>
        <w:t xml:space="preserve"> </w:t>
      </w:r>
      <w:r>
        <w:rPr>
          <w:b/>
        </w:rPr>
        <w:t xml:space="preserve">275 </w:t>
      </w:r>
      <w:r>
        <w:t>(1641): 1385–1391.</w:t>
      </w:r>
    </w:p>
    <w:p w14:paraId="0C0590EE" w14:textId="77777777" w:rsidR="00497CE3" w:rsidRDefault="00497CE3" w:rsidP="00497CE3">
      <w:pPr>
        <w:autoSpaceDE w:val="0"/>
        <w:autoSpaceDN w:val="0"/>
        <w:adjustRightInd w:val="0"/>
      </w:pPr>
      <w:r>
        <w:rPr>
          <w:b/>
        </w:rPr>
        <w:t>Barrientos-Lara JI, Herrera Y, Fernández MS, Alvarado-Ortega, J. 2016.</w:t>
      </w:r>
      <w:r>
        <w:t xml:space="preserve"> Occurrence of </w:t>
      </w:r>
      <w:r>
        <w:rPr>
          <w:i/>
        </w:rPr>
        <w:t>Torvoneustes</w:t>
      </w:r>
      <w:r>
        <w:t xml:space="preserve"> (Crocodylomorpha, Metriorhynchidae) in marine Jurassic deposits of Oaxaxa, Mexico. </w:t>
      </w:r>
      <w:r>
        <w:rPr>
          <w:i/>
        </w:rPr>
        <w:t>Revista Brasileira de Paleontologia</w:t>
      </w:r>
      <w:r>
        <w:t xml:space="preserve"> </w:t>
      </w:r>
      <w:r>
        <w:rPr>
          <w:b/>
        </w:rPr>
        <w:t>19</w:t>
      </w:r>
      <w:r>
        <w:t xml:space="preserve"> (3): 415–424.</w:t>
      </w:r>
    </w:p>
    <w:p w14:paraId="4C95A518" w14:textId="77777777" w:rsidR="00497CE3" w:rsidRDefault="00497CE3" w:rsidP="00497CE3">
      <w:pPr>
        <w:autoSpaceDE w:val="0"/>
        <w:autoSpaceDN w:val="0"/>
        <w:adjustRightInd w:val="0"/>
        <w:rPr>
          <w:rFonts w:eastAsia="Times New Roman"/>
          <w:lang w:val="en-US"/>
        </w:rPr>
      </w:pPr>
      <w:bookmarkStart w:id="71" w:name="_Hlk489639770"/>
      <w:r>
        <w:rPr>
          <w:rFonts w:eastAsia="Times New Roman"/>
          <w:b/>
          <w:lang w:val="en-US"/>
        </w:rPr>
        <w:t>Benton MJ, Clark JM.</w:t>
      </w:r>
      <w:r>
        <w:rPr>
          <w:rFonts w:eastAsia="Times New Roman"/>
          <w:lang w:val="en-US"/>
        </w:rPr>
        <w:t xml:space="preserve"> </w:t>
      </w:r>
      <w:r>
        <w:rPr>
          <w:rFonts w:eastAsia="Times New Roman"/>
          <w:b/>
          <w:lang w:val="en-US"/>
        </w:rPr>
        <w:t>1988.</w:t>
      </w:r>
      <w:r>
        <w:rPr>
          <w:rFonts w:eastAsia="Times New Roman"/>
          <w:lang w:val="en-US"/>
        </w:rPr>
        <w:t xml:space="preserve"> Archosaur phylogeny and the relationships of the Crocodylia. Pp. 295</w:t>
      </w:r>
      <w:r>
        <w:t>–</w:t>
      </w:r>
      <w:r>
        <w:rPr>
          <w:rFonts w:eastAsia="Times New Roman"/>
          <w:lang w:val="en-US"/>
        </w:rPr>
        <w:t xml:space="preserve">338 in Benton, M. J. (ed.) </w:t>
      </w:r>
      <w:r>
        <w:rPr>
          <w:rFonts w:eastAsia="Times New Roman"/>
          <w:i/>
          <w:lang w:val="en-US"/>
        </w:rPr>
        <w:t>The phylogeny and classification of the Tetrapods, Volume 1: Amphibians, Reptiles, Birds</w:t>
      </w:r>
      <w:r>
        <w:rPr>
          <w:rFonts w:eastAsia="Times New Roman"/>
          <w:lang w:val="en-US"/>
        </w:rPr>
        <w:t>. Clarendon Press, Oxford.</w:t>
      </w:r>
    </w:p>
    <w:p w14:paraId="23EB711F" w14:textId="77777777" w:rsidR="00497CE3" w:rsidRPr="005734BB" w:rsidRDefault="00497CE3" w:rsidP="00497CE3">
      <w:pPr>
        <w:pStyle w:val="NoSpacing"/>
        <w:rPr>
          <w:rFonts w:eastAsia="Times New Roman"/>
          <w:lang w:val="fr-FR" w:eastAsia="es-ES"/>
        </w:rPr>
      </w:pPr>
      <w:r w:rsidRPr="005734BB">
        <w:rPr>
          <w:rFonts w:eastAsia="Times New Roman"/>
          <w:b/>
          <w:lang w:val="fr-FR" w:eastAsia="es-ES"/>
        </w:rPr>
        <w:t>Benton MJ, Walker AD. 2002.</w:t>
      </w:r>
      <w:r w:rsidRPr="005734BB">
        <w:rPr>
          <w:rFonts w:eastAsia="Times New Roman"/>
          <w:lang w:val="fr-FR" w:eastAsia="es-ES"/>
        </w:rPr>
        <w:t xml:space="preserve"> </w:t>
      </w:r>
      <w:r w:rsidRPr="005734BB">
        <w:rPr>
          <w:rFonts w:eastAsia="Times New Roman"/>
          <w:i/>
          <w:lang w:val="fr-FR" w:eastAsia="es-ES"/>
        </w:rPr>
        <w:t>Erpetosuchus</w:t>
      </w:r>
      <w:r w:rsidRPr="005734BB">
        <w:rPr>
          <w:rFonts w:eastAsia="Times New Roman"/>
          <w:lang w:val="fr-FR" w:eastAsia="es-ES"/>
        </w:rPr>
        <w:t xml:space="preserve">, a crocodile-like basal archosaur from the Late Triassic of Elgin, Scotland. </w:t>
      </w:r>
      <w:r w:rsidRPr="005734BB">
        <w:rPr>
          <w:rFonts w:eastAsia="Times New Roman"/>
          <w:i/>
          <w:lang w:val="fr-FR" w:eastAsia="es-ES"/>
        </w:rPr>
        <w:t>Zoological Journal of the Linnean Society</w:t>
      </w:r>
      <w:r w:rsidRPr="005734BB">
        <w:rPr>
          <w:rFonts w:eastAsia="Times New Roman"/>
          <w:lang w:val="fr-FR" w:eastAsia="es-ES"/>
        </w:rPr>
        <w:t xml:space="preserve"> </w:t>
      </w:r>
      <w:r w:rsidRPr="005734BB">
        <w:rPr>
          <w:rFonts w:eastAsia="Times New Roman"/>
          <w:b/>
          <w:lang w:val="fr-FR" w:eastAsia="es-ES"/>
        </w:rPr>
        <w:t>136</w:t>
      </w:r>
      <w:r w:rsidRPr="005734BB">
        <w:rPr>
          <w:rFonts w:eastAsia="Times New Roman"/>
          <w:lang w:val="fr-FR" w:eastAsia="es-ES"/>
        </w:rPr>
        <w:t>: 25</w:t>
      </w:r>
      <w:r w:rsidRPr="005734BB">
        <w:t>–</w:t>
      </w:r>
      <w:r w:rsidRPr="005734BB">
        <w:rPr>
          <w:rFonts w:eastAsia="Times New Roman"/>
          <w:lang w:val="fr-FR" w:eastAsia="es-ES"/>
        </w:rPr>
        <w:t>47.</w:t>
      </w:r>
    </w:p>
    <w:bookmarkEnd w:id="71"/>
    <w:p w14:paraId="1A5F7F37" w14:textId="77777777" w:rsidR="00497CE3" w:rsidRDefault="00497CE3" w:rsidP="00497CE3">
      <w:pPr>
        <w:rPr>
          <w:rFonts w:eastAsiaTheme="minorHAnsi"/>
          <w:lang w:val="fr-FR" w:eastAsia="en-US"/>
        </w:rPr>
      </w:pPr>
      <w:r>
        <w:rPr>
          <w:b/>
          <w:lang w:val="de-DE"/>
        </w:rPr>
        <w:t>Berckhemer F. 1929.</w:t>
      </w:r>
      <w:r>
        <w:rPr>
          <w:lang w:val="de-DE"/>
        </w:rPr>
        <w:t xml:space="preserve"> Beiträge zur Kenntnis der Krokodilier des schwäbischen oberen Lias. </w:t>
      </w:r>
      <w:r>
        <w:rPr>
          <w:i/>
        </w:rPr>
        <w:t>Neues Jahrbuch für Mineralogie</w:t>
      </w:r>
      <w:r>
        <w:rPr>
          <w:b/>
          <w:lang w:val="fr-FR"/>
        </w:rPr>
        <w:t xml:space="preserve"> 64</w:t>
      </w:r>
      <w:r>
        <w:rPr>
          <w:lang w:val="fr-FR"/>
        </w:rPr>
        <w:t>:1–59.</w:t>
      </w:r>
    </w:p>
    <w:p w14:paraId="5CA0295C" w14:textId="77777777" w:rsidR="00497CE3" w:rsidRDefault="00497CE3" w:rsidP="00497CE3">
      <w:pPr>
        <w:rPr>
          <w:lang w:val="fr-FR"/>
        </w:rPr>
      </w:pPr>
      <w:r>
        <w:rPr>
          <w:b/>
        </w:rPr>
        <w:t>Bergounioux FM. 1955.</w:t>
      </w:r>
      <w:r>
        <w:t xml:space="preserve"> Les crocodiliens fossiles des d</w:t>
      </w:r>
      <w:r>
        <w:rPr>
          <w:iCs/>
        </w:rPr>
        <w:t>é</w:t>
      </w:r>
      <w:r>
        <w:t>pôts phosphat</w:t>
      </w:r>
      <w:r>
        <w:rPr>
          <w:iCs/>
        </w:rPr>
        <w:t>é</w:t>
      </w:r>
      <w:r>
        <w:t xml:space="preserve">s du sud-Tunisien, </w:t>
      </w:r>
      <w:r>
        <w:rPr>
          <w:i/>
        </w:rPr>
        <w:t>Comptes Rendus de l’Academie des Sciences de Paris</w:t>
      </w:r>
      <w:r>
        <w:t xml:space="preserve"> </w:t>
      </w:r>
      <w:r>
        <w:rPr>
          <w:b/>
        </w:rPr>
        <w:t>240</w:t>
      </w:r>
      <w:r>
        <w:t>: 1917–1918.</w:t>
      </w:r>
    </w:p>
    <w:p w14:paraId="075F9A19" w14:textId="77777777" w:rsidR="00497CE3" w:rsidRDefault="00497CE3" w:rsidP="00497CE3">
      <w:pPr>
        <w:rPr>
          <w:lang w:val="fr-FR"/>
        </w:rPr>
      </w:pPr>
      <w:bookmarkStart w:id="72" w:name="_Hlk489639786"/>
      <w:r>
        <w:rPr>
          <w:b/>
          <w:bCs/>
        </w:rPr>
        <w:t xml:space="preserve">de Blainville HD. 1853. </w:t>
      </w:r>
      <w:r>
        <w:t xml:space="preserve">Letter by H. D. de Blainville. In: Eudes-Deslongchamps JA, ed. Lettres sur les crocodiles vivants et fossiles. </w:t>
      </w:r>
      <w:r>
        <w:rPr>
          <w:i/>
          <w:iCs/>
        </w:rPr>
        <w:t>Bulletin de la Société Linnéenne de Normandie</w:t>
      </w:r>
      <w:r>
        <w:rPr>
          <w:iCs/>
        </w:rPr>
        <w:t xml:space="preserve"> (Années 1849–1853)</w:t>
      </w:r>
      <w:r>
        <w:rPr>
          <w:i/>
          <w:iCs/>
        </w:rPr>
        <w:t xml:space="preserve"> </w:t>
      </w:r>
      <w:r>
        <w:rPr>
          <w:b/>
          <w:bCs/>
        </w:rPr>
        <w:t>IX</w:t>
      </w:r>
      <w:r>
        <w:rPr>
          <w:bCs/>
        </w:rPr>
        <w:t>:</w:t>
      </w:r>
      <w:r>
        <w:rPr>
          <w:b/>
          <w:bCs/>
        </w:rPr>
        <w:t xml:space="preserve"> </w:t>
      </w:r>
      <w:r>
        <w:t>109–120.</w:t>
      </w:r>
    </w:p>
    <w:bookmarkEnd w:id="72"/>
    <w:p w14:paraId="79A7653B" w14:textId="77777777" w:rsidR="00497CE3" w:rsidRDefault="00497CE3" w:rsidP="00497CE3">
      <w:pPr>
        <w:widowControl w:val="0"/>
        <w:autoSpaceDE w:val="0"/>
        <w:autoSpaceDN w:val="0"/>
        <w:adjustRightInd w:val="0"/>
        <w:rPr>
          <w:rFonts w:eastAsia="Times New Roman"/>
          <w:lang w:bidi="x-none"/>
        </w:rPr>
      </w:pPr>
      <w:r>
        <w:rPr>
          <w:b/>
        </w:rPr>
        <w:t>Blake JF. 1876.</w:t>
      </w:r>
      <w:r>
        <w:t xml:space="preserve"> Reptilia; pp. 243-254. In: R. Tate and J.F. Blake (eds.) </w:t>
      </w:r>
      <w:r>
        <w:rPr>
          <w:i/>
        </w:rPr>
        <w:t>The Yorkshire Lias</w:t>
      </w:r>
      <w:r>
        <w:t>. John van Voorst, London, 475 pp.</w:t>
      </w:r>
    </w:p>
    <w:p w14:paraId="25E37276" w14:textId="77777777" w:rsidR="00497CE3" w:rsidRDefault="00497CE3" w:rsidP="00497CE3">
      <w:pPr>
        <w:autoSpaceDE w:val="0"/>
        <w:autoSpaceDN w:val="0"/>
        <w:adjustRightInd w:val="0"/>
        <w:rPr>
          <w:rFonts w:eastAsiaTheme="minorHAnsi"/>
        </w:rPr>
      </w:pPr>
      <w:r>
        <w:rPr>
          <w:b/>
          <w:bCs/>
        </w:rPr>
        <w:t xml:space="preserve">Bonaparte JF. 1971. </w:t>
      </w:r>
      <w:r>
        <w:t xml:space="preserve">Los tetrapodos del sector superior de la Formacion Los Colorados, La Rioja, Argentina. (Triásico Superior). </w:t>
      </w:r>
      <w:r>
        <w:rPr>
          <w:i/>
          <w:iCs/>
        </w:rPr>
        <w:t>Opera Lilloana</w:t>
      </w:r>
      <w:r>
        <w:t xml:space="preserve"> </w:t>
      </w:r>
      <w:r>
        <w:rPr>
          <w:b/>
        </w:rPr>
        <w:t>22</w:t>
      </w:r>
      <w:r>
        <w:t>: 1–184.</w:t>
      </w:r>
    </w:p>
    <w:p w14:paraId="21AACD3F" w14:textId="77777777" w:rsidR="00497CE3" w:rsidRDefault="00497CE3" w:rsidP="00497CE3">
      <w:pPr>
        <w:autoSpaceDE w:val="0"/>
        <w:autoSpaceDN w:val="0"/>
        <w:adjustRightInd w:val="0"/>
      </w:pPr>
      <w:r>
        <w:rPr>
          <w:b/>
          <w:bCs/>
        </w:rPr>
        <w:t xml:space="preserve">Bonaparte JF. 1991. </w:t>
      </w:r>
      <w:r>
        <w:t xml:space="preserve">Los vertebrados fosiles de la Formación Rio Colorado, de la Ciudad de Neuquen y cercanias, Cretácico Superior, Argentina. </w:t>
      </w:r>
      <w:r>
        <w:rPr>
          <w:i/>
          <w:iCs/>
        </w:rPr>
        <w:t>Revista del Museo Argentino de Ciências Naturales</w:t>
      </w:r>
      <w:r>
        <w:t xml:space="preserve"> </w:t>
      </w:r>
      <w:r>
        <w:rPr>
          <w:b/>
        </w:rPr>
        <w:t xml:space="preserve">4 </w:t>
      </w:r>
      <w:r>
        <w:t>(3): 31–63.</w:t>
      </w:r>
    </w:p>
    <w:p w14:paraId="30909C17" w14:textId="77777777" w:rsidR="00497CE3" w:rsidRDefault="00497CE3" w:rsidP="00497CE3">
      <w:pPr>
        <w:autoSpaceDE w:val="0"/>
        <w:autoSpaceDN w:val="0"/>
        <w:adjustRightInd w:val="0"/>
      </w:pPr>
      <w:r>
        <w:rPr>
          <w:b/>
          <w:bCs/>
        </w:rPr>
        <w:t xml:space="preserve">Bonaparte JF. 1996. </w:t>
      </w:r>
      <w:r>
        <w:t xml:space="preserve">Cretaceous tetrapods of Argentina. </w:t>
      </w:r>
      <w:r>
        <w:rPr>
          <w:i/>
          <w:iCs/>
        </w:rPr>
        <w:t>Münchner Geowissenschaften</w:t>
      </w:r>
      <w:r>
        <w:t xml:space="preserve"> </w:t>
      </w:r>
      <w:r>
        <w:rPr>
          <w:b/>
        </w:rPr>
        <w:t>30</w:t>
      </w:r>
      <w:r>
        <w:t>: 73–130.</w:t>
      </w:r>
    </w:p>
    <w:p w14:paraId="36C0ECA8" w14:textId="77777777" w:rsidR="00497CE3" w:rsidRPr="00A760BE" w:rsidRDefault="00497CE3" w:rsidP="00497CE3">
      <w:pPr>
        <w:contextualSpacing/>
      </w:pPr>
      <w:r w:rsidRPr="004F399A">
        <w:rPr>
          <w:b/>
        </w:rPr>
        <w:t>Brochu CA. 1997a.</w:t>
      </w:r>
      <w:r w:rsidRPr="00A760BE">
        <w:t xml:space="preserve"> Morphology, fossils, divergence timing, and the phylogenetic relationships of </w:t>
      </w:r>
      <w:r w:rsidRPr="00A760BE">
        <w:rPr>
          <w:i/>
        </w:rPr>
        <w:t>Gavialis</w:t>
      </w:r>
      <w:r w:rsidRPr="00A760BE">
        <w:t xml:space="preserve">. </w:t>
      </w:r>
      <w:r w:rsidRPr="004F399A">
        <w:rPr>
          <w:i/>
        </w:rPr>
        <w:t>Syst</w:t>
      </w:r>
      <w:r>
        <w:rPr>
          <w:i/>
        </w:rPr>
        <w:t>ematic</w:t>
      </w:r>
      <w:r w:rsidRPr="004F399A">
        <w:rPr>
          <w:i/>
        </w:rPr>
        <w:t xml:space="preserve"> Biol</w:t>
      </w:r>
      <w:r>
        <w:rPr>
          <w:i/>
        </w:rPr>
        <w:t>ology</w:t>
      </w:r>
      <w:r w:rsidRPr="00A760BE">
        <w:t xml:space="preserve"> </w:t>
      </w:r>
      <w:r w:rsidRPr="004F399A">
        <w:rPr>
          <w:b/>
        </w:rPr>
        <w:t>46</w:t>
      </w:r>
      <w:r w:rsidRPr="00A760BE">
        <w:t>:</w:t>
      </w:r>
      <w:r>
        <w:t xml:space="preserve"> </w:t>
      </w:r>
      <w:r w:rsidRPr="00A760BE">
        <w:t>479</w:t>
      </w:r>
      <w:r>
        <w:t>–</w:t>
      </w:r>
      <w:r w:rsidRPr="00A760BE">
        <w:t>522.</w:t>
      </w:r>
    </w:p>
    <w:p w14:paraId="2243BBC1" w14:textId="77777777" w:rsidR="00497CE3" w:rsidRDefault="00497CE3" w:rsidP="00497CE3">
      <w:pPr>
        <w:contextualSpacing/>
      </w:pPr>
      <w:r w:rsidRPr="004F399A">
        <w:rPr>
          <w:b/>
        </w:rPr>
        <w:t>Brochu CA. 1997b.</w:t>
      </w:r>
      <w:r w:rsidRPr="00A760BE">
        <w:t xml:space="preserve"> A review of ‘</w:t>
      </w:r>
      <w:r w:rsidRPr="00A760BE">
        <w:rPr>
          <w:i/>
        </w:rPr>
        <w:t>Leidyosuchus’</w:t>
      </w:r>
      <w:r w:rsidRPr="00A760BE">
        <w:t xml:space="preserve"> (Crocodyliformes, Eusuchia) from the Cretaceous through Eocene of North America. </w:t>
      </w:r>
      <w:r w:rsidRPr="004F399A">
        <w:rPr>
          <w:i/>
        </w:rPr>
        <w:t>J</w:t>
      </w:r>
      <w:r>
        <w:rPr>
          <w:i/>
        </w:rPr>
        <w:t>ournal of</w:t>
      </w:r>
      <w:r w:rsidRPr="004F399A">
        <w:rPr>
          <w:i/>
        </w:rPr>
        <w:t xml:space="preserve"> Vert</w:t>
      </w:r>
      <w:r>
        <w:rPr>
          <w:i/>
        </w:rPr>
        <w:t>ebrate</w:t>
      </w:r>
      <w:r w:rsidRPr="004F399A">
        <w:rPr>
          <w:i/>
        </w:rPr>
        <w:t xml:space="preserve"> Paleontol</w:t>
      </w:r>
      <w:r>
        <w:rPr>
          <w:i/>
        </w:rPr>
        <w:t>ogy</w:t>
      </w:r>
      <w:r w:rsidRPr="00A760BE">
        <w:t xml:space="preserve"> </w:t>
      </w:r>
      <w:r w:rsidRPr="004F399A">
        <w:rPr>
          <w:b/>
        </w:rPr>
        <w:t>17</w:t>
      </w:r>
      <w:r w:rsidRPr="00A760BE">
        <w:t>:</w:t>
      </w:r>
      <w:r>
        <w:t xml:space="preserve"> </w:t>
      </w:r>
      <w:r w:rsidRPr="00A760BE">
        <w:t>679</w:t>
      </w:r>
      <w:r>
        <w:t>–</w:t>
      </w:r>
      <w:r w:rsidRPr="00A760BE">
        <w:t>697.</w:t>
      </w:r>
    </w:p>
    <w:p w14:paraId="1B86A2F9" w14:textId="77777777" w:rsidR="00497CE3" w:rsidRDefault="00497CE3" w:rsidP="00497CE3">
      <w:pPr>
        <w:autoSpaceDE w:val="0"/>
        <w:autoSpaceDN w:val="0"/>
        <w:adjustRightInd w:val="0"/>
      </w:pPr>
      <w:r>
        <w:rPr>
          <w:b/>
          <w:bCs/>
        </w:rPr>
        <w:t xml:space="preserve">Brochu CA. 1999. </w:t>
      </w:r>
      <w:r>
        <w:t xml:space="preserve">Phylogenetics, taxonomy, and historical biogeography of Alligatoroidea. </w:t>
      </w:r>
      <w:r>
        <w:rPr>
          <w:i/>
          <w:iCs/>
        </w:rPr>
        <w:t xml:space="preserve">Journal of Vertebrate Paleontology </w:t>
      </w:r>
      <w:r>
        <w:t xml:space="preserve">– </w:t>
      </w:r>
      <w:r>
        <w:rPr>
          <w:i/>
          <w:iCs/>
        </w:rPr>
        <w:t>Supplement (</w:t>
      </w:r>
      <w:r>
        <w:rPr>
          <w:i/>
        </w:rPr>
        <w:t>Society of Vertebrate Paleontology Memoir 6</w:t>
      </w:r>
      <w:r>
        <w:rPr>
          <w:i/>
          <w:iCs/>
        </w:rPr>
        <w:t>)</w:t>
      </w:r>
      <w:r>
        <w:t xml:space="preserve">, </w:t>
      </w:r>
      <w:r>
        <w:rPr>
          <w:b/>
        </w:rPr>
        <w:t>19</w:t>
      </w:r>
      <w:r>
        <w:t>: 9–100.</w:t>
      </w:r>
    </w:p>
    <w:p w14:paraId="1726E55A" w14:textId="77777777" w:rsidR="00497CE3" w:rsidRDefault="00497CE3" w:rsidP="00497CE3">
      <w:pPr>
        <w:contextualSpacing/>
      </w:pPr>
      <w:r w:rsidRPr="004F399A">
        <w:rPr>
          <w:b/>
        </w:rPr>
        <w:t>Brochu CA. 2001.</w:t>
      </w:r>
      <w:r w:rsidRPr="00A760BE">
        <w:t xml:space="preserve"> Crocodylian snouts in space and time: phylogenetic approaches toward adaptive radiation. </w:t>
      </w:r>
      <w:r w:rsidRPr="00A760BE">
        <w:rPr>
          <w:i/>
        </w:rPr>
        <w:t>American Zoologist</w:t>
      </w:r>
      <w:r w:rsidRPr="00A760BE">
        <w:t xml:space="preserve"> </w:t>
      </w:r>
      <w:r w:rsidRPr="004F399A">
        <w:rPr>
          <w:b/>
        </w:rPr>
        <w:t>41</w:t>
      </w:r>
      <w:r w:rsidRPr="00A760BE">
        <w:t>: 564</w:t>
      </w:r>
      <w:r>
        <w:t>–</w:t>
      </w:r>
      <w:r w:rsidRPr="00A760BE">
        <w:t>585.</w:t>
      </w:r>
    </w:p>
    <w:p w14:paraId="4A397EB1" w14:textId="77777777" w:rsidR="00497CE3" w:rsidRDefault="00497CE3" w:rsidP="00497CE3">
      <w:pPr>
        <w:autoSpaceDE w:val="0"/>
        <w:autoSpaceDN w:val="0"/>
        <w:adjustRightInd w:val="0"/>
      </w:pPr>
      <w:r>
        <w:rPr>
          <w:rFonts w:eastAsia="Times New Roman"/>
          <w:b/>
          <w:lang w:val="en-US"/>
        </w:rPr>
        <w:t>Brochu CA.</w:t>
      </w:r>
      <w:r>
        <w:rPr>
          <w:rFonts w:eastAsia="Times New Roman"/>
          <w:lang w:val="en-US"/>
        </w:rPr>
        <w:t xml:space="preserve"> </w:t>
      </w:r>
      <w:r>
        <w:rPr>
          <w:rFonts w:eastAsia="Times New Roman"/>
          <w:b/>
          <w:lang w:val="en-US"/>
        </w:rPr>
        <w:t>2007.</w:t>
      </w:r>
      <w:r>
        <w:rPr>
          <w:rFonts w:eastAsia="Times New Roman"/>
          <w:lang w:val="en-US"/>
        </w:rPr>
        <w:t xml:space="preserve"> Morphology, relationships, and biogeographical significance of an extinct horned crocodile (Crocodylia, Crocodylidae) from the Quaternary of Madagascar. </w:t>
      </w:r>
      <w:r>
        <w:rPr>
          <w:rFonts w:eastAsia="Times New Roman"/>
          <w:i/>
          <w:iCs/>
          <w:lang w:val="en-US"/>
        </w:rPr>
        <w:t>Zoological Journal of the Linnean Society</w:t>
      </w:r>
      <w:r>
        <w:rPr>
          <w:rFonts w:eastAsia="Times New Roman"/>
          <w:lang w:val="en-US"/>
        </w:rPr>
        <w:t xml:space="preserve"> </w:t>
      </w:r>
      <w:r>
        <w:rPr>
          <w:rFonts w:eastAsia="Times New Roman"/>
          <w:b/>
          <w:iCs/>
          <w:lang w:val="en-US"/>
        </w:rPr>
        <w:t>150</w:t>
      </w:r>
      <w:r>
        <w:rPr>
          <w:rFonts w:eastAsia="Times New Roman"/>
          <w:iCs/>
          <w:lang w:val="en-US"/>
        </w:rPr>
        <w:t>:</w:t>
      </w:r>
      <w:r>
        <w:rPr>
          <w:rFonts w:eastAsia="Times New Roman"/>
          <w:lang w:val="en-US"/>
        </w:rPr>
        <w:t xml:space="preserve"> 835</w:t>
      </w:r>
      <w:r>
        <w:t>–</w:t>
      </w:r>
      <w:r>
        <w:rPr>
          <w:rFonts w:eastAsia="Times New Roman"/>
          <w:lang w:val="en-US"/>
        </w:rPr>
        <w:t>863.</w:t>
      </w:r>
    </w:p>
    <w:p w14:paraId="1ABE33B4" w14:textId="77777777" w:rsidR="00497CE3" w:rsidRDefault="00497CE3" w:rsidP="00497CE3">
      <w:pPr>
        <w:autoSpaceDE w:val="0"/>
        <w:autoSpaceDN w:val="0"/>
        <w:adjustRightInd w:val="0"/>
        <w:rPr>
          <w:bCs/>
        </w:rPr>
      </w:pPr>
      <w:r>
        <w:rPr>
          <w:b/>
          <w:bCs/>
        </w:rPr>
        <w:t>Brochu CA, Bouare ML, Sissoko F, Roberts EM, O'Leary MA. 2002.</w:t>
      </w:r>
      <w:r>
        <w:rPr>
          <w:bCs/>
        </w:rPr>
        <w:t xml:space="preserve"> A dyrosaurid crocodyliform braincase from Mali. </w:t>
      </w:r>
      <w:r>
        <w:rPr>
          <w:bCs/>
          <w:i/>
          <w:iCs/>
        </w:rPr>
        <w:t>Journal of Paleontology</w:t>
      </w:r>
      <w:r>
        <w:rPr>
          <w:bCs/>
        </w:rPr>
        <w:t> </w:t>
      </w:r>
      <w:r>
        <w:rPr>
          <w:b/>
          <w:bCs/>
          <w:iCs/>
        </w:rPr>
        <w:t>76</w:t>
      </w:r>
      <w:r>
        <w:rPr>
          <w:bCs/>
        </w:rPr>
        <w:t>: 1060</w:t>
      </w:r>
      <w:bookmarkStart w:id="73" w:name="_Hlk489364018"/>
      <w:r>
        <w:t>–</w:t>
      </w:r>
      <w:bookmarkEnd w:id="73"/>
      <w:r>
        <w:rPr>
          <w:bCs/>
        </w:rPr>
        <w:t>1071.</w:t>
      </w:r>
    </w:p>
    <w:p w14:paraId="0DD24D58" w14:textId="77777777" w:rsidR="00497CE3" w:rsidRDefault="00497CE3" w:rsidP="00497CE3">
      <w:pPr>
        <w:autoSpaceDE w:val="0"/>
        <w:autoSpaceDN w:val="0"/>
        <w:adjustRightInd w:val="0"/>
        <w:rPr>
          <w:bCs/>
        </w:rPr>
      </w:pPr>
      <w:r>
        <w:rPr>
          <w:b/>
          <w:bCs/>
        </w:rPr>
        <w:t>Brochu CA, Storrs GW. 2012.</w:t>
      </w:r>
      <w:r>
        <w:rPr>
          <w:bCs/>
        </w:rPr>
        <w:t xml:space="preserve"> A giant crocodile from the Plio-Pleistocene of Kenya, the phylogenetic relationships of Neogene African crocodylines, and the antiquity of </w:t>
      </w:r>
      <w:r>
        <w:rPr>
          <w:bCs/>
          <w:i/>
        </w:rPr>
        <w:t>Crocodylus</w:t>
      </w:r>
      <w:r>
        <w:rPr>
          <w:bCs/>
        </w:rPr>
        <w:t xml:space="preserve"> in Africa. </w:t>
      </w:r>
      <w:r>
        <w:rPr>
          <w:bCs/>
          <w:i/>
        </w:rPr>
        <w:t>Journal of Vertebrate Paleontology</w:t>
      </w:r>
      <w:r>
        <w:rPr>
          <w:bCs/>
        </w:rPr>
        <w:t xml:space="preserve"> </w:t>
      </w:r>
      <w:r>
        <w:rPr>
          <w:b/>
          <w:bCs/>
        </w:rPr>
        <w:t>32</w:t>
      </w:r>
      <w:r>
        <w:rPr>
          <w:bCs/>
        </w:rPr>
        <w:t xml:space="preserve"> (3): 587</w:t>
      </w:r>
      <w:r>
        <w:t>–</w:t>
      </w:r>
      <w:r>
        <w:rPr>
          <w:bCs/>
        </w:rPr>
        <w:t>602.</w:t>
      </w:r>
    </w:p>
    <w:p w14:paraId="57EDF159" w14:textId="77777777" w:rsidR="00497CE3" w:rsidRDefault="00497CE3" w:rsidP="00497CE3">
      <w:pPr>
        <w:autoSpaceDE w:val="0"/>
        <w:autoSpaceDN w:val="0"/>
        <w:adjustRightInd w:val="0"/>
      </w:pPr>
      <w:r>
        <w:rPr>
          <w:b/>
          <w:bCs/>
        </w:rPr>
        <w:t xml:space="preserve">de Broin F, Taquet P. 1966. </w:t>
      </w:r>
      <w:r>
        <w:t xml:space="preserve">Découverte d’un crocodilien nouveau dans le Crétacé inférieur du Sahara. </w:t>
      </w:r>
      <w:r>
        <w:rPr>
          <w:i/>
          <w:iCs/>
        </w:rPr>
        <w:t xml:space="preserve">Comptes Rendus de l’Académie des Sciences de Paris </w:t>
      </w:r>
      <w:r>
        <w:t xml:space="preserve">– </w:t>
      </w:r>
      <w:r>
        <w:rPr>
          <w:i/>
          <w:iCs/>
        </w:rPr>
        <w:t>Ser. D</w:t>
      </w:r>
      <w:r>
        <w:t xml:space="preserve">, </w:t>
      </w:r>
      <w:r>
        <w:rPr>
          <w:b/>
        </w:rPr>
        <w:t xml:space="preserve">262 </w:t>
      </w:r>
      <w:r>
        <w:t>(22): 2326–2329.</w:t>
      </w:r>
    </w:p>
    <w:p w14:paraId="5E50CF01" w14:textId="77777777" w:rsidR="00497CE3" w:rsidRDefault="00497CE3" w:rsidP="00497CE3">
      <w:pPr>
        <w:widowControl w:val="0"/>
        <w:autoSpaceDE w:val="0"/>
        <w:autoSpaceDN w:val="0"/>
        <w:adjustRightInd w:val="0"/>
        <w:rPr>
          <w:rFonts w:eastAsia="Times New Roman"/>
          <w:lang w:bidi="x-none"/>
        </w:rPr>
      </w:pPr>
      <w:r>
        <w:rPr>
          <w:b/>
        </w:rPr>
        <w:t>Bronn HG. 1841.</w:t>
      </w:r>
      <w:r>
        <w:t xml:space="preserve"> Untersuchung zweier Gavial-Skelette und der Gaumen zweier andern aus den </w:t>
      </w:r>
      <w:r>
        <w:rPr>
          <w:i/>
        </w:rPr>
        <w:t>Boller</w:t>
      </w:r>
      <w:r>
        <w:t xml:space="preserve"> Lias-Schiefen, mit Rücksicht auf Geoffroy's genus </w:t>
      </w:r>
      <w:r>
        <w:rPr>
          <w:i/>
        </w:rPr>
        <w:t>Teleosaurus</w:t>
      </w:r>
      <w:r>
        <w:t xml:space="preserve">. pp. 5–30 In: H.G. Bronn and J.J. Kaup (eds). </w:t>
      </w:r>
      <w:r>
        <w:rPr>
          <w:i/>
        </w:rPr>
        <w:t>Abhandlungen uber die Gavial-artigen Reptilien der Lias-Formation</w:t>
      </w:r>
      <w:r>
        <w:t>. E. Schweizerbart'sche Verlagshandlung, Stuttgart, 47 pp.</w:t>
      </w:r>
    </w:p>
    <w:p w14:paraId="5D2233E0" w14:textId="77777777" w:rsidR="00497CE3" w:rsidRDefault="00497CE3" w:rsidP="00497CE3">
      <w:pPr>
        <w:autoSpaceDE w:val="0"/>
        <w:autoSpaceDN w:val="0"/>
        <w:adjustRightInd w:val="0"/>
        <w:rPr>
          <w:rFonts w:eastAsiaTheme="minorHAnsi"/>
        </w:rPr>
      </w:pPr>
      <w:r>
        <w:rPr>
          <w:b/>
          <w:bCs/>
        </w:rPr>
        <w:t>Buchy M-C, Vignaud P, Frey E, Stinnesbeck W, González AHG. 2006.</w:t>
      </w:r>
      <w:r>
        <w:rPr>
          <w:bCs/>
        </w:rPr>
        <w:t xml:space="preserve"> </w:t>
      </w:r>
      <w:r>
        <w:t xml:space="preserve">A new thalattosuchian crocodyliform from the Tithonian (Upper Jurassic) of northeastern Mexico. </w:t>
      </w:r>
      <w:r>
        <w:rPr>
          <w:i/>
          <w:iCs/>
        </w:rPr>
        <w:t>Comptes Rendus Palevol</w:t>
      </w:r>
      <w:r>
        <w:rPr>
          <w:iCs/>
        </w:rPr>
        <w:t xml:space="preserve"> </w:t>
      </w:r>
      <w:r>
        <w:rPr>
          <w:b/>
          <w:bCs/>
        </w:rPr>
        <w:t>5</w:t>
      </w:r>
      <w:r>
        <w:rPr>
          <w:bCs/>
        </w:rPr>
        <w:t xml:space="preserve">: </w:t>
      </w:r>
      <w:r>
        <w:t>785–794.</w:t>
      </w:r>
    </w:p>
    <w:p w14:paraId="042D0267" w14:textId="77777777" w:rsidR="00497CE3" w:rsidRDefault="00497CE3" w:rsidP="00497CE3">
      <w:pPr>
        <w:autoSpaceDE w:val="0"/>
        <w:autoSpaceDN w:val="0"/>
        <w:adjustRightInd w:val="0"/>
        <w:rPr>
          <w:smallCaps/>
        </w:rPr>
      </w:pPr>
      <w:r>
        <w:rPr>
          <w:b/>
        </w:rPr>
        <w:t>Buchy M-C, Young MT, Andrade MB. 2013.</w:t>
      </w:r>
      <w:r>
        <w:t xml:space="preserve"> A new specimen of </w:t>
      </w:r>
      <w:r>
        <w:rPr>
          <w:i/>
        </w:rPr>
        <w:t>Cricosaurus</w:t>
      </w:r>
      <w:r>
        <w:t xml:space="preserve"> </w:t>
      </w:r>
      <w:r>
        <w:rPr>
          <w:i/>
        </w:rPr>
        <w:t>saltillensis</w:t>
      </w:r>
      <w:r>
        <w:t xml:space="preserve"> (Crocodylomorpha: Metriorhynchidae) from the Upper Jurassic of Mexico: evidence for craniofacial convergence within Metriorhynchidae. </w:t>
      </w:r>
      <w:r>
        <w:rPr>
          <w:i/>
        </w:rPr>
        <w:t>Oryctos</w:t>
      </w:r>
      <w:r>
        <w:t xml:space="preserve"> </w:t>
      </w:r>
      <w:r>
        <w:rPr>
          <w:b/>
        </w:rPr>
        <w:t>10</w:t>
      </w:r>
      <w:r>
        <w:t>: 9–21.</w:t>
      </w:r>
    </w:p>
    <w:p w14:paraId="4DC1DDB8" w14:textId="77777777" w:rsidR="00497CE3" w:rsidRDefault="00497CE3" w:rsidP="00497CE3">
      <w:pPr>
        <w:autoSpaceDE w:val="0"/>
        <w:autoSpaceDN w:val="0"/>
        <w:adjustRightInd w:val="0"/>
      </w:pPr>
      <w:r>
        <w:rPr>
          <w:b/>
          <w:bCs/>
        </w:rPr>
        <w:t xml:space="preserve">Buckley GA, Brochu CA. 1996. </w:t>
      </w:r>
      <w:r>
        <w:t xml:space="preserve">Campanian (Upper Cretaceous) crocodyliforms from Madagascar and their biogeographic implication. </w:t>
      </w:r>
      <w:r>
        <w:rPr>
          <w:i/>
          <w:iCs/>
        </w:rPr>
        <w:t>Journal of Vertebrate Paleontology</w:t>
      </w:r>
      <w:r>
        <w:t xml:space="preserve"> </w:t>
      </w:r>
      <w:r>
        <w:rPr>
          <w:b/>
        </w:rPr>
        <w:t xml:space="preserve">16 </w:t>
      </w:r>
      <w:r>
        <w:t>(3): 24A.</w:t>
      </w:r>
    </w:p>
    <w:p w14:paraId="2163AD71" w14:textId="77777777" w:rsidR="00497CE3" w:rsidRDefault="00497CE3" w:rsidP="00497CE3">
      <w:pPr>
        <w:pStyle w:val="Default"/>
        <w:rPr>
          <w:color w:val="auto"/>
        </w:rPr>
      </w:pPr>
      <w:r>
        <w:rPr>
          <w:b/>
          <w:bCs/>
          <w:color w:val="auto"/>
        </w:rPr>
        <w:t>Buckley GA, Brochu CA. 1999.</w:t>
      </w:r>
      <w:r>
        <w:rPr>
          <w:bCs/>
          <w:color w:val="auto"/>
        </w:rPr>
        <w:t xml:space="preserve"> </w:t>
      </w:r>
      <w:r>
        <w:rPr>
          <w:color w:val="auto"/>
        </w:rPr>
        <w:t xml:space="preserve">An enigmatic new crocodile from the Upper Cretaceous of Madagascar. In: Unwin D. (ed.), </w:t>
      </w:r>
      <w:r>
        <w:rPr>
          <w:i/>
          <w:iCs/>
          <w:color w:val="auto"/>
        </w:rPr>
        <w:t>Cretaceous Fossil Vertebrates: Special Papers in Palaeontology</w:t>
      </w:r>
      <w:r>
        <w:rPr>
          <w:iCs/>
          <w:color w:val="auto"/>
        </w:rPr>
        <w:t xml:space="preserve"> </w:t>
      </w:r>
      <w:r>
        <w:rPr>
          <w:b/>
          <w:bCs/>
          <w:color w:val="auto"/>
        </w:rPr>
        <w:t>60</w:t>
      </w:r>
      <w:r>
        <w:rPr>
          <w:color w:val="auto"/>
        </w:rPr>
        <w:t xml:space="preserve">: 149–175. London: The Palaeontological Association. </w:t>
      </w:r>
    </w:p>
    <w:p w14:paraId="08019A7A" w14:textId="77777777" w:rsidR="00497CE3" w:rsidRDefault="00497CE3" w:rsidP="00497CE3">
      <w:pPr>
        <w:autoSpaceDE w:val="0"/>
        <w:autoSpaceDN w:val="0"/>
        <w:adjustRightInd w:val="0"/>
      </w:pPr>
      <w:r>
        <w:rPr>
          <w:b/>
          <w:bCs/>
        </w:rPr>
        <w:t xml:space="preserve">Buckley GA, Brochu CA, Krause DW, Pol D. 2000. </w:t>
      </w:r>
      <w:r>
        <w:t xml:space="preserve">A pug-nosed crocodyliform from the Late Cretaceous of Madagascar. </w:t>
      </w:r>
      <w:r>
        <w:rPr>
          <w:i/>
          <w:iCs/>
        </w:rPr>
        <w:t>Nature</w:t>
      </w:r>
      <w:r>
        <w:t xml:space="preserve"> </w:t>
      </w:r>
      <w:r>
        <w:rPr>
          <w:b/>
        </w:rPr>
        <w:t xml:space="preserve">405 </w:t>
      </w:r>
      <w:r>
        <w:t>(6765): 91–94.</w:t>
      </w:r>
    </w:p>
    <w:p w14:paraId="408FE64E" w14:textId="77777777" w:rsidR="00497CE3" w:rsidRDefault="00497CE3" w:rsidP="00497CE3">
      <w:pPr>
        <w:autoSpaceDE w:val="0"/>
        <w:autoSpaceDN w:val="0"/>
        <w:adjustRightInd w:val="0"/>
      </w:pPr>
      <w:r>
        <w:rPr>
          <w:b/>
          <w:bCs/>
        </w:rPr>
        <w:t xml:space="preserve">Buffetaut E. 1975. </w:t>
      </w:r>
      <w:r>
        <w:t xml:space="preserve">Sur l’anatomie et la position systématique de </w:t>
      </w:r>
      <w:r>
        <w:rPr>
          <w:i/>
          <w:iCs/>
        </w:rPr>
        <w:t xml:space="preserve">Bernissartia fagesii </w:t>
      </w:r>
      <w:r>
        <w:t xml:space="preserve">Dollo, L., 1883, Crocodilien du Wealdien de Bernissart, Belgique. </w:t>
      </w:r>
      <w:r>
        <w:rPr>
          <w:i/>
          <w:iCs/>
        </w:rPr>
        <w:t>Bulletin de l’Insitut Royal des Sciences Naturalles de Belgique</w:t>
      </w:r>
      <w:r>
        <w:t xml:space="preserve"> </w:t>
      </w:r>
      <w:r>
        <w:rPr>
          <w:b/>
        </w:rPr>
        <w:t xml:space="preserve">51 </w:t>
      </w:r>
      <w:r>
        <w:t>(2): 1–20.</w:t>
      </w:r>
    </w:p>
    <w:p w14:paraId="6B8309B6" w14:textId="77777777" w:rsidR="00497CE3" w:rsidRDefault="00497CE3" w:rsidP="00497CE3">
      <w:pPr>
        <w:autoSpaceDE w:val="0"/>
        <w:autoSpaceDN w:val="0"/>
        <w:adjustRightInd w:val="0"/>
      </w:pPr>
      <w:r>
        <w:rPr>
          <w:b/>
          <w:bCs/>
        </w:rPr>
        <w:t xml:space="preserve">Buffetaut E. 1977. </w:t>
      </w:r>
      <w:r>
        <w:t xml:space="preserve">Sur un crocodilien marin </w:t>
      </w:r>
      <w:r>
        <w:rPr>
          <w:i/>
          <w:iCs/>
        </w:rPr>
        <w:t>Metriorhynchus superciliosus</w:t>
      </w:r>
      <w:r>
        <w:t xml:space="preserve">, de l’Oxfordien supérieur (Rauracien) de l’Ile de Ré (Charente-Maritime). </w:t>
      </w:r>
      <w:r>
        <w:rPr>
          <w:i/>
          <w:iCs/>
        </w:rPr>
        <w:t>Annales de la Société des Sciences Naturelles de la Charente-Maritime</w:t>
      </w:r>
      <w:r>
        <w:rPr>
          <w:iCs/>
        </w:rPr>
        <w:t xml:space="preserve"> </w:t>
      </w:r>
      <w:r>
        <w:rPr>
          <w:b/>
          <w:bCs/>
        </w:rPr>
        <w:t>4</w:t>
      </w:r>
      <w:r>
        <w:rPr>
          <w:bCs/>
        </w:rPr>
        <w:t xml:space="preserve">: </w:t>
      </w:r>
      <w:r>
        <w:t>252–266.</w:t>
      </w:r>
    </w:p>
    <w:p w14:paraId="1D1880FB" w14:textId="77777777" w:rsidR="00497CE3" w:rsidRDefault="00497CE3" w:rsidP="00497CE3">
      <w:pPr>
        <w:autoSpaceDE w:val="0"/>
        <w:autoSpaceDN w:val="0"/>
        <w:adjustRightInd w:val="0"/>
        <w:rPr>
          <w:bCs/>
        </w:rPr>
      </w:pPr>
      <w:r>
        <w:rPr>
          <w:b/>
          <w:bCs/>
        </w:rPr>
        <w:t>Buffetaut E. 1978.</w:t>
      </w:r>
      <w:r>
        <w:rPr>
          <w:bCs/>
        </w:rPr>
        <w:t xml:space="preserve"> Les Dyrosauridae (Crocodylia, Mesosuchia) des phosphates de l’Eocène inférieur de Tunisie: </w:t>
      </w:r>
      <w:r>
        <w:rPr>
          <w:bCs/>
          <w:i/>
        </w:rPr>
        <w:t>Dyrosaurus</w:t>
      </w:r>
      <w:r>
        <w:rPr>
          <w:bCs/>
        </w:rPr>
        <w:t xml:space="preserve">, </w:t>
      </w:r>
      <w:r>
        <w:rPr>
          <w:bCs/>
          <w:i/>
        </w:rPr>
        <w:t>Rhabdognathus</w:t>
      </w:r>
      <w:r>
        <w:rPr>
          <w:bCs/>
        </w:rPr>
        <w:t xml:space="preserve">, </w:t>
      </w:r>
      <w:r>
        <w:rPr>
          <w:bCs/>
          <w:i/>
        </w:rPr>
        <w:t>Phosphatosaurus</w:t>
      </w:r>
      <w:r>
        <w:rPr>
          <w:bCs/>
        </w:rPr>
        <w:t xml:space="preserve">. </w:t>
      </w:r>
      <w:r>
        <w:rPr>
          <w:bCs/>
          <w:i/>
        </w:rPr>
        <w:t>Géologie Méditerranéenne</w:t>
      </w:r>
      <w:r>
        <w:rPr>
          <w:bCs/>
        </w:rPr>
        <w:t xml:space="preserve"> </w:t>
      </w:r>
      <w:r>
        <w:rPr>
          <w:b/>
          <w:bCs/>
        </w:rPr>
        <w:t>5</w:t>
      </w:r>
      <w:r>
        <w:rPr>
          <w:bCs/>
        </w:rPr>
        <w:t>: 237</w:t>
      </w:r>
      <w:r>
        <w:t>–</w:t>
      </w:r>
      <w:r>
        <w:rPr>
          <w:bCs/>
        </w:rPr>
        <w:t>256.</w:t>
      </w:r>
    </w:p>
    <w:p w14:paraId="5018EC62" w14:textId="77777777" w:rsidR="00497CE3" w:rsidRDefault="00497CE3" w:rsidP="00497CE3">
      <w:pPr>
        <w:autoSpaceDE w:val="0"/>
        <w:autoSpaceDN w:val="0"/>
        <w:adjustRightInd w:val="0"/>
        <w:rPr>
          <w:bCs/>
        </w:rPr>
      </w:pPr>
      <w:r>
        <w:rPr>
          <w:b/>
          <w:bCs/>
        </w:rPr>
        <w:t>Buffetaut E. 1979.</w:t>
      </w:r>
      <w:r>
        <w:rPr>
          <w:bCs/>
        </w:rPr>
        <w:t xml:space="preserve"> </w:t>
      </w:r>
      <w:r>
        <w:rPr>
          <w:bCs/>
          <w:i/>
        </w:rPr>
        <w:t>Sokotosuchus ianwilsoni</w:t>
      </w:r>
      <w:r>
        <w:rPr>
          <w:bCs/>
        </w:rPr>
        <w:t xml:space="preserve"> and the evolution of the dyrosaurid crocodilians. </w:t>
      </w:r>
      <w:r>
        <w:rPr>
          <w:bCs/>
          <w:i/>
        </w:rPr>
        <w:t>The Nigerian Field Monograph</w:t>
      </w:r>
      <w:r>
        <w:rPr>
          <w:bCs/>
        </w:rPr>
        <w:t xml:space="preserve"> </w:t>
      </w:r>
      <w:r>
        <w:rPr>
          <w:b/>
          <w:bCs/>
        </w:rPr>
        <w:t>1</w:t>
      </w:r>
      <w:r>
        <w:rPr>
          <w:bCs/>
        </w:rPr>
        <w:t>: 31</w:t>
      </w:r>
      <w:r>
        <w:t>–</w:t>
      </w:r>
      <w:r>
        <w:rPr>
          <w:bCs/>
        </w:rPr>
        <w:t>41.</w:t>
      </w:r>
    </w:p>
    <w:p w14:paraId="67314537" w14:textId="77777777" w:rsidR="00497CE3" w:rsidRDefault="00497CE3" w:rsidP="00497CE3">
      <w:pPr>
        <w:autoSpaceDE w:val="0"/>
        <w:autoSpaceDN w:val="0"/>
        <w:adjustRightInd w:val="0"/>
        <w:rPr>
          <w:bCs/>
        </w:rPr>
      </w:pPr>
      <w:r>
        <w:rPr>
          <w:b/>
          <w:bCs/>
        </w:rPr>
        <w:t>Buffetaut E. 1980.</w:t>
      </w:r>
      <w:r>
        <w:rPr>
          <w:bCs/>
        </w:rPr>
        <w:t xml:space="preserve"> Les crocodiliens Paléogènes du Tilemsi (Mali): Un aperçu systématique. </w:t>
      </w:r>
      <w:r>
        <w:rPr>
          <w:bCs/>
          <w:i/>
        </w:rPr>
        <w:t>Palaeovertebrata</w:t>
      </w:r>
      <w:r>
        <w:rPr>
          <w:bCs/>
        </w:rPr>
        <w:t>, Mémoire jubilaire en homage à René Lavocat, p.15–35.</w:t>
      </w:r>
    </w:p>
    <w:p w14:paraId="6839321C" w14:textId="77777777" w:rsidR="00497CE3" w:rsidRDefault="00497CE3" w:rsidP="00497CE3">
      <w:pPr>
        <w:autoSpaceDE w:val="0"/>
        <w:autoSpaceDN w:val="0"/>
        <w:adjustRightInd w:val="0"/>
      </w:pPr>
      <w:r>
        <w:rPr>
          <w:b/>
          <w:bCs/>
        </w:rPr>
        <w:t xml:space="preserve">Buffetaut E. 1981. </w:t>
      </w:r>
      <w:r>
        <w:t xml:space="preserve">Die biogeographische Geschichte der Krokodilier, mit Beschreibung einer neuen Art, </w:t>
      </w:r>
      <w:r>
        <w:rPr>
          <w:i/>
          <w:iCs/>
        </w:rPr>
        <w:t>Araripesuchus wegeneri</w:t>
      </w:r>
      <w:r>
        <w:t xml:space="preserve">. </w:t>
      </w:r>
      <w:r>
        <w:rPr>
          <w:i/>
          <w:iCs/>
        </w:rPr>
        <w:t>Sonderdruck aus der Geologischen Rundschau</w:t>
      </w:r>
      <w:r>
        <w:t xml:space="preserve"> </w:t>
      </w:r>
      <w:r>
        <w:rPr>
          <w:b/>
        </w:rPr>
        <w:t xml:space="preserve">70 </w:t>
      </w:r>
      <w:r>
        <w:t>(2): 611–624.</w:t>
      </w:r>
    </w:p>
    <w:p w14:paraId="754441EC" w14:textId="77777777" w:rsidR="00497CE3" w:rsidRDefault="00497CE3" w:rsidP="00497CE3">
      <w:pPr>
        <w:autoSpaceDE w:val="0"/>
        <w:autoSpaceDN w:val="0"/>
        <w:adjustRightInd w:val="0"/>
      </w:pPr>
      <w:r>
        <w:rPr>
          <w:rFonts w:eastAsia="Times New Roman"/>
          <w:b/>
          <w:lang w:val="en-US"/>
        </w:rPr>
        <w:t>Buffetaut E.</w:t>
      </w:r>
      <w:r>
        <w:rPr>
          <w:rFonts w:eastAsia="Times New Roman"/>
          <w:lang w:val="en-US"/>
        </w:rPr>
        <w:t xml:space="preserve"> </w:t>
      </w:r>
      <w:r>
        <w:rPr>
          <w:rFonts w:eastAsia="Times New Roman"/>
          <w:b/>
          <w:lang w:val="en-US"/>
        </w:rPr>
        <w:t>1982.</w:t>
      </w:r>
      <w:r>
        <w:rPr>
          <w:rFonts w:eastAsia="Times New Roman"/>
          <w:lang w:val="en-US"/>
        </w:rPr>
        <w:t xml:space="preserve"> Radiation evolutive, paléoécologie et biogéographie des crocodiliens mésosuchiens. </w:t>
      </w:r>
      <w:r>
        <w:rPr>
          <w:rFonts w:eastAsia="Times New Roman"/>
          <w:i/>
          <w:iCs/>
          <w:lang w:val="en-US"/>
        </w:rPr>
        <w:t>Memoires de la Societé Géologique de</w:t>
      </w:r>
      <w:r>
        <w:rPr>
          <w:rFonts w:eastAsia="Times New Roman"/>
          <w:lang w:val="en-US"/>
        </w:rPr>
        <w:t xml:space="preserve"> </w:t>
      </w:r>
      <w:r>
        <w:rPr>
          <w:rFonts w:eastAsia="Times New Roman"/>
          <w:i/>
          <w:iCs/>
          <w:lang w:val="en-US"/>
        </w:rPr>
        <w:t>France</w:t>
      </w:r>
      <w:r>
        <w:rPr>
          <w:rFonts w:eastAsia="Times New Roman"/>
          <w:iCs/>
          <w:lang w:val="en-US"/>
        </w:rPr>
        <w:t xml:space="preserve"> </w:t>
      </w:r>
      <w:r>
        <w:rPr>
          <w:rFonts w:eastAsia="Times New Roman"/>
          <w:b/>
          <w:lang w:val="en-US"/>
        </w:rPr>
        <w:t>142</w:t>
      </w:r>
      <w:r>
        <w:rPr>
          <w:rFonts w:eastAsia="Times New Roman"/>
          <w:lang w:val="en-US"/>
        </w:rPr>
        <w:t>: 1</w:t>
      </w:r>
      <w:r>
        <w:t>–</w:t>
      </w:r>
      <w:r>
        <w:rPr>
          <w:rFonts w:eastAsia="Times New Roman"/>
          <w:lang w:val="en-US"/>
        </w:rPr>
        <w:t>88.</w:t>
      </w:r>
    </w:p>
    <w:p w14:paraId="56A1EE33" w14:textId="77777777" w:rsidR="00497CE3" w:rsidRDefault="00497CE3" w:rsidP="00497CE3">
      <w:pPr>
        <w:autoSpaceDE w:val="0"/>
        <w:autoSpaceDN w:val="0"/>
        <w:adjustRightInd w:val="0"/>
      </w:pPr>
      <w:r>
        <w:rPr>
          <w:b/>
          <w:bCs/>
        </w:rPr>
        <w:t xml:space="preserve">Buffetaut E. 1991. </w:t>
      </w:r>
      <w:r>
        <w:rPr>
          <w:i/>
          <w:iCs/>
        </w:rPr>
        <w:t xml:space="preserve">Itasuchus </w:t>
      </w:r>
      <w:r>
        <w:t xml:space="preserve">Price, 1955. </w:t>
      </w:r>
      <w:r>
        <w:rPr>
          <w:i/>
          <w:iCs/>
        </w:rPr>
        <w:t>In</w:t>
      </w:r>
      <w:r>
        <w:t xml:space="preserve">: Maisey JG (ed.). </w:t>
      </w:r>
      <w:r>
        <w:rPr>
          <w:i/>
          <w:iCs/>
        </w:rPr>
        <w:t>Santana fossils</w:t>
      </w:r>
      <w:r>
        <w:t>. New York: T. F. H. p.348</w:t>
      </w:r>
      <w:r>
        <w:rPr>
          <w:b/>
          <w:bCs/>
        </w:rPr>
        <w:t>–</w:t>
      </w:r>
      <w:r>
        <w:t>350.</w:t>
      </w:r>
    </w:p>
    <w:p w14:paraId="1D3BF0EC" w14:textId="77777777" w:rsidR="00497CE3" w:rsidRDefault="00497CE3" w:rsidP="00497CE3">
      <w:pPr>
        <w:autoSpaceDE w:val="0"/>
        <w:autoSpaceDN w:val="0"/>
        <w:adjustRightInd w:val="0"/>
      </w:pPr>
      <w:r>
        <w:rPr>
          <w:b/>
          <w:bCs/>
        </w:rPr>
        <w:t xml:space="preserve">Buffetaut E. 1994. </w:t>
      </w:r>
      <w:r>
        <w:t xml:space="preserve">A new crocodilian from the Cretaceous of Southern Morocco. </w:t>
      </w:r>
      <w:r>
        <w:rPr>
          <w:i/>
          <w:iCs/>
        </w:rPr>
        <w:t>Compte Rendus de l’Académie des Sciences — Series II</w:t>
      </w:r>
      <w:r>
        <w:t xml:space="preserve"> </w:t>
      </w:r>
      <w:r>
        <w:rPr>
          <w:b/>
        </w:rPr>
        <w:t xml:space="preserve">319 </w:t>
      </w:r>
      <w:r>
        <w:t>(12): 1563–1568.</w:t>
      </w:r>
    </w:p>
    <w:p w14:paraId="1F9651C6" w14:textId="77777777" w:rsidR="00497CE3" w:rsidRDefault="00497CE3" w:rsidP="00497CE3">
      <w:pPr>
        <w:autoSpaceDE w:val="0"/>
        <w:autoSpaceDN w:val="0"/>
        <w:adjustRightInd w:val="0"/>
        <w:rPr>
          <w:bCs/>
        </w:rPr>
      </w:pPr>
      <w:r>
        <w:rPr>
          <w:b/>
          <w:bCs/>
        </w:rPr>
        <w:t>Buffetaut E, Taquet P. 1977.</w:t>
      </w:r>
      <w:r>
        <w:rPr>
          <w:bCs/>
        </w:rPr>
        <w:t xml:space="preserve"> The giant crocodilian </w:t>
      </w:r>
      <w:r>
        <w:rPr>
          <w:bCs/>
          <w:i/>
        </w:rPr>
        <w:t>Sarcosuchus</w:t>
      </w:r>
      <w:r>
        <w:rPr>
          <w:bCs/>
        </w:rPr>
        <w:t xml:space="preserve"> in the Early Cretaceous of Brazil and Niger. </w:t>
      </w:r>
      <w:r>
        <w:rPr>
          <w:bCs/>
          <w:i/>
          <w:iCs/>
        </w:rPr>
        <w:t>Palaeontology</w:t>
      </w:r>
      <w:r>
        <w:rPr>
          <w:bCs/>
        </w:rPr>
        <w:t> </w:t>
      </w:r>
      <w:r>
        <w:rPr>
          <w:b/>
          <w:bCs/>
          <w:iCs/>
        </w:rPr>
        <w:t>20</w:t>
      </w:r>
      <w:r>
        <w:rPr>
          <w:bCs/>
          <w:iCs/>
        </w:rPr>
        <w:t xml:space="preserve">: </w:t>
      </w:r>
      <w:r>
        <w:rPr>
          <w:bCs/>
        </w:rPr>
        <w:t>203</w:t>
      </w:r>
      <w:r>
        <w:t>–</w:t>
      </w:r>
      <w:r>
        <w:rPr>
          <w:bCs/>
        </w:rPr>
        <w:t>208.</w:t>
      </w:r>
    </w:p>
    <w:p w14:paraId="64CBC9B5" w14:textId="77777777" w:rsidR="00497CE3" w:rsidRDefault="00497CE3" w:rsidP="00497CE3">
      <w:pPr>
        <w:autoSpaceDE w:val="0"/>
        <w:autoSpaceDN w:val="0"/>
        <w:adjustRightInd w:val="0"/>
      </w:pPr>
      <w:r>
        <w:rPr>
          <w:rFonts w:eastAsia="Times New Roman"/>
          <w:b/>
          <w:lang w:val="en-US"/>
        </w:rPr>
        <w:t>Buffetaut E, Hutt S.</w:t>
      </w:r>
      <w:r>
        <w:rPr>
          <w:rFonts w:eastAsia="Times New Roman"/>
          <w:lang w:val="en-US"/>
        </w:rPr>
        <w:t xml:space="preserve"> </w:t>
      </w:r>
      <w:r>
        <w:rPr>
          <w:rFonts w:eastAsia="Times New Roman"/>
          <w:b/>
          <w:lang w:val="en-US"/>
        </w:rPr>
        <w:t>1980.</w:t>
      </w:r>
      <w:r>
        <w:rPr>
          <w:rFonts w:eastAsia="Times New Roman"/>
          <w:lang w:val="en-US"/>
        </w:rPr>
        <w:t xml:space="preserve"> </w:t>
      </w:r>
      <w:r>
        <w:rPr>
          <w:rFonts w:eastAsia="Times New Roman"/>
          <w:i/>
          <w:lang w:val="en-US"/>
        </w:rPr>
        <w:t>Vectisuchus leptognathus</w:t>
      </w:r>
      <w:r>
        <w:rPr>
          <w:rFonts w:eastAsia="Times New Roman"/>
          <w:lang w:val="en-US"/>
        </w:rPr>
        <w:t xml:space="preserve">, n. g. n sp., a slender-snouted goniopholid crocodilian from the Wealden of the Isle of Wight: </w:t>
      </w:r>
      <w:r>
        <w:rPr>
          <w:rFonts w:eastAsia="Times New Roman"/>
          <w:i/>
          <w:lang w:val="en-US"/>
        </w:rPr>
        <w:t xml:space="preserve">Neues Jahrbuch fur Geologie und Palaeontologie </w:t>
      </w:r>
      <w:r>
        <w:rPr>
          <w:rFonts w:eastAsia="Times New Roman"/>
          <w:lang w:val="en-US"/>
        </w:rPr>
        <w:t xml:space="preserve">– </w:t>
      </w:r>
      <w:r>
        <w:rPr>
          <w:rFonts w:eastAsia="Times New Roman"/>
          <w:i/>
          <w:iCs/>
          <w:lang w:val="en-US"/>
        </w:rPr>
        <w:t>Monatshefte</w:t>
      </w:r>
      <w:r>
        <w:rPr>
          <w:rFonts w:eastAsia="Times New Roman"/>
          <w:lang w:val="en-US"/>
        </w:rPr>
        <w:t xml:space="preserve"> </w:t>
      </w:r>
      <w:r>
        <w:rPr>
          <w:rFonts w:eastAsia="Times New Roman"/>
          <w:b/>
          <w:lang w:val="en-US"/>
        </w:rPr>
        <w:t>7</w:t>
      </w:r>
      <w:r>
        <w:rPr>
          <w:rFonts w:eastAsia="Times New Roman"/>
          <w:lang w:val="en-US"/>
        </w:rPr>
        <w:t>: 385</w:t>
      </w:r>
      <w:r>
        <w:t>–</w:t>
      </w:r>
      <w:r>
        <w:rPr>
          <w:rFonts w:eastAsia="Times New Roman"/>
          <w:lang w:val="en-US"/>
        </w:rPr>
        <w:t>390.</w:t>
      </w:r>
    </w:p>
    <w:p w14:paraId="7906081B" w14:textId="77777777" w:rsidR="00497CE3" w:rsidRDefault="00497CE3" w:rsidP="00497CE3">
      <w:pPr>
        <w:autoSpaceDE w:val="0"/>
        <w:autoSpaceDN w:val="0"/>
        <w:adjustRightInd w:val="0"/>
        <w:rPr>
          <w:rFonts w:eastAsia="Times New Roman"/>
          <w:lang w:val="en-US"/>
        </w:rPr>
      </w:pPr>
      <w:r>
        <w:rPr>
          <w:rFonts w:eastAsia="Times New Roman"/>
          <w:b/>
          <w:lang w:val="en-US"/>
        </w:rPr>
        <w:t>Buffetaut E, Ingavat R.</w:t>
      </w:r>
      <w:r>
        <w:rPr>
          <w:rFonts w:eastAsia="Times New Roman"/>
          <w:lang w:val="en-US"/>
        </w:rPr>
        <w:t xml:space="preserve"> </w:t>
      </w:r>
      <w:r>
        <w:rPr>
          <w:rFonts w:eastAsia="Times New Roman"/>
          <w:b/>
          <w:lang w:val="en-US"/>
        </w:rPr>
        <w:t>1980.</w:t>
      </w:r>
      <w:r>
        <w:rPr>
          <w:rFonts w:eastAsia="Times New Roman"/>
          <w:lang w:val="en-US"/>
        </w:rPr>
        <w:t xml:space="preserve"> A new crocodilian from the Jurassic of Thailand, </w:t>
      </w:r>
      <w:r>
        <w:rPr>
          <w:rFonts w:eastAsia="Times New Roman"/>
          <w:i/>
          <w:lang w:val="en-US"/>
        </w:rPr>
        <w:t>Sunosuchus thailandicus</w:t>
      </w:r>
      <w:r>
        <w:rPr>
          <w:rFonts w:eastAsia="Times New Roman"/>
          <w:lang w:val="en-US"/>
        </w:rPr>
        <w:t xml:space="preserve"> n. sp. (Mesosuchia, Goniopholididae), and the palaeogeographical history of South-East Asia in the Mesozoic. </w:t>
      </w:r>
      <w:r>
        <w:rPr>
          <w:rFonts w:eastAsia="Times New Roman"/>
          <w:i/>
          <w:lang w:val="en-US"/>
        </w:rPr>
        <w:t>Geobios</w:t>
      </w:r>
      <w:r>
        <w:rPr>
          <w:rFonts w:eastAsia="Times New Roman"/>
          <w:lang w:val="en-US"/>
        </w:rPr>
        <w:t xml:space="preserve"> </w:t>
      </w:r>
      <w:r>
        <w:rPr>
          <w:rFonts w:eastAsia="Times New Roman"/>
          <w:b/>
          <w:lang w:val="en-US"/>
        </w:rPr>
        <w:t>13</w:t>
      </w:r>
      <w:r>
        <w:rPr>
          <w:rFonts w:eastAsia="Times New Roman"/>
          <w:lang w:val="en-US"/>
        </w:rPr>
        <w:t>: 879</w:t>
      </w:r>
      <w:r>
        <w:t>–</w:t>
      </w:r>
      <w:r>
        <w:rPr>
          <w:rFonts w:eastAsia="Times New Roman"/>
          <w:lang w:val="en-US"/>
        </w:rPr>
        <w:t>889.</w:t>
      </w:r>
    </w:p>
    <w:p w14:paraId="7771EE77" w14:textId="77777777" w:rsidR="00497CE3" w:rsidRDefault="00497CE3" w:rsidP="00497CE3">
      <w:pPr>
        <w:autoSpaceDE w:val="0"/>
        <w:autoSpaceDN w:val="0"/>
        <w:adjustRightInd w:val="0"/>
        <w:rPr>
          <w:rFonts w:eastAsiaTheme="minorHAnsi"/>
          <w:lang w:eastAsia="en-US"/>
        </w:rPr>
      </w:pPr>
      <w:r>
        <w:rPr>
          <w:rFonts w:eastAsia="Times New Roman"/>
          <w:b/>
          <w:bCs/>
          <w:lang w:val="en-US"/>
        </w:rPr>
        <w:t>Buffetaut E, Ingavat R.</w:t>
      </w:r>
      <w:r>
        <w:rPr>
          <w:rFonts w:eastAsia="Times New Roman"/>
          <w:bCs/>
          <w:lang w:val="en-US"/>
        </w:rPr>
        <w:t xml:space="preserve"> </w:t>
      </w:r>
      <w:r>
        <w:rPr>
          <w:rFonts w:eastAsia="Times New Roman"/>
          <w:b/>
          <w:bCs/>
          <w:lang w:val="en-US"/>
        </w:rPr>
        <w:t xml:space="preserve">1983. </w:t>
      </w:r>
      <w:r>
        <w:rPr>
          <w:rFonts w:eastAsia="Times New Roman"/>
          <w:i/>
          <w:iCs/>
          <w:lang w:val="en-US"/>
        </w:rPr>
        <w:t xml:space="preserve">Goniopholis phuwiangensis </w:t>
      </w:r>
      <w:r>
        <w:rPr>
          <w:rFonts w:eastAsia="Times New Roman"/>
          <w:lang w:val="en-US"/>
        </w:rPr>
        <w:t>nov. sp., a new mesosuchian crocodile from the Mesozoic of</w:t>
      </w:r>
      <w:r>
        <w:rPr>
          <w:rFonts w:eastAsia="Times New Roman"/>
          <w:i/>
          <w:iCs/>
          <w:lang w:val="en-US"/>
        </w:rPr>
        <w:t xml:space="preserve"> </w:t>
      </w:r>
      <w:r>
        <w:rPr>
          <w:rFonts w:eastAsia="Times New Roman"/>
          <w:lang w:val="en-US"/>
        </w:rPr>
        <w:t xml:space="preserve">North-Eastern Thailand. </w:t>
      </w:r>
      <w:r>
        <w:rPr>
          <w:rFonts w:eastAsia="Times New Roman"/>
          <w:i/>
          <w:iCs/>
          <w:lang w:val="en-US"/>
        </w:rPr>
        <w:t>Geobios</w:t>
      </w:r>
      <w:r>
        <w:rPr>
          <w:rFonts w:eastAsia="Times New Roman"/>
          <w:iCs/>
          <w:lang w:val="en-US"/>
        </w:rPr>
        <w:t xml:space="preserve"> </w:t>
      </w:r>
      <w:r>
        <w:rPr>
          <w:rFonts w:eastAsia="Times New Roman"/>
          <w:b/>
          <w:bCs/>
          <w:lang w:val="en-US"/>
        </w:rPr>
        <w:t>16</w:t>
      </w:r>
      <w:r>
        <w:rPr>
          <w:rFonts w:eastAsia="Times New Roman"/>
          <w:bCs/>
          <w:lang w:val="en-US"/>
        </w:rPr>
        <w:t xml:space="preserve">: </w:t>
      </w:r>
      <w:r>
        <w:rPr>
          <w:rFonts w:eastAsia="Times New Roman"/>
          <w:lang w:val="en-US"/>
        </w:rPr>
        <w:t>79</w:t>
      </w:r>
      <w:r>
        <w:t>–</w:t>
      </w:r>
      <w:r>
        <w:rPr>
          <w:rFonts w:eastAsia="Times New Roman"/>
          <w:lang w:val="en-US"/>
        </w:rPr>
        <w:t>91.</w:t>
      </w:r>
    </w:p>
    <w:p w14:paraId="68D63268" w14:textId="77777777" w:rsidR="00497CE3" w:rsidRDefault="00497CE3" w:rsidP="00497CE3">
      <w:pPr>
        <w:autoSpaceDE w:val="0"/>
        <w:autoSpaceDN w:val="0"/>
        <w:adjustRightInd w:val="0"/>
        <w:rPr>
          <w:rFonts w:eastAsia="Times New Roman"/>
          <w:lang w:val="en-US"/>
        </w:rPr>
      </w:pPr>
      <w:r>
        <w:rPr>
          <w:rFonts w:eastAsia="Times New Roman"/>
          <w:b/>
          <w:lang w:val="en-US"/>
        </w:rPr>
        <w:t>Buffetaut E, Ingavat R.</w:t>
      </w:r>
      <w:r>
        <w:rPr>
          <w:rFonts w:eastAsia="Times New Roman"/>
          <w:lang w:val="en-US"/>
        </w:rPr>
        <w:t xml:space="preserve"> </w:t>
      </w:r>
      <w:r>
        <w:rPr>
          <w:rFonts w:eastAsia="Times New Roman"/>
          <w:b/>
          <w:lang w:val="en-US"/>
        </w:rPr>
        <w:t>1984.</w:t>
      </w:r>
      <w:r>
        <w:rPr>
          <w:rFonts w:eastAsia="Times New Roman"/>
          <w:lang w:val="en-US"/>
        </w:rPr>
        <w:t xml:space="preserve"> The lower jaw of </w:t>
      </w:r>
      <w:r>
        <w:rPr>
          <w:rFonts w:eastAsia="Times New Roman"/>
          <w:i/>
          <w:lang w:val="en-US"/>
        </w:rPr>
        <w:t>Sunosuchus thailandicus</w:t>
      </w:r>
      <w:r>
        <w:rPr>
          <w:rFonts w:eastAsia="Times New Roman"/>
          <w:lang w:val="en-US"/>
        </w:rPr>
        <w:t>, a mesosuchian crocodilian from the Jurassic of Thailand. </w:t>
      </w:r>
      <w:r>
        <w:rPr>
          <w:rFonts w:eastAsia="Times New Roman"/>
          <w:i/>
          <w:iCs/>
          <w:lang w:val="en-US"/>
        </w:rPr>
        <w:t>Palaeontology</w:t>
      </w:r>
      <w:r>
        <w:rPr>
          <w:rFonts w:eastAsia="Times New Roman"/>
          <w:lang w:val="en-US"/>
        </w:rPr>
        <w:t> </w:t>
      </w:r>
      <w:r>
        <w:rPr>
          <w:rFonts w:eastAsia="Times New Roman"/>
          <w:b/>
          <w:iCs/>
          <w:lang w:val="en-US"/>
        </w:rPr>
        <w:t>27</w:t>
      </w:r>
      <w:r>
        <w:rPr>
          <w:rFonts w:eastAsia="Times New Roman"/>
          <w:lang w:val="en-US"/>
        </w:rPr>
        <w:t>: 199</w:t>
      </w:r>
      <w:r>
        <w:t>–</w:t>
      </w:r>
      <w:r>
        <w:rPr>
          <w:rFonts w:eastAsia="Times New Roman"/>
          <w:lang w:val="en-US"/>
        </w:rPr>
        <w:t>206.</w:t>
      </w:r>
    </w:p>
    <w:p w14:paraId="7C589E43" w14:textId="77777777" w:rsidR="00497CE3" w:rsidRDefault="00497CE3" w:rsidP="00497CE3">
      <w:pPr>
        <w:autoSpaceDE w:val="0"/>
        <w:autoSpaceDN w:val="0"/>
        <w:adjustRightInd w:val="0"/>
        <w:rPr>
          <w:rFonts w:eastAsiaTheme="minorHAnsi"/>
          <w:lang w:eastAsia="en-US"/>
        </w:rPr>
      </w:pPr>
      <w:r>
        <w:rPr>
          <w:b/>
          <w:bCs/>
        </w:rPr>
        <w:t xml:space="preserve">Buffetaut E, Taquet P. 1977. </w:t>
      </w:r>
      <w:r>
        <w:t xml:space="preserve">The giant crocodilian </w:t>
      </w:r>
      <w:r>
        <w:rPr>
          <w:i/>
          <w:iCs/>
        </w:rPr>
        <w:t xml:space="preserve">Sarcosuchus </w:t>
      </w:r>
      <w:r>
        <w:t xml:space="preserve">in the Early Cretaceous of Brazil and Niger. </w:t>
      </w:r>
      <w:r>
        <w:rPr>
          <w:i/>
          <w:iCs/>
        </w:rPr>
        <w:t>Palaeontology</w:t>
      </w:r>
      <w:r>
        <w:t xml:space="preserve"> </w:t>
      </w:r>
      <w:r>
        <w:rPr>
          <w:b/>
        </w:rPr>
        <w:t xml:space="preserve">20 </w:t>
      </w:r>
      <w:r>
        <w:t>(1): 203–208.</w:t>
      </w:r>
    </w:p>
    <w:p w14:paraId="6EBC726A" w14:textId="77777777" w:rsidR="00497CE3" w:rsidRDefault="00497CE3" w:rsidP="00497CE3">
      <w:pPr>
        <w:autoSpaceDE w:val="0"/>
        <w:autoSpaceDN w:val="0"/>
        <w:adjustRightInd w:val="0"/>
      </w:pPr>
      <w:r>
        <w:rPr>
          <w:b/>
          <w:bCs/>
        </w:rPr>
        <w:t xml:space="preserve">Buffrénil V. 1982. </w:t>
      </w:r>
      <w:r>
        <w:t xml:space="preserve">Morphogenesis and bone ornamentation in extant and extinct crocodilians. </w:t>
      </w:r>
      <w:r>
        <w:rPr>
          <w:i/>
          <w:iCs/>
        </w:rPr>
        <w:t>Zoomorphology</w:t>
      </w:r>
      <w:r>
        <w:t xml:space="preserve"> </w:t>
      </w:r>
      <w:r>
        <w:rPr>
          <w:b/>
        </w:rPr>
        <w:t>99</w:t>
      </w:r>
      <w:r>
        <w:t>: 155–166.</w:t>
      </w:r>
    </w:p>
    <w:p w14:paraId="4E7E32EF" w14:textId="77777777" w:rsidR="00497CE3" w:rsidRPr="005734BB" w:rsidRDefault="00497CE3" w:rsidP="00497CE3">
      <w:pPr>
        <w:pStyle w:val="NoSpacing"/>
        <w:rPr>
          <w:lang w:val="es-AR"/>
        </w:rPr>
      </w:pPr>
      <w:r w:rsidRPr="005734BB">
        <w:rPr>
          <w:b/>
        </w:rPr>
        <w:t>Busbey AB, Gow C. 1984.</w:t>
      </w:r>
      <w:r w:rsidRPr="005734BB">
        <w:t xml:space="preserve"> A new protosuchian crocodile from the Upper Triassic Elliot Formation of South Africa. </w:t>
      </w:r>
      <w:r w:rsidRPr="005734BB">
        <w:rPr>
          <w:i/>
          <w:lang w:val="es-AR"/>
        </w:rPr>
        <w:t>Palaeontologia Africana</w:t>
      </w:r>
      <w:r w:rsidRPr="005734BB">
        <w:rPr>
          <w:lang w:val="es-AR"/>
        </w:rPr>
        <w:t xml:space="preserve"> </w:t>
      </w:r>
      <w:r w:rsidRPr="005734BB">
        <w:rPr>
          <w:b/>
          <w:lang w:val="es-AR"/>
        </w:rPr>
        <w:t>25</w:t>
      </w:r>
      <w:r w:rsidRPr="005734BB">
        <w:rPr>
          <w:lang w:val="es-AR"/>
        </w:rPr>
        <w:t>: 127</w:t>
      </w:r>
      <w:r w:rsidRPr="005734BB">
        <w:t>–</w:t>
      </w:r>
      <w:r w:rsidRPr="005734BB">
        <w:rPr>
          <w:lang w:val="es-AR"/>
        </w:rPr>
        <w:t>149.</w:t>
      </w:r>
    </w:p>
    <w:p w14:paraId="5A74E05A" w14:textId="77777777" w:rsidR="00497CE3" w:rsidRDefault="00497CE3" w:rsidP="00497CE3">
      <w:pPr>
        <w:autoSpaceDE w:val="0"/>
        <w:autoSpaceDN w:val="0"/>
        <w:adjustRightInd w:val="0"/>
      </w:pPr>
      <w:r>
        <w:rPr>
          <w:rFonts w:eastAsia="Times New Roman"/>
          <w:b/>
          <w:lang w:val="en-US"/>
        </w:rPr>
        <w:t xml:space="preserve">Buscalioni ÁD. 2017. </w:t>
      </w:r>
      <w:r>
        <w:rPr>
          <w:rFonts w:eastAsia="Times New Roman"/>
          <w:lang w:val="en-US"/>
        </w:rPr>
        <w:t xml:space="preserve">The Gobiosuchidae in the early evolution of Crocodyliformes. </w:t>
      </w:r>
      <w:r>
        <w:rPr>
          <w:rFonts w:eastAsia="Times New Roman"/>
          <w:i/>
          <w:lang w:val="en-US"/>
        </w:rPr>
        <w:t>Journal of Vertebrate Paleontology</w:t>
      </w:r>
      <w:r>
        <w:rPr>
          <w:rFonts w:eastAsia="Times New Roman"/>
          <w:lang w:val="en-US"/>
        </w:rPr>
        <w:t>, doi: 10.1080/02724634.2017.1324459</w:t>
      </w:r>
    </w:p>
    <w:p w14:paraId="50CFBB41" w14:textId="77777777" w:rsidR="00497CE3" w:rsidRDefault="00497CE3" w:rsidP="00497CE3">
      <w:pPr>
        <w:autoSpaceDE w:val="0"/>
        <w:autoSpaceDN w:val="0"/>
        <w:adjustRightInd w:val="0"/>
        <w:rPr>
          <w:rFonts w:eastAsia="Times New Roman"/>
          <w:lang w:val="en-US"/>
        </w:rPr>
      </w:pPr>
      <w:r>
        <w:rPr>
          <w:rFonts w:eastAsia="Times New Roman"/>
          <w:b/>
          <w:lang w:val="en-US"/>
        </w:rPr>
        <w:t>Buscalioni ÁD, Alcalá L, Espílez E, Mampel L.</w:t>
      </w:r>
      <w:r>
        <w:rPr>
          <w:rFonts w:eastAsia="Times New Roman"/>
          <w:lang w:val="en-US"/>
        </w:rPr>
        <w:t xml:space="preserve"> </w:t>
      </w:r>
      <w:r>
        <w:rPr>
          <w:rFonts w:eastAsia="Times New Roman"/>
          <w:b/>
          <w:lang w:val="en-US"/>
        </w:rPr>
        <w:t xml:space="preserve">2013. </w:t>
      </w:r>
      <w:r>
        <w:rPr>
          <w:rFonts w:eastAsia="Times New Roman"/>
          <w:lang w:val="en-US"/>
        </w:rPr>
        <w:t xml:space="preserve">European Goniopholididae from the Early Albian Escucha Formation in Ariño (Teruel, Aragón, España). </w:t>
      </w:r>
      <w:r>
        <w:rPr>
          <w:rFonts w:eastAsia="Times New Roman"/>
          <w:i/>
          <w:iCs/>
          <w:lang w:val="en-US"/>
        </w:rPr>
        <w:t xml:space="preserve">Spanish Journal of Paleontology </w:t>
      </w:r>
      <w:r>
        <w:rPr>
          <w:rFonts w:eastAsia="Times New Roman"/>
          <w:b/>
          <w:lang w:val="en-US"/>
        </w:rPr>
        <w:t>28</w:t>
      </w:r>
      <w:r>
        <w:rPr>
          <w:rFonts w:eastAsia="Times New Roman"/>
          <w:lang w:val="en-US"/>
        </w:rPr>
        <w:t>: 103</w:t>
      </w:r>
      <w:r>
        <w:t>–</w:t>
      </w:r>
      <w:r>
        <w:rPr>
          <w:rFonts w:eastAsia="Times New Roman"/>
          <w:lang w:val="en-US"/>
        </w:rPr>
        <w:t>122.</w:t>
      </w:r>
    </w:p>
    <w:p w14:paraId="4C4F8F4B" w14:textId="77777777" w:rsidR="00497CE3" w:rsidRPr="00633813" w:rsidRDefault="00497CE3" w:rsidP="00497CE3">
      <w:pPr>
        <w:contextualSpacing/>
      </w:pPr>
      <w:r w:rsidRPr="00633813">
        <w:rPr>
          <w:b/>
        </w:rPr>
        <w:t>Buscalioni</w:t>
      </w:r>
      <w:r>
        <w:rPr>
          <w:b/>
        </w:rPr>
        <w:t xml:space="preserve"> </w:t>
      </w:r>
      <w:r>
        <w:rPr>
          <w:rFonts w:eastAsia="Times New Roman"/>
          <w:b/>
          <w:lang w:val="en-US"/>
        </w:rPr>
        <w:t>Á</w:t>
      </w:r>
      <w:r w:rsidRPr="00633813">
        <w:rPr>
          <w:b/>
        </w:rPr>
        <w:t>D, Ortega</w:t>
      </w:r>
      <w:r>
        <w:rPr>
          <w:b/>
        </w:rPr>
        <w:t xml:space="preserve"> F</w:t>
      </w:r>
      <w:r w:rsidRPr="00633813">
        <w:rPr>
          <w:b/>
        </w:rPr>
        <w:t>, Weishampel</w:t>
      </w:r>
      <w:r>
        <w:rPr>
          <w:b/>
        </w:rPr>
        <w:t xml:space="preserve"> DB</w:t>
      </w:r>
      <w:r w:rsidRPr="00633813">
        <w:rPr>
          <w:b/>
        </w:rPr>
        <w:t>, Jianu</w:t>
      </w:r>
      <w:r>
        <w:rPr>
          <w:b/>
        </w:rPr>
        <w:t xml:space="preserve"> CM</w:t>
      </w:r>
      <w:r w:rsidRPr="00633813">
        <w:rPr>
          <w:b/>
        </w:rPr>
        <w:t>. 2001.</w:t>
      </w:r>
      <w:r w:rsidRPr="00A760BE">
        <w:t xml:space="preserve"> A revision of the crocodyliform </w:t>
      </w:r>
      <w:r w:rsidRPr="00A760BE">
        <w:rPr>
          <w:i/>
        </w:rPr>
        <w:t>Allodaposuchus precedens</w:t>
      </w:r>
      <w:r w:rsidRPr="00A760BE">
        <w:t xml:space="preserve"> from the Upper Cretaceous of the Hateg Basin, Romania. Its relevance in the phylogeny of Eusuchia. </w:t>
      </w:r>
      <w:r w:rsidRPr="00633813">
        <w:rPr>
          <w:i/>
        </w:rPr>
        <w:t>J</w:t>
      </w:r>
      <w:r>
        <w:rPr>
          <w:i/>
        </w:rPr>
        <w:t>ournal of</w:t>
      </w:r>
      <w:r w:rsidRPr="00633813">
        <w:rPr>
          <w:i/>
        </w:rPr>
        <w:t xml:space="preserve"> Vert</w:t>
      </w:r>
      <w:r>
        <w:rPr>
          <w:i/>
        </w:rPr>
        <w:t>ebrate</w:t>
      </w:r>
      <w:r w:rsidRPr="00633813">
        <w:rPr>
          <w:i/>
        </w:rPr>
        <w:t xml:space="preserve"> Paleontol</w:t>
      </w:r>
      <w:r>
        <w:rPr>
          <w:i/>
        </w:rPr>
        <w:t>ogy</w:t>
      </w:r>
      <w:r w:rsidRPr="00A760BE">
        <w:t xml:space="preserve"> </w:t>
      </w:r>
      <w:r w:rsidRPr="00633813">
        <w:rPr>
          <w:b/>
        </w:rPr>
        <w:t>21</w:t>
      </w:r>
      <w:r w:rsidRPr="00A760BE">
        <w:t>:</w:t>
      </w:r>
      <w:r>
        <w:t xml:space="preserve"> </w:t>
      </w:r>
      <w:r w:rsidRPr="00A760BE">
        <w:t>74</w:t>
      </w:r>
      <w:r>
        <w:t>–</w:t>
      </w:r>
      <w:r w:rsidRPr="00A760BE">
        <w:t>86.</w:t>
      </w:r>
    </w:p>
    <w:p w14:paraId="2339128E" w14:textId="77777777" w:rsidR="00497CE3" w:rsidRDefault="00497CE3" w:rsidP="00497CE3">
      <w:pPr>
        <w:autoSpaceDE w:val="0"/>
        <w:autoSpaceDN w:val="0"/>
        <w:adjustRightInd w:val="0"/>
        <w:rPr>
          <w:bCs/>
        </w:rPr>
      </w:pPr>
      <w:r>
        <w:rPr>
          <w:b/>
          <w:bCs/>
        </w:rPr>
        <w:t xml:space="preserve">Buscalioni </w:t>
      </w:r>
      <w:r>
        <w:rPr>
          <w:rFonts w:eastAsia="Times New Roman"/>
          <w:b/>
          <w:lang w:val="en-US"/>
        </w:rPr>
        <w:t>Á</w:t>
      </w:r>
      <w:r>
        <w:rPr>
          <w:b/>
          <w:bCs/>
        </w:rPr>
        <w:t>D, Piras P, Vullo R, Signore M, Barbera C. 2011.</w:t>
      </w:r>
      <w:r>
        <w:rPr>
          <w:bCs/>
        </w:rPr>
        <w:t xml:space="preserve"> Early eusuchia crocodylomorpha from the vertebrate-rich Plattenkalk of Pietraroia (Lower Albian, southern Apennines, Italy). </w:t>
      </w:r>
      <w:r>
        <w:rPr>
          <w:bCs/>
          <w:i/>
        </w:rPr>
        <w:t>Zoological Journal of the Linnean Society</w:t>
      </w:r>
      <w:r>
        <w:rPr>
          <w:bCs/>
        </w:rPr>
        <w:t xml:space="preserve"> </w:t>
      </w:r>
      <w:r>
        <w:rPr>
          <w:b/>
          <w:bCs/>
        </w:rPr>
        <w:t>163</w:t>
      </w:r>
      <w:r>
        <w:rPr>
          <w:bCs/>
        </w:rPr>
        <w:t>: S199</w:t>
      </w:r>
      <w:r>
        <w:t>–</w:t>
      </w:r>
      <w:r>
        <w:rPr>
          <w:bCs/>
        </w:rPr>
        <w:t>S227.</w:t>
      </w:r>
    </w:p>
    <w:p w14:paraId="5F89910C" w14:textId="77777777" w:rsidR="00497CE3" w:rsidRPr="00A760BE" w:rsidRDefault="00497CE3" w:rsidP="00497CE3">
      <w:pPr>
        <w:contextualSpacing/>
      </w:pPr>
      <w:r w:rsidRPr="004F399A">
        <w:rPr>
          <w:b/>
        </w:rPr>
        <w:t xml:space="preserve">Buscalioni </w:t>
      </w:r>
      <w:r>
        <w:rPr>
          <w:rFonts w:eastAsia="Times New Roman"/>
          <w:b/>
          <w:lang w:val="en-US"/>
        </w:rPr>
        <w:t>Á</w:t>
      </w:r>
      <w:r w:rsidRPr="004F399A">
        <w:rPr>
          <w:b/>
        </w:rPr>
        <w:t>D</w:t>
      </w:r>
      <w:r>
        <w:rPr>
          <w:b/>
        </w:rPr>
        <w:t xml:space="preserve">, </w:t>
      </w:r>
      <w:r w:rsidRPr="004F399A">
        <w:rPr>
          <w:b/>
        </w:rPr>
        <w:t>Sanz</w:t>
      </w:r>
      <w:r>
        <w:rPr>
          <w:b/>
        </w:rPr>
        <w:t xml:space="preserve"> JL</w:t>
      </w:r>
      <w:r w:rsidRPr="004F399A">
        <w:rPr>
          <w:b/>
        </w:rPr>
        <w:t>. 1988</w:t>
      </w:r>
      <w:r w:rsidRPr="00A760BE">
        <w:t xml:space="preserve">. Phylogenetic relationships of the Atoposauridae (Archosauria, Crocodylomorpha). </w:t>
      </w:r>
      <w:r w:rsidRPr="004F399A">
        <w:rPr>
          <w:i/>
        </w:rPr>
        <w:t>Hist</w:t>
      </w:r>
      <w:r>
        <w:rPr>
          <w:i/>
        </w:rPr>
        <w:t>orical</w:t>
      </w:r>
      <w:r w:rsidRPr="004F399A">
        <w:rPr>
          <w:i/>
        </w:rPr>
        <w:t xml:space="preserve"> Biol</w:t>
      </w:r>
      <w:r>
        <w:rPr>
          <w:i/>
        </w:rPr>
        <w:t>ogy</w:t>
      </w:r>
      <w:r w:rsidRPr="00A760BE">
        <w:t xml:space="preserve"> </w:t>
      </w:r>
      <w:r w:rsidRPr="004F399A">
        <w:rPr>
          <w:b/>
        </w:rPr>
        <w:t>1</w:t>
      </w:r>
      <w:r w:rsidRPr="00A760BE">
        <w:t>:</w:t>
      </w:r>
      <w:r>
        <w:t xml:space="preserve"> </w:t>
      </w:r>
      <w:r w:rsidRPr="00A760BE">
        <w:t>233</w:t>
      </w:r>
      <w:r>
        <w:t>–</w:t>
      </w:r>
      <w:r w:rsidRPr="00A760BE">
        <w:t>250.</w:t>
      </w:r>
    </w:p>
    <w:p w14:paraId="3B8E73CB" w14:textId="77777777" w:rsidR="00497CE3" w:rsidRPr="00633813" w:rsidRDefault="00497CE3" w:rsidP="00497CE3">
      <w:pPr>
        <w:contextualSpacing/>
      </w:pPr>
      <w:r w:rsidRPr="004F399A">
        <w:rPr>
          <w:b/>
        </w:rPr>
        <w:t xml:space="preserve">Buscalioni </w:t>
      </w:r>
      <w:r>
        <w:rPr>
          <w:rFonts w:eastAsia="Times New Roman"/>
          <w:b/>
          <w:lang w:val="en-US"/>
        </w:rPr>
        <w:t>Á</w:t>
      </w:r>
      <w:r w:rsidRPr="004F399A">
        <w:rPr>
          <w:b/>
        </w:rPr>
        <w:t>D, Sanz</w:t>
      </w:r>
      <w:r>
        <w:rPr>
          <w:b/>
        </w:rPr>
        <w:t xml:space="preserve"> JL</w:t>
      </w:r>
      <w:r w:rsidRPr="004F399A">
        <w:rPr>
          <w:b/>
        </w:rPr>
        <w:t>. 1990.</w:t>
      </w:r>
      <w:r w:rsidRPr="00A760BE">
        <w:t xml:space="preserve"> </w:t>
      </w:r>
      <w:r w:rsidRPr="00A760BE">
        <w:rPr>
          <w:i/>
        </w:rPr>
        <w:t>Montsecosuchus depereti</w:t>
      </w:r>
      <w:r w:rsidRPr="00A760BE">
        <w:t xml:space="preserve"> (Crocodylomorpha, Atoposauridae), new denomination for </w:t>
      </w:r>
      <w:r w:rsidRPr="00A760BE">
        <w:rPr>
          <w:i/>
        </w:rPr>
        <w:t>Alligatorellus depereti</w:t>
      </w:r>
      <w:r w:rsidRPr="00A760BE">
        <w:t xml:space="preserve"> Vidal, 1915 (Early Cretaceous, Spain): redescription and phylogenetic relationships. </w:t>
      </w:r>
      <w:r w:rsidRPr="00633813">
        <w:rPr>
          <w:i/>
        </w:rPr>
        <w:t>J</w:t>
      </w:r>
      <w:r>
        <w:rPr>
          <w:i/>
        </w:rPr>
        <w:t>ournal of</w:t>
      </w:r>
      <w:r w:rsidRPr="00633813">
        <w:rPr>
          <w:i/>
        </w:rPr>
        <w:t xml:space="preserve"> Vert</w:t>
      </w:r>
      <w:r>
        <w:rPr>
          <w:i/>
        </w:rPr>
        <w:t>ebrate</w:t>
      </w:r>
      <w:r w:rsidRPr="00633813">
        <w:rPr>
          <w:i/>
        </w:rPr>
        <w:t xml:space="preserve"> Paleontol</w:t>
      </w:r>
      <w:r>
        <w:rPr>
          <w:i/>
        </w:rPr>
        <w:t>ogy</w:t>
      </w:r>
      <w:r w:rsidRPr="00A760BE">
        <w:t xml:space="preserve"> </w:t>
      </w:r>
      <w:r w:rsidRPr="004F399A">
        <w:rPr>
          <w:b/>
        </w:rPr>
        <w:t>10</w:t>
      </w:r>
      <w:r w:rsidRPr="00A760BE">
        <w:t>:</w:t>
      </w:r>
      <w:r>
        <w:t xml:space="preserve"> </w:t>
      </w:r>
      <w:r w:rsidRPr="00A760BE">
        <w:t>244</w:t>
      </w:r>
      <w:r>
        <w:t>–</w:t>
      </w:r>
      <w:r w:rsidRPr="00A760BE">
        <w:t>254.</w:t>
      </w:r>
    </w:p>
    <w:p w14:paraId="62FD04F1" w14:textId="77777777" w:rsidR="00497CE3" w:rsidRDefault="00497CE3" w:rsidP="00497CE3">
      <w:pPr>
        <w:autoSpaceDE w:val="0"/>
        <w:autoSpaceDN w:val="0"/>
        <w:adjustRightInd w:val="0"/>
      </w:pPr>
      <w:r>
        <w:rPr>
          <w:b/>
        </w:rPr>
        <w:t xml:space="preserve">Buscalioni </w:t>
      </w:r>
      <w:r>
        <w:rPr>
          <w:rFonts w:eastAsia="Times New Roman"/>
          <w:b/>
          <w:lang w:val="en-US"/>
        </w:rPr>
        <w:t>Á</w:t>
      </w:r>
      <w:r>
        <w:rPr>
          <w:b/>
        </w:rPr>
        <w:t>D, Sanz JL, Casanovas ML. 1992.</w:t>
      </w:r>
      <w:r>
        <w:t xml:space="preserve"> A new species of the eusuchian crocodile </w:t>
      </w:r>
      <w:r>
        <w:rPr>
          <w:i/>
        </w:rPr>
        <w:t>Diplocynodon</w:t>
      </w:r>
      <w:r>
        <w:t xml:space="preserve"> from the Eocene of Spain. </w:t>
      </w:r>
      <w:r>
        <w:rPr>
          <w:i/>
          <w:iCs/>
        </w:rPr>
        <w:t>Neues Jahrbuch für Geologie und Paläontologie, Abhandlungen</w:t>
      </w:r>
      <w:r>
        <w:rPr>
          <w:i/>
        </w:rPr>
        <w:t xml:space="preserve"> </w:t>
      </w:r>
      <w:r>
        <w:rPr>
          <w:b/>
          <w:bCs/>
        </w:rPr>
        <w:t>187</w:t>
      </w:r>
      <w:r>
        <w:rPr>
          <w:bCs/>
        </w:rPr>
        <w:t xml:space="preserve"> (1)</w:t>
      </w:r>
      <w:r>
        <w:t>: 1–29.</w:t>
      </w:r>
    </w:p>
    <w:p w14:paraId="1FB3755C" w14:textId="77777777" w:rsidR="00497CE3" w:rsidRDefault="00497CE3" w:rsidP="00497CE3">
      <w:pPr>
        <w:autoSpaceDE w:val="0"/>
        <w:autoSpaceDN w:val="0"/>
        <w:adjustRightInd w:val="0"/>
        <w:rPr>
          <w:bCs/>
        </w:rPr>
      </w:pPr>
      <w:r>
        <w:rPr>
          <w:b/>
        </w:rPr>
        <w:t>Butler RJ, Sullivan C, Ezcurra MD, Liu J, Lecuona A, Sookias RB. 2014.</w:t>
      </w:r>
      <w:r>
        <w:t xml:space="preserve"> New clade of enigmatic early archosaurs yields insights into early pseudosuchian phylogeny and the biogeopgraphy of the archosaur radiation. </w:t>
      </w:r>
      <w:r>
        <w:rPr>
          <w:i/>
        </w:rPr>
        <w:t>BMC Evolutionary Biology</w:t>
      </w:r>
      <w:r>
        <w:t xml:space="preserve"> </w:t>
      </w:r>
      <w:r>
        <w:rPr>
          <w:b/>
        </w:rPr>
        <w:t>14</w:t>
      </w:r>
      <w:r>
        <w:t>: 128.</w:t>
      </w:r>
    </w:p>
    <w:p w14:paraId="42A9FBCD" w14:textId="77777777" w:rsidR="00497CE3" w:rsidRDefault="00497CE3" w:rsidP="00497CE3">
      <w:pPr>
        <w:autoSpaceDE w:val="0"/>
        <w:autoSpaceDN w:val="0"/>
        <w:adjustRightInd w:val="0"/>
      </w:pPr>
      <w:r>
        <w:rPr>
          <w:b/>
          <w:bCs/>
        </w:rPr>
        <w:t xml:space="preserve">Campos DA, Suarez JM. Riff D, Kellner AWA. 2001. </w:t>
      </w:r>
      <w:r>
        <w:t xml:space="preserve">Short note on a new Baurusuchidae (Crocodyliformes, Metasuchia) from the Upper Cretaceous of Brazil. </w:t>
      </w:r>
      <w:r>
        <w:rPr>
          <w:i/>
          <w:iCs/>
        </w:rPr>
        <w:t>Boletim do Museu Nacional — Nova Série Geologia</w:t>
      </w:r>
      <w:r>
        <w:t xml:space="preserve"> </w:t>
      </w:r>
      <w:r>
        <w:rPr>
          <w:b/>
        </w:rPr>
        <w:t>57</w:t>
      </w:r>
      <w:r>
        <w:t>: 1–7.</w:t>
      </w:r>
    </w:p>
    <w:p w14:paraId="0E2DB5DA" w14:textId="77777777" w:rsidR="00497CE3" w:rsidRDefault="00497CE3" w:rsidP="00497CE3">
      <w:pPr>
        <w:autoSpaceDE w:val="0"/>
        <w:autoSpaceDN w:val="0"/>
        <w:adjustRightInd w:val="0"/>
      </w:pPr>
      <w:r>
        <w:rPr>
          <w:b/>
          <w:bCs/>
        </w:rPr>
        <w:t xml:space="preserve">Carvalho IS. 1994. </w:t>
      </w:r>
      <w:r>
        <w:rPr>
          <w:i/>
          <w:iCs/>
        </w:rPr>
        <w:t>Candidodon</w:t>
      </w:r>
      <w:r>
        <w:t xml:space="preserve">: um crocodilo com heterodontia (Notosuchia, Cretáceo inferior - Brasil). </w:t>
      </w:r>
      <w:r>
        <w:rPr>
          <w:i/>
          <w:iCs/>
        </w:rPr>
        <w:t>Anais da Academia Brasileira de Ciências</w:t>
      </w:r>
      <w:r>
        <w:t xml:space="preserve"> </w:t>
      </w:r>
      <w:r>
        <w:rPr>
          <w:b/>
        </w:rPr>
        <w:t xml:space="preserve">66 </w:t>
      </w:r>
      <w:r>
        <w:t>(3): 331–446.</w:t>
      </w:r>
    </w:p>
    <w:p w14:paraId="0AA61F86" w14:textId="77777777" w:rsidR="00497CE3" w:rsidRDefault="00497CE3" w:rsidP="00497CE3">
      <w:pPr>
        <w:autoSpaceDE w:val="0"/>
        <w:autoSpaceDN w:val="0"/>
        <w:adjustRightInd w:val="0"/>
      </w:pPr>
      <w:r>
        <w:rPr>
          <w:b/>
          <w:bCs/>
        </w:rPr>
        <w:t xml:space="preserve">Carvalho IS, Bertini RJ. 1999. </w:t>
      </w:r>
      <w:r>
        <w:rPr>
          <w:i/>
          <w:iCs/>
        </w:rPr>
        <w:t>Mariliasuchus</w:t>
      </w:r>
      <w:r>
        <w:t xml:space="preserve">: um novo Crocodylomorpha (Notosuchia) do Cretáceo da Bacia Bauru, Brasil. </w:t>
      </w:r>
      <w:r>
        <w:rPr>
          <w:i/>
          <w:iCs/>
        </w:rPr>
        <w:t>Geologia Colombiana</w:t>
      </w:r>
      <w:r>
        <w:t xml:space="preserve"> </w:t>
      </w:r>
      <w:r>
        <w:rPr>
          <w:b/>
        </w:rPr>
        <w:t>24</w:t>
      </w:r>
      <w:r>
        <w:t>: 83–105.</w:t>
      </w:r>
    </w:p>
    <w:p w14:paraId="22141B6B" w14:textId="77777777" w:rsidR="00497CE3" w:rsidRDefault="00497CE3" w:rsidP="00497CE3">
      <w:pPr>
        <w:autoSpaceDE w:val="0"/>
        <w:autoSpaceDN w:val="0"/>
        <w:adjustRightInd w:val="0"/>
      </w:pPr>
      <w:r>
        <w:rPr>
          <w:b/>
          <w:bCs/>
        </w:rPr>
        <w:t xml:space="preserve">Carvalho IS, Campos DA. 1988. </w:t>
      </w:r>
      <w:r>
        <w:t xml:space="preserve">Um mamífero triconodonte do Cretáceo Inferior do Maranhão, Brasil. </w:t>
      </w:r>
      <w:r>
        <w:rPr>
          <w:i/>
          <w:iCs/>
        </w:rPr>
        <w:t>Anais da Academia Brasileira de Ciências</w:t>
      </w:r>
      <w:r>
        <w:t xml:space="preserve"> </w:t>
      </w:r>
      <w:r>
        <w:rPr>
          <w:b/>
        </w:rPr>
        <w:t xml:space="preserve">60 </w:t>
      </w:r>
      <w:r>
        <w:t>(4): 437–446.</w:t>
      </w:r>
    </w:p>
    <w:p w14:paraId="786C9323" w14:textId="77777777" w:rsidR="00497CE3" w:rsidRDefault="00497CE3" w:rsidP="00497CE3">
      <w:pPr>
        <w:autoSpaceDE w:val="0"/>
        <w:autoSpaceDN w:val="0"/>
        <w:adjustRightInd w:val="0"/>
      </w:pPr>
      <w:bookmarkStart w:id="74" w:name="_Hlk489639840"/>
      <w:r>
        <w:rPr>
          <w:b/>
          <w:bCs/>
        </w:rPr>
        <w:t xml:space="preserve">Carvalho IS, Campos ACA, Nobre PH. 2005. </w:t>
      </w:r>
      <w:r>
        <w:rPr>
          <w:i/>
          <w:iCs/>
        </w:rPr>
        <w:t>Baurusuchus salgadoensis</w:t>
      </w:r>
      <w:r>
        <w:t xml:space="preserve">, a new Crocodylomorpha from the Bauru Basin (Cretaceous), Brazil. </w:t>
      </w:r>
      <w:r>
        <w:rPr>
          <w:i/>
          <w:iCs/>
        </w:rPr>
        <w:t>Gondwana Research</w:t>
      </w:r>
      <w:r>
        <w:t xml:space="preserve"> </w:t>
      </w:r>
      <w:r>
        <w:rPr>
          <w:b/>
        </w:rPr>
        <w:t xml:space="preserve">8 </w:t>
      </w:r>
      <w:r>
        <w:t>(1): 11–30.</w:t>
      </w:r>
    </w:p>
    <w:bookmarkEnd w:id="74"/>
    <w:p w14:paraId="7855998D" w14:textId="77777777" w:rsidR="00497CE3" w:rsidRDefault="00497CE3" w:rsidP="00497CE3">
      <w:pPr>
        <w:autoSpaceDE w:val="0"/>
        <w:autoSpaceDN w:val="0"/>
        <w:adjustRightInd w:val="0"/>
      </w:pPr>
      <w:r>
        <w:rPr>
          <w:b/>
          <w:bCs/>
        </w:rPr>
        <w:t xml:space="preserve">Carvalho IS, Ribeiro LCB, Avilla LS. 2004. </w:t>
      </w:r>
      <w:r>
        <w:rPr>
          <w:i/>
          <w:iCs/>
        </w:rPr>
        <w:t xml:space="preserve">Uberabasuchus terrificus </w:t>
      </w:r>
      <w:r>
        <w:t xml:space="preserve">sp. nov. a new Crocodylomorpha from the Bauru Basin (Upper Cretaceous), Brazil. </w:t>
      </w:r>
      <w:r>
        <w:rPr>
          <w:i/>
          <w:iCs/>
        </w:rPr>
        <w:t>Gondwana Research</w:t>
      </w:r>
      <w:r>
        <w:t xml:space="preserve"> </w:t>
      </w:r>
      <w:r>
        <w:rPr>
          <w:b/>
        </w:rPr>
        <w:t xml:space="preserve">7 </w:t>
      </w:r>
      <w:r>
        <w:t>(4): 975–1002.</w:t>
      </w:r>
    </w:p>
    <w:p w14:paraId="06F0AF89" w14:textId="77777777" w:rsidR="00497CE3" w:rsidRDefault="00497CE3" w:rsidP="00497CE3">
      <w:pPr>
        <w:autoSpaceDE w:val="0"/>
        <w:autoSpaceDN w:val="0"/>
        <w:adjustRightInd w:val="0"/>
      </w:pPr>
      <w:r>
        <w:rPr>
          <w:b/>
          <w:bCs/>
        </w:rPr>
        <w:t xml:space="preserve">Carvalho IS, Vasconcellos FM, Tavares SAS. </w:t>
      </w:r>
      <w:r>
        <w:rPr>
          <w:bCs/>
        </w:rPr>
        <w:t>2007.</w:t>
      </w:r>
      <w:r>
        <w:rPr>
          <w:b/>
          <w:bCs/>
        </w:rPr>
        <w:t xml:space="preserve"> </w:t>
      </w:r>
      <w:r>
        <w:rPr>
          <w:i/>
          <w:iCs/>
        </w:rPr>
        <w:t>Montealtosuchus arrudacamposi</w:t>
      </w:r>
      <w:r>
        <w:t xml:space="preserve">, a new peirosaurid crocodile (Mesoeucrocodylia) from the Late Cretaceous Adamantina Formation of Brazil. </w:t>
      </w:r>
      <w:r>
        <w:rPr>
          <w:i/>
          <w:iCs/>
        </w:rPr>
        <w:t>Zootaxa</w:t>
      </w:r>
      <w:r>
        <w:t xml:space="preserve"> </w:t>
      </w:r>
      <w:r>
        <w:rPr>
          <w:b/>
        </w:rPr>
        <w:t>1607</w:t>
      </w:r>
      <w:r>
        <w:t>: 35–46.</w:t>
      </w:r>
    </w:p>
    <w:p w14:paraId="5A8AD13E" w14:textId="77777777" w:rsidR="00497CE3" w:rsidRDefault="00497CE3" w:rsidP="00497CE3">
      <w:pPr>
        <w:pStyle w:val="Default"/>
        <w:rPr>
          <w:color w:val="auto"/>
        </w:rPr>
      </w:pPr>
      <w:r>
        <w:rPr>
          <w:b/>
        </w:rPr>
        <w:t>Cau A, Fanti F. 2011.</w:t>
      </w:r>
      <w:r>
        <w:t xml:space="preserve"> The oldest known metriorhynchid crocodylian from the Middle Jurassic of North-eastern Italy: </w:t>
      </w:r>
      <w:r>
        <w:rPr>
          <w:i/>
        </w:rPr>
        <w:t xml:space="preserve">Neptunidraco ammoniticus </w:t>
      </w:r>
      <w:r>
        <w:t xml:space="preserve">gen. et sp. nov. Gondwana </w:t>
      </w:r>
      <w:r>
        <w:rPr>
          <w:color w:val="auto"/>
        </w:rPr>
        <w:t xml:space="preserve">Research </w:t>
      </w:r>
      <w:r>
        <w:rPr>
          <w:b/>
          <w:color w:val="auto"/>
        </w:rPr>
        <w:t>19</w:t>
      </w:r>
      <w:r>
        <w:rPr>
          <w:color w:val="auto"/>
        </w:rPr>
        <w:t xml:space="preserve">: 550–565. </w:t>
      </w:r>
    </w:p>
    <w:p w14:paraId="1A8A1363" w14:textId="77777777" w:rsidR="00497CE3" w:rsidRPr="005734BB" w:rsidRDefault="00497CE3" w:rsidP="00497CE3">
      <w:pPr>
        <w:pStyle w:val="NoSpacing"/>
        <w:rPr>
          <w:rFonts w:eastAsia="Times New Roman"/>
          <w:lang w:eastAsia="es-ES"/>
        </w:rPr>
      </w:pPr>
      <w:r w:rsidRPr="005734BB">
        <w:rPr>
          <w:rFonts w:eastAsia="Times New Roman"/>
          <w:b/>
          <w:lang w:eastAsia="es-ES"/>
        </w:rPr>
        <w:t>Chatterjee S. 1985.</w:t>
      </w:r>
      <w:r w:rsidRPr="005734BB">
        <w:rPr>
          <w:rFonts w:eastAsia="Times New Roman"/>
          <w:lang w:eastAsia="es-ES"/>
        </w:rPr>
        <w:t xml:space="preserve"> </w:t>
      </w:r>
      <w:r w:rsidRPr="005734BB">
        <w:rPr>
          <w:rFonts w:eastAsia="Times New Roman"/>
          <w:i/>
          <w:lang w:eastAsia="es-ES"/>
        </w:rPr>
        <w:t>Postosuchus</w:t>
      </w:r>
      <w:r w:rsidRPr="005734BB">
        <w:rPr>
          <w:rFonts w:eastAsia="Times New Roman"/>
          <w:lang w:eastAsia="es-ES"/>
        </w:rPr>
        <w:t xml:space="preserve">, a new thecodontian reptile from the Triassic of Texas and the origin of tyrannosaurs. </w:t>
      </w:r>
      <w:r w:rsidRPr="005734BB">
        <w:rPr>
          <w:rFonts w:eastAsia="Times New Roman"/>
          <w:i/>
          <w:lang w:eastAsia="es-ES"/>
        </w:rPr>
        <w:t>Philosophical Transactions of the Royal Society of London B</w:t>
      </w:r>
      <w:r w:rsidRPr="005734BB">
        <w:rPr>
          <w:rFonts w:eastAsia="Times New Roman"/>
          <w:lang w:eastAsia="es-ES"/>
        </w:rPr>
        <w:t xml:space="preserve"> 309: 395</w:t>
      </w:r>
      <w:r w:rsidRPr="005734BB">
        <w:t>–</w:t>
      </w:r>
      <w:r w:rsidRPr="005734BB">
        <w:rPr>
          <w:rFonts w:eastAsia="Times New Roman"/>
          <w:lang w:eastAsia="es-ES"/>
        </w:rPr>
        <w:t>460.</w:t>
      </w:r>
    </w:p>
    <w:p w14:paraId="3E168AF7" w14:textId="77777777" w:rsidR="00497CE3" w:rsidRDefault="00497CE3" w:rsidP="00497CE3">
      <w:pPr>
        <w:contextualSpacing/>
      </w:pPr>
      <w:r w:rsidRPr="00633813">
        <w:rPr>
          <w:b/>
        </w:rPr>
        <w:t>Clark JM. 1986.</w:t>
      </w:r>
      <w:r w:rsidRPr="00A760BE">
        <w:t xml:space="preserve"> Phylogenetic relationships of the crocodylomorph archosaurs. Unpublished Ph.D. Dissertation. University of Chicago 556 pp.</w:t>
      </w:r>
    </w:p>
    <w:p w14:paraId="01DE02F2" w14:textId="77777777" w:rsidR="00497CE3" w:rsidRDefault="00497CE3" w:rsidP="00497CE3">
      <w:pPr>
        <w:autoSpaceDE w:val="0"/>
        <w:autoSpaceDN w:val="0"/>
        <w:adjustRightInd w:val="0"/>
      </w:pPr>
      <w:bookmarkStart w:id="75" w:name="_Hlk489639861"/>
      <w:r>
        <w:rPr>
          <w:b/>
          <w:bCs/>
        </w:rPr>
        <w:t xml:space="preserve">Clark JM. 1994. </w:t>
      </w:r>
      <w:r>
        <w:t xml:space="preserve">Patterns of evolution in Mesozoic Crocodyliformes. Pp. 84–97 in N. C.  Fraser &amp; H. D. Sues (eds). </w:t>
      </w:r>
      <w:r>
        <w:rPr>
          <w:i/>
          <w:iCs/>
        </w:rPr>
        <w:t>In the shadows of dinosaurs: early Mesozoic tetrapods</w:t>
      </w:r>
      <w:r>
        <w:t>. London: Cambridge University Press.</w:t>
      </w:r>
    </w:p>
    <w:p w14:paraId="3D23AFE4" w14:textId="77777777" w:rsidR="00497CE3" w:rsidRPr="00633813" w:rsidRDefault="00497CE3" w:rsidP="00497CE3">
      <w:pPr>
        <w:contextualSpacing/>
        <w:rPr>
          <w:iCs/>
        </w:rPr>
      </w:pPr>
      <w:r w:rsidRPr="00633813">
        <w:rPr>
          <w:b/>
        </w:rPr>
        <w:t>Clark JM. 2011.</w:t>
      </w:r>
      <w:r w:rsidRPr="00A760BE">
        <w:t xml:space="preserve"> A new shartegosuchid crocodyliform from the Upper Jurassic Morrison Formation of western Colorado. </w:t>
      </w:r>
      <w:r w:rsidRPr="00633813">
        <w:rPr>
          <w:i/>
          <w:iCs/>
        </w:rPr>
        <w:t xml:space="preserve">Zoological Journal of the Linnean Society </w:t>
      </w:r>
      <w:r w:rsidRPr="00633813">
        <w:rPr>
          <w:b/>
          <w:iCs/>
        </w:rPr>
        <w:t>163</w:t>
      </w:r>
      <w:r w:rsidRPr="00A760BE">
        <w:rPr>
          <w:iCs/>
        </w:rPr>
        <w:t>:</w:t>
      </w:r>
      <w:r>
        <w:rPr>
          <w:iCs/>
        </w:rPr>
        <w:t xml:space="preserve"> </w:t>
      </w:r>
      <w:r w:rsidRPr="00A760BE">
        <w:rPr>
          <w:iCs/>
        </w:rPr>
        <w:t>S152</w:t>
      </w:r>
      <w:r>
        <w:t>–</w:t>
      </w:r>
      <w:r w:rsidRPr="00A760BE">
        <w:rPr>
          <w:iCs/>
        </w:rPr>
        <w:t>S172.</w:t>
      </w:r>
    </w:p>
    <w:bookmarkEnd w:id="75"/>
    <w:p w14:paraId="1D1F9D97" w14:textId="77777777" w:rsidR="00497CE3" w:rsidRDefault="00497CE3" w:rsidP="00497CE3">
      <w:pPr>
        <w:autoSpaceDE w:val="0"/>
        <w:autoSpaceDN w:val="0"/>
        <w:adjustRightInd w:val="0"/>
      </w:pPr>
      <w:r>
        <w:rPr>
          <w:b/>
          <w:bCs/>
        </w:rPr>
        <w:t xml:space="preserve">Clark JM, Norell MA. 1992. </w:t>
      </w:r>
      <w:r>
        <w:t xml:space="preserve">The Early Cretaceous Crocodylomorph </w:t>
      </w:r>
      <w:r>
        <w:rPr>
          <w:i/>
          <w:iCs/>
        </w:rPr>
        <w:t xml:space="preserve">Hylaeochampsa vectiana </w:t>
      </w:r>
      <w:r>
        <w:t xml:space="preserve">from the Wealden of the Isle of Wight. </w:t>
      </w:r>
      <w:r>
        <w:rPr>
          <w:i/>
          <w:iCs/>
        </w:rPr>
        <w:t>American Museum Novitates</w:t>
      </w:r>
      <w:r>
        <w:t xml:space="preserve"> </w:t>
      </w:r>
      <w:r>
        <w:rPr>
          <w:b/>
        </w:rPr>
        <w:t>3032</w:t>
      </w:r>
      <w:r>
        <w:t>: 1–19.</w:t>
      </w:r>
    </w:p>
    <w:p w14:paraId="60ED7994" w14:textId="77777777" w:rsidR="00497CE3" w:rsidRPr="00633813" w:rsidRDefault="00497CE3" w:rsidP="00497CE3">
      <w:pPr>
        <w:contextualSpacing/>
        <w:rPr>
          <w:iCs/>
        </w:rPr>
      </w:pPr>
      <w:r w:rsidRPr="00633813">
        <w:rPr>
          <w:b/>
          <w:iCs/>
        </w:rPr>
        <w:t>Clark JM, Sues H-D. 2002.</w:t>
      </w:r>
      <w:r w:rsidRPr="00A760BE">
        <w:rPr>
          <w:iCs/>
        </w:rPr>
        <w:t xml:space="preserve"> Two new basal crocodylomorph archosaurs from the Lower Jurassic and the monophyly of the Sphenosuchia. </w:t>
      </w:r>
      <w:r w:rsidRPr="00633813">
        <w:rPr>
          <w:i/>
          <w:iCs/>
        </w:rPr>
        <w:t>Zool</w:t>
      </w:r>
      <w:r>
        <w:rPr>
          <w:i/>
          <w:iCs/>
        </w:rPr>
        <w:t xml:space="preserve">ogical </w:t>
      </w:r>
      <w:r w:rsidRPr="00633813">
        <w:rPr>
          <w:i/>
          <w:iCs/>
        </w:rPr>
        <w:t>J</w:t>
      </w:r>
      <w:r>
        <w:rPr>
          <w:i/>
          <w:iCs/>
        </w:rPr>
        <w:t>ournal of the</w:t>
      </w:r>
      <w:r w:rsidRPr="00633813">
        <w:rPr>
          <w:i/>
          <w:iCs/>
        </w:rPr>
        <w:t xml:space="preserve"> Linn</w:t>
      </w:r>
      <w:r>
        <w:rPr>
          <w:i/>
          <w:iCs/>
        </w:rPr>
        <w:t xml:space="preserve">ean </w:t>
      </w:r>
      <w:r w:rsidRPr="00633813">
        <w:rPr>
          <w:i/>
          <w:iCs/>
        </w:rPr>
        <w:t>Soc</w:t>
      </w:r>
      <w:r>
        <w:rPr>
          <w:i/>
          <w:iCs/>
        </w:rPr>
        <w:t>iety</w:t>
      </w:r>
      <w:r w:rsidRPr="00A760BE">
        <w:rPr>
          <w:iCs/>
        </w:rPr>
        <w:t xml:space="preserve"> </w:t>
      </w:r>
      <w:r w:rsidRPr="00633813">
        <w:rPr>
          <w:b/>
          <w:iCs/>
        </w:rPr>
        <w:t>136</w:t>
      </w:r>
      <w:r w:rsidRPr="00A760BE">
        <w:rPr>
          <w:iCs/>
        </w:rPr>
        <w:t>:</w:t>
      </w:r>
      <w:r>
        <w:rPr>
          <w:iCs/>
        </w:rPr>
        <w:t xml:space="preserve"> </w:t>
      </w:r>
      <w:r w:rsidRPr="00A760BE">
        <w:rPr>
          <w:iCs/>
        </w:rPr>
        <w:t>77</w:t>
      </w:r>
      <w:r>
        <w:t>–</w:t>
      </w:r>
      <w:r w:rsidRPr="00A760BE">
        <w:rPr>
          <w:iCs/>
        </w:rPr>
        <w:t>95.</w:t>
      </w:r>
    </w:p>
    <w:p w14:paraId="115E06CC" w14:textId="77777777" w:rsidR="00497CE3" w:rsidRDefault="00497CE3" w:rsidP="00497CE3">
      <w:pPr>
        <w:autoSpaceDE w:val="0"/>
        <w:autoSpaceDN w:val="0"/>
        <w:adjustRightInd w:val="0"/>
      </w:pPr>
      <w:bookmarkStart w:id="76" w:name="_Hlk489639923"/>
      <w:r>
        <w:rPr>
          <w:b/>
          <w:bCs/>
        </w:rPr>
        <w:t>Clark JM, Sues H-D, Berman DS. 2000.</w:t>
      </w:r>
      <w:r>
        <w:rPr>
          <w:bCs/>
        </w:rPr>
        <w:t xml:space="preserve"> </w:t>
      </w:r>
      <w:r>
        <w:t xml:space="preserve">A new specimen of </w:t>
      </w:r>
      <w:r>
        <w:rPr>
          <w:i/>
          <w:iCs/>
        </w:rPr>
        <w:t>Hesperosuchus agilis</w:t>
      </w:r>
      <w:r>
        <w:rPr>
          <w:iCs/>
        </w:rPr>
        <w:t xml:space="preserve"> </w:t>
      </w:r>
      <w:r>
        <w:t xml:space="preserve">from the Upper Triassic of New Mexico and the interrelationships of basal crocodylomorph archosaurs. </w:t>
      </w:r>
      <w:r>
        <w:rPr>
          <w:i/>
          <w:iCs/>
        </w:rPr>
        <w:t>Journal of Vertebrate Paleontology</w:t>
      </w:r>
      <w:r>
        <w:rPr>
          <w:iCs/>
        </w:rPr>
        <w:t xml:space="preserve"> </w:t>
      </w:r>
      <w:r>
        <w:rPr>
          <w:b/>
          <w:bCs/>
        </w:rPr>
        <w:t>20</w:t>
      </w:r>
      <w:r>
        <w:rPr>
          <w:bCs/>
        </w:rPr>
        <w:t xml:space="preserve">: </w:t>
      </w:r>
      <w:r>
        <w:t>683–704.</w:t>
      </w:r>
    </w:p>
    <w:p w14:paraId="5F378664" w14:textId="77777777" w:rsidR="00497CE3" w:rsidRDefault="00497CE3" w:rsidP="00497CE3">
      <w:pPr>
        <w:autoSpaceDE w:val="0"/>
        <w:autoSpaceDN w:val="0"/>
        <w:adjustRightInd w:val="0"/>
      </w:pPr>
      <w:bookmarkStart w:id="77" w:name="_Hlk489639967"/>
      <w:bookmarkEnd w:id="76"/>
      <w:r>
        <w:rPr>
          <w:b/>
          <w:bCs/>
        </w:rPr>
        <w:t xml:space="preserve">Clark JM, Xu X, Forster CA, Wang Y. 2004. </w:t>
      </w:r>
      <w:r>
        <w:t xml:space="preserve">A Middle Jurassic ‘sphenosuchian’ from China and the origin of the crocodylian skull. </w:t>
      </w:r>
      <w:r>
        <w:rPr>
          <w:i/>
          <w:iCs/>
        </w:rPr>
        <w:t>Nature</w:t>
      </w:r>
      <w:r>
        <w:t xml:space="preserve"> </w:t>
      </w:r>
      <w:r>
        <w:rPr>
          <w:b/>
        </w:rPr>
        <w:t>430</w:t>
      </w:r>
      <w:r>
        <w:t>: 1021–1024.</w:t>
      </w:r>
    </w:p>
    <w:bookmarkEnd w:id="77"/>
    <w:p w14:paraId="702B92B3" w14:textId="77777777" w:rsidR="00497CE3" w:rsidRDefault="00497CE3" w:rsidP="00497CE3">
      <w:pPr>
        <w:autoSpaceDE w:val="0"/>
        <w:autoSpaceDN w:val="0"/>
        <w:adjustRightInd w:val="0"/>
      </w:pPr>
      <w:r>
        <w:rPr>
          <w:b/>
          <w:bCs/>
        </w:rPr>
        <w:t xml:space="preserve">Clements RG. 1993. </w:t>
      </w:r>
      <w:r>
        <w:t xml:space="preserve">Type-section of the Purbeck Limestone Group, Durlston Bay, Swanage, Dorset. </w:t>
      </w:r>
      <w:r>
        <w:rPr>
          <w:i/>
          <w:iCs/>
        </w:rPr>
        <w:t>Proceedings of the Dorset Natural History and Archaeological Society</w:t>
      </w:r>
      <w:r>
        <w:t xml:space="preserve"> </w:t>
      </w:r>
      <w:r>
        <w:rPr>
          <w:b/>
        </w:rPr>
        <w:t>114</w:t>
      </w:r>
      <w:r>
        <w:t>: 181–206.</w:t>
      </w:r>
    </w:p>
    <w:p w14:paraId="52A7DE34" w14:textId="77777777" w:rsidR="00497CE3" w:rsidRDefault="00497CE3" w:rsidP="00497CE3">
      <w:pPr>
        <w:autoSpaceDE w:val="0"/>
        <w:autoSpaceDN w:val="0"/>
        <w:adjustRightInd w:val="0"/>
      </w:pPr>
      <w:r>
        <w:rPr>
          <w:b/>
          <w:bCs/>
        </w:rPr>
        <w:t xml:space="preserve">Colbert EH. 1946. </w:t>
      </w:r>
      <w:r>
        <w:rPr>
          <w:i/>
          <w:iCs/>
        </w:rPr>
        <w:t>Sebecus</w:t>
      </w:r>
      <w:r>
        <w:t xml:space="preserve">, representative of a peculiar suborder of fossil Crocodylia from Patagonia. </w:t>
      </w:r>
      <w:r>
        <w:rPr>
          <w:i/>
          <w:iCs/>
        </w:rPr>
        <w:t>Bulletin of the American Museum of Natural History</w:t>
      </w:r>
      <w:r>
        <w:t xml:space="preserve"> </w:t>
      </w:r>
      <w:r>
        <w:rPr>
          <w:b/>
        </w:rPr>
        <w:t xml:space="preserve">87 </w:t>
      </w:r>
      <w:r>
        <w:t>(4): 219–271.</w:t>
      </w:r>
    </w:p>
    <w:p w14:paraId="0D04506D" w14:textId="77777777" w:rsidR="00497CE3" w:rsidRPr="005734BB" w:rsidRDefault="00497CE3" w:rsidP="00497CE3">
      <w:pPr>
        <w:pStyle w:val="NoSpacing"/>
        <w:rPr>
          <w:rFonts w:eastAsia="Times New Roman"/>
          <w:lang w:eastAsia="es-ES"/>
        </w:rPr>
      </w:pPr>
      <w:bookmarkStart w:id="78" w:name="_Hlk489640107"/>
      <w:r w:rsidRPr="005734BB">
        <w:rPr>
          <w:rFonts w:eastAsia="Times New Roman"/>
          <w:b/>
          <w:lang w:eastAsia="es-ES"/>
        </w:rPr>
        <w:t>Colbert EH. 1952.</w:t>
      </w:r>
      <w:r w:rsidRPr="005734BB">
        <w:rPr>
          <w:rFonts w:eastAsia="Times New Roman"/>
          <w:lang w:eastAsia="es-ES"/>
        </w:rPr>
        <w:t xml:space="preserve"> A pseudosuchian reptile from Arizona. </w:t>
      </w:r>
      <w:r w:rsidRPr="005734BB">
        <w:rPr>
          <w:rFonts w:eastAsia="Times New Roman"/>
          <w:i/>
          <w:lang w:eastAsia="es-ES"/>
        </w:rPr>
        <w:t xml:space="preserve">Bulletin of the American Museum of Natural History </w:t>
      </w:r>
      <w:r w:rsidRPr="005734BB">
        <w:rPr>
          <w:rFonts w:eastAsia="Times New Roman"/>
          <w:b/>
          <w:lang w:eastAsia="es-ES"/>
        </w:rPr>
        <w:t>99</w:t>
      </w:r>
      <w:r w:rsidRPr="005734BB">
        <w:rPr>
          <w:rFonts w:eastAsia="Times New Roman"/>
          <w:lang w:eastAsia="es-ES"/>
        </w:rPr>
        <w:t>: 561</w:t>
      </w:r>
      <w:r w:rsidRPr="005734BB">
        <w:t>–</w:t>
      </w:r>
      <w:r w:rsidRPr="005734BB">
        <w:rPr>
          <w:rFonts w:eastAsia="Times New Roman"/>
          <w:lang w:eastAsia="es-ES"/>
        </w:rPr>
        <w:t>592.</w:t>
      </w:r>
    </w:p>
    <w:p w14:paraId="798E2FC6" w14:textId="77777777" w:rsidR="00497CE3" w:rsidRDefault="00497CE3" w:rsidP="00497CE3">
      <w:pPr>
        <w:autoSpaceDE w:val="0"/>
        <w:autoSpaceDN w:val="0"/>
        <w:adjustRightInd w:val="0"/>
      </w:pPr>
      <w:r>
        <w:rPr>
          <w:b/>
          <w:bCs/>
        </w:rPr>
        <w:t xml:space="preserve">Colbert EH, Mook CC. 1951. </w:t>
      </w:r>
      <w:r>
        <w:t xml:space="preserve">The ancestral crocodilian </w:t>
      </w:r>
      <w:r>
        <w:rPr>
          <w:i/>
          <w:iCs/>
        </w:rPr>
        <w:t>Protosuchus</w:t>
      </w:r>
      <w:r>
        <w:t xml:space="preserve">. </w:t>
      </w:r>
      <w:r>
        <w:rPr>
          <w:i/>
          <w:iCs/>
        </w:rPr>
        <w:t>Bulletin of the American Museum of Natural History</w:t>
      </w:r>
      <w:r>
        <w:t xml:space="preserve"> </w:t>
      </w:r>
      <w:r>
        <w:rPr>
          <w:b/>
        </w:rPr>
        <w:t xml:space="preserve">97 </w:t>
      </w:r>
      <w:r>
        <w:t>(3): 143–182.</w:t>
      </w:r>
    </w:p>
    <w:bookmarkEnd w:id="78"/>
    <w:p w14:paraId="5ECBB863" w14:textId="77777777" w:rsidR="00497CE3" w:rsidRDefault="00497CE3" w:rsidP="00497CE3">
      <w:pPr>
        <w:autoSpaceDE w:val="0"/>
        <w:autoSpaceDN w:val="0"/>
        <w:adjustRightInd w:val="0"/>
      </w:pPr>
      <w:r>
        <w:rPr>
          <w:b/>
          <w:bCs/>
        </w:rPr>
        <w:t>Collot L. 1905.</w:t>
      </w:r>
      <w:r>
        <w:rPr>
          <w:bCs/>
        </w:rPr>
        <w:t xml:space="preserve"> </w:t>
      </w:r>
      <w:r>
        <w:t>Reptile Jurassique (</w:t>
      </w:r>
      <w:r>
        <w:rPr>
          <w:i/>
          <w:iCs/>
        </w:rPr>
        <w:t>Teleidosaurus gaudryi</w:t>
      </w:r>
      <w:r>
        <w:t xml:space="preserve">) trouvé à Saint-Seine l’Abbaye (Côte-d’or). </w:t>
      </w:r>
      <w:r>
        <w:rPr>
          <w:i/>
          <w:iCs/>
        </w:rPr>
        <w:t xml:space="preserve">Mémoire Academy de Sciences, Arts et Belles-Lettres Dijon, (4th series) </w:t>
      </w:r>
      <w:r>
        <w:rPr>
          <w:b/>
          <w:bCs/>
        </w:rPr>
        <w:t>10</w:t>
      </w:r>
      <w:r>
        <w:rPr>
          <w:bCs/>
        </w:rPr>
        <w:t xml:space="preserve">: </w:t>
      </w:r>
      <w:r>
        <w:t>41–45.</w:t>
      </w:r>
    </w:p>
    <w:p w14:paraId="486D98BD" w14:textId="77777777" w:rsidR="00497CE3" w:rsidRDefault="00497CE3" w:rsidP="00497CE3">
      <w:pPr>
        <w:autoSpaceDE w:val="0"/>
        <w:autoSpaceDN w:val="0"/>
        <w:adjustRightInd w:val="0"/>
        <w:rPr>
          <w:rFonts w:eastAsia="Times New Roman"/>
          <w:lang w:val="en-US"/>
        </w:rPr>
      </w:pPr>
      <w:r>
        <w:rPr>
          <w:rFonts w:eastAsia="Times New Roman"/>
          <w:b/>
          <w:lang w:val="en-US"/>
        </w:rPr>
        <w:t>Cope ED.</w:t>
      </w:r>
      <w:r>
        <w:rPr>
          <w:rFonts w:eastAsia="Times New Roman"/>
          <w:lang w:val="en-US"/>
        </w:rPr>
        <w:t xml:space="preserve"> 1878. Descriptions of new extinct Vertebrata from the Upper Tertiary and Dakota Formations</w:t>
      </w:r>
      <w:r>
        <w:rPr>
          <w:rFonts w:eastAsia="Times New Roman"/>
          <w:i/>
          <w:iCs/>
          <w:lang w:val="en-US"/>
        </w:rPr>
        <w:t>. Bulletin of the United States Geological and Geographical</w:t>
      </w:r>
      <w:r>
        <w:rPr>
          <w:rFonts w:eastAsia="Times New Roman"/>
          <w:lang w:val="en-US"/>
        </w:rPr>
        <w:t xml:space="preserve"> </w:t>
      </w:r>
      <w:r>
        <w:rPr>
          <w:rFonts w:eastAsia="Times New Roman"/>
          <w:i/>
          <w:iCs/>
          <w:lang w:val="en-US"/>
        </w:rPr>
        <w:t>Survey of the Territories</w:t>
      </w:r>
      <w:r>
        <w:rPr>
          <w:rFonts w:eastAsia="Times New Roman"/>
          <w:iCs/>
          <w:lang w:val="en-US"/>
        </w:rPr>
        <w:t xml:space="preserve"> </w:t>
      </w:r>
      <w:r>
        <w:rPr>
          <w:rFonts w:eastAsia="Times New Roman"/>
          <w:b/>
          <w:lang w:val="en-US"/>
        </w:rPr>
        <w:t>4</w:t>
      </w:r>
      <w:r>
        <w:rPr>
          <w:rFonts w:eastAsia="Times New Roman"/>
          <w:lang w:val="en-US"/>
        </w:rPr>
        <w:t>: 379</w:t>
      </w:r>
      <w:r>
        <w:t>–</w:t>
      </w:r>
      <w:r>
        <w:rPr>
          <w:rFonts w:eastAsia="Times New Roman"/>
          <w:lang w:val="en-US"/>
        </w:rPr>
        <w:t>396.</w:t>
      </w:r>
    </w:p>
    <w:p w14:paraId="2F895E48" w14:textId="77777777" w:rsidR="00497CE3" w:rsidRDefault="00497CE3" w:rsidP="00497CE3">
      <w:pPr>
        <w:rPr>
          <w:rStyle w:val="reference-text"/>
          <w:rFonts w:eastAsiaTheme="minorHAnsi"/>
          <w:lang w:eastAsia="en-US"/>
        </w:rPr>
      </w:pPr>
      <w:r w:rsidRPr="00633813">
        <w:rPr>
          <w:rStyle w:val="reference-text"/>
          <w:b/>
        </w:rPr>
        <w:t>Crompton AW, Smith KK. 1980</w:t>
      </w:r>
      <w:r>
        <w:rPr>
          <w:rStyle w:val="reference-text"/>
        </w:rPr>
        <w:t xml:space="preserve">. A new genus and species from the Kayenta Formation (Late Triassic?) of Northern Arizona. </w:t>
      </w:r>
      <w:r>
        <w:rPr>
          <w:rStyle w:val="reference-text"/>
          <w:iCs/>
        </w:rPr>
        <w:t>In:</w:t>
      </w:r>
      <w:r>
        <w:rPr>
          <w:rStyle w:val="reference-text"/>
        </w:rPr>
        <w:t xml:space="preserve"> Jacobs, L (ed.), </w:t>
      </w:r>
      <w:r>
        <w:rPr>
          <w:rStyle w:val="reference-text"/>
          <w:iCs/>
        </w:rPr>
        <w:t>Aspects of Vertebrate History</w:t>
      </w:r>
      <w:r>
        <w:rPr>
          <w:rStyle w:val="reference-text"/>
        </w:rPr>
        <w:t xml:space="preserve"> Flagstaff: Museum of Northern Arizona Press, pp. 193</w:t>
      </w:r>
      <w:r>
        <w:t>–</w:t>
      </w:r>
      <w:r>
        <w:rPr>
          <w:rStyle w:val="reference-text"/>
        </w:rPr>
        <w:t>217.</w:t>
      </w:r>
    </w:p>
    <w:p w14:paraId="43F2BEE8" w14:textId="77777777" w:rsidR="00497CE3" w:rsidRDefault="00497CE3" w:rsidP="00497CE3">
      <w:pPr>
        <w:autoSpaceDE w:val="0"/>
        <w:autoSpaceDN w:val="0"/>
        <w:adjustRightInd w:val="0"/>
      </w:pPr>
      <w:bookmarkStart w:id="79" w:name="_Hlk489640166"/>
      <w:r>
        <w:rPr>
          <w:b/>
          <w:bCs/>
        </w:rPr>
        <w:t>Crush PJ. 1984.</w:t>
      </w:r>
      <w:r>
        <w:rPr>
          <w:bCs/>
        </w:rPr>
        <w:t xml:space="preserve"> </w:t>
      </w:r>
      <w:r>
        <w:t xml:space="preserve">A late Upper Triassic sphenosuchid crocodilian from Wales. </w:t>
      </w:r>
      <w:r>
        <w:rPr>
          <w:i/>
          <w:iCs/>
        </w:rPr>
        <w:t>Palaeontology</w:t>
      </w:r>
      <w:r>
        <w:rPr>
          <w:iCs/>
        </w:rPr>
        <w:t xml:space="preserve"> </w:t>
      </w:r>
      <w:r>
        <w:rPr>
          <w:b/>
          <w:bCs/>
        </w:rPr>
        <w:t>27</w:t>
      </w:r>
      <w:r>
        <w:t>: 131–157.</w:t>
      </w:r>
    </w:p>
    <w:bookmarkEnd w:id="79"/>
    <w:p w14:paraId="5292A073" w14:textId="77777777" w:rsidR="00497CE3" w:rsidRDefault="00497CE3" w:rsidP="00497CE3">
      <w:pPr>
        <w:rPr>
          <w:b/>
          <w:lang w:val="fr-FR"/>
        </w:rPr>
      </w:pPr>
      <w:r>
        <w:rPr>
          <w:b/>
        </w:rPr>
        <w:t>Daudin FM. 1802.</w:t>
      </w:r>
      <w:r>
        <w:t xml:space="preserve"> </w:t>
      </w:r>
      <w:r>
        <w:rPr>
          <w:lang w:val="fr-FR"/>
        </w:rPr>
        <w:t xml:space="preserve">Le crocodile du Mississipi, p. 412–416. In : Histoire Naturelle, Générale et Particulière des Reptiles; ouvrage faisant suit à l'Histoire Naturelle générale et particulière, composée par </w:t>
      </w:r>
      <w:r>
        <w:rPr>
          <w:smallCaps/>
          <w:lang w:val="fr-FR"/>
        </w:rPr>
        <w:t>Leclerc de Buffon</w:t>
      </w:r>
      <w:r>
        <w:rPr>
          <w:lang w:val="fr-FR"/>
        </w:rPr>
        <w:t xml:space="preserve">; et rédigée par </w:t>
      </w:r>
      <w:r>
        <w:rPr>
          <w:smallCaps/>
          <w:lang w:val="fr-FR"/>
        </w:rPr>
        <w:t>C. S. Sonnini</w:t>
      </w:r>
      <w:r>
        <w:rPr>
          <w:lang w:val="fr-FR"/>
        </w:rPr>
        <w:t>, membre de plusieurs Sociétés savantes. Tome Second. F. Dufart, Paris.</w:t>
      </w:r>
    </w:p>
    <w:p w14:paraId="5E223145" w14:textId="77777777" w:rsidR="00497CE3" w:rsidRDefault="00497CE3" w:rsidP="00497CE3">
      <w:pPr>
        <w:pStyle w:val="Default"/>
      </w:pPr>
      <w:r>
        <w:rPr>
          <w:b/>
          <w:bCs/>
        </w:rPr>
        <w:t>Debelmas J. 1952.</w:t>
      </w:r>
      <w:r>
        <w:rPr>
          <w:bCs/>
        </w:rPr>
        <w:t xml:space="preserve"> </w:t>
      </w:r>
      <w:r>
        <w:t xml:space="preserve">Un crocodilien marin dans l’Hauterivien des environs de Comps (Var) </w:t>
      </w:r>
      <w:r>
        <w:rPr>
          <w:i/>
          <w:iCs/>
        </w:rPr>
        <w:t xml:space="preserve">Dacosaurus maximus </w:t>
      </w:r>
      <w:r>
        <w:t xml:space="preserve">Plieninger var. </w:t>
      </w:r>
      <w:r>
        <w:rPr>
          <w:i/>
          <w:iCs/>
        </w:rPr>
        <w:t xml:space="preserve">gracilis </w:t>
      </w:r>
      <w:r>
        <w:t xml:space="preserve">Quenstedt. </w:t>
      </w:r>
      <w:r>
        <w:rPr>
          <w:i/>
          <w:iCs/>
        </w:rPr>
        <w:t xml:space="preserve">Travaux Laboratoire de Géologie l’université de Grenoble </w:t>
      </w:r>
      <w:r>
        <w:rPr>
          <w:b/>
          <w:bCs/>
        </w:rPr>
        <w:t>29</w:t>
      </w:r>
      <w:r>
        <w:t>: 101–116.</w:t>
      </w:r>
    </w:p>
    <w:p w14:paraId="60C90792" w14:textId="77777777" w:rsidR="00497CE3" w:rsidRDefault="00497CE3" w:rsidP="00497CE3">
      <w:r>
        <w:rPr>
          <w:b/>
          <w:bCs/>
        </w:rPr>
        <w:t>Debelmas J, Strannoloubsky A. 1957.</w:t>
      </w:r>
      <w:r>
        <w:rPr>
          <w:bCs/>
        </w:rPr>
        <w:t xml:space="preserve"> </w:t>
      </w:r>
      <w:r>
        <w:t xml:space="preserve">Découverte d’un crocodilien dans le Néocomien de La Martre (Var) </w:t>
      </w:r>
      <w:r>
        <w:rPr>
          <w:i/>
          <w:iCs/>
        </w:rPr>
        <w:t xml:space="preserve">Dacosaurus lapparenti </w:t>
      </w:r>
      <w:r>
        <w:t xml:space="preserve">n. sp. </w:t>
      </w:r>
      <w:r>
        <w:rPr>
          <w:i/>
          <w:iCs/>
        </w:rPr>
        <w:t xml:space="preserve">Travaux Laboratoire de Géologie de l’université de Grenoble </w:t>
      </w:r>
      <w:r>
        <w:rPr>
          <w:b/>
          <w:bCs/>
        </w:rPr>
        <w:t>33</w:t>
      </w:r>
      <w:r>
        <w:t>: 89–99.</w:t>
      </w:r>
    </w:p>
    <w:p w14:paraId="1B344E46" w14:textId="77777777" w:rsidR="00497CE3" w:rsidRDefault="00497CE3" w:rsidP="00497CE3">
      <w:pPr>
        <w:autoSpaceDE w:val="0"/>
        <w:autoSpaceDN w:val="0"/>
        <w:adjustRightInd w:val="0"/>
      </w:pPr>
      <w:r>
        <w:rPr>
          <w:b/>
          <w:bCs/>
        </w:rPr>
        <w:t xml:space="preserve">Delfino M, Codrea V, Folie A, Dica P, Godefroit P, Smith T. 2008. </w:t>
      </w:r>
      <w:r>
        <w:t xml:space="preserve">A complete skull of </w:t>
      </w:r>
      <w:r>
        <w:rPr>
          <w:i/>
          <w:iCs/>
        </w:rPr>
        <w:t xml:space="preserve">Allodaposuchus precedens </w:t>
      </w:r>
      <w:r>
        <w:t xml:space="preserve">Nopcsa, 1928 (Eusuchia) and a reassessment of the morphology of the taxon based on the Romanian remains. </w:t>
      </w:r>
      <w:r>
        <w:rPr>
          <w:i/>
          <w:iCs/>
        </w:rPr>
        <w:t>Journal of Vertebrate Paleontology</w:t>
      </w:r>
      <w:r>
        <w:t xml:space="preserve"> </w:t>
      </w:r>
      <w:r>
        <w:rPr>
          <w:b/>
        </w:rPr>
        <w:t xml:space="preserve">28 </w:t>
      </w:r>
      <w:r>
        <w:t>(1): 111–122.</w:t>
      </w:r>
    </w:p>
    <w:p w14:paraId="40AB8BED" w14:textId="77777777" w:rsidR="00497CE3" w:rsidRDefault="00497CE3" w:rsidP="00497CE3">
      <w:pPr>
        <w:autoSpaceDE w:val="0"/>
        <w:autoSpaceDN w:val="0"/>
        <w:adjustRightInd w:val="0"/>
      </w:pPr>
      <w:r>
        <w:rPr>
          <w:b/>
          <w:bCs/>
        </w:rPr>
        <w:t xml:space="preserve">Delfino M, Piras P, Smith T. 2005. </w:t>
      </w:r>
      <w:r>
        <w:t xml:space="preserve">Anatomy and phylogeny of the gavialoid crocodylian </w:t>
      </w:r>
      <w:r>
        <w:rPr>
          <w:i/>
          <w:iCs/>
        </w:rPr>
        <w:t xml:space="preserve">Eosuchus lerichei </w:t>
      </w:r>
      <w:r>
        <w:t xml:space="preserve">from the Paleocene of Europe. </w:t>
      </w:r>
      <w:r>
        <w:rPr>
          <w:i/>
          <w:iCs/>
        </w:rPr>
        <w:t>Acta Palaeontologica Polonica</w:t>
      </w:r>
      <w:r>
        <w:t xml:space="preserve"> </w:t>
      </w:r>
      <w:r>
        <w:rPr>
          <w:b/>
        </w:rPr>
        <w:t xml:space="preserve">50 </w:t>
      </w:r>
      <w:r>
        <w:t>(3): 565–580.</w:t>
      </w:r>
    </w:p>
    <w:p w14:paraId="1023DB4B" w14:textId="77777777" w:rsidR="00497CE3" w:rsidRDefault="00497CE3" w:rsidP="00497CE3">
      <w:pPr>
        <w:autoSpaceDE w:val="0"/>
        <w:autoSpaceDN w:val="0"/>
        <w:adjustRightInd w:val="0"/>
        <w:rPr>
          <w:bCs/>
        </w:rPr>
      </w:pPr>
      <w:r>
        <w:rPr>
          <w:b/>
          <w:bCs/>
        </w:rPr>
        <w:t>Denton RKJ, Dobie JL, Parris DC. 1997.</w:t>
      </w:r>
      <w:r>
        <w:rPr>
          <w:bCs/>
        </w:rPr>
        <w:t xml:space="preserve"> The marine crocodilian </w:t>
      </w:r>
      <w:r>
        <w:rPr>
          <w:bCs/>
          <w:i/>
        </w:rPr>
        <w:t>Hyposaurus</w:t>
      </w:r>
      <w:r>
        <w:rPr>
          <w:bCs/>
        </w:rPr>
        <w:t xml:space="preserve"> in North America. In: </w:t>
      </w:r>
      <w:r>
        <w:rPr>
          <w:bCs/>
          <w:iCs/>
        </w:rPr>
        <w:t>Ancient Marine Reptiles (eds. Callaway JM, Nicholls EL), pp. 375</w:t>
      </w:r>
      <w:r>
        <w:t>–</w:t>
      </w:r>
      <w:r>
        <w:rPr>
          <w:bCs/>
          <w:iCs/>
        </w:rPr>
        <w:t>397. Academic Press, San Diego</w:t>
      </w:r>
      <w:r>
        <w:rPr>
          <w:bCs/>
        </w:rPr>
        <w:t>, USA.</w:t>
      </w:r>
    </w:p>
    <w:p w14:paraId="4AA077B4" w14:textId="77777777" w:rsidR="00497CE3" w:rsidRDefault="00497CE3" w:rsidP="00497CE3">
      <w:pPr>
        <w:autoSpaceDE w:val="0"/>
        <w:autoSpaceDN w:val="0"/>
        <w:adjustRightInd w:val="0"/>
        <w:rPr>
          <w:i/>
          <w:iCs/>
        </w:rPr>
      </w:pPr>
      <w:r>
        <w:rPr>
          <w:rFonts w:eastAsia="Times New Roman"/>
          <w:b/>
          <w:bCs/>
          <w:lang w:val="en-US"/>
        </w:rPr>
        <w:t>Dollo L.</w:t>
      </w:r>
      <w:r>
        <w:rPr>
          <w:rFonts w:eastAsia="Times New Roman"/>
          <w:bCs/>
          <w:lang w:val="en-US"/>
        </w:rPr>
        <w:t xml:space="preserve"> </w:t>
      </w:r>
      <w:r>
        <w:rPr>
          <w:rFonts w:eastAsia="Times New Roman"/>
          <w:b/>
          <w:bCs/>
          <w:lang w:val="en-US"/>
        </w:rPr>
        <w:t xml:space="preserve">1883. </w:t>
      </w:r>
      <w:r>
        <w:rPr>
          <w:rFonts w:eastAsia="Times New Roman"/>
          <w:lang w:val="en-US"/>
        </w:rPr>
        <w:t xml:space="preserve">Première note sur les crocodilians de Bernissart. </w:t>
      </w:r>
      <w:r>
        <w:rPr>
          <w:rFonts w:eastAsia="Times New Roman"/>
          <w:i/>
          <w:iCs/>
          <w:lang w:val="en-US"/>
        </w:rPr>
        <w:t>Bulletin du Musée Royal d’Histoire Naturelle de Belgique</w:t>
      </w:r>
      <w:r>
        <w:rPr>
          <w:rFonts w:eastAsia="Times New Roman"/>
          <w:lang w:val="en-US"/>
        </w:rPr>
        <w:t xml:space="preserve"> </w:t>
      </w:r>
      <w:r>
        <w:rPr>
          <w:rFonts w:eastAsia="Times New Roman"/>
          <w:b/>
          <w:lang w:val="en-US"/>
        </w:rPr>
        <w:t>2</w:t>
      </w:r>
      <w:r>
        <w:rPr>
          <w:rFonts w:eastAsia="Times New Roman"/>
          <w:lang w:val="en-US"/>
        </w:rPr>
        <w:t>: 309-338.</w:t>
      </w:r>
    </w:p>
    <w:p w14:paraId="091D1BB8" w14:textId="77777777" w:rsidR="00497CE3" w:rsidRDefault="00497CE3" w:rsidP="00497CE3">
      <w:pPr>
        <w:autoSpaceDE w:val="0"/>
        <w:autoSpaceDN w:val="0"/>
        <w:adjustRightInd w:val="0"/>
      </w:pPr>
      <w:r>
        <w:rPr>
          <w:b/>
          <w:bCs/>
        </w:rPr>
        <w:t xml:space="preserve">Dollo L. 1914. </w:t>
      </w:r>
      <w:r>
        <w:t xml:space="preserve">Sur la découverte de Téléosauriens tertiaires au Congo. </w:t>
      </w:r>
      <w:r>
        <w:rPr>
          <w:i/>
          <w:iCs/>
        </w:rPr>
        <w:t>Bulletin de l'Académie Royale de Belgique</w:t>
      </w:r>
      <w:r>
        <w:t xml:space="preserve"> </w:t>
      </w:r>
      <w:r>
        <w:rPr>
          <w:b/>
        </w:rPr>
        <w:t>7</w:t>
      </w:r>
      <w:r>
        <w:t>: 288–298.</w:t>
      </w:r>
    </w:p>
    <w:p w14:paraId="3CBD27D4" w14:textId="77777777" w:rsidR="00497CE3" w:rsidRPr="005734BB" w:rsidRDefault="00497CE3" w:rsidP="00497CE3">
      <w:pPr>
        <w:pStyle w:val="NoSpacing"/>
      </w:pPr>
      <w:r w:rsidRPr="005734BB">
        <w:rPr>
          <w:b/>
        </w:rPr>
        <w:t>Dyrmala SA, Zanno LE. 2016.</w:t>
      </w:r>
      <w:r w:rsidRPr="005734BB">
        <w:t xml:space="preserve"> Osteology of </w:t>
      </w:r>
      <w:r w:rsidRPr="005734BB">
        <w:rPr>
          <w:i/>
        </w:rPr>
        <w:t>Carnufex carolinensis</w:t>
      </w:r>
      <w:r w:rsidRPr="005734BB">
        <w:t xml:space="preserve"> (Archosauria: Pseudosuchia) from the Pekin Formation of North Carolina and its implications for Early Crocodylomorph Evolution. </w:t>
      </w:r>
      <w:r w:rsidRPr="005734BB">
        <w:rPr>
          <w:i/>
        </w:rPr>
        <w:t>PLoS ONE</w:t>
      </w:r>
      <w:r w:rsidRPr="005734BB">
        <w:t xml:space="preserve"> </w:t>
      </w:r>
      <w:r w:rsidRPr="005734BB">
        <w:rPr>
          <w:b/>
        </w:rPr>
        <w:t>11</w:t>
      </w:r>
      <w:r w:rsidRPr="005734BB">
        <w:t xml:space="preserve"> (6): e0157528. doi: 10.137/journal.pone.0157528.</w:t>
      </w:r>
    </w:p>
    <w:p w14:paraId="3FADBC85" w14:textId="77777777" w:rsidR="00497CE3" w:rsidRDefault="00497CE3" w:rsidP="00497CE3">
      <w:pPr>
        <w:contextualSpacing/>
      </w:pPr>
      <w:r w:rsidRPr="00533234">
        <w:rPr>
          <w:b/>
        </w:rPr>
        <w:t>Erickson BR. 1976.</w:t>
      </w:r>
      <w:r w:rsidRPr="00A760BE">
        <w:t xml:space="preserve"> Osteology of the early Eusuchian crocodile </w:t>
      </w:r>
      <w:r w:rsidRPr="00A760BE">
        <w:rPr>
          <w:i/>
        </w:rPr>
        <w:t>Leidyosuchus formidabilis</w:t>
      </w:r>
      <w:r w:rsidRPr="00A760BE">
        <w:t xml:space="preserve">, sp. nov. </w:t>
      </w:r>
      <w:r w:rsidRPr="00F4758E">
        <w:rPr>
          <w:i/>
        </w:rPr>
        <w:t>Monograph Science Museum of Minnesota (Paleontology)</w:t>
      </w:r>
      <w:r w:rsidRPr="00A760BE">
        <w:t xml:space="preserve"> </w:t>
      </w:r>
      <w:r w:rsidRPr="00F4758E">
        <w:rPr>
          <w:b/>
        </w:rPr>
        <w:t>2</w:t>
      </w:r>
      <w:r w:rsidRPr="00A760BE">
        <w:t>:</w:t>
      </w:r>
      <w:r>
        <w:t xml:space="preserve"> </w:t>
      </w:r>
      <w:r w:rsidRPr="00A760BE">
        <w:t>1</w:t>
      </w:r>
      <w:r>
        <w:t>–</w:t>
      </w:r>
      <w:r w:rsidRPr="00A760BE">
        <w:t>61.</w:t>
      </w:r>
    </w:p>
    <w:p w14:paraId="0725FF41" w14:textId="77777777" w:rsidR="00497CE3" w:rsidRDefault="00497CE3" w:rsidP="00497CE3">
      <w:pPr>
        <w:autoSpaceDE w:val="0"/>
        <w:autoSpaceDN w:val="0"/>
        <w:adjustRightInd w:val="0"/>
      </w:pPr>
      <w:r>
        <w:rPr>
          <w:b/>
        </w:rPr>
        <w:t>Eudes-Deslongchamps E. 1867–1869.</w:t>
      </w:r>
      <w:r>
        <w:t xml:space="preserve"> Notes paléontologiques. Caen and Paris: F. le Blanc-Hardel and Savy, 24 pl.</w:t>
      </w:r>
    </w:p>
    <w:p w14:paraId="57BE1849" w14:textId="77777777" w:rsidR="00497CE3" w:rsidRDefault="00497CE3" w:rsidP="00497CE3">
      <w:pPr>
        <w:autoSpaceDE w:val="0"/>
        <w:autoSpaceDN w:val="0"/>
        <w:adjustRightInd w:val="0"/>
      </w:pPr>
      <w:r>
        <w:rPr>
          <w:b/>
        </w:rPr>
        <w:t>Eudes-Deslongchamps E. 1868a.</w:t>
      </w:r>
      <w:r>
        <w:t xml:space="preserve"> Note sur le squelette et la restauration du </w:t>
      </w:r>
      <w:r>
        <w:rPr>
          <w:i/>
        </w:rPr>
        <w:t>Teleosaurus cadomensis</w:t>
      </w:r>
      <w:r>
        <w:t xml:space="preserve">. </w:t>
      </w:r>
      <w:r>
        <w:rPr>
          <w:i/>
        </w:rPr>
        <w:t>Bulletin de la Société Linnéenne de Normandie 2</w:t>
      </w:r>
      <w:r>
        <w:rPr>
          <w:i/>
          <w:vertAlign w:val="superscript"/>
        </w:rPr>
        <w:t>e</w:t>
      </w:r>
      <w:r>
        <w:rPr>
          <w:i/>
        </w:rPr>
        <w:t xml:space="preserve"> série 2 </w:t>
      </w:r>
      <w:r>
        <w:rPr>
          <w:b/>
        </w:rPr>
        <w:t>1868</w:t>
      </w:r>
      <w:r>
        <w:t>: 381–473.</w:t>
      </w:r>
    </w:p>
    <w:p w14:paraId="32B680C9" w14:textId="77777777" w:rsidR="00497CE3" w:rsidRDefault="00497CE3" w:rsidP="00497CE3">
      <w:pPr>
        <w:autoSpaceDE w:val="0"/>
        <w:autoSpaceDN w:val="0"/>
        <w:adjustRightInd w:val="0"/>
      </w:pPr>
      <w:r>
        <w:rPr>
          <w:b/>
        </w:rPr>
        <w:t xml:space="preserve">Eudes-Deslongchamps J-A. 1868b. </w:t>
      </w:r>
      <w:r>
        <w:t xml:space="preserve">Note sur un tronçon de mâchoire supérieure d’une espèce nouvelle de Téléosaure. </w:t>
      </w:r>
      <w:r>
        <w:rPr>
          <w:i/>
        </w:rPr>
        <w:t>Bulletin de la Société Linnéenne de Normandie, 2</w:t>
      </w:r>
      <w:r>
        <w:rPr>
          <w:i/>
          <w:vertAlign w:val="superscript"/>
        </w:rPr>
        <w:t xml:space="preserve"> e</w:t>
      </w:r>
      <w:r>
        <w:rPr>
          <w:i/>
        </w:rPr>
        <w:t xml:space="preserve"> série 1 </w:t>
      </w:r>
      <w:r>
        <w:rPr>
          <w:b/>
        </w:rPr>
        <w:t>1868</w:t>
      </w:r>
      <w:r>
        <w:t>: 121–129.</w:t>
      </w:r>
    </w:p>
    <w:p w14:paraId="1E7777D0" w14:textId="77777777" w:rsidR="00497CE3" w:rsidRDefault="00497CE3" w:rsidP="00497CE3">
      <w:pPr>
        <w:autoSpaceDE w:val="0"/>
        <w:autoSpaceDN w:val="0"/>
        <w:adjustRightInd w:val="0"/>
      </w:pPr>
      <w:r>
        <w:rPr>
          <w:b/>
        </w:rPr>
        <w:t>Eudes-Deslongchamps J-A. 1868c.</w:t>
      </w:r>
      <w:r>
        <w:t xml:space="preserve"> Remarques sur l’os de la mâchoire inférieure des téléosauriens désigné sous le nom de complémentaire. </w:t>
      </w:r>
      <w:r>
        <w:rPr>
          <w:i/>
        </w:rPr>
        <w:t>Bulletin de la Société Linnéenne de Normandie, 2</w:t>
      </w:r>
      <w:r>
        <w:rPr>
          <w:i/>
          <w:vertAlign w:val="superscript"/>
        </w:rPr>
        <w:t xml:space="preserve"> e</w:t>
      </w:r>
      <w:r>
        <w:rPr>
          <w:i/>
        </w:rPr>
        <w:t xml:space="preserve"> série 1 </w:t>
      </w:r>
      <w:r>
        <w:rPr>
          <w:b/>
        </w:rPr>
        <w:t>1868</w:t>
      </w:r>
      <w:r>
        <w:t>: 112–118.</w:t>
      </w:r>
    </w:p>
    <w:p w14:paraId="683C2367" w14:textId="77777777" w:rsidR="00497CE3" w:rsidRDefault="00497CE3" w:rsidP="00497CE3">
      <w:r>
        <w:rPr>
          <w:b/>
        </w:rPr>
        <w:t>Eudes-Deslongchamps J-A. 1868d.</w:t>
      </w:r>
      <w:r>
        <w:t xml:space="preserve"> Note sur un groupe de vertèbres et d’écailles rapportées au </w:t>
      </w:r>
      <w:r>
        <w:rPr>
          <w:i/>
          <w:iCs/>
        </w:rPr>
        <w:t>Teleosaurus hastifer</w:t>
      </w:r>
      <w:r>
        <w:t xml:space="preserve"> et provenant des argiles kimméridgiennes du Cap de la Hève (près le Havre). </w:t>
      </w:r>
      <w:r>
        <w:rPr>
          <w:i/>
          <w:iCs/>
        </w:rPr>
        <w:t>Bulletin de la Société Linnéenne de Normandie</w:t>
      </w:r>
      <w:r>
        <w:rPr>
          <w:i/>
        </w:rPr>
        <w:t>, Caen, 1866 (1868), 2</w:t>
      </w:r>
      <w:r>
        <w:rPr>
          <w:i/>
          <w:vertAlign w:val="superscript"/>
        </w:rPr>
        <w:t>e</w:t>
      </w:r>
      <w:r>
        <w:rPr>
          <w:i/>
        </w:rPr>
        <w:t xml:space="preserve"> série 1</w:t>
      </w:r>
      <w:r>
        <w:t xml:space="preserve"> </w:t>
      </w:r>
      <w:r>
        <w:rPr>
          <w:b/>
        </w:rPr>
        <w:t>1868</w:t>
      </w:r>
      <w:r>
        <w:t>: 146–156, pl. 5.</w:t>
      </w:r>
    </w:p>
    <w:p w14:paraId="66271323" w14:textId="77777777" w:rsidR="00497CE3" w:rsidRDefault="00497CE3" w:rsidP="00497CE3">
      <w:pPr>
        <w:autoSpaceDE w:val="0"/>
        <w:autoSpaceDN w:val="0"/>
        <w:adjustRightInd w:val="0"/>
        <w:rPr>
          <w:lang w:val="en-US"/>
        </w:rPr>
      </w:pPr>
      <w:r>
        <w:rPr>
          <w:b/>
          <w:lang w:val="en-US"/>
        </w:rPr>
        <w:t>Efimov MB.</w:t>
      </w:r>
      <w:r>
        <w:rPr>
          <w:lang w:val="en-US"/>
        </w:rPr>
        <w:t xml:space="preserve"> </w:t>
      </w:r>
      <w:r>
        <w:rPr>
          <w:b/>
          <w:lang w:val="en-US"/>
        </w:rPr>
        <w:t>1975.</w:t>
      </w:r>
      <w:r>
        <w:rPr>
          <w:lang w:val="en-US"/>
        </w:rPr>
        <w:t xml:space="preserve"> Late Cretaceous crocodiles of Soviet Central Asia and Kazakhstan [in Russian]. </w:t>
      </w:r>
      <w:r>
        <w:rPr>
          <w:i/>
          <w:iCs/>
          <w:lang w:val="en-US"/>
        </w:rPr>
        <w:t>Paleontologičeskij žurnal</w:t>
      </w:r>
      <w:r>
        <w:rPr>
          <w:lang w:val="en-US"/>
        </w:rPr>
        <w:t xml:space="preserve"> </w:t>
      </w:r>
      <w:r>
        <w:rPr>
          <w:b/>
          <w:lang w:val="en-US"/>
        </w:rPr>
        <w:t>9</w:t>
      </w:r>
      <w:r>
        <w:rPr>
          <w:lang w:val="en-US"/>
        </w:rPr>
        <w:t>: 417</w:t>
      </w:r>
      <w:r>
        <w:t>–</w:t>
      </w:r>
      <w:r>
        <w:rPr>
          <w:lang w:val="en-US"/>
        </w:rPr>
        <w:t>420.</w:t>
      </w:r>
    </w:p>
    <w:p w14:paraId="04161510" w14:textId="77777777" w:rsidR="00497CE3" w:rsidRDefault="00497CE3" w:rsidP="00497CE3">
      <w:pPr>
        <w:autoSpaceDE w:val="0"/>
        <w:autoSpaceDN w:val="0"/>
        <w:adjustRightInd w:val="0"/>
        <w:rPr>
          <w:lang w:val="en-US"/>
        </w:rPr>
      </w:pPr>
      <w:r>
        <w:rPr>
          <w:b/>
        </w:rPr>
        <w:t>Efimov MB. 1988.</w:t>
      </w:r>
      <w:r>
        <w:t xml:space="preserve"> On the fossil crocodiles of Mongolia and the Soviet Union [in Russian]. </w:t>
      </w:r>
      <w:r>
        <w:rPr>
          <w:i/>
          <w:iCs/>
        </w:rPr>
        <w:t xml:space="preserve">Trudy Sovmestnaâ Sovetsko-Mongolskaâ Paleontologičeskaâ Ekspediciâ </w:t>
      </w:r>
      <w:r>
        <w:rPr>
          <w:b/>
        </w:rPr>
        <w:t>34</w:t>
      </w:r>
      <w:r>
        <w:t>: 81–90.</w:t>
      </w:r>
    </w:p>
    <w:p w14:paraId="5E32B724" w14:textId="77777777" w:rsidR="00497CE3" w:rsidRDefault="00497CE3" w:rsidP="00497CE3">
      <w:pPr>
        <w:autoSpaceDE w:val="0"/>
        <w:autoSpaceDN w:val="0"/>
        <w:adjustRightInd w:val="0"/>
        <w:rPr>
          <w:bCs/>
        </w:rPr>
      </w:pPr>
      <w:r>
        <w:rPr>
          <w:b/>
          <w:bCs/>
        </w:rPr>
        <w:t>Fanti F, Miyashita T, Cantelli L, Mnasri F, Dridi J, Contessi M, Cau A. 2016.</w:t>
      </w:r>
      <w:r>
        <w:rPr>
          <w:bCs/>
        </w:rPr>
        <w:t xml:space="preserve"> The largest thalattosuchian (Crocodylomorpha) supports teleosaurid survival across the Jurassic-Cretaceous boundary. </w:t>
      </w:r>
      <w:r>
        <w:rPr>
          <w:bCs/>
          <w:i/>
        </w:rPr>
        <w:t>Cretaceous Research</w:t>
      </w:r>
      <w:r>
        <w:rPr>
          <w:bCs/>
        </w:rPr>
        <w:t xml:space="preserve"> </w:t>
      </w:r>
      <w:r>
        <w:rPr>
          <w:b/>
          <w:bCs/>
        </w:rPr>
        <w:t>61</w:t>
      </w:r>
      <w:r>
        <w:rPr>
          <w:bCs/>
        </w:rPr>
        <w:t>: 263–274.</w:t>
      </w:r>
    </w:p>
    <w:p w14:paraId="5AA8BFFC" w14:textId="77777777" w:rsidR="00497CE3" w:rsidRDefault="00497CE3" w:rsidP="00497CE3">
      <w:pPr>
        <w:autoSpaceDE w:val="0"/>
        <w:autoSpaceDN w:val="0"/>
        <w:adjustRightInd w:val="0"/>
      </w:pPr>
      <w:r>
        <w:rPr>
          <w:b/>
          <w:bCs/>
        </w:rPr>
        <w:t xml:space="preserve">Fernández M, Gasparini Z. 2000. </w:t>
      </w:r>
      <w:r>
        <w:t xml:space="preserve">Salt glands in a Tithonian metriorhynchid crocodyliform and their physiological significance. </w:t>
      </w:r>
      <w:r>
        <w:rPr>
          <w:i/>
          <w:iCs/>
        </w:rPr>
        <w:t>Lethaia</w:t>
      </w:r>
      <w:r>
        <w:t xml:space="preserve"> </w:t>
      </w:r>
      <w:r>
        <w:rPr>
          <w:b/>
        </w:rPr>
        <w:t>33</w:t>
      </w:r>
      <w:r>
        <w:t>: 269–276.</w:t>
      </w:r>
    </w:p>
    <w:p w14:paraId="16DA1392" w14:textId="77777777" w:rsidR="00497CE3" w:rsidRDefault="00497CE3" w:rsidP="00497CE3">
      <w:pPr>
        <w:autoSpaceDE w:val="0"/>
        <w:autoSpaceDN w:val="0"/>
        <w:adjustRightInd w:val="0"/>
      </w:pPr>
      <w:r>
        <w:rPr>
          <w:b/>
          <w:bCs/>
        </w:rPr>
        <w:t xml:space="preserve">Fernández M, Gasparini Z. 2008. </w:t>
      </w:r>
      <w:r>
        <w:t xml:space="preserve">Salt glands in the Jurassic metriorhynchid </w:t>
      </w:r>
      <w:r>
        <w:rPr>
          <w:i/>
        </w:rPr>
        <w:t>Geosaurus</w:t>
      </w:r>
      <w:r>
        <w:t xml:space="preserve">: implications for the evolution of osmoregulation in Mesozoic marine crocodyliforms. </w:t>
      </w:r>
      <w:r>
        <w:rPr>
          <w:i/>
          <w:iCs/>
        </w:rPr>
        <w:t>Naturwissenschaften</w:t>
      </w:r>
      <w:r>
        <w:t xml:space="preserve"> </w:t>
      </w:r>
      <w:r>
        <w:rPr>
          <w:b/>
        </w:rPr>
        <w:t>95</w:t>
      </w:r>
      <w:r>
        <w:t>: 79–84.</w:t>
      </w:r>
    </w:p>
    <w:p w14:paraId="472D8687" w14:textId="77777777" w:rsidR="00497CE3" w:rsidRDefault="00497CE3" w:rsidP="00497CE3">
      <w:pPr>
        <w:autoSpaceDE w:val="0"/>
        <w:autoSpaceDN w:val="0"/>
        <w:adjustRightInd w:val="0"/>
      </w:pPr>
      <w:r>
        <w:rPr>
          <w:b/>
          <w:bCs/>
        </w:rPr>
        <w:t xml:space="preserve">Fernández M, Herrera Y. 2009. </w:t>
      </w:r>
      <w:r>
        <w:t xml:space="preserve">Paranasal sinus system of </w:t>
      </w:r>
      <w:r>
        <w:rPr>
          <w:i/>
          <w:iCs/>
        </w:rPr>
        <w:t xml:space="preserve">Geosaurus araucanensis </w:t>
      </w:r>
      <w:r>
        <w:t xml:space="preserve">and the homology of the antorbital fenestra of metriorhynchids (Thalattosuchia: Crocodylomorpha). </w:t>
      </w:r>
      <w:r>
        <w:rPr>
          <w:i/>
          <w:iCs/>
        </w:rPr>
        <w:t>Journal of Vertebrate Paleontology</w:t>
      </w:r>
      <w:r>
        <w:t xml:space="preserve"> </w:t>
      </w:r>
      <w:r>
        <w:rPr>
          <w:b/>
        </w:rPr>
        <w:t>29</w:t>
      </w:r>
      <w:r>
        <w:t>: 702–714.</w:t>
      </w:r>
    </w:p>
    <w:p w14:paraId="388ED59D" w14:textId="77777777" w:rsidR="00497CE3" w:rsidRDefault="00497CE3" w:rsidP="00497CE3">
      <w:pPr>
        <w:autoSpaceDE w:val="0"/>
        <w:autoSpaceDN w:val="0"/>
        <w:adjustRightInd w:val="0"/>
      </w:pPr>
      <w:r>
        <w:rPr>
          <w:b/>
          <w:bCs/>
        </w:rPr>
        <w:t xml:space="preserve">Figueiredo R, Kellner AWA. 2009. </w:t>
      </w:r>
      <w:r>
        <w:t xml:space="preserve">A new crocodylomorph specimen from the Araripe Basin (Crato Member, Santana Formation), northeastern Brazil. </w:t>
      </w:r>
      <w:r>
        <w:rPr>
          <w:i/>
          <w:iCs/>
        </w:rPr>
        <w:t>Paläontologische Zeitschrift</w:t>
      </w:r>
      <w:r>
        <w:t xml:space="preserve"> </w:t>
      </w:r>
      <w:r>
        <w:rPr>
          <w:b/>
        </w:rPr>
        <w:t>88</w:t>
      </w:r>
      <w:r>
        <w:t>: 323–331.</w:t>
      </w:r>
    </w:p>
    <w:p w14:paraId="5AA5C971" w14:textId="77777777" w:rsidR="00497CE3" w:rsidRDefault="00497CE3" w:rsidP="00497CE3">
      <w:pPr>
        <w:autoSpaceDE w:val="0"/>
        <w:autoSpaceDN w:val="0"/>
        <w:adjustRightInd w:val="0"/>
      </w:pPr>
      <w:r>
        <w:rPr>
          <w:b/>
          <w:bCs/>
        </w:rPr>
        <w:t xml:space="preserve">Figueiredo R, Saraiva A, Kellner AWA. 2009. </w:t>
      </w:r>
      <w:r>
        <w:t xml:space="preserve">New susisuchid remains from the Crato Formation (Santana Group, Araripe Basin) Northestern Brazil. </w:t>
      </w:r>
      <w:r>
        <w:rPr>
          <w:i/>
          <w:iCs/>
        </w:rPr>
        <w:t>Journal of Vertebrate Paleontology</w:t>
      </w:r>
      <w:r>
        <w:t xml:space="preserve"> </w:t>
      </w:r>
      <w:r>
        <w:rPr>
          <w:b/>
        </w:rPr>
        <w:t xml:space="preserve">29 </w:t>
      </w:r>
      <w:r>
        <w:t>(3): 95A.</w:t>
      </w:r>
    </w:p>
    <w:p w14:paraId="252DD2FD" w14:textId="77777777" w:rsidR="00497CE3" w:rsidRDefault="00497CE3" w:rsidP="00497CE3">
      <w:pPr>
        <w:autoSpaceDE w:val="0"/>
        <w:autoSpaceDN w:val="0"/>
        <w:adjustRightInd w:val="0"/>
      </w:pPr>
      <w:r>
        <w:rPr>
          <w:b/>
          <w:bCs/>
        </w:rPr>
        <w:t xml:space="preserve">Fiorelli LE, Calvo JO. 2008. </w:t>
      </w:r>
      <w:r>
        <w:t xml:space="preserve">New remains of </w:t>
      </w:r>
      <w:r>
        <w:rPr>
          <w:i/>
          <w:iCs/>
        </w:rPr>
        <w:t xml:space="preserve">Notosuchus terrestris </w:t>
      </w:r>
      <w:r>
        <w:t xml:space="preserve">Woodward, 1896 (Crocodyliformes: Mesoeucrocodylia) from the Late Cretaceous of Neuquén, Argentina. </w:t>
      </w:r>
      <w:r>
        <w:rPr>
          <w:i/>
          <w:iCs/>
        </w:rPr>
        <w:t>Arquivos do Museu Nacional</w:t>
      </w:r>
      <w:r>
        <w:t xml:space="preserve"> </w:t>
      </w:r>
      <w:r>
        <w:rPr>
          <w:b/>
        </w:rPr>
        <w:t>66</w:t>
      </w:r>
      <w:r>
        <w:t>: 83–124.</w:t>
      </w:r>
    </w:p>
    <w:p w14:paraId="6A03ECB4" w14:textId="77777777" w:rsidR="00497CE3" w:rsidRDefault="00497CE3" w:rsidP="00497CE3">
      <w:r>
        <w:rPr>
          <w:b/>
        </w:rPr>
        <w:t>Foffa D, Young MT, Brusatte SL, Graham MR, Steel L. 2017.</w:t>
      </w:r>
      <w:r>
        <w:t xml:space="preserve"> A new metriorhynchid crocodylomorph from the Oxford Clay Formation (Middle Jurassic) of England, with implications for the origin and diversification of Geosaurini. </w:t>
      </w:r>
      <w:r>
        <w:rPr>
          <w:i/>
        </w:rPr>
        <w:t>Journal of Systematic Palaeontology</w:t>
      </w:r>
      <w:r>
        <w:t>, DOI: 10.1080/14772019.2017.1367730.</w:t>
      </w:r>
    </w:p>
    <w:p w14:paraId="339CA975" w14:textId="77777777" w:rsidR="00497CE3" w:rsidRDefault="00497CE3" w:rsidP="00497CE3">
      <w:pPr>
        <w:autoSpaceDE w:val="0"/>
        <w:autoSpaceDN w:val="0"/>
        <w:adjustRightInd w:val="0"/>
      </w:pPr>
      <w:r>
        <w:rPr>
          <w:b/>
        </w:rPr>
        <w:t>Fortier D, Perea D, Schultz C. 2011.</w:t>
      </w:r>
      <w:r>
        <w:t xml:space="preserve"> Redescription and phylogenetic relationships of </w:t>
      </w:r>
      <w:r>
        <w:rPr>
          <w:i/>
        </w:rPr>
        <w:t>Meridiosaurus vallisparadisi</w:t>
      </w:r>
      <w:r>
        <w:t xml:space="preserve">, a pholidosaurid from the Late Jurassic of Uruguay. </w:t>
      </w:r>
      <w:r>
        <w:rPr>
          <w:i/>
        </w:rPr>
        <w:t xml:space="preserve">Zoological Journal of the Linnean Society </w:t>
      </w:r>
      <w:r>
        <w:rPr>
          <w:b/>
        </w:rPr>
        <w:t>163</w:t>
      </w:r>
      <w:r>
        <w:t>: S257–S272.</w:t>
      </w:r>
    </w:p>
    <w:p w14:paraId="1C1DAED8" w14:textId="77777777" w:rsidR="00497CE3" w:rsidRDefault="00497CE3" w:rsidP="00497CE3">
      <w:pPr>
        <w:autoSpaceDE w:val="0"/>
        <w:autoSpaceDN w:val="0"/>
        <w:adjustRightInd w:val="0"/>
      </w:pPr>
      <w:r>
        <w:rPr>
          <w:b/>
          <w:bCs/>
        </w:rPr>
        <w:t xml:space="preserve">Fraas E. 1901. </w:t>
      </w:r>
      <w:r>
        <w:t>Die Meerkrokodile (Thalattosuchia n. g.) eine neue Sauriergruppe der</w:t>
      </w:r>
    </w:p>
    <w:p w14:paraId="39C956EE" w14:textId="77777777" w:rsidR="00497CE3" w:rsidRDefault="00497CE3" w:rsidP="00497CE3">
      <w:pPr>
        <w:autoSpaceDE w:val="0"/>
        <w:autoSpaceDN w:val="0"/>
        <w:adjustRightInd w:val="0"/>
      </w:pPr>
      <w:r>
        <w:t xml:space="preserve">Juraformation. </w:t>
      </w:r>
      <w:r>
        <w:rPr>
          <w:i/>
          <w:iCs/>
        </w:rPr>
        <w:t>Jahreshefte de Vereins für vaterländische Naturkunde in Württemberg</w:t>
      </w:r>
      <w:r>
        <w:t xml:space="preserve"> </w:t>
      </w:r>
      <w:r>
        <w:rPr>
          <w:b/>
        </w:rPr>
        <w:t>57</w:t>
      </w:r>
      <w:r>
        <w:t>: 409–418.</w:t>
      </w:r>
    </w:p>
    <w:p w14:paraId="7C18C6B8" w14:textId="77777777" w:rsidR="00497CE3" w:rsidRDefault="00497CE3" w:rsidP="00497CE3">
      <w:pPr>
        <w:autoSpaceDE w:val="0"/>
        <w:autoSpaceDN w:val="0"/>
        <w:adjustRightInd w:val="0"/>
      </w:pPr>
      <w:r>
        <w:rPr>
          <w:b/>
          <w:bCs/>
        </w:rPr>
        <w:t xml:space="preserve">Fraas E. 1902. </w:t>
      </w:r>
      <w:r>
        <w:t xml:space="preserve">Die Meer-Krocodilier (Thalattosuchia) des oberen Jura unter specieller Berücksichtigung von </w:t>
      </w:r>
      <w:r>
        <w:rPr>
          <w:i/>
          <w:iCs/>
        </w:rPr>
        <w:t xml:space="preserve">Dacosaurus </w:t>
      </w:r>
      <w:r>
        <w:t xml:space="preserve">und </w:t>
      </w:r>
      <w:r>
        <w:rPr>
          <w:i/>
          <w:iCs/>
        </w:rPr>
        <w:t>Geosaurus</w:t>
      </w:r>
      <w:r>
        <w:t xml:space="preserve">. </w:t>
      </w:r>
      <w:r>
        <w:rPr>
          <w:i/>
          <w:iCs/>
        </w:rPr>
        <w:t>Palaeontographica</w:t>
      </w:r>
      <w:r>
        <w:t xml:space="preserve">, </w:t>
      </w:r>
      <w:r>
        <w:rPr>
          <w:b/>
        </w:rPr>
        <w:t>49</w:t>
      </w:r>
      <w:r>
        <w:t>: 1–72.</w:t>
      </w:r>
    </w:p>
    <w:p w14:paraId="5D8C6E03" w14:textId="77777777" w:rsidR="00497CE3" w:rsidRDefault="00497CE3" w:rsidP="00497CE3">
      <w:pPr>
        <w:autoSpaceDE w:val="0"/>
        <w:autoSpaceDN w:val="0"/>
        <w:adjustRightInd w:val="0"/>
      </w:pPr>
      <w:r>
        <w:rPr>
          <w:b/>
          <w:bCs/>
        </w:rPr>
        <w:t>Frey E, Buchy M-C, Stinnesbeck W, López-Oliva JG. 2002.</w:t>
      </w:r>
      <w:r>
        <w:rPr>
          <w:bCs/>
        </w:rPr>
        <w:t xml:space="preserve"> </w:t>
      </w:r>
      <w:r>
        <w:rPr>
          <w:i/>
          <w:iCs/>
        </w:rPr>
        <w:t>Geosaurus</w:t>
      </w:r>
      <w:r>
        <w:rPr>
          <w:iCs/>
        </w:rPr>
        <w:t xml:space="preserve"> </w:t>
      </w:r>
      <w:r>
        <w:rPr>
          <w:i/>
          <w:iCs/>
        </w:rPr>
        <w:t>vignaudi</w:t>
      </w:r>
      <w:r>
        <w:rPr>
          <w:iCs/>
        </w:rPr>
        <w:t xml:space="preserve"> </w:t>
      </w:r>
      <w:r>
        <w:t xml:space="preserve">n. sp. (Crocodylia, Thalattosuchia), first evidence of metriorhynchid crocodilians in the Late Jurassic (Tithonian) of central-east Mexico (State of Puebla). </w:t>
      </w:r>
      <w:r>
        <w:rPr>
          <w:i/>
          <w:iCs/>
        </w:rPr>
        <w:t>Canadian Journal of Earth Sciences</w:t>
      </w:r>
      <w:r>
        <w:rPr>
          <w:iCs/>
        </w:rPr>
        <w:t xml:space="preserve"> </w:t>
      </w:r>
      <w:r>
        <w:rPr>
          <w:b/>
          <w:bCs/>
        </w:rPr>
        <w:t>39</w:t>
      </w:r>
      <w:r>
        <w:rPr>
          <w:bCs/>
        </w:rPr>
        <w:t xml:space="preserve">: </w:t>
      </w:r>
      <w:r>
        <w:t>1467–1483.</w:t>
      </w:r>
    </w:p>
    <w:p w14:paraId="6F655BF4" w14:textId="77777777" w:rsidR="00497CE3" w:rsidRDefault="00497CE3" w:rsidP="00497CE3">
      <w:pPr>
        <w:autoSpaceDE w:val="0"/>
        <w:autoSpaceDN w:val="0"/>
        <w:adjustRightInd w:val="0"/>
        <w:rPr>
          <w:bCs/>
        </w:rPr>
      </w:pPr>
      <w:r>
        <w:rPr>
          <w:b/>
          <w:bCs/>
        </w:rPr>
        <w:t>Frey E, Riess J, Tarsitano SF. 1989.</w:t>
      </w:r>
      <w:r>
        <w:rPr>
          <w:bCs/>
        </w:rPr>
        <w:t xml:space="preserve"> The axial tail musculature of recent crocodiles and its phyletic implications. </w:t>
      </w:r>
      <w:r>
        <w:rPr>
          <w:bCs/>
          <w:i/>
        </w:rPr>
        <w:t>American Zoologist</w:t>
      </w:r>
      <w:r>
        <w:rPr>
          <w:bCs/>
        </w:rPr>
        <w:t xml:space="preserve"> </w:t>
      </w:r>
      <w:r>
        <w:rPr>
          <w:b/>
          <w:bCs/>
        </w:rPr>
        <w:t>29</w:t>
      </w:r>
      <w:r>
        <w:rPr>
          <w:bCs/>
        </w:rPr>
        <w:t>: 857–862.</w:t>
      </w:r>
    </w:p>
    <w:p w14:paraId="1E858AF1" w14:textId="77777777" w:rsidR="00497CE3" w:rsidRDefault="00497CE3" w:rsidP="00497CE3">
      <w:pPr>
        <w:autoSpaceDE w:val="0"/>
        <w:autoSpaceDN w:val="0"/>
        <w:adjustRightInd w:val="0"/>
      </w:pPr>
      <w:r>
        <w:rPr>
          <w:b/>
          <w:bCs/>
        </w:rPr>
        <w:t xml:space="preserve">Frey E, Salisbury SW. 2007. </w:t>
      </w:r>
      <w:r>
        <w:t>Crocodilians of the Crato Formation: evidence for enigmatic species. Pp. 463-474, pls 20</w:t>
      </w:r>
      <w:r>
        <w:rPr>
          <w:bCs/>
        </w:rPr>
        <w:t>–</w:t>
      </w:r>
      <w:r>
        <w:t xml:space="preserve">21 in D. M. Martill, G. Bechly &amp; R. F. Loveridge (eds). </w:t>
      </w:r>
      <w:r>
        <w:rPr>
          <w:i/>
        </w:rPr>
        <w:t>The Crato Fossil Beds of Brazil: window into an ancient world</w:t>
      </w:r>
      <w:r>
        <w:t>. Cambridge University Press, Cambridge.</w:t>
      </w:r>
    </w:p>
    <w:p w14:paraId="042FF73A" w14:textId="77777777" w:rsidR="00497CE3" w:rsidRPr="005734BB" w:rsidRDefault="00497CE3" w:rsidP="00497CE3">
      <w:pPr>
        <w:pStyle w:val="NoSpacing"/>
        <w:rPr>
          <w:rFonts w:eastAsia="Times New Roman"/>
          <w:lang w:val="es-AR" w:eastAsia="es-ES"/>
        </w:rPr>
      </w:pPr>
      <w:r w:rsidRPr="005734BB">
        <w:rPr>
          <w:rFonts w:eastAsia="Times New Roman"/>
          <w:b/>
          <w:lang w:eastAsia="es-AR"/>
        </w:rPr>
        <w:t>Galton PM. 1976.</w:t>
      </w:r>
      <w:r w:rsidRPr="005734BB">
        <w:rPr>
          <w:rFonts w:eastAsia="Times New Roman"/>
          <w:lang w:eastAsia="es-AR"/>
        </w:rPr>
        <w:t xml:space="preserve"> Prosauropod dinosaurs (Reptilia: Saurischia) of North America. </w:t>
      </w:r>
      <w:r w:rsidRPr="005734BB">
        <w:rPr>
          <w:rFonts w:eastAsia="Times New Roman"/>
          <w:i/>
          <w:lang w:val="es-AR" w:eastAsia="es-AR"/>
        </w:rPr>
        <w:t>Postilla</w:t>
      </w:r>
      <w:r w:rsidRPr="005734BB">
        <w:rPr>
          <w:rFonts w:eastAsia="Times New Roman"/>
          <w:lang w:val="es-AR" w:eastAsia="es-AR"/>
        </w:rPr>
        <w:t xml:space="preserve"> </w:t>
      </w:r>
      <w:r w:rsidRPr="005734BB">
        <w:rPr>
          <w:rFonts w:eastAsia="Times New Roman"/>
          <w:b/>
          <w:lang w:val="es-AR" w:eastAsia="es-AR"/>
        </w:rPr>
        <w:t>169</w:t>
      </w:r>
      <w:r w:rsidRPr="005734BB">
        <w:rPr>
          <w:rFonts w:eastAsia="Times New Roman"/>
          <w:lang w:val="es-AR" w:eastAsia="es-AR"/>
        </w:rPr>
        <w:t>: 1</w:t>
      </w:r>
      <w:r w:rsidRPr="005734BB">
        <w:t>–</w:t>
      </w:r>
      <w:r w:rsidRPr="005734BB">
        <w:rPr>
          <w:rFonts w:eastAsia="Times New Roman"/>
          <w:lang w:val="es-AR" w:eastAsia="es-AR"/>
        </w:rPr>
        <w:t>98.</w:t>
      </w:r>
    </w:p>
    <w:p w14:paraId="3F2C1DF9" w14:textId="77777777" w:rsidR="00497CE3" w:rsidRDefault="00497CE3" w:rsidP="00497CE3">
      <w:pPr>
        <w:autoSpaceDE w:val="0"/>
        <w:autoSpaceDN w:val="0"/>
        <w:adjustRightInd w:val="0"/>
      </w:pPr>
      <w:r>
        <w:rPr>
          <w:b/>
          <w:bCs/>
        </w:rPr>
        <w:t xml:space="preserve">Gandola R, Buffetaut E, Monaghan N, Dyke G. 2006. </w:t>
      </w:r>
      <w:r>
        <w:t xml:space="preserve">Salt glands in the fossil Crocodile </w:t>
      </w:r>
      <w:r>
        <w:rPr>
          <w:i/>
        </w:rPr>
        <w:t>Metriorhynchus</w:t>
      </w:r>
      <w:r>
        <w:t xml:space="preserve">. </w:t>
      </w:r>
      <w:r>
        <w:rPr>
          <w:i/>
          <w:iCs/>
        </w:rPr>
        <w:t>Journal of Vertebrate Paleontology</w:t>
      </w:r>
      <w:r>
        <w:t xml:space="preserve"> </w:t>
      </w:r>
      <w:r>
        <w:rPr>
          <w:b/>
        </w:rPr>
        <w:t xml:space="preserve">26 </w:t>
      </w:r>
      <w:r>
        <w:t>(4): 1009–1010.</w:t>
      </w:r>
    </w:p>
    <w:p w14:paraId="1A86B240" w14:textId="77777777" w:rsidR="00497CE3" w:rsidRDefault="00497CE3" w:rsidP="00497CE3">
      <w:pPr>
        <w:autoSpaceDE w:val="0"/>
        <w:autoSpaceDN w:val="0"/>
        <w:adjustRightInd w:val="0"/>
      </w:pPr>
      <w:r>
        <w:rPr>
          <w:b/>
          <w:bCs/>
        </w:rPr>
        <w:t xml:space="preserve">Gao Y. 2001. </w:t>
      </w:r>
      <w:r>
        <w:t xml:space="preserve">[A new species of </w:t>
      </w:r>
      <w:r>
        <w:rPr>
          <w:i/>
          <w:iCs/>
        </w:rPr>
        <w:t xml:space="preserve">Hsisosuchus </w:t>
      </w:r>
      <w:r>
        <w:t xml:space="preserve">(Mesoeucrocodylia) from Dashanpu, Zigong Municipality, Sichuan Province]. </w:t>
      </w:r>
      <w:r>
        <w:rPr>
          <w:i/>
          <w:iCs/>
        </w:rPr>
        <w:t>Vertebrata Palasiatica</w:t>
      </w:r>
      <w:r>
        <w:t xml:space="preserve"> </w:t>
      </w:r>
      <w:r>
        <w:rPr>
          <w:b/>
        </w:rPr>
        <w:t xml:space="preserve">39 </w:t>
      </w:r>
      <w:r>
        <w:t>(3): 177–184. [in Chinese]</w:t>
      </w:r>
    </w:p>
    <w:p w14:paraId="3C70FE18" w14:textId="77777777" w:rsidR="00497CE3" w:rsidRDefault="00497CE3" w:rsidP="00497CE3">
      <w:pPr>
        <w:autoSpaceDE w:val="0"/>
        <w:autoSpaceDN w:val="0"/>
        <w:adjustRightInd w:val="0"/>
      </w:pPr>
      <w:bookmarkStart w:id="80" w:name="_Hlk489640503"/>
      <w:r>
        <w:rPr>
          <w:b/>
          <w:bCs/>
        </w:rPr>
        <w:t xml:space="preserve">Gasparini ZB. 1971. </w:t>
      </w:r>
      <w:r>
        <w:t xml:space="preserve">Los Notosuchia del Cretacico de America del Sur como un nuevo infraorden de los Mesosuchia (Crocodilia). </w:t>
      </w:r>
      <w:r>
        <w:rPr>
          <w:i/>
          <w:iCs/>
        </w:rPr>
        <w:t xml:space="preserve">Ameghiniana </w:t>
      </w:r>
      <w:r>
        <w:rPr>
          <w:b/>
          <w:bCs/>
        </w:rPr>
        <w:t xml:space="preserve">8: </w:t>
      </w:r>
      <w:r>
        <w:t>83–103.</w:t>
      </w:r>
    </w:p>
    <w:bookmarkEnd w:id="80"/>
    <w:p w14:paraId="55D0A513" w14:textId="77777777" w:rsidR="00497CE3" w:rsidRDefault="00497CE3" w:rsidP="00497CE3">
      <w:pPr>
        <w:autoSpaceDE w:val="0"/>
        <w:autoSpaceDN w:val="0"/>
        <w:adjustRightInd w:val="0"/>
      </w:pPr>
      <w:r>
        <w:rPr>
          <w:b/>
          <w:bCs/>
        </w:rPr>
        <w:t xml:space="preserve">Gasparini Z, Chiappe LM, Fernández M. 1991. </w:t>
      </w:r>
      <w:r>
        <w:t xml:space="preserve">A new Senonian peirosaurid (Crocodylomorpha) from Argentina and a synopsis of the South American Cretaceous crocodilians. </w:t>
      </w:r>
      <w:r>
        <w:rPr>
          <w:i/>
          <w:iCs/>
        </w:rPr>
        <w:t>Journal of Vertebrate Paleontology</w:t>
      </w:r>
      <w:r>
        <w:t xml:space="preserve"> </w:t>
      </w:r>
      <w:r>
        <w:rPr>
          <w:b/>
        </w:rPr>
        <w:t>11</w:t>
      </w:r>
      <w:r>
        <w:t>: 316–333.</w:t>
      </w:r>
    </w:p>
    <w:p w14:paraId="4059B93F" w14:textId="77777777" w:rsidR="00497CE3" w:rsidRDefault="00497CE3" w:rsidP="00497CE3">
      <w:pPr>
        <w:autoSpaceDE w:val="0"/>
        <w:autoSpaceDN w:val="0"/>
        <w:adjustRightInd w:val="0"/>
      </w:pPr>
      <w:r>
        <w:rPr>
          <w:b/>
          <w:bCs/>
        </w:rPr>
        <w:t>Gasparini Z, Chong G. 1977.</w:t>
      </w:r>
      <w:r>
        <w:rPr>
          <w:bCs/>
        </w:rPr>
        <w:t xml:space="preserve"> </w:t>
      </w:r>
      <w:r>
        <w:rPr>
          <w:i/>
          <w:iCs/>
        </w:rPr>
        <w:t>Metriorhynchus casamiquelai</w:t>
      </w:r>
      <w:r>
        <w:rPr>
          <w:iCs/>
        </w:rPr>
        <w:t xml:space="preserve"> </w:t>
      </w:r>
      <w:r>
        <w:t xml:space="preserve">n. sp. (Crocodilia, Thalattosuchia) a marine crocodile from the Jurassic (Callovian) of Chile, South America. </w:t>
      </w:r>
      <w:r>
        <w:rPr>
          <w:i/>
          <w:iCs/>
        </w:rPr>
        <w:t>Neues Jahrbuch für Geologie und Paläontologie, Abhandlungen</w:t>
      </w:r>
      <w:r>
        <w:rPr>
          <w:bCs/>
        </w:rPr>
        <w:t xml:space="preserve"> </w:t>
      </w:r>
      <w:r>
        <w:rPr>
          <w:b/>
          <w:bCs/>
        </w:rPr>
        <w:t>153</w:t>
      </w:r>
      <w:r>
        <w:rPr>
          <w:bCs/>
        </w:rPr>
        <w:t xml:space="preserve">: </w:t>
      </w:r>
      <w:r>
        <w:t>341–360.</w:t>
      </w:r>
    </w:p>
    <w:p w14:paraId="4D247C94" w14:textId="77777777" w:rsidR="00497CE3" w:rsidRPr="00F4758E" w:rsidRDefault="00497CE3" w:rsidP="00497CE3">
      <w:pPr>
        <w:pStyle w:val="Heading2"/>
        <w:spacing w:before="0"/>
        <w:rPr>
          <w:rFonts w:ascii="Times New Roman" w:hAnsi="Times New Roman"/>
          <w:b w:val="0"/>
          <w:i w:val="0"/>
          <w:sz w:val="24"/>
          <w:szCs w:val="24"/>
        </w:rPr>
      </w:pPr>
      <w:r w:rsidRPr="00F4758E">
        <w:rPr>
          <w:rFonts w:ascii="Times New Roman" w:eastAsia="Calibri" w:hAnsi="Times New Roman"/>
          <w:bCs w:val="0"/>
          <w:i w:val="0"/>
          <w:sz w:val="24"/>
          <w:szCs w:val="24"/>
          <w:lang w:eastAsia="en-GB"/>
        </w:rPr>
        <w:t>Gasparini Z, Cichowolski M, Lazo DG. 2005.</w:t>
      </w:r>
      <w:r w:rsidRPr="00F4758E">
        <w:rPr>
          <w:rFonts w:ascii="Times New Roman" w:eastAsia="Calibri" w:hAnsi="Times New Roman"/>
          <w:bCs w:val="0"/>
          <w:sz w:val="24"/>
          <w:szCs w:val="24"/>
          <w:lang w:eastAsia="en-GB"/>
        </w:rPr>
        <w:t xml:space="preserve"> </w:t>
      </w:r>
      <w:r w:rsidRPr="00F4758E">
        <w:rPr>
          <w:rFonts w:ascii="Times New Roman" w:eastAsia="Calibri" w:hAnsi="Times New Roman"/>
          <w:b w:val="0"/>
          <w:bCs w:val="0"/>
          <w:i w:val="0"/>
          <w:sz w:val="24"/>
          <w:szCs w:val="24"/>
          <w:lang w:eastAsia="en-GB"/>
        </w:rPr>
        <w:t xml:space="preserve">First record of </w:t>
      </w:r>
      <w:r w:rsidRPr="00F4758E">
        <w:rPr>
          <w:rFonts w:ascii="Times New Roman" w:eastAsia="Calibri" w:hAnsi="Times New Roman"/>
          <w:b w:val="0"/>
          <w:bCs w:val="0"/>
          <w:sz w:val="24"/>
          <w:szCs w:val="24"/>
          <w:lang w:eastAsia="en-GB"/>
        </w:rPr>
        <w:t>Metriorhynchus</w:t>
      </w:r>
      <w:r w:rsidRPr="00F4758E">
        <w:rPr>
          <w:rFonts w:ascii="Times New Roman" w:eastAsia="Calibri" w:hAnsi="Times New Roman"/>
          <w:b w:val="0"/>
          <w:bCs w:val="0"/>
          <w:i w:val="0"/>
          <w:sz w:val="24"/>
          <w:szCs w:val="24"/>
          <w:lang w:eastAsia="en-GB"/>
        </w:rPr>
        <w:t xml:space="preserve"> (Reptilia: Crocodyliformes) in the Bathonian (Middle Jurassic) of the Eastern Pacific.</w:t>
      </w:r>
      <w:r w:rsidRPr="00F4758E">
        <w:rPr>
          <w:rStyle w:val="Heading1Char"/>
          <w:rFonts w:eastAsiaTheme="majorEastAsia"/>
          <w:b/>
          <w:i w:val="0"/>
          <w:sz w:val="24"/>
          <w:szCs w:val="24"/>
        </w:rPr>
        <w:t xml:space="preserve"> </w:t>
      </w:r>
      <w:r w:rsidRPr="00F4758E">
        <w:rPr>
          <w:rStyle w:val="Emphasis"/>
          <w:rFonts w:ascii="Times New Roman" w:hAnsi="Times New Roman"/>
          <w:b w:val="0"/>
          <w:sz w:val="24"/>
          <w:szCs w:val="24"/>
        </w:rPr>
        <w:t xml:space="preserve">Journal of Paleontology </w:t>
      </w:r>
      <w:r w:rsidRPr="00F4758E">
        <w:rPr>
          <w:rFonts w:ascii="Times New Roman" w:hAnsi="Times New Roman"/>
          <w:b w:val="0"/>
          <w:i w:val="0"/>
          <w:sz w:val="24"/>
          <w:szCs w:val="24"/>
        </w:rPr>
        <w:t>79: 801–805.</w:t>
      </w:r>
    </w:p>
    <w:p w14:paraId="0BCC19AD" w14:textId="77777777" w:rsidR="00497CE3" w:rsidRDefault="00497CE3" w:rsidP="00497CE3">
      <w:pPr>
        <w:autoSpaceDE w:val="0"/>
        <w:autoSpaceDN w:val="0"/>
        <w:adjustRightInd w:val="0"/>
      </w:pPr>
      <w:bookmarkStart w:id="81" w:name="_Hlk489640512"/>
      <w:r>
        <w:rPr>
          <w:b/>
          <w:bCs/>
        </w:rPr>
        <w:t xml:space="preserve">Gasparini Z, Dellapé D. 1976. </w:t>
      </w:r>
      <w:r>
        <w:t xml:space="preserve">Un nuevo cocodrilo marino (Thalattosuchia, Metriorhynchidae) de la Formacion Vaca Muerta (Jurasico, Tithoniano) de la Província de Neuquén (República Argentina). </w:t>
      </w:r>
      <w:r>
        <w:rPr>
          <w:i/>
          <w:iCs/>
        </w:rPr>
        <w:t>In</w:t>
      </w:r>
      <w:r>
        <w:t xml:space="preserve">: Congreso Geologico Chileno, 1., 1976, Santiago. </w:t>
      </w:r>
      <w:r>
        <w:rPr>
          <w:i/>
          <w:iCs/>
        </w:rPr>
        <w:t xml:space="preserve">Resumos. </w:t>
      </w:r>
      <w:r>
        <w:t>Santiago: c1– c21.</w:t>
      </w:r>
    </w:p>
    <w:bookmarkEnd w:id="81"/>
    <w:p w14:paraId="3001C882" w14:textId="77777777" w:rsidR="00497CE3" w:rsidRDefault="00497CE3" w:rsidP="00497CE3">
      <w:pPr>
        <w:autoSpaceDE w:val="0"/>
        <w:autoSpaceDN w:val="0"/>
        <w:adjustRightInd w:val="0"/>
      </w:pPr>
      <w:r>
        <w:rPr>
          <w:b/>
          <w:bCs/>
        </w:rPr>
        <w:t>Gasparini Z, Iturralde-Vinent M. 2001.</w:t>
      </w:r>
      <w:r>
        <w:rPr>
          <w:bCs/>
        </w:rPr>
        <w:t xml:space="preserve"> </w:t>
      </w:r>
      <w:r>
        <w:t xml:space="preserve">Metriorhynchid crocodiles (Crocodyliformes) from the Oxfordian of Western Cuba. </w:t>
      </w:r>
      <w:r>
        <w:rPr>
          <w:i/>
          <w:iCs/>
        </w:rPr>
        <w:t>Neues Jahrbuch für Geologie und Paläontologie, Monatshefte</w:t>
      </w:r>
      <w:r>
        <w:rPr>
          <w:iCs/>
        </w:rPr>
        <w:t xml:space="preserve"> </w:t>
      </w:r>
      <w:r>
        <w:rPr>
          <w:b/>
          <w:bCs/>
        </w:rPr>
        <w:t>9</w:t>
      </w:r>
      <w:r>
        <w:rPr>
          <w:bCs/>
        </w:rPr>
        <w:t xml:space="preserve">: </w:t>
      </w:r>
      <w:r>
        <w:t>534–542.</w:t>
      </w:r>
    </w:p>
    <w:p w14:paraId="4F75E1B7" w14:textId="77777777" w:rsidR="00497CE3" w:rsidRDefault="00497CE3" w:rsidP="00497CE3">
      <w:pPr>
        <w:autoSpaceDE w:val="0"/>
        <w:autoSpaceDN w:val="0"/>
        <w:adjustRightInd w:val="0"/>
      </w:pPr>
      <w:r>
        <w:rPr>
          <w:b/>
          <w:bCs/>
        </w:rPr>
        <w:t xml:space="preserve">Gasparini Z, Pol D, Spalletti LA. 2006. </w:t>
      </w:r>
      <w:r>
        <w:t xml:space="preserve">An unusual marine crocodyliform from the Jurassic–Cretaceous boundary of Patagonia. </w:t>
      </w:r>
      <w:r>
        <w:rPr>
          <w:i/>
          <w:iCs/>
        </w:rPr>
        <w:t>Science</w:t>
      </w:r>
      <w:r>
        <w:t xml:space="preserve"> </w:t>
      </w:r>
      <w:r>
        <w:rPr>
          <w:b/>
        </w:rPr>
        <w:t>311</w:t>
      </w:r>
      <w:r>
        <w:t>: 70–73.</w:t>
      </w:r>
    </w:p>
    <w:p w14:paraId="7861160C" w14:textId="77777777" w:rsidR="00497CE3" w:rsidRDefault="00497CE3" w:rsidP="00497CE3">
      <w:pPr>
        <w:autoSpaceDE w:val="0"/>
        <w:autoSpaceDN w:val="0"/>
        <w:adjustRightInd w:val="0"/>
      </w:pPr>
      <w:r>
        <w:rPr>
          <w:b/>
          <w:bCs/>
        </w:rPr>
        <w:t>Gasparini Z, Vignaud P, Chong, G. 2000.</w:t>
      </w:r>
      <w:r>
        <w:rPr>
          <w:bCs/>
        </w:rPr>
        <w:t xml:space="preserve"> </w:t>
      </w:r>
      <w:r>
        <w:t xml:space="preserve">The Jurassic Thalattosuchia (Crocodyliformes) of Chile: a paleobiogeographic approach. </w:t>
      </w:r>
      <w:r>
        <w:rPr>
          <w:i/>
          <w:iCs/>
        </w:rPr>
        <w:t>Bulletin de la Société Géologique de France</w:t>
      </w:r>
      <w:r>
        <w:rPr>
          <w:iCs/>
        </w:rPr>
        <w:t xml:space="preserve"> </w:t>
      </w:r>
      <w:r>
        <w:rPr>
          <w:b/>
          <w:bCs/>
        </w:rPr>
        <w:t>171</w:t>
      </w:r>
      <w:r>
        <w:rPr>
          <w:bCs/>
        </w:rPr>
        <w:t xml:space="preserve">: </w:t>
      </w:r>
      <w:r>
        <w:t>657–664.</w:t>
      </w:r>
    </w:p>
    <w:p w14:paraId="3F97D221" w14:textId="77777777" w:rsidR="00497CE3" w:rsidRDefault="00497CE3" w:rsidP="00497CE3">
      <w:pPr>
        <w:autoSpaceDE w:val="0"/>
        <w:autoSpaceDN w:val="0"/>
        <w:adjustRightInd w:val="0"/>
      </w:pPr>
      <w:r>
        <w:rPr>
          <w:b/>
        </w:rPr>
        <w:t>George ID, Holliday CM. 2013.</w:t>
      </w:r>
      <w:r>
        <w:t xml:space="preserve"> Trigeminal nerve morphology in </w:t>
      </w:r>
      <w:r>
        <w:rPr>
          <w:i/>
        </w:rPr>
        <w:t>Alligator mississippiensis</w:t>
      </w:r>
      <w:r>
        <w:t xml:space="preserve"> and its significance for crocodyliform facial sensation and evolution. </w:t>
      </w:r>
      <w:r>
        <w:rPr>
          <w:i/>
        </w:rPr>
        <w:t>The Anatomical Record</w:t>
      </w:r>
      <w:r>
        <w:t xml:space="preserve"> </w:t>
      </w:r>
      <w:r>
        <w:rPr>
          <w:b/>
        </w:rPr>
        <w:t>296</w:t>
      </w:r>
      <w:r>
        <w:t xml:space="preserve"> (4): 670–680.</w:t>
      </w:r>
    </w:p>
    <w:p w14:paraId="3E651AEC" w14:textId="77777777" w:rsidR="00497CE3" w:rsidRDefault="00497CE3" w:rsidP="00497CE3">
      <w:pPr>
        <w:contextualSpacing/>
      </w:pPr>
      <w:r w:rsidRPr="00F4758E">
        <w:rPr>
          <w:b/>
        </w:rPr>
        <w:t>Georgi JA, Krause DW. 2010.</w:t>
      </w:r>
      <w:r w:rsidRPr="00A760BE">
        <w:t xml:space="preserve"> Postcranial axial skeleton of </w:t>
      </w:r>
      <w:r w:rsidRPr="00A760BE">
        <w:rPr>
          <w:i/>
        </w:rPr>
        <w:t>Simosuchus clarki</w:t>
      </w:r>
      <w:r w:rsidRPr="00A760BE">
        <w:t xml:space="preserve"> (Crocodyliformes: Notosuchia) from the Late Cretaceous of Madagascar. </w:t>
      </w:r>
      <w:r w:rsidRPr="00F4758E">
        <w:rPr>
          <w:i/>
        </w:rPr>
        <w:t>Soc</w:t>
      </w:r>
      <w:r>
        <w:rPr>
          <w:i/>
        </w:rPr>
        <w:t>iety of</w:t>
      </w:r>
      <w:r w:rsidRPr="00F4758E">
        <w:rPr>
          <w:i/>
        </w:rPr>
        <w:t xml:space="preserve"> Vert</w:t>
      </w:r>
      <w:r>
        <w:rPr>
          <w:i/>
        </w:rPr>
        <w:t>ebrate</w:t>
      </w:r>
      <w:r w:rsidRPr="00F4758E">
        <w:rPr>
          <w:i/>
        </w:rPr>
        <w:t xml:space="preserve"> Paleontol</w:t>
      </w:r>
      <w:r>
        <w:rPr>
          <w:i/>
        </w:rPr>
        <w:t>ogy</w:t>
      </w:r>
      <w:r w:rsidRPr="00F4758E">
        <w:rPr>
          <w:i/>
        </w:rPr>
        <w:t xml:space="preserve"> Mem</w:t>
      </w:r>
      <w:r>
        <w:rPr>
          <w:i/>
        </w:rPr>
        <w:t>ior</w:t>
      </w:r>
      <w:r w:rsidRPr="00A760BE">
        <w:t xml:space="preserve"> </w:t>
      </w:r>
      <w:r w:rsidRPr="00F4758E">
        <w:rPr>
          <w:b/>
        </w:rPr>
        <w:t>10</w:t>
      </w:r>
      <w:r w:rsidRPr="00A760BE">
        <w:t>:</w:t>
      </w:r>
      <w:r>
        <w:t xml:space="preserve"> </w:t>
      </w:r>
      <w:r w:rsidRPr="00A760BE">
        <w:t>99</w:t>
      </w:r>
      <w:r>
        <w:t>–</w:t>
      </w:r>
      <w:r w:rsidRPr="00A760BE">
        <w:t>121.</w:t>
      </w:r>
    </w:p>
    <w:p w14:paraId="47C6AEE5" w14:textId="77777777" w:rsidR="00497CE3" w:rsidRDefault="00497CE3" w:rsidP="00497CE3">
      <w:pPr>
        <w:autoSpaceDE w:val="0"/>
        <w:autoSpaceDN w:val="0"/>
        <w:adjustRightInd w:val="0"/>
      </w:pPr>
      <w:r>
        <w:rPr>
          <w:b/>
          <w:bCs/>
        </w:rPr>
        <w:t>Gervais P. 1871.</w:t>
      </w:r>
      <w:r>
        <w:rPr>
          <w:bCs/>
        </w:rPr>
        <w:t xml:space="preserve"> </w:t>
      </w:r>
      <w:r>
        <w:t xml:space="preserve">Remarques au sujet des Reptiles provenant des calcaires lithographiques de Cerin, dans le Bugey, qui sont conservés au Musée de Lyon. </w:t>
      </w:r>
      <w:r>
        <w:rPr>
          <w:i/>
          <w:iCs/>
        </w:rPr>
        <w:t xml:space="preserve">Comptes Rendus des Séances de l’Academie de Sciences </w:t>
      </w:r>
      <w:r>
        <w:rPr>
          <w:b/>
          <w:bCs/>
        </w:rPr>
        <w:t>73</w:t>
      </w:r>
      <w:r>
        <w:rPr>
          <w:bCs/>
        </w:rPr>
        <w:t xml:space="preserve">: </w:t>
      </w:r>
      <w:r>
        <w:t>603–607.</w:t>
      </w:r>
    </w:p>
    <w:p w14:paraId="2C3054E5" w14:textId="77777777" w:rsidR="00497CE3" w:rsidRDefault="00497CE3" w:rsidP="00497CE3">
      <w:pPr>
        <w:rPr>
          <w:b/>
        </w:rPr>
      </w:pPr>
      <w:r>
        <w:rPr>
          <w:b/>
        </w:rPr>
        <w:t>Gmelin JF. 1789.</w:t>
      </w:r>
      <w:r>
        <w:t xml:space="preserve"> Caroli a Linné, Systema naturae per regna tria naturae, secundum classes, ordines, genera, species, cum characteribus, differentiis, synonymis, locis. Tomus 1 Pars 3, p. 1057–1058. G.E. Beer, Lipsiae.</w:t>
      </w:r>
    </w:p>
    <w:p w14:paraId="55359687" w14:textId="77777777" w:rsidR="00497CE3" w:rsidRDefault="00497CE3" w:rsidP="00497CE3">
      <w:pPr>
        <w:autoSpaceDE w:val="0"/>
        <w:autoSpaceDN w:val="0"/>
        <w:adjustRightInd w:val="0"/>
      </w:pPr>
      <w:r>
        <w:rPr>
          <w:b/>
          <w:bCs/>
        </w:rPr>
        <w:t xml:space="preserve">Gomani EM. 1997. </w:t>
      </w:r>
      <w:r>
        <w:t xml:space="preserve">A Crocodiliform from the Early Cretaceous Dinosaur Beds, Northern Malawi. </w:t>
      </w:r>
      <w:r>
        <w:rPr>
          <w:i/>
          <w:iCs/>
        </w:rPr>
        <w:t>Journal of Vertebrate Paleontology</w:t>
      </w:r>
      <w:r>
        <w:t xml:space="preserve"> </w:t>
      </w:r>
      <w:r>
        <w:rPr>
          <w:b/>
        </w:rPr>
        <w:t xml:space="preserve">17 </w:t>
      </w:r>
      <w:r>
        <w:t>(2): 280–294.</w:t>
      </w:r>
    </w:p>
    <w:p w14:paraId="03DCA1DF" w14:textId="77777777" w:rsidR="00497CE3" w:rsidRDefault="00497CE3" w:rsidP="00497CE3">
      <w:pPr>
        <w:autoSpaceDE w:val="0"/>
        <w:autoSpaceDN w:val="0"/>
        <w:adjustRightInd w:val="0"/>
      </w:pPr>
      <w:r>
        <w:rPr>
          <w:rFonts w:eastAsia="Times New Roman"/>
          <w:b/>
          <w:lang w:val="en-US"/>
        </w:rPr>
        <w:t>Gow CE.</w:t>
      </w:r>
      <w:r>
        <w:rPr>
          <w:rFonts w:eastAsia="Times New Roman"/>
          <w:lang w:val="en-US"/>
        </w:rPr>
        <w:t xml:space="preserve"> </w:t>
      </w:r>
      <w:r>
        <w:rPr>
          <w:rFonts w:eastAsia="Times New Roman"/>
          <w:b/>
          <w:lang w:val="en-US"/>
        </w:rPr>
        <w:t>2000.</w:t>
      </w:r>
      <w:r>
        <w:rPr>
          <w:rFonts w:eastAsia="Times New Roman"/>
          <w:lang w:val="en-US"/>
        </w:rPr>
        <w:t xml:space="preserve"> The skull of </w:t>
      </w:r>
      <w:r>
        <w:rPr>
          <w:rFonts w:eastAsia="Times New Roman"/>
          <w:i/>
          <w:lang w:val="en-US"/>
        </w:rPr>
        <w:t>Protosuchus haughtoni</w:t>
      </w:r>
      <w:r>
        <w:rPr>
          <w:rFonts w:eastAsia="Times New Roman"/>
          <w:lang w:val="en-US"/>
        </w:rPr>
        <w:t xml:space="preserve">, an Early Jurassic crocodyliform from Southern Africa. </w:t>
      </w:r>
      <w:r>
        <w:rPr>
          <w:rFonts w:eastAsia="Times New Roman"/>
          <w:i/>
          <w:lang w:val="en-US"/>
        </w:rPr>
        <w:t>Journal of Vertebrate Paleontology</w:t>
      </w:r>
      <w:r>
        <w:rPr>
          <w:rFonts w:eastAsia="Times New Roman"/>
          <w:lang w:val="en-US"/>
        </w:rPr>
        <w:t xml:space="preserve"> </w:t>
      </w:r>
      <w:r>
        <w:rPr>
          <w:rFonts w:eastAsia="Times New Roman"/>
          <w:b/>
          <w:lang w:val="en-US"/>
        </w:rPr>
        <w:t>20</w:t>
      </w:r>
      <w:r>
        <w:rPr>
          <w:rFonts w:eastAsia="Times New Roman"/>
          <w:lang w:val="en-US"/>
        </w:rPr>
        <w:t>: 49</w:t>
      </w:r>
      <w:r>
        <w:t>–</w:t>
      </w:r>
      <w:r>
        <w:rPr>
          <w:rFonts w:eastAsia="Times New Roman"/>
          <w:lang w:val="en-US"/>
        </w:rPr>
        <w:t>56.</w:t>
      </w:r>
    </w:p>
    <w:p w14:paraId="423A9FE9" w14:textId="77777777" w:rsidR="00497CE3" w:rsidRDefault="00497CE3" w:rsidP="00497CE3">
      <w:pPr>
        <w:autoSpaceDE w:val="0"/>
        <w:autoSpaceDN w:val="0"/>
        <w:adjustRightInd w:val="0"/>
      </w:pPr>
      <w:r>
        <w:rPr>
          <w:b/>
        </w:rPr>
        <w:t>Gower DJ. 2002.</w:t>
      </w:r>
      <w:r>
        <w:t xml:space="preserve"> Braincase evolution in suchian archosaurs (Reptilia: Diapsida): evidence from the rauisuchian </w:t>
      </w:r>
      <w:r>
        <w:rPr>
          <w:i/>
        </w:rPr>
        <w:t>Batrachotomus kupferzellensis</w:t>
      </w:r>
      <w:r>
        <w:t xml:space="preserve">. </w:t>
      </w:r>
      <w:r>
        <w:rPr>
          <w:i/>
        </w:rPr>
        <w:t>Zoological Journal of the Linnean Society</w:t>
      </w:r>
      <w:r>
        <w:t xml:space="preserve"> </w:t>
      </w:r>
      <w:r>
        <w:rPr>
          <w:b/>
        </w:rPr>
        <w:t>136</w:t>
      </w:r>
      <w:r>
        <w:t>: 49–76.</w:t>
      </w:r>
    </w:p>
    <w:p w14:paraId="5E157473" w14:textId="77777777" w:rsidR="00497CE3" w:rsidRPr="005734BB" w:rsidRDefault="00497CE3" w:rsidP="00497CE3">
      <w:pPr>
        <w:pStyle w:val="NoSpacing"/>
      </w:pPr>
      <w:r w:rsidRPr="005734BB">
        <w:rPr>
          <w:b/>
        </w:rPr>
        <w:t>Göhlich UB, Chiappe LM, Clark JM, Sues H-D. 2005</w:t>
      </w:r>
      <w:r w:rsidRPr="005734BB">
        <w:t xml:space="preserve">. The systematic position of the Late Jurassic alleged dinosaur </w:t>
      </w:r>
      <w:r w:rsidRPr="005734BB">
        <w:rPr>
          <w:i/>
        </w:rPr>
        <w:t>Macelognathus</w:t>
      </w:r>
      <w:r w:rsidRPr="005734BB">
        <w:t xml:space="preserve"> (Crocodylomorpha: Sphenosuchia). </w:t>
      </w:r>
      <w:r w:rsidRPr="005734BB">
        <w:rPr>
          <w:i/>
        </w:rPr>
        <w:t>Canadian Journal of Earth</w:t>
      </w:r>
      <w:r w:rsidRPr="005734BB">
        <w:t xml:space="preserve"> Sciences </w:t>
      </w:r>
      <w:r w:rsidRPr="005734BB">
        <w:rPr>
          <w:b/>
        </w:rPr>
        <w:t>42</w:t>
      </w:r>
      <w:r w:rsidRPr="005734BB">
        <w:t>: 307–321.</w:t>
      </w:r>
    </w:p>
    <w:p w14:paraId="78215290" w14:textId="77777777" w:rsidR="00497CE3" w:rsidRDefault="00497CE3" w:rsidP="00497CE3">
      <w:pPr>
        <w:autoSpaceDE w:val="0"/>
        <w:autoSpaceDN w:val="0"/>
        <w:adjustRightInd w:val="0"/>
      </w:pPr>
      <w:r>
        <w:rPr>
          <w:b/>
          <w:bCs/>
        </w:rPr>
        <w:t xml:space="preserve">Grange DR, Benton MJ. 1996. </w:t>
      </w:r>
      <w:r>
        <w:t xml:space="preserve">Kimmeridgian metriorhynchid crocodiles from England. </w:t>
      </w:r>
      <w:r>
        <w:rPr>
          <w:i/>
          <w:iCs/>
        </w:rPr>
        <w:t>Palaeontology</w:t>
      </w:r>
      <w:r>
        <w:t xml:space="preserve"> </w:t>
      </w:r>
      <w:r>
        <w:rPr>
          <w:b/>
        </w:rPr>
        <w:t xml:space="preserve">39 </w:t>
      </w:r>
      <w:r>
        <w:t>(2): 497–514.</w:t>
      </w:r>
    </w:p>
    <w:p w14:paraId="31696902" w14:textId="77777777" w:rsidR="00497CE3" w:rsidRDefault="00497CE3" w:rsidP="00497CE3">
      <w:pPr>
        <w:autoSpaceDE w:val="0"/>
        <w:autoSpaceDN w:val="0"/>
        <w:adjustRightInd w:val="0"/>
        <w:rPr>
          <w:lang w:val="en-US"/>
        </w:rPr>
      </w:pPr>
      <w:r>
        <w:rPr>
          <w:b/>
          <w:lang w:val="en-US"/>
        </w:rPr>
        <w:t xml:space="preserve">Halliday TJ, Andrade MB, Benton MJ, Efimov MB. 2013. </w:t>
      </w:r>
      <w:r>
        <w:rPr>
          <w:lang w:val="en-US"/>
        </w:rPr>
        <w:t xml:space="preserve">A re-evaluation of goniopholidid crocodylomorph material from Central Asia: Biogeographic and phylogenetic implications. </w:t>
      </w:r>
      <w:r>
        <w:rPr>
          <w:i/>
          <w:iCs/>
          <w:lang w:val="en-US"/>
        </w:rPr>
        <w:t>Acta Palaeontologica Polonica</w:t>
      </w:r>
      <w:r>
        <w:rPr>
          <w:b/>
          <w:lang w:val="en-US"/>
        </w:rPr>
        <w:t xml:space="preserve"> </w:t>
      </w:r>
      <w:r>
        <w:rPr>
          <w:b/>
          <w:iCs/>
          <w:lang w:val="en-US"/>
        </w:rPr>
        <w:t>60</w:t>
      </w:r>
      <w:r>
        <w:rPr>
          <w:lang w:val="en-US"/>
        </w:rPr>
        <w:t>: 291</w:t>
      </w:r>
      <w:r>
        <w:t>–</w:t>
      </w:r>
      <w:r>
        <w:rPr>
          <w:lang w:val="en-US"/>
        </w:rPr>
        <w:t>312.</w:t>
      </w:r>
    </w:p>
    <w:p w14:paraId="33EE2D98" w14:textId="77777777" w:rsidR="00497CE3" w:rsidRDefault="00497CE3" w:rsidP="00497CE3">
      <w:pPr>
        <w:autoSpaceDE w:val="0"/>
        <w:autoSpaceDN w:val="0"/>
        <w:adjustRightInd w:val="0"/>
      </w:pPr>
      <w:r>
        <w:rPr>
          <w:b/>
        </w:rPr>
        <w:t>Halstead LB. 1975.</w:t>
      </w:r>
      <w:r>
        <w:t xml:space="preserve"> </w:t>
      </w:r>
      <w:r>
        <w:rPr>
          <w:i/>
        </w:rPr>
        <w:t>Sokotosuchus ianwilsoni</w:t>
      </w:r>
      <w:r>
        <w:t xml:space="preserve"> n. g., n. sp., a new teleosaur crocodile from the Upper Cretaceous of Nigeria. </w:t>
      </w:r>
      <w:r>
        <w:rPr>
          <w:i/>
        </w:rPr>
        <w:t>Journal of Mining and Geology</w:t>
      </w:r>
      <w:r>
        <w:t xml:space="preserve"> </w:t>
      </w:r>
      <w:r>
        <w:rPr>
          <w:b/>
        </w:rPr>
        <w:t>11</w:t>
      </w:r>
      <w:r>
        <w:t>: 101–103.</w:t>
      </w:r>
    </w:p>
    <w:p w14:paraId="5357FF14" w14:textId="77777777" w:rsidR="00497CE3" w:rsidRDefault="00497CE3" w:rsidP="00497CE3">
      <w:pPr>
        <w:autoSpaceDE w:val="0"/>
        <w:autoSpaceDN w:val="0"/>
        <w:adjustRightInd w:val="0"/>
      </w:pPr>
      <w:r>
        <w:rPr>
          <w:b/>
        </w:rPr>
        <w:t xml:space="preserve">Hastings AK, Bloch JI, Cadena EA, Jaramillo CA. 2010. </w:t>
      </w:r>
      <w:r>
        <w:t xml:space="preserve">A new small short-snouted dyrosaurid (Crocodylomorpha, Mesoeucrocodylia) from the Paleocene of northeastern Colombia. </w:t>
      </w:r>
      <w:r>
        <w:rPr>
          <w:i/>
        </w:rPr>
        <w:t>Journal of Vertebrate</w:t>
      </w:r>
      <w:r>
        <w:t xml:space="preserve"> </w:t>
      </w:r>
      <w:r>
        <w:rPr>
          <w:i/>
        </w:rPr>
        <w:t>Paleontology</w:t>
      </w:r>
      <w:r>
        <w:t xml:space="preserve"> </w:t>
      </w:r>
      <w:r>
        <w:rPr>
          <w:b/>
        </w:rPr>
        <w:t>30</w:t>
      </w:r>
      <w:r>
        <w:t>: 139–162.</w:t>
      </w:r>
    </w:p>
    <w:p w14:paraId="71E17A74" w14:textId="77777777" w:rsidR="00497CE3" w:rsidRDefault="00497CE3" w:rsidP="00497CE3">
      <w:pPr>
        <w:autoSpaceDE w:val="0"/>
        <w:autoSpaceDN w:val="0"/>
        <w:adjustRightInd w:val="0"/>
      </w:pPr>
      <w:r>
        <w:rPr>
          <w:b/>
        </w:rPr>
        <w:t>Hastings AK, Bloch JI, Jaramillo CA. 2011.</w:t>
      </w:r>
      <w:r>
        <w:t xml:space="preserve"> A new longirostrine dyrosaurid (Crocodylomorpha, Mesoeucrocodylia) from the Paleocene of north-eastern Colombia: biogeographic and behavioural implications for New-World Dyrosauridae. </w:t>
      </w:r>
      <w:r>
        <w:rPr>
          <w:i/>
        </w:rPr>
        <w:t>Palaeontology</w:t>
      </w:r>
      <w:r>
        <w:t xml:space="preserve"> </w:t>
      </w:r>
      <w:r>
        <w:rPr>
          <w:b/>
        </w:rPr>
        <w:t>54</w:t>
      </w:r>
      <w:r>
        <w:t>: 1095–1116.</w:t>
      </w:r>
    </w:p>
    <w:p w14:paraId="7223AC53" w14:textId="77777777" w:rsidR="00497CE3" w:rsidRDefault="00497CE3" w:rsidP="00497CE3">
      <w:pPr>
        <w:autoSpaceDE w:val="0"/>
        <w:autoSpaceDN w:val="0"/>
        <w:adjustRightInd w:val="0"/>
      </w:pPr>
      <w:r>
        <w:rPr>
          <w:b/>
        </w:rPr>
        <w:t>Hastings AK, Block JI, Jaramillo CA. 2015.</w:t>
      </w:r>
      <w:r>
        <w:t xml:space="preserve"> A new blunt-snouted dyrosaurid, </w:t>
      </w:r>
      <w:r>
        <w:rPr>
          <w:i/>
        </w:rPr>
        <w:t xml:space="preserve">Anthracosuchus balrogus </w:t>
      </w:r>
      <w:r>
        <w:t xml:space="preserve">gen. et sp. nov. (Crocodylomorpha, Mesoeucrocodylia) from the Palaeocene of Colombia. </w:t>
      </w:r>
      <w:r>
        <w:rPr>
          <w:i/>
        </w:rPr>
        <w:t>Historical Biology</w:t>
      </w:r>
      <w:r>
        <w:t xml:space="preserve"> </w:t>
      </w:r>
      <w:r>
        <w:rPr>
          <w:b/>
        </w:rPr>
        <w:t>27</w:t>
      </w:r>
      <w:r>
        <w:t>: 998–1020.</w:t>
      </w:r>
    </w:p>
    <w:p w14:paraId="5D96D37A" w14:textId="77777777" w:rsidR="00497CE3" w:rsidRDefault="00497CE3" w:rsidP="00497CE3">
      <w:pPr>
        <w:autoSpaceDE w:val="0"/>
        <w:autoSpaceDN w:val="0"/>
        <w:adjustRightInd w:val="0"/>
      </w:pPr>
      <w:r>
        <w:rPr>
          <w:b/>
          <w:bCs/>
        </w:rPr>
        <w:t xml:space="preserve">Haughton SH. 1915. </w:t>
      </w:r>
      <w:r>
        <w:t>Investigations in South African fossil reptiles and Amphibia. 9. A new thecodont from the Stormberg Beds (</w:t>
      </w:r>
      <w:r>
        <w:rPr>
          <w:i/>
          <w:iCs/>
        </w:rPr>
        <w:t xml:space="preserve">Sphenosuchus acutus </w:t>
      </w:r>
      <w:r>
        <w:t xml:space="preserve">g. et sp. nov). </w:t>
      </w:r>
      <w:r>
        <w:rPr>
          <w:i/>
          <w:iCs/>
        </w:rPr>
        <w:t>Annals of the South African Museum</w:t>
      </w:r>
      <w:r>
        <w:t xml:space="preserve"> </w:t>
      </w:r>
      <w:r>
        <w:rPr>
          <w:b/>
        </w:rPr>
        <w:t>12</w:t>
      </w:r>
      <w:r>
        <w:t>: 98–105.</w:t>
      </w:r>
    </w:p>
    <w:p w14:paraId="7E3BDBBD" w14:textId="77777777" w:rsidR="00497CE3" w:rsidRDefault="00497CE3" w:rsidP="00497CE3">
      <w:pPr>
        <w:autoSpaceDE w:val="0"/>
        <w:autoSpaceDN w:val="0"/>
        <w:adjustRightInd w:val="0"/>
        <w:rPr>
          <w:i/>
          <w:iCs/>
        </w:rPr>
      </w:pPr>
      <w:r>
        <w:rPr>
          <w:b/>
          <w:bCs/>
        </w:rPr>
        <w:t xml:space="preserve">Haughton SH. 1924. </w:t>
      </w:r>
      <w:r>
        <w:t xml:space="preserve">The fauna and stratigraphy of the Stormberg Series. </w:t>
      </w:r>
      <w:r>
        <w:rPr>
          <w:i/>
          <w:iCs/>
        </w:rPr>
        <w:t>Annals of the South African Museum</w:t>
      </w:r>
      <w:r>
        <w:t xml:space="preserve"> </w:t>
      </w:r>
      <w:r>
        <w:rPr>
          <w:b/>
        </w:rPr>
        <w:t>12</w:t>
      </w:r>
      <w:r>
        <w:t>: 323–497.</w:t>
      </w:r>
    </w:p>
    <w:p w14:paraId="5969DB7E" w14:textId="77777777" w:rsidR="00497CE3" w:rsidRDefault="00497CE3" w:rsidP="00497CE3">
      <w:pPr>
        <w:autoSpaceDE w:val="0"/>
        <w:autoSpaceDN w:val="0"/>
        <w:adjustRightInd w:val="0"/>
      </w:pPr>
      <w:r>
        <w:rPr>
          <w:b/>
          <w:bCs/>
        </w:rPr>
        <w:t xml:space="preserve">Hecht MK. 1991. </w:t>
      </w:r>
      <w:r>
        <w:rPr>
          <w:i/>
          <w:iCs/>
        </w:rPr>
        <w:t xml:space="preserve">Araripesuchus </w:t>
      </w:r>
      <w:r>
        <w:t xml:space="preserve">Price, 1959. Pp. 340-347 in J. G. Maisey (ed) </w:t>
      </w:r>
      <w:r>
        <w:rPr>
          <w:i/>
          <w:iCs/>
        </w:rPr>
        <w:t>Santana fossils</w:t>
      </w:r>
      <w:r>
        <w:t>. New York: T. F. H.</w:t>
      </w:r>
    </w:p>
    <w:p w14:paraId="4D165819" w14:textId="77777777" w:rsidR="00497CE3" w:rsidRDefault="00497CE3" w:rsidP="00497CE3">
      <w:pPr>
        <w:autoSpaceDE w:val="0"/>
        <w:autoSpaceDN w:val="0"/>
        <w:adjustRightInd w:val="0"/>
      </w:pPr>
      <w:r>
        <w:rPr>
          <w:b/>
          <w:bCs/>
        </w:rPr>
        <w:t xml:space="preserve">Herrera Y, Fernández M, Varela JA. 2009. </w:t>
      </w:r>
      <w:r>
        <w:t xml:space="preserve">Morfología del miembro anterior de </w:t>
      </w:r>
      <w:r>
        <w:rPr>
          <w:i/>
          <w:iCs/>
        </w:rPr>
        <w:t xml:space="preserve">Geosaurus araucanensis </w:t>
      </w:r>
      <w:r>
        <w:t xml:space="preserve">Gasparini y Dellapé, 1976 (Crocodyliformes: Thalattosuchia). </w:t>
      </w:r>
      <w:r>
        <w:rPr>
          <w:i/>
          <w:iCs/>
        </w:rPr>
        <w:t>Ameghiniana</w:t>
      </w:r>
      <w:r>
        <w:t xml:space="preserve"> </w:t>
      </w:r>
      <w:r>
        <w:rPr>
          <w:b/>
        </w:rPr>
        <w:t xml:space="preserve">46 </w:t>
      </w:r>
      <w:r>
        <w:t>(4): 657–667.</w:t>
      </w:r>
    </w:p>
    <w:p w14:paraId="6D3EA36D" w14:textId="77777777" w:rsidR="00497CE3" w:rsidRDefault="00497CE3" w:rsidP="00497CE3">
      <w:pPr>
        <w:autoSpaceDE w:val="0"/>
        <w:autoSpaceDN w:val="0"/>
        <w:adjustRightInd w:val="0"/>
      </w:pPr>
      <w:r>
        <w:rPr>
          <w:b/>
          <w:bCs/>
        </w:rPr>
        <w:t>Herrera Y, Gasparini Z, Fernández MS. 2013.</w:t>
      </w:r>
      <w:r>
        <w:rPr>
          <w:bCs/>
        </w:rPr>
        <w:t xml:space="preserve"> A new Patagonian species of </w:t>
      </w:r>
      <w:r>
        <w:rPr>
          <w:bCs/>
          <w:i/>
        </w:rPr>
        <w:t>Cricosaurus</w:t>
      </w:r>
      <w:r>
        <w:rPr>
          <w:bCs/>
        </w:rPr>
        <w:t xml:space="preserve"> (Crocodyliformes, Thalattosuchia): first evidence of </w:t>
      </w:r>
      <w:r>
        <w:rPr>
          <w:bCs/>
          <w:i/>
        </w:rPr>
        <w:t>Cricosaurus</w:t>
      </w:r>
      <w:r>
        <w:rPr>
          <w:bCs/>
        </w:rPr>
        <w:t xml:space="preserve"> in middle-upper Tithonian lithographic limestone from Gondwana</w:t>
      </w:r>
      <w:r>
        <w:t xml:space="preserve">. </w:t>
      </w:r>
      <w:r>
        <w:rPr>
          <w:i/>
          <w:iCs/>
        </w:rPr>
        <w:t>Palaeontology</w:t>
      </w:r>
      <w:r>
        <w:rPr>
          <w:bCs/>
        </w:rPr>
        <w:t xml:space="preserve"> </w:t>
      </w:r>
      <w:r>
        <w:rPr>
          <w:b/>
          <w:bCs/>
        </w:rPr>
        <w:t>56</w:t>
      </w:r>
      <w:r>
        <w:rPr>
          <w:bCs/>
        </w:rPr>
        <w:t xml:space="preserve">: </w:t>
      </w:r>
      <w:r>
        <w:t>663–678.</w:t>
      </w:r>
    </w:p>
    <w:p w14:paraId="17107F77" w14:textId="77777777" w:rsidR="00497CE3" w:rsidRDefault="00497CE3" w:rsidP="00497CE3">
      <w:pPr>
        <w:contextualSpacing/>
      </w:pPr>
      <w:r w:rsidRPr="00F4758E">
        <w:rPr>
          <w:b/>
        </w:rPr>
        <w:t>Hill RV. 2010.</w:t>
      </w:r>
      <w:r w:rsidRPr="00A760BE">
        <w:t xml:space="preserve"> Osteoderms of </w:t>
      </w:r>
      <w:r w:rsidRPr="00A760BE">
        <w:rPr>
          <w:i/>
        </w:rPr>
        <w:t>Simosuchus clarki</w:t>
      </w:r>
      <w:r w:rsidRPr="00A760BE">
        <w:t xml:space="preserve"> (Crocodyliformes: Notosuchia) from the Late Cretaceous of Madagascar. </w:t>
      </w:r>
      <w:r w:rsidRPr="007124F3">
        <w:rPr>
          <w:i/>
        </w:rPr>
        <w:t>Society of Vertebrate Paleontology Memior</w:t>
      </w:r>
      <w:r w:rsidRPr="00A760BE">
        <w:t xml:space="preserve"> </w:t>
      </w:r>
      <w:r w:rsidRPr="00F4758E">
        <w:rPr>
          <w:b/>
        </w:rPr>
        <w:t>10</w:t>
      </w:r>
      <w:r w:rsidRPr="00A760BE">
        <w:t>:</w:t>
      </w:r>
      <w:r>
        <w:t xml:space="preserve"> </w:t>
      </w:r>
      <w:r w:rsidRPr="00A760BE">
        <w:t>154-176.</w:t>
      </w:r>
    </w:p>
    <w:p w14:paraId="6EF6BD3D" w14:textId="77777777" w:rsidR="00497CE3" w:rsidRDefault="00497CE3" w:rsidP="00497CE3">
      <w:r>
        <w:rPr>
          <w:b/>
        </w:rPr>
        <w:t>Hill RV, McCartney JA, Roberts E, Bouaré M, Sissoko F, O'Leary MA. 2008.</w:t>
      </w:r>
      <w:r>
        <w:t xml:space="preserve"> Dyrosaurid (Crocodyliformes: Mesoeucrocodylia) fossils from the Upper Cretaceous and Paleogene of Mali: Implications for phylogeny and survivorship across the K/T Boundary. </w:t>
      </w:r>
      <w:r>
        <w:rPr>
          <w:i/>
          <w:iCs/>
        </w:rPr>
        <w:t>American Museum Novitates</w:t>
      </w:r>
      <w:r>
        <w:rPr>
          <w:iCs/>
        </w:rPr>
        <w:t xml:space="preserve"> </w:t>
      </w:r>
      <w:r>
        <w:rPr>
          <w:b/>
          <w:iCs/>
        </w:rPr>
        <w:t>3631</w:t>
      </w:r>
      <w:r>
        <w:rPr>
          <w:iCs/>
        </w:rPr>
        <w:t>:</w:t>
      </w:r>
      <w:r>
        <w:t xml:space="preserve"> 1–19.</w:t>
      </w:r>
    </w:p>
    <w:p w14:paraId="0AC6B22B" w14:textId="77777777" w:rsidR="00497CE3" w:rsidRDefault="00497CE3" w:rsidP="00497CE3">
      <w:pPr>
        <w:autoSpaceDE w:val="0"/>
        <w:autoSpaceDN w:val="0"/>
        <w:adjustRightInd w:val="0"/>
      </w:pPr>
      <w:r>
        <w:rPr>
          <w:rFonts w:eastAsia="Times New Roman"/>
          <w:b/>
          <w:lang w:val="en-US"/>
        </w:rPr>
        <w:t>Hooley RW.</w:t>
      </w:r>
      <w:r>
        <w:rPr>
          <w:rFonts w:eastAsia="Times New Roman"/>
          <w:lang w:val="en-US"/>
        </w:rPr>
        <w:t xml:space="preserve"> </w:t>
      </w:r>
      <w:r>
        <w:rPr>
          <w:rFonts w:eastAsia="Times New Roman"/>
          <w:b/>
          <w:lang w:val="en-US"/>
        </w:rPr>
        <w:t>1907.</w:t>
      </w:r>
      <w:r>
        <w:rPr>
          <w:rFonts w:eastAsia="Times New Roman"/>
          <w:lang w:val="en-US"/>
        </w:rPr>
        <w:t xml:space="preserve"> On the skull and greater portion of the skeleton of </w:t>
      </w:r>
      <w:r>
        <w:rPr>
          <w:rFonts w:eastAsia="Times New Roman"/>
          <w:i/>
          <w:iCs/>
          <w:lang w:val="en-US"/>
        </w:rPr>
        <w:t>Goniopholis crassidens</w:t>
      </w:r>
      <w:r>
        <w:rPr>
          <w:rFonts w:eastAsia="Times New Roman"/>
          <w:lang w:val="en-US"/>
        </w:rPr>
        <w:t xml:space="preserve"> from the Wealden Shales of Atherfield (Isle of Wight). </w:t>
      </w:r>
      <w:r>
        <w:rPr>
          <w:rFonts w:eastAsia="Times New Roman"/>
          <w:i/>
          <w:iCs/>
          <w:lang w:val="en-US"/>
        </w:rPr>
        <w:t>Quarterly Journal of the Geological Society</w:t>
      </w:r>
      <w:r>
        <w:rPr>
          <w:rFonts w:eastAsia="Times New Roman"/>
          <w:lang w:val="en-US"/>
        </w:rPr>
        <w:t xml:space="preserve">, </w:t>
      </w:r>
      <w:r>
        <w:rPr>
          <w:rFonts w:eastAsia="Times New Roman"/>
          <w:i/>
          <w:lang w:val="en-US"/>
        </w:rPr>
        <w:t>London</w:t>
      </w:r>
      <w:r>
        <w:rPr>
          <w:rFonts w:eastAsia="Times New Roman"/>
          <w:lang w:val="en-US"/>
        </w:rPr>
        <w:t xml:space="preserve"> </w:t>
      </w:r>
      <w:r>
        <w:rPr>
          <w:rFonts w:eastAsia="Times New Roman"/>
          <w:b/>
          <w:lang w:val="en-US"/>
        </w:rPr>
        <w:t>63</w:t>
      </w:r>
      <w:r>
        <w:rPr>
          <w:rFonts w:eastAsia="Times New Roman"/>
          <w:lang w:val="en-US"/>
        </w:rPr>
        <w:t>: 50</w:t>
      </w:r>
      <w:r>
        <w:t>–</w:t>
      </w:r>
      <w:r>
        <w:rPr>
          <w:rFonts w:eastAsia="Times New Roman"/>
          <w:lang w:val="en-US"/>
        </w:rPr>
        <w:t>63.</w:t>
      </w:r>
    </w:p>
    <w:p w14:paraId="03ADC968" w14:textId="77777777" w:rsidR="00497CE3" w:rsidRDefault="00497CE3" w:rsidP="00497CE3">
      <w:pPr>
        <w:autoSpaceDE w:val="0"/>
        <w:autoSpaceDN w:val="0"/>
        <w:adjustRightInd w:val="0"/>
      </w:pPr>
      <w:r>
        <w:rPr>
          <w:rFonts w:eastAsia="Times New Roman"/>
          <w:b/>
          <w:lang w:val="en-US"/>
        </w:rPr>
        <w:t>Hornung JJ, Andrade MB, Reich, M.</w:t>
      </w:r>
      <w:r>
        <w:rPr>
          <w:rFonts w:eastAsia="Times New Roman"/>
          <w:lang w:val="en-US"/>
        </w:rPr>
        <w:t xml:space="preserve"> </w:t>
      </w:r>
      <w:r>
        <w:rPr>
          <w:rFonts w:eastAsia="Times New Roman"/>
          <w:b/>
          <w:lang w:val="en-US"/>
        </w:rPr>
        <w:t>2009.</w:t>
      </w:r>
      <w:r>
        <w:rPr>
          <w:rFonts w:eastAsia="Times New Roman"/>
          <w:lang w:val="en-US"/>
        </w:rPr>
        <w:t xml:space="preserve"> Are </w:t>
      </w:r>
      <w:r>
        <w:rPr>
          <w:rFonts w:eastAsia="Times New Roman"/>
          <w:i/>
          <w:iCs/>
          <w:lang w:val="en-US"/>
        </w:rPr>
        <w:t xml:space="preserve">Goniopholis crassidens </w:t>
      </w:r>
      <w:r>
        <w:rPr>
          <w:rFonts w:eastAsia="Times New Roman"/>
          <w:lang w:val="en-US"/>
        </w:rPr>
        <w:t xml:space="preserve">and </w:t>
      </w:r>
      <w:r>
        <w:rPr>
          <w:rFonts w:eastAsia="Times New Roman"/>
          <w:i/>
          <w:iCs/>
          <w:lang w:val="en-US"/>
        </w:rPr>
        <w:t xml:space="preserve">G. simus </w:t>
      </w:r>
      <w:r>
        <w:rPr>
          <w:rFonts w:eastAsia="Times New Roman"/>
          <w:lang w:val="en-US"/>
        </w:rPr>
        <w:t>different species of crocodilians? New postcranial evidence solving a taxonomic riddle.</w:t>
      </w:r>
      <w:r>
        <w:rPr>
          <w:rFonts w:eastAsia="Times New Roman"/>
          <w:i/>
          <w:iCs/>
          <w:lang w:val="en-US"/>
        </w:rPr>
        <w:t xml:space="preserve"> </w:t>
      </w:r>
      <w:r>
        <w:rPr>
          <w:i/>
          <w:iCs/>
        </w:rPr>
        <w:t>Journal of Vertebrate Paleontology</w:t>
      </w:r>
      <w:r>
        <w:t xml:space="preserve">, </w:t>
      </w:r>
      <w:r>
        <w:rPr>
          <w:b/>
        </w:rPr>
        <w:t>29</w:t>
      </w:r>
      <w:r>
        <w:t>(3):117A.</w:t>
      </w:r>
    </w:p>
    <w:p w14:paraId="3D144D95" w14:textId="77777777" w:rsidR="00497CE3" w:rsidRDefault="00497CE3" w:rsidP="00497CE3">
      <w:pPr>
        <w:rPr>
          <w:rFonts w:eastAsiaTheme="minorHAnsi"/>
        </w:rPr>
      </w:pPr>
      <w:r>
        <w:rPr>
          <w:b/>
        </w:rPr>
        <w:t>Hua S. 1999.</w:t>
      </w:r>
      <w:r>
        <w:t xml:space="preserve"> Le crocodilien </w:t>
      </w:r>
      <w:r>
        <w:rPr>
          <w:i/>
        </w:rPr>
        <w:t>Machimosaurus mosae</w:t>
      </w:r>
      <w:r>
        <w:t xml:space="preserve"> (Thalattosuchia, Teleosauridae) du Kimmeridgien du Boulonnais (Pas de Calais, France). Palaeontographica Abteilung A 252: 141–170.</w:t>
      </w:r>
    </w:p>
    <w:p w14:paraId="4EF12CD0" w14:textId="77777777" w:rsidR="00497CE3" w:rsidRDefault="00497CE3" w:rsidP="00497CE3">
      <w:pPr>
        <w:autoSpaceDE w:val="0"/>
        <w:autoSpaceDN w:val="0"/>
        <w:adjustRightInd w:val="0"/>
      </w:pPr>
      <w:r>
        <w:rPr>
          <w:b/>
          <w:bCs/>
        </w:rPr>
        <w:t>Hua S, Buffetaut E, Legall C, Rogron P. 2007.</w:t>
      </w:r>
      <w:r>
        <w:rPr>
          <w:bCs/>
        </w:rPr>
        <w:t xml:space="preserve"> </w:t>
      </w:r>
      <w:r>
        <w:rPr>
          <w:i/>
          <w:iCs/>
        </w:rPr>
        <w:t xml:space="preserve">Oceanosuchus boecensis </w:t>
      </w:r>
      <w:r>
        <w:t xml:space="preserve">n. gen, n. sp., a marine pholidosaurid (Crocodylia, Mesosuchia) from the Lower Cenomanian of Normandy (western France). </w:t>
      </w:r>
      <w:r>
        <w:rPr>
          <w:i/>
          <w:iCs/>
        </w:rPr>
        <w:t xml:space="preserve">Bulletin de la Société Géologique de France </w:t>
      </w:r>
      <w:r>
        <w:rPr>
          <w:b/>
          <w:bCs/>
        </w:rPr>
        <w:t>178</w:t>
      </w:r>
      <w:r>
        <w:rPr>
          <w:bCs/>
        </w:rPr>
        <w:t xml:space="preserve">: </w:t>
      </w:r>
      <w:r>
        <w:t>503–513.</w:t>
      </w:r>
    </w:p>
    <w:p w14:paraId="1550FFAE" w14:textId="77777777" w:rsidR="00497CE3" w:rsidRDefault="00497CE3" w:rsidP="00497CE3">
      <w:pPr>
        <w:contextualSpacing/>
      </w:pPr>
      <w:r w:rsidRPr="007124F3">
        <w:rPr>
          <w:b/>
        </w:rPr>
        <w:t>Hua S, Jouve S. 2004.</w:t>
      </w:r>
      <w:r w:rsidRPr="00A760BE">
        <w:t xml:space="preserve"> A primitive marine gavioaloid from the Paleocene of Morocco.</w:t>
      </w:r>
      <w:r w:rsidRPr="007124F3">
        <w:rPr>
          <w:i/>
        </w:rPr>
        <w:t xml:space="preserve"> </w:t>
      </w:r>
      <w:r w:rsidRPr="007124F3">
        <w:rPr>
          <w:i/>
          <w:iCs/>
        </w:rPr>
        <w:t>J</w:t>
      </w:r>
      <w:r>
        <w:rPr>
          <w:i/>
          <w:iCs/>
        </w:rPr>
        <w:t>ournal of</w:t>
      </w:r>
      <w:r w:rsidRPr="007124F3">
        <w:rPr>
          <w:i/>
          <w:iCs/>
        </w:rPr>
        <w:t xml:space="preserve"> Vert</w:t>
      </w:r>
      <w:r>
        <w:rPr>
          <w:i/>
          <w:iCs/>
        </w:rPr>
        <w:t>ebrate</w:t>
      </w:r>
      <w:r w:rsidRPr="007124F3">
        <w:rPr>
          <w:i/>
          <w:iCs/>
        </w:rPr>
        <w:t xml:space="preserve"> Paleontol</w:t>
      </w:r>
      <w:r>
        <w:rPr>
          <w:i/>
          <w:iCs/>
        </w:rPr>
        <w:t>ogy</w:t>
      </w:r>
      <w:r w:rsidRPr="00A760BE">
        <w:rPr>
          <w:i/>
          <w:iCs/>
        </w:rPr>
        <w:t xml:space="preserve"> </w:t>
      </w:r>
      <w:r w:rsidRPr="007124F3">
        <w:rPr>
          <w:b/>
        </w:rPr>
        <w:t>24</w:t>
      </w:r>
      <w:r w:rsidRPr="00A760BE">
        <w:t>:</w:t>
      </w:r>
      <w:r>
        <w:t xml:space="preserve"> </w:t>
      </w:r>
      <w:r w:rsidRPr="00A760BE">
        <w:t>342</w:t>
      </w:r>
      <w:r>
        <w:t>–</w:t>
      </w:r>
      <w:r w:rsidRPr="00A760BE">
        <w:t>350.</w:t>
      </w:r>
    </w:p>
    <w:p w14:paraId="5F6D8110" w14:textId="77777777" w:rsidR="00497CE3" w:rsidRDefault="00497CE3" w:rsidP="00497CE3">
      <w:pPr>
        <w:autoSpaceDE w:val="0"/>
        <w:autoSpaceDN w:val="0"/>
        <w:adjustRightInd w:val="0"/>
      </w:pPr>
      <w:r>
        <w:rPr>
          <w:b/>
          <w:bCs/>
        </w:rPr>
        <w:t xml:space="preserve">Hua S, Vignaud P, Atrops F, Clément A. 2000. </w:t>
      </w:r>
      <w:r>
        <w:rPr>
          <w:i/>
          <w:iCs/>
        </w:rPr>
        <w:t xml:space="preserve">Enaliosuchus macrospondylus </w:t>
      </w:r>
      <w:r>
        <w:t xml:space="preserve">Koken, 1883 (Crocodylia, Metriorhynchidae) du Valanginien de Barret-le-Bas (Hautes Alpes, France): un cas unique de remontée des narines externs parmi les crocodiliens. </w:t>
      </w:r>
      <w:r>
        <w:rPr>
          <w:i/>
          <w:iCs/>
        </w:rPr>
        <w:t xml:space="preserve">Géobios </w:t>
      </w:r>
      <w:r>
        <w:rPr>
          <w:b/>
          <w:bCs/>
        </w:rPr>
        <w:t>33</w:t>
      </w:r>
      <w:r>
        <w:rPr>
          <w:bCs/>
        </w:rPr>
        <w:t>:</w:t>
      </w:r>
      <w:r>
        <w:rPr>
          <w:b/>
          <w:bCs/>
        </w:rPr>
        <w:t xml:space="preserve"> </w:t>
      </w:r>
      <w:r>
        <w:t>467–474.</w:t>
      </w:r>
    </w:p>
    <w:p w14:paraId="06FD2E43" w14:textId="77777777" w:rsidR="00497CE3" w:rsidRDefault="00497CE3" w:rsidP="00497CE3">
      <w:pPr>
        <w:autoSpaceDE w:val="0"/>
        <w:autoSpaceDN w:val="0"/>
        <w:adjustRightInd w:val="0"/>
      </w:pPr>
      <w:r>
        <w:rPr>
          <w:b/>
          <w:bCs/>
        </w:rPr>
        <w:t>Hulke JW. 1870.</w:t>
      </w:r>
      <w:r>
        <w:rPr>
          <w:bCs/>
        </w:rPr>
        <w:t xml:space="preserve"> </w:t>
      </w:r>
      <w:r>
        <w:t xml:space="preserve">Note on a crocodilian skull from Kimmeridge Bay, Dorset. </w:t>
      </w:r>
      <w:r>
        <w:rPr>
          <w:i/>
          <w:iCs/>
        </w:rPr>
        <w:t>Quarterly Journal of the Geological Society, London</w:t>
      </w:r>
      <w:r>
        <w:rPr>
          <w:iCs/>
        </w:rPr>
        <w:t xml:space="preserve"> </w:t>
      </w:r>
      <w:r>
        <w:rPr>
          <w:b/>
          <w:bCs/>
        </w:rPr>
        <w:t>26</w:t>
      </w:r>
      <w:r>
        <w:rPr>
          <w:bCs/>
        </w:rPr>
        <w:t xml:space="preserve">: </w:t>
      </w:r>
      <w:r>
        <w:t>167–172.</w:t>
      </w:r>
    </w:p>
    <w:p w14:paraId="39E485F3" w14:textId="77777777" w:rsidR="00497CE3" w:rsidRDefault="00497CE3" w:rsidP="00497CE3">
      <w:pPr>
        <w:autoSpaceDE w:val="0"/>
        <w:autoSpaceDN w:val="0"/>
        <w:adjustRightInd w:val="0"/>
        <w:rPr>
          <w:b/>
        </w:rPr>
      </w:pPr>
      <w:r>
        <w:rPr>
          <w:rStyle w:val="Strong"/>
        </w:rPr>
        <w:t xml:space="preserve">Hulke JW. 1871. </w:t>
      </w:r>
      <w:r w:rsidRPr="007124F3">
        <w:rPr>
          <w:rStyle w:val="Strong"/>
        </w:rPr>
        <w:t xml:space="preserve">Note on a fragment of a teleosaurian snout from Kimmeridige Bay, Dorset. </w:t>
      </w:r>
      <w:r w:rsidRPr="007124F3">
        <w:rPr>
          <w:rStyle w:val="Strong"/>
          <w:i/>
        </w:rPr>
        <w:t>Quarterly Journal of the Geological Society, London</w:t>
      </w:r>
      <w:r w:rsidRPr="007124F3">
        <w:rPr>
          <w:rStyle w:val="Strong"/>
        </w:rPr>
        <w:t xml:space="preserve"> 27: 442</w:t>
      </w:r>
      <w:r w:rsidRPr="007124F3">
        <w:rPr>
          <w:b/>
        </w:rPr>
        <w:t>–</w:t>
      </w:r>
      <w:r w:rsidRPr="007124F3">
        <w:rPr>
          <w:rStyle w:val="Strong"/>
        </w:rPr>
        <w:t>443.</w:t>
      </w:r>
    </w:p>
    <w:p w14:paraId="0EF38B4E" w14:textId="77777777" w:rsidR="00497CE3" w:rsidRDefault="00497CE3" w:rsidP="00497CE3">
      <w:pPr>
        <w:autoSpaceDE w:val="0"/>
        <w:autoSpaceDN w:val="0"/>
        <w:adjustRightInd w:val="0"/>
        <w:rPr>
          <w:rFonts w:eastAsia="Times New Roman"/>
          <w:lang w:val="en-US"/>
        </w:rPr>
      </w:pPr>
      <w:r>
        <w:rPr>
          <w:rFonts w:eastAsia="Times New Roman"/>
          <w:b/>
          <w:lang w:val="en-US"/>
        </w:rPr>
        <w:t>Hulke JW.</w:t>
      </w:r>
      <w:r>
        <w:rPr>
          <w:rFonts w:eastAsia="Times New Roman"/>
          <w:lang w:val="en-US"/>
        </w:rPr>
        <w:t xml:space="preserve"> </w:t>
      </w:r>
      <w:r>
        <w:rPr>
          <w:rFonts w:eastAsia="Times New Roman"/>
          <w:b/>
          <w:lang w:val="en-US"/>
        </w:rPr>
        <w:t xml:space="preserve">1878. </w:t>
      </w:r>
      <w:r>
        <w:rPr>
          <w:rFonts w:eastAsia="Times New Roman"/>
          <w:lang w:val="en-US"/>
        </w:rPr>
        <w:t xml:space="preserve">Note on the two skulls from the Wealden and Purbeck formations indicating a new subgroup of Crocodilia. </w:t>
      </w:r>
      <w:r>
        <w:rPr>
          <w:rFonts w:eastAsia="Times New Roman"/>
          <w:i/>
          <w:iCs/>
          <w:lang w:val="en-US"/>
        </w:rPr>
        <w:t>Quarterly Journal of the Geological Society</w:t>
      </w:r>
      <w:r>
        <w:rPr>
          <w:rFonts w:eastAsia="Times New Roman"/>
          <w:lang w:val="en-US"/>
        </w:rPr>
        <w:t xml:space="preserve"> </w:t>
      </w:r>
      <w:r>
        <w:rPr>
          <w:rFonts w:eastAsia="Times New Roman"/>
          <w:b/>
          <w:lang w:val="en-US"/>
        </w:rPr>
        <w:t>34</w:t>
      </w:r>
      <w:r>
        <w:rPr>
          <w:rFonts w:eastAsia="Times New Roman"/>
          <w:lang w:val="en-US"/>
        </w:rPr>
        <w:t>: 377</w:t>
      </w:r>
      <w:r>
        <w:t>–</w:t>
      </w:r>
      <w:r>
        <w:rPr>
          <w:rFonts w:eastAsia="Times New Roman"/>
          <w:lang w:val="en-US"/>
        </w:rPr>
        <w:t>382.</w:t>
      </w:r>
    </w:p>
    <w:p w14:paraId="3033E283" w14:textId="77777777" w:rsidR="00497CE3" w:rsidRDefault="00497CE3" w:rsidP="00497CE3">
      <w:pPr>
        <w:rPr>
          <w:rFonts w:eastAsiaTheme="minorHAnsi"/>
          <w:lang w:eastAsia="en-US"/>
        </w:rPr>
      </w:pPr>
      <w:r>
        <w:rPr>
          <w:b/>
        </w:rPr>
        <w:t>von Jäger GF. 1828.</w:t>
      </w:r>
      <w:r>
        <w:t xml:space="preserve"> Über die fossile Reptilien, welche in Würtemberg aufgefunden worden sind. Verlag der J. B. Metzler'schen Buchhandlung, Stuttgart, 48 pp.</w:t>
      </w:r>
    </w:p>
    <w:p w14:paraId="518597C0" w14:textId="77777777" w:rsidR="00497CE3" w:rsidRDefault="00497CE3" w:rsidP="00497CE3">
      <w:pPr>
        <w:autoSpaceDE w:val="0"/>
        <w:autoSpaceDN w:val="0"/>
        <w:adjustRightInd w:val="0"/>
      </w:pPr>
      <w:r>
        <w:rPr>
          <w:b/>
          <w:bCs/>
        </w:rPr>
        <w:t xml:space="preserve">Joffe J. 1967. </w:t>
      </w:r>
      <w:r>
        <w:t xml:space="preserve">The dwarf crocodiles of the Purbeck Formation, Dorset: a reappraisal. </w:t>
      </w:r>
      <w:r>
        <w:rPr>
          <w:i/>
          <w:iCs/>
        </w:rPr>
        <w:t>Palaeontology</w:t>
      </w:r>
      <w:r>
        <w:t xml:space="preserve"> </w:t>
      </w:r>
      <w:r>
        <w:rPr>
          <w:b/>
        </w:rPr>
        <w:t>10</w:t>
      </w:r>
      <w:r>
        <w:t>: 629–639.</w:t>
      </w:r>
    </w:p>
    <w:p w14:paraId="0D1B8AA1" w14:textId="77777777" w:rsidR="00497CE3" w:rsidRDefault="00497CE3" w:rsidP="00497CE3">
      <w:pPr>
        <w:contextualSpacing/>
      </w:pPr>
      <w:r w:rsidRPr="000469C6">
        <w:rPr>
          <w:b/>
        </w:rPr>
        <w:t>Jouve S. 2004.</w:t>
      </w:r>
      <w:r w:rsidRPr="00A760BE">
        <w:t xml:space="preserve"> Etude des Crocodyliformes fini Crétacé-Paléogène du Bassin des Oulad Abdoun (Maroc) et comparaison avec les faunes africaines contemporaines: systématique, phylogénie et paléobiogéographie. Unpublished DPhil Thesis. Paris: Muséum National d’Histoire Naturelle.</w:t>
      </w:r>
    </w:p>
    <w:p w14:paraId="74A1E8D9" w14:textId="77777777" w:rsidR="00497CE3" w:rsidRDefault="00497CE3" w:rsidP="00497CE3">
      <w:pPr>
        <w:autoSpaceDE w:val="0"/>
        <w:autoSpaceDN w:val="0"/>
        <w:adjustRightInd w:val="0"/>
      </w:pPr>
      <w:r>
        <w:rPr>
          <w:b/>
          <w:bCs/>
        </w:rPr>
        <w:t>Jouve S. 2005.</w:t>
      </w:r>
      <w:r>
        <w:rPr>
          <w:bCs/>
        </w:rPr>
        <w:t xml:space="preserve"> </w:t>
      </w:r>
      <w:r>
        <w:t xml:space="preserve">A new description of the skull of </w:t>
      </w:r>
      <w:r>
        <w:rPr>
          <w:i/>
          <w:iCs/>
        </w:rPr>
        <w:t>Dyrosaurus phosphaticus</w:t>
      </w:r>
      <w:r>
        <w:rPr>
          <w:iCs/>
        </w:rPr>
        <w:t xml:space="preserve"> </w:t>
      </w:r>
      <w:r>
        <w:t xml:space="preserve">(Thomas, 1893) (Mesoeucrocodylia: Dyrosauridae) from the Lower Eocene of North Africa. </w:t>
      </w:r>
      <w:r>
        <w:rPr>
          <w:i/>
          <w:iCs/>
        </w:rPr>
        <w:t>Canadian Journal of Earth Science</w:t>
      </w:r>
      <w:r>
        <w:rPr>
          <w:iCs/>
        </w:rPr>
        <w:t xml:space="preserve"> </w:t>
      </w:r>
      <w:r>
        <w:rPr>
          <w:b/>
          <w:bCs/>
        </w:rPr>
        <w:t>42</w:t>
      </w:r>
      <w:r>
        <w:rPr>
          <w:bCs/>
        </w:rPr>
        <w:t xml:space="preserve">: </w:t>
      </w:r>
      <w:r>
        <w:t>323–337.</w:t>
      </w:r>
    </w:p>
    <w:p w14:paraId="026ECD0A" w14:textId="77777777" w:rsidR="00497CE3" w:rsidRDefault="00497CE3" w:rsidP="00497CE3">
      <w:r>
        <w:rPr>
          <w:b/>
        </w:rPr>
        <w:t>Jouve S. 2007.</w:t>
      </w:r>
      <w:r>
        <w:t xml:space="preserve"> Taxonomic revision of the dyrosaurid assemblage (Crocodyliformes: Mesoeucrocodylia) from the Paleocene of the Iullemmeden Basin, West Africa. </w:t>
      </w:r>
      <w:r>
        <w:rPr>
          <w:i/>
          <w:iCs/>
        </w:rPr>
        <w:t>Journal of Paleontology</w:t>
      </w:r>
      <w:r>
        <w:rPr>
          <w:i/>
        </w:rPr>
        <w:t> </w:t>
      </w:r>
      <w:r>
        <w:rPr>
          <w:b/>
          <w:iCs/>
        </w:rPr>
        <w:t>81</w:t>
      </w:r>
      <w:r>
        <w:t>: 163–175.</w:t>
      </w:r>
    </w:p>
    <w:p w14:paraId="6FBCA404" w14:textId="77777777" w:rsidR="00497CE3" w:rsidRDefault="00497CE3" w:rsidP="00497CE3">
      <w:r>
        <w:rPr>
          <w:b/>
        </w:rPr>
        <w:t>Jouve S. 2009.</w:t>
      </w:r>
      <w:r>
        <w:t xml:space="preserve"> The skull of </w:t>
      </w:r>
      <w:r>
        <w:rPr>
          <w:i/>
        </w:rPr>
        <w:t>Teleosaurus cadomensis</w:t>
      </w:r>
      <w:r>
        <w:t xml:space="preserve"> (Crocodylomorpha; Thalattosuchia), and phylogenetic analysis of Thalattosuchia. </w:t>
      </w:r>
      <w:r>
        <w:rPr>
          <w:i/>
        </w:rPr>
        <w:t>Journal of Vertebrate Paleontology</w:t>
      </w:r>
      <w:r>
        <w:t xml:space="preserve"> </w:t>
      </w:r>
      <w:r>
        <w:rPr>
          <w:b/>
        </w:rPr>
        <w:t>29</w:t>
      </w:r>
      <w:r>
        <w:t>: 88–102.</w:t>
      </w:r>
    </w:p>
    <w:p w14:paraId="32ED0DD0" w14:textId="77777777" w:rsidR="00497CE3" w:rsidRDefault="00497CE3" w:rsidP="00497CE3">
      <w:pPr>
        <w:autoSpaceDE w:val="0"/>
        <w:autoSpaceDN w:val="0"/>
        <w:adjustRightInd w:val="0"/>
      </w:pPr>
      <w:r>
        <w:rPr>
          <w:b/>
          <w:bCs/>
        </w:rPr>
        <w:t>Jouve S, Bouya B, Amaghzaz M. 2005b.</w:t>
      </w:r>
      <w:r>
        <w:rPr>
          <w:bCs/>
        </w:rPr>
        <w:t xml:space="preserve"> </w:t>
      </w:r>
      <w:r>
        <w:t xml:space="preserve">A short-snouted dyrosaurid (Crocodyliformes, Meoseucrocodylia) from the Palaeocene of Morocco. </w:t>
      </w:r>
      <w:r>
        <w:rPr>
          <w:i/>
          <w:iCs/>
        </w:rPr>
        <w:t>Palaeontology</w:t>
      </w:r>
      <w:r>
        <w:rPr>
          <w:iCs/>
        </w:rPr>
        <w:t xml:space="preserve"> </w:t>
      </w:r>
      <w:r>
        <w:rPr>
          <w:b/>
          <w:bCs/>
        </w:rPr>
        <w:t>4</w:t>
      </w:r>
      <w:r>
        <w:rPr>
          <w:bCs/>
        </w:rPr>
        <w:t xml:space="preserve">: </w:t>
      </w:r>
      <w:r>
        <w:t>359–369.</w:t>
      </w:r>
    </w:p>
    <w:p w14:paraId="4B37C5BE" w14:textId="77777777" w:rsidR="00497CE3" w:rsidRDefault="00497CE3" w:rsidP="00497CE3">
      <w:pPr>
        <w:autoSpaceDE w:val="0"/>
        <w:autoSpaceDN w:val="0"/>
        <w:adjustRightInd w:val="0"/>
      </w:pPr>
      <w:r>
        <w:rPr>
          <w:b/>
          <w:bCs/>
        </w:rPr>
        <w:t>Jouve S, Bouya B, Amaghzaz M. 2008.</w:t>
      </w:r>
      <w:r>
        <w:rPr>
          <w:bCs/>
        </w:rPr>
        <w:t xml:space="preserve"> </w:t>
      </w:r>
      <w:r>
        <w:t xml:space="preserve">A long-snouted dyrosaurid (Crocodyliformes, Mesoeucrocodylia) from the Palaeocene of Morocco: phylogenetic and palaeobiogeographic implications. </w:t>
      </w:r>
      <w:r>
        <w:rPr>
          <w:i/>
          <w:iCs/>
        </w:rPr>
        <w:t>Palaeontology</w:t>
      </w:r>
      <w:r>
        <w:rPr>
          <w:iCs/>
        </w:rPr>
        <w:t xml:space="preserve"> </w:t>
      </w:r>
      <w:r>
        <w:rPr>
          <w:b/>
          <w:bCs/>
        </w:rPr>
        <w:t>51</w:t>
      </w:r>
      <w:r>
        <w:rPr>
          <w:bCs/>
        </w:rPr>
        <w:t xml:space="preserve">: </w:t>
      </w:r>
      <w:r>
        <w:t>281–294.</w:t>
      </w:r>
    </w:p>
    <w:p w14:paraId="35A9FA6B" w14:textId="77777777" w:rsidR="00497CE3" w:rsidRDefault="00497CE3" w:rsidP="00497CE3">
      <w:pPr>
        <w:autoSpaceDE w:val="0"/>
        <w:autoSpaceDN w:val="0"/>
        <w:adjustRightInd w:val="0"/>
      </w:pPr>
      <w:r>
        <w:rPr>
          <w:b/>
          <w:bCs/>
        </w:rPr>
        <w:t>Jouve S, Iarochène M, Bouya B, Amaghzaz M. 2005a.</w:t>
      </w:r>
      <w:r>
        <w:rPr>
          <w:bCs/>
        </w:rPr>
        <w:t xml:space="preserve"> </w:t>
      </w:r>
      <w:r>
        <w:t xml:space="preserve">A new dyrosaurid crocodyliform from the Palaeocene of Morocco and a phylogenetic analysis. </w:t>
      </w:r>
      <w:r>
        <w:rPr>
          <w:i/>
          <w:iCs/>
        </w:rPr>
        <w:t>Acta Palaeotologica Polonica</w:t>
      </w:r>
      <w:r>
        <w:rPr>
          <w:iCs/>
        </w:rPr>
        <w:t xml:space="preserve"> </w:t>
      </w:r>
      <w:r>
        <w:rPr>
          <w:b/>
          <w:bCs/>
        </w:rPr>
        <w:t>50</w:t>
      </w:r>
      <w:r>
        <w:rPr>
          <w:bCs/>
        </w:rPr>
        <w:t xml:space="preserve">: </w:t>
      </w:r>
      <w:r>
        <w:t>581–594.</w:t>
      </w:r>
    </w:p>
    <w:p w14:paraId="54F8A007" w14:textId="77777777" w:rsidR="00497CE3" w:rsidRDefault="00497CE3" w:rsidP="00497CE3">
      <w:pPr>
        <w:autoSpaceDE w:val="0"/>
        <w:autoSpaceDN w:val="0"/>
        <w:adjustRightInd w:val="0"/>
        <w:rPr>
          <w:i/>
          <w:iCs/>
        </w:rPr>
      </w:pPr>
      <w:r>
        <w:rPr>
          <w:b/>
          <w:bCs/>
        </w:rPr>
        <w:t xml:space="preserve">Jouve S, Iarochène M, Bouya B, Amaghzaz M. 2006. </w:t>
      </w:r>
      <w:r>
        <w:t xml:space="preserve">A new species of </w:t>
      </w:r>
      <w:r>
        <w:rPr>
          <w:i/>
          <w:iCs/>
        </w:rPr>
        <w:t xml:space="preserve">Dyrosaurus </w:t>
      </w:r>
      <w:r>
        <w:t xml:space="preserve">(Crocodylomorpha, Dyrosauridae) from the early Eocene of Morocco: phylogenetic implications. </w:t>
      </w:r>
      <w:r>
        <w:rPr>
          <w:i/>
          <w:iCs/>
        </w:rPr>
        <w:t>Zoological Journal of the Linnean Society</w:t>
      </w:r>
      <w:r>
        <w:t xml:space="preserve"> </w:t>
      </w:r>
      <w:r>
        <w:rPr>
          <w:b/>
        </w:rPr>
        <w:t>148</w:t>
      </w:r>
      <w:r>
        <w:t>: 603–656.</w:t>
      </w:r>
    </w:p>
    <w:p w14:paraId="61201F7B" w14:textId="77777777" w:rsidR="00497CE3" w:rsidRDefault="00497CE3" w:rsidP="00497CE3">
      <w:pPr>
        <w:autoSpaceDE w:val="0"/>
        <w:autoSpaceDN w:val="0"/>
        <w:adjustRightInd w:val="0"/>
      </w:pPr>
      <w:r>
        <w:rPr>
          <w:b/>
          <w:bCs/>
        </w:rPr>
        <w:t xml:space="preserve">Jouve S, Schwarz, D. 2004. </w:t>
      </w:r>
      <w:r>
        <w:rPr>
          <w:i/>
          <w:iCs/>
        </w:rPr>
        <w:t>Congosaurus bequaerti</w:t>
      </w:r>
      <w:r>
        <w:t xml:space="preserve">, a Paleocene dyrosaurid (Crocodyliformes; Mesoeucrocodylia) from Landana (Angola). </w:t>
      </w:r>
      <w:r>
        <w:rPr>
          <w:i/>
          <w:iCs/>
        </w:rPr>
        <w:t xml:space="preserve">Bulletin de l’Institut Royal des Sciences Naturelles de Belgique, Sciences de la Terre </w:t>
      </w:r>
      <w:r>
        <w:rPr>
          <w:b/>
          <w:bCs/>
        </w:rPr>
        <w:t>74</w:t>
      </w:r>
      <w:r>
        <w:t>: 129–146.</w:t>
      </w:r>
    </w:p>
    <w:p w14:paraId="2864A3F3" w14:textId="77777777" w:rsidR="00497CE3" w:rsidRDefault="00497CE3" w:rsidP="00497CE3">
      <w:pPr>
        <w:autoSpaceDE w:val="0"/>
        <w:autoSpaceDN w:val="0"/>
        <w:adjustRightInd w:val="0"/>
      </w:pPr>
      <w:r>
        <w:rPr>
          <w:b/>
        </w:rPr>
        <w:t>Karl HV, Gröning E, Brauckmann C, Knötschke N. 2006b.</w:t>
      </w:r>
      <w:r>
        <w:t xml:space="preserve"> Revision of the genus </w:t>
      </w:r>
      <w:r>
        <w:rPr>
          <w:i/>
        </w:rPr>
        <w:t>Enaliosuchus</w:t>
      </w:r>
      <w:r>
        <w:t xml:space="preserve"> Koken, 1883 (Archosauromorpha: Metriorhynchidae) from the Early Cretaceous of northwestern Germany. </w:t>
      </w:r>
      <w:r>
        <w:rPr>
          <w:i/>
        </w:rPr>
        <w:t>Studio Geologica Salmanticensia</w:t>
      </w:r>
      <w:r>
        <w:t xml:space="preserve"> </w:t>
      </w:r>
      <w:r>
        <w:rPr>
          <w:b/>
        </w:rPr>
        <w:t>42</w:t>
      </w:r>
      <w:r>
        <w:t>: 49–59.</w:t>
      </w:r>
    </w:p>
    <w:p w14:paraId="37F27B31" w14:textId="77777777" w:rsidR="00497CE3" w:rsidRDefault="00497CE3" w:rsidP="00497CE3">
      <w:pPr>
        <w:autoSpaceDE w:val="0"/>
        <w:autoSpaceDN w:val="0"/>
        <w:adjustRightInd w:val="0"/>
      </w:pPr>
      <w:r>
        <w:rPr>
          <w:b/>
          <w:bCs/>
        </w:rPr>
        <w:t xml:space="preserve">Karl H-V, Gröning E, Brauckmann C, Schwarz D, Knötschke N. 2006a. </w:t>
      </w:r>
      <w:r>
        <w:t xml:space="preserve">The Late Jurassic crocodiles of the Langenberg near Oker, Lower Saxony (Germany), and description of related materials (with remarks on the history of quarrying the “Langenberg Limestone” and “Obernkirchen Sandstone”). </w:t>
      </w:r>
      <w:r>
        <w:rPr>
          <w:i/>
          <w:iCs/>
        </w:rPr>
        <w:t>Clausthaler Geowissenschaften</w:t>
      </w:r>
      <w:r>
        <w:t xml:space="preserve"> </w:t>
      </w:r>
      <w:r>
        <w:rPr>
          <w:b/>
        </w:rPr>
        <w:t>5</w:t>
      </w:r>
      <w:r>
        <w:t>: 59–77.</w:t>
      </w:r>
    </w:p>
    <w:p w14:paraId="6C6CDF70" w14:textId="77777777" w:rsidR="00497CE3" w:rsidRDefault="00497CE3" w:rsidP="00497CE3">
      <w:pPr>
        <w:autoSpaceDE w:val="0"/>
        <w:autoSpaceDN w:val="0"/>
        <w:adjustRightInd w:val="0"/>
      </w:pPr>
      <w:r>
        <w:rPr>
          <w:b/>
          <w:bCs/>
        </w:rPr>
        <w:t xml:space="preserve">Kellner AWA. 1987. </w:t>
      </w:r>
      <w:r>
        <w:t xml:space="preserve">Ocorrência de um novo crocodiliano no Cretáceo Inferior da Bacia do Araripe, Nordeste do Brasil. </w:t>
      </w:r>
      <w:r>
        <w:rPr>
          <w:i/>
          <w:iCs/>
        </w:rPr>
        <w:t>Anais da Academia Brasileira de Ciências</w:t>
      </w:r>
      <w:r>
        <w:t xml:space="preserve"> </w:t>
      </w:r>
      <w:r>
        <w:rPr>
          <w:b/>
        </w:rPr>
        <w:t>59</w:t>
      </w:r>
      <w:r>
        <w:t>: 219–232.</w:t>
      </w:r>
    </w:p>
    <w:p w14:paraId="27C4C752" w14:textId="77777777" w:rsidR="00497CE3" w:rsidRDefault="00497CE3" w:rsidP="00497CE3">
      <w:pPr>
        <w:autoSpaceDE w:val="0"/>
        <w:autoSpaceDN w:val="0"/>
        <w:adjustRightInd w:val="0"/>
        <w:rPr>
          <w:i/>
        </w:rPr>
      </w:pPr>
      <w:r>
        <w:rPr>
          <w:rStyle w:val="HTMLCite"/>
          <w:b/>
        </w:rPr>
        <w:t>Kellner AWA, Campos DA, Riff D, Andrade MB. 2011.</w:t>
      </w:r>
      <w:r>
        <w:rPr>
          <w:rStyle w:val="HTMLCite"/>
        </w:rPr>
        <w:t xml:space="preserve"> A new crocodylomorph (Sphagesauridae, Notosuchia) with horn-like tubercles from Brazil. Zoological Journal of the Linnean Society </w:t>
      </w:r>
      <w:r>
        <w:rPr>
          <w:rStyle w:val="HTMLCite"/>
          <w:b/>
          <w:bCs/>
        </w:rPr>
        <w:t>163</w:t>
      </w:r>
      <w:r>
        <w:rPr>
          <w:rStyle w:val="HTMLCite"/>
        </w:rPr>
        <w:t xml:space="preserve"> (s1): S57–S65.</w:t>
      </w:r>
    </w:p>
    <w:p w14:paraId="431F638A" w14:textId="77777777" w:rsidR="00497CE3" w:rsidRDefault="00497CE3" w:rsidP="00497CE3">
      <w:pPr>
        <w:autoSpaceDE w:val="0"/>
        <w:autoSpaceDN w:val="0"/>
        <w:adjustRightInd w:val="0"/>
      </w:pPr>
      <w:r>
        <w:rPr>
          <w:b/>
          <w:bCs/>
        </w:rPr>
        <w:t xml:space="preserve">Khosla A, Sertich JJW, Prasad GVR, Verma O. 2009. </w:t>
      </w:r>
      <w:r>
        <w:t xml:space="preserve">Dyrosaurid remains from the intertrappean beds of India and the Late Cretaceous distribution of Dyrosauridae. </w:t>
      </w:r>
      <w:r>
        <w:rPr>
          <w:i/>
          <w:iCs/>
        </w:rPr>
        <w:t>Journal of Vertebrate Paleontology</w:t>
      </w:r>
      <w:r>
        <w:t xml:space="preserve"> </w:t>
      </w:r>
      <w:r>
        <w:rPr>
          <w:b/>
        </w:rPr>
        <w:t xml:space="preserve">29 </w:t>
      </w:r>
      <w:r>
        <w:t>(4): 1321–1326.</w:t>
      </w:r>
    </w:p>
    <w:p w14:paraId="263A7B4D" w14:textId="77777777" w:rsidR="00497CE3" w:rsidRDefault="00497CE3" w:rsidP="00497CE3">
      <w:pPr>
        <w:autoSpaceDE w:val="0"/>
        <w:autoSpaceDN w:val="0"/>
        <w:adjustRightInd w:val="0"/>
        <w:rPr>
          <w:rStyle w:val="HTMLCite"/>
        </w:rPr>
      </w:pPr>
      <w:r w:rsidRPr="000469C6">
        <w:rPr>
          <w:b/>
        </w:rPr>
        <w:t>K</w:t>
      </w:r>
      <w:r w:rsidRPr="000469C6">
        <w:rPr>
          <w:rStyle w:val="cit-name-surname"/>
          <w:b/>
        </w:rPr>
        <w:t>lembara</w:t>
      </w:r>
      <w:r>
        <w:rPr>
          <w:rStyle w:val="cit-auth"/>
          <w:b/>
        </w:rPr>
        <w:t xml:space="preserve"> </w:t>
      </w:r>
      <w:r>
        <w:rPr>
          <w:rStyle w:val="cit-name-given-names"/>
          <w:b/>
        </w:rPr>
        <w:t>J.</w:t>
      </w:r>
      <w:r>
        <w:rPr>
          <w:b/>
        </w:rPr>
        <w:t xml:space="preserve"> </w:t>
      </w:r>
      <w:r>
        <w:rPr>
          <w:rStyle w:val="cit-pub-date"/>
          <w:b/>
          <w:iCs/>
        </w:rPr>
        <w:t>2001.</w:t>
      </w:r>
      <w:r>
        <w:rPr>
          <w:rStyle w:val="HTMLCite"/>
        </w:rPr>
        <w:t xml:space="preserve"> </w:t>
      </w:r>
      <w:r>
        <w:rPr>
          <w:rStyle w:val="cit-article-title"/>
          <w:iCs/>
        </w:rPr>
        <w:t xml:space="preserve">Postparietal and prehatching ontogeny of the supraoccipital in </w:t>
      </w:r>
      <w:r>
        <w:rPr>
          <w:rStyle w:val="Emphasis"/>
        </w:rPr>
        <w:t>Alligator mississippiensis</w:t>
      </w:r>
      <w:r>
        <w:rPr>
          <w:rStyle w:val="cit-article-title"/>
          <w:iCs/>
        </w:rPr>
        <w:t xml:space="preserve"> (Archosauria, Crocodylia)</w:t>
      </w:r>
      <w:r>
        <w:rPr>
          <w:rStyle w:val="HTMLCite"/>
        </w:rPr>
        <w:t xml:space="preserve"> Journal of Morphology </w:t>
      </w:r>
      <w:r>
        <w:rPr>
          <w:rStyle w:val="cit-vol"/>
          <w:b/>
        </w:rPr>
        <w:t>249</w:t>
      </w:r>
      <w:r>
        <w:rPr>
          <w:rStyle w:val="HTMLCite"/>
        </w:rPr>
        <w:t xml:space="preserve">: </w:t>
      </w:r>
      <w:r>
        <w:rPr>
          <w:rStyle w:val="cit-fpage"/>
        </w:rPr>
        <w:t>147</w:t>
      </w:r>
      <w:r>
        <w:rPr>
          <w:rStyle w:val="HTMLCite"/>
        </w:rPr>
        <w:t>–</w:t>
      </w:r>
      <w:r>
        <w:rPr>
          <w:rStyle w:val="cit-lpage"/>
          <w:iCs/>
        </w:rPr>
        <w:t>153</w:t>
      </w:r>
      <w:r>
        <w:rPr>
          <w:rStyle w:val="HTMLCite"/>
        </w:rPr>
        <w:t>.</w:t>
      </w:r>
    </w:p>
    <w:p w14:paraId="2C990E78" w14:textId="77777777" w:rsidR="00497CE3" w:rsidRDefault="00497CE3" w:rsidP="00497CE3">
      <w:pPr>
        <w:contextualSpacing/>
      </w:pPr>
      <w:r w:rsidRPr="000469C6">
        <w:rPr>
          <w:b/>
        </w:rPr>
        <w:t>Kley NJ, Sertich JJW, Turner AH, Krause DW, O’Connor PM, Georgi JA. 2010.</w:t>
      </w:r>
      <w:r w:rsidRPr="00A760BE">
        <w:t xml:space="preserve"> Craniofacial morphology of </w:t>
      </w:r>
      <w:r w:rsidRPr="00A760BE">
        <w:rPr>
          <w:i/>
        </w:rPr>
        <w:t>Simosuchus clarki</w:t>
      </w:r>
      <w:r w:rsidRPr="00A760BE">
        <w:t xml:space="preserve"> (Crocodyliformes: Notosuchia) from the Late Cretaceous of Madagascar. </w:t>
      </w:r>
      <w:r w:rsidRPr="000469C6">
        <w:rPr>
          <w:i/>
        </w:rPr>
        <w:t>Society of Vertebrate Paleontology Memior</w:t>
      </w:r>
      <w:r w:rsidRPr="00A760BE">
        <w:t xml:space="preserve"> </w:t>
      </w:r>
      <w:r w:rsidRPr="000469C6">
        <w:rPr>
          <w:b/>
        </w:rPr>
        <w:t>10</w:t>
      </w:r>
      <w:r w:rsidRPr="00A760BE">
        <w:t>:</w:t>
      </w:r>
      <w:r>
        <w:t xml:space="preserve"> </w:t>
      </w:r>
      <w:r w:rsidRPr="00A760BE">
        <w:t>13</w:t>
      </w:r>
      <w:r>
        <w:rPr>
          <w:rStyle w:val="HTMLCite"/>
        </w:rPr>
        <w:t>–</w:t>
      </w:r>
      <w:r w:rsidRPr="00A760BE">
        <w:t xml:space="preserve">98. </w:t>
      </w:r>
    </w:p>
    <w:p w14:paraId="06CCCEBD" w14:textId="77777777" w:rsidR="00497CE3" w:rsidRDefault="00497CE3" w:rsidP="00497CE3">
      <w:pPr>
        <w:autoSpaceDE w:val="0"/>
        <w:autoSpaceDN w:val="0"/>
        <w:adjustRightInd w:val="0"/>
      </w:pPr>
      <w:r>
        <w:rPr>
          <w:b/>
          <w:bCs/>
        </w:rPr>
        <w:t>Koken E. 1883.</w:t>
      </w:r>
      <w:r>
        <w:rPr>
          <w:bCs/>
        </w:rPr>
        <w:t xml:space="preserve"> </w:t>
      </w:r>
      <w:r>
        <w:t xml:space="preserve">Die reptilian der norddeutschen unteren Kreide. </w:t>
      </w:r>
      <w:r>
        <w:rPr>
          <w:i/>
          <w:iCs/>
        </w:rPr>
        <w:t xml:space="preserve">Zeitschrift deutschen Geologischen Gesellschaft </w:t>
      </w:r>
      <w:r>
        <w:rPr>
          <w:b/>
          <w:bCs/>
        </w:rPr>
        <w:t>35</w:t>
      </w:r>
      <w:r>
        <w:rPr>
          <w:bCs/>
        </w:rPr>
        <w:t xml:space="preserve">: </w:t>
      </w:r>
      <w:r>
        <w:t>735–827.</w:t>
      </w:r>
    </w:p>
    <w:p w14:paraId="7A23E486" w14:textId="77777777" w:rsidR="00497CE3" w:rsidRDefault="00497CE3" w:rsidP="00497CE3">
      <w:pPr>
        <w:autoSpaceDE w:val="0"/>
        <w:autoSpaceDN w:val="0"/>
        <w:adjustRightInd w:val="0"/>
      </w:pPr>
      <w:r>
        <w:rPr>
          <w:b/>
        </w:rPr>
        <w:t>Koken E. 1887.</w:t>
      </w:r>
      <w:r>
        <w:t xml:space="preserve"> Die Dinosaurier, Crocodiliden und Sauropterygier des norddeutschen Wealden. </w:t>
      </w:r>
      <w:r>
        <w:rPr>
          <w:i/>
        </w:rPr>
        <w:t>Geologische und Palaeontologische Abhandlungen</w:t>
      </w:r>
      <w:r>
        <w:t xml:space="preserve"> </w:t>
      </w:r>
      <w:r>
        <w:rPr>
          <w:b/>
        </w:rPr>
        <w:t>3</w:t>
      </w:r>
      <w:r>
        <w:t>: 309–419.</w:t>
      </w:r>
    </w:p>
    <w:p w14:paraId="4E02EDE7" w14:textId="77777777" w:rsidR="00497CE3" w:rsidRDefault="00497CE3" w:rsidP="00497CE3">
      <w:pPr>
        <w:autoSpaceDE w:val="0"/>
        <w:autoSpaceDN w:val="0"/>
        <w:adjustRightInd w:val="0"/>
      </w:pPr>
      <w:r>
        <w:rPr>
          <w:b/>
          <w:bCs/>
        </w:rPr>
        <w:t xml:space="preserve">Kraus R. 1998. </w:t>
      </w:r>
      <w:r>
        <w:t xml:space="preserve">The cranium of </w:t>
      </w:r>
      <w:r>
        <w:rPr>
          <w:i/>
          <w:iCs/>
        </w:rPr>
        <w:t xml:space="preserve">Piscogavialis jugaliperforatus </w:t>
      </w:r>
      <w:r>
        <w:t xml:space="preserve">n. gen., n. sp. (Gavialidae, Crocodylia) from the Miocene of Peru. </w:t>
      </w:r>
      <w:r>
        <w:rPr>
          <w:i/>
          <w:iCs/>
        </w:rPr>
        <w:t>Paläontologische Zeitschrift</w:t>
      </w:r>
      <w:r>
        <w:t xml:space="preserve"> </w:t>
      </w:r>
      <w:r>
        <w:rPr>
          <w:b/>
        </w:rPr>
        <w:t>72</w:t>
      </w:r>
      <w:r>
        <w:t>(3-4): 389–406.</w:t>
      </w:r>
    </w:p>
    <w:p w14:paraId="616D8F42" w14:textId="77777777" w:rsidR="00497CE3" w:rsidRPr="005734BB" w:rsidRDefault="00497CE3" w:rsidP="00497CE3">
      <w:pPr>
        <w:pStyle w:val="NoSpacing"/>
        <w:rPr>
          <w:rFonts w:eastAsia="Times New Roman"/>
          <w:lang w:val="de-DE" w:eastAsia="es-ES"/>
        </w:rPr>
      </w:pPr>
      <w:r w:rsidRPr="005734BB">
        <w:rPr>
          <w:rFonts w:eastAsia="Times New Roman"/>
          <w:b/>
          <w:lang w:eastAsia="es-ES"/>
        </w:rPr>
        <w:t>Krause DW, Kley NJ. 2010.</w:t>
      </w:r>
      <w:r w:rsidRPr="005734BB">
        <w:rPr>
          <w:rFonts w:eastAsia="Times New Roman"/>
          <w:lang w:eastAsia="es-ES"/>
        </w:rPr>
        <w:t xml:space="preserve"> </w:t>
      </w:r>
      <w:r w:rsidRPr="005734BB">
        <w:rPr>
          <w:rFonts w:eastAsia="Times New Roman"/>
          <w:i/>
          <w:lang w:eastAsia="es-ES"/>
        </w:rPr>
        <w:t>Simosuchus clarki</w:t>
      </w:r>
      <w:r w:rsidRPr="005734BB">
        <w:rPr>
          <w:rFonts w:eastAsia="Times New Roman"/>
          <w:lang w:eastAsia="es-ES"/>
        </w:rPr>
        <w:t xml:space="preserve"> (Crocodyliformes: Notosuchia) from the Late Cretaceous of Madagascar. </w:t>
      </w:r>
      <w:r w:rsidRPr="005734BB">
        <w:rPr>
          <w:rFonts w:eastAsia="Times New Roman"/>
          <w:i/>
          <w:lang w:eastAsia="es-ES"/>
        </w:rPr>
        <w:t xml:space="preserve">Memoirs of the Society of Vertebrate </w:t>
      </w:r>
      <w:r w:rsidRPr="005734BB">
        <w:rPr>
          <w:rFonts w:eastAsia="Times New Roman"/>
          <w:i/>
          <w:lang w:val="de-DE" w:eastAsia="es-ES"/>
        </w:rPr>
        <w:t>Paleontology</w:t>
      </w:r>
      <w:r w:rsidRPr="005734BB">
        <w:rPr>
          <w:rFonts w:eastAsia="Times New Roman"/>
          <w:lang w:val="de-DE" w:eastAsia="es-ES"/>
        </w:rPr>
        <w:t xml:space="preserve"> </w:t>
      </w:r>
      <w:r w:rsidRPr="005734BB">
        <w:rPr>
          <w:rFonts w:eastAsia="Times New Roman"/>
          <w:b/>
          <w:lang w:val="de-DE" w:eastAsia="es-ES"/>
        </w:rPr>
        <w:t>10</w:t>
      </w:r>
      <w:r w:rsidRPr="005734BB">
        <w:rPr>
          <w:rFonts w:eastAsia="Times New Roman"/>
          <w:lang w:val="de-DE" w:eastAsia="es-ES"/>
        </w:rPr>
        <w:t>: 1</w:t>
      </w:r>
      <w:r w:rsidRPr="005734BB">
        <w:t>–</w:t>
      </w:r>
      <w:r w:rsidRPr="005734BB">
        <w:rPr>
          <w:rFonts w:eastAsia="Times New Roman"/>
          <w:lang w:val="de-DE" w:eastAsia="es-ES"/>
        </w:rPr>
        <w:t>236.</w:t>
      </w:r>
    </w:p>
    <w:p w14:paraId="431DB6BC" w14:textId="77777777" w:rsidR="00497CE3" w:rsidRDefault="00497CE3" w:rsidP="00497CE3">
      <w:pPr>
        <w:autoSpaceDE w:val="0"/>
        <w:autoSpaceDN w:val="0"/>
        <w:adjustRightInd w:val="0"/>
      </w:pPr>
      <w:r>
        <w:rPr>
          <w:b/>
          <w:bCs/>
        </w:rPr>
        <w:t>Kuhn O. 1936.</w:t>
      </w:r>
      <w:r>
        <w:rPr>
          <w:bCs/>
        </w:rPr>
        <w:t xml:space="preserve"> </w:t>
      </w:r>
      <w:r>
        <w:rPr>
          <w:i/>
          <w:iCs/>
        </w:rPr>
        <w:t>Crocodilia</w:t>
      </w:r>
      <w:r>
        <w:t>. Fossilium Catalogus I: Animalia 75. Gracenhage: Junk.</w:t>
      </w:r>
    </w:p>
    <w:p w14:paraId="65F82961" w14:textId="77777777" w:rsidR="00497CE3" w:rsidRDefault="00497CE3" w:rsidP="00497CE3">
      <w:pPr>
        <w:autoSpaceDE w:val="0"/>
        <w:autoSpaceDN w:val="0"/>
        <w:adjustRightInd w:val="0"/>
      </w:pPr>
      <w:r>
        <w:rPr>
          <w:b/>
          <w:bCs/>
        </w:rPr>
        <w:t>Lamouroux JVF. 1820.</w:t>
      </w:r>
      <w:r>
        <w:rPr>
          <w:bCs/>
        </w:rPr>
        <w:t xml:space="preserve"> </w:t>
      </w:r>
      <w:r>
        <w:t xml:space="preserve">Sur le crocodile fossile trouvé dans les carrière du bourg. </w:t>
      </w:r>
      <w:r>
        <w:rPr>
          <w:i/>
          <w:iCs/>
        </w:rPr>
        <w:t xml:space="preserve">Annales Générales des Sciences Physiques </w:t>
      </w:r>
      <w:r>
        <w:rPr>
          <w:b/>
          <w:bCs/>
        </w:rPr>
        <w:t>3</w:t>
      </w:r>
      <w:r>
        <w:rPr>
          <w:bCs/>
        </w:rPr>
        <w:t xml:space="preserve">: </w:t>
      </w:r>
      <w:r>
        <w:t>160–163.</w:t>
      </w:r>
    </w:p>
    <w:p w14:paraId="7C585B55" w14:textId="77777777" w:rsidR="00497CE3" w:rsidRDefault="00497CE3" w:rsidP="00497CE3">
      <w:pPr>
        <w:autoSpaceDE w:val="0"/>
        <w:autoSpaceDN w:val="0"/>
        <w:adjustRightInd w:val="0"/>
      </w:pPr>
      <w:r>
        <w:rPr>
          <w:b/>
        </w:rPr>
        <w:t>de Lapparent de</w:t>
      </w:r>
      <w:r>
        <w:t xml:space="preserve"> </w:t>
      </w:r>
      <w:r>
        <w:rPr>
          <w:b/>
          <w:bCs/>
        </w:rPr>
        <w:t xml:space="preserve">Broin F. 2002. </w:t>
      </w:r>
      <w:r>
        <w:rPr>
          <w:i/>
          <w:iCs/>
        </w:rPr>
        <w:t>Elosuchus</w:t>
      </w:r>
      <w:r>
        <w:t xml:space="preserve">, a new genus of crocodile from the Lower Cretaceous of the North of Africa. </w:t>
      </w:r>
      <w:r>
        <w:rPr>
          <w:i/>
          <w:iCs/>
        </w:rPr>
        <w:t>Comptes Rendus Palevol</w:t>
      </w:r>
      <w:r>
        <w:t xml:space="preserve"> </w:t>
      </w:r>
      <w:r>
        <w:rPr>
          <w:b/>
        </w:rPr>
        <w:t xml:space="preserve">2002 </w:t>
      </w:r>
      <w:r>
        <w:t>(1): 275–285.</w:t>
      </w:r>
    </w:p>
    <w:p w14:paraId="64B4B7B3" w14:textId="77777777" w:rsidR="00497CE3" w:rsidRDefault="00497CE3" w:rsidP="00497CE3">
      <w:pPr>
        <w:autoSpaceDE w:val="0"/>
        <w:autoSpaceDN w:val="0"/>
        <w:adjustRightInd w:val="0"/>
      </w:pPr>
      <w:r>
        <w:rPr>
          <w:b/>
          <w:bCs/>
        </w:rPr>
        <w:t xml:space="preserve">Larsson HCE, Gado B. 2000. </w:t>
      </w:r>
      <w:r>
        <w:t xml:space="preserve">A new Early Cretaceous crocodyliform from Niger. </w:t>
      </w:r>
      <w:r>
        <w:rPr>
          <w:i/>
          <w:iCs/>
        </w:rPr>
        <w:t>Neues Jahrbuch für Geologie und Paläontologie, Abhandlungen</w:t>
      </w:r>
      <w:r>
        <w:t xml:space="preserve"> </w:t>
      </w:r>
      <w:r>
        <w:rPr>
          <w:b/>
        </w:rPr>
        <w:t>217</w:t>
      </w:r>
      <w:r>
        <w:t>: 131–141.</w:t>
      </w:r>
    </w:p>
    <w:p w14:paraId="03F8368E" w14:textId="77777777" w:rsidR="00497CE3" w:rsidRDefault="00497CE3" w:rsidP="00497CE3">
      <w:pPr>
        <w:autoSpaceDE w:val="0"/>
        <w:autoSpaceDN w:val="0"/>
        <w:adjustRightInd w:val="0"/>
      </w:pPr>
      <w:r>
        <w:rPr>
          <w:b/>
          <w:bCs/>
        </w:rPr>
        <w:t xml:space="preserve">Larsson HCE, Sues H.-D. 2007. </w:t>
      </w:r>
      <w:r>
        <w:t xml:space="preserve">Cranial osteology and phylogenetic relationships of </w:t>
      </w:r>
      <w:r>
        <w:rPr>
          <w:i/>
          <w:iCs/>
        </w:rPr>
        <w:t xml:space="preserve">Hamadasuchus rebouli </w:t>
      </w:r>
      <w:r>
        <w:t xml:space="preserve">(Crocodyliformes: Mesoeucrocodylia) from the Cretaceous of Morocco. </w:t>
      </w:r>
      <w:r>
        <w:rPr>
          <w:i/>
          <w:iCs/>
        </w:rPr>
        <w:t>Zoological Journal of the Linnean Society</w:t>
      </w:r>
      <w:r>
        <w:t xml:space="preserve"> </w:t>
      </w:r>
      <w:r>
        <w:rPr>
          <w:b/>
        </w:rPr>
        <w:t>149</w:t>
      </w:r>
      <w:r>
        <w:t>: 533–567.</w:t>
      </w:r>
    </w:p>
    <w:p w14:paraId="6451A7F8" w14:textId="77777777" w:rsidR="00497CE3" w:rsidRDefault="00497CE3" w:rsidP="00497CE3">
      <w:pPr>
        <w:autoSpaceDE w:val="0"/>
        <w:autoSpaceDN w:val="0"/>
        <w:adjustRightInd w:val="0"/>
        <w:rPr>
          <w:rFonts w:eastAsia="Times New Roman"/>
          <w:iCs/>
          <w:lang w:val="en-US"/>
        </w:rPr>
      </w:pPr>
      <w:r>
        <w:rPr>
          <w:rFonts w:eastAsia="Times New Roman"/>
          <w:b/>
          <w:iCs/>
          <w:lang w:val="en-US"/>
        </w:rPr>
        <w:t>Lauprasert K, Cuny G, Buffetaut E, Suteethorn V, Thirakhupt K.</w:t>
      </w:r>
      <w:r>
        <w:rPr>
          <w:rFonts w:eastAsia="Times New Roman"/>
          <w:iCs/>
          <w:lang w:val="en-US"/>
        </w:rPr>
        <w:t xml:space="preserve"> </w:t>
      </w:r>
      <w:r>
        <w:rPr>
          <w:rFonts w:eastAsia="Times New Roman"/>
          <w:b/>
          <w:iCs/>
          <w:lang w:val="en-US"/>
        </w:rPr>
        <w:t>2007.</w:t>
      </w:r>
      <w:r>
        <w:rPr>
          <w:rFonts w:eastAsia="Times New Roman"/>
          <w:iCs/>
          <w:lang w:val="en-US"/>
        </w:rPr>
        <w:t xml:space="preserve"> </w:t>
      </w:r>
      <w:r>
        <w:rPr>
          <w:rFonts w:eastAsia="Times New Roman"/>
          <w:i/>
          <w:iCs/>
          <w:lang w:val="en-US"/>
        </w:rPr>
        <w:t>Siamosuchus phuphokensis</w:t>
      </w:r>
      <w:r>
        <w:rPr>
          <w:rFonts w:eastAsia="Times New Roman"/>
          <w:iCs/>
          <w:lang w:val="en-US"/>
        </w:rPr>
        <w:t xml:space="preserve">, a new goniopholidid from the Early Cretaceous (ante-Aptian) of North-Eastern Thailand. </w:t>
      </w:r>
      <w:r>
        <w:rPr>
          <w:rFonts w:eastAsia="Times New Roman"/>
          <w:i/>
          <w:iCs/>
          <w:lang w:val="en-US"/>
        </w:rPr>
        <w:t>Bulletin de la Société Géologique de France</w:t>
      </w:r>
      <w:r>
        <w:rPr>
          <w:rFonts w:eastAsia="Times New Roman"/>
          <w:iCs/>
          <w:lang w:val="en-US"/>
        </w:rPr>
        <w:t xml:space="preserve"> </w:t>
      </w:r>
      <w:r>
        <w:rPr>
          <w:rFonts w:eastAsia="Times New Roman"/>
          <w:b/>
          <w:iCs/>
          <w:lang w:val="en-US"/>
        </w:rPr>
        <w:t>178</w:t>
      </w:r>
      <w:r>
        <w:rPr>
          <w:rFonts w:eastAsia="Times New Roman"/>
          <w:iCs/>
          <w:lang w:val="en-US"/>
        </w:rPr>
        <w:t>: 201</w:t>
      </w:r>
      <w:r>
        <w:t>–</w:t>
      </w:r>
      <w:r>
        <w:rPr>
          <w:rFonts w:eastAsia="Times New Roman"/>
          <w:iCs/>
          <w:lang w:val="en-US"/>
        </w:rPr>
        <w:t>216.</w:t>
      </w:r>
    </w:p>
    <w:p w14:paraId="2BA5D2C0" w14:textId="77777777" w:rsidR="00497CE3" w:rsidRDefault="00497CE3" w:rsidP="00497CE3">
      <w:pPr>
        <w:autoSpaceDE w:val="0"/>
        <w:autoSpaceDN w:val="0"/>
        <w:adjustRightInd w:val="0"/>
        <w:rPr>
          <w:rFonts w:eastAsiaTheme="minorHAnsi"/>
          <w:lang w:eastAsia="en-US"/>
        </w:rPr>
      </w:pPr>
      <w:r>
        <w:rPr>
          <w:b/>
        </w:rPr>
        <w:t>Lavocat R. 1955.</w:t>
      </w:r>
      <w:r>
        <w:t xml:space="preserve"> Découverte d’un Crocodilien du genre </w:t>
      </w:r>
      <w:r>
        <w:rPr>
          <w:i/>
        </w:rPr>
        <w:t>Thoracosaurus</w:t>
      </w:r>
      <w:r>
        <w:t xml:space="preserve"> dans le Crétacé supérieur d’Afrique. </w:t>
      </w:r>
      <w:r>
        <w:rPr>
          <w:i/>
        </w:rPr>
        <w:t>Bulletin du Muséum National D’Histoire Naturelle, 2e série</w:t>
      </w:r>
      <w:r>
        <w:t xml:space="preserve"> </w:t>
      </w:r>
      <w:r>
        <w:rPr>
          <w:b/>
        </w:rPr>
        <w:t>27</w:t>
      </w:r>
      <w:r>
        <w:t>: 338– 340.</w:t>
      </w:r>
    </w:p>
    <w:p w14:paraId="1392DAAE" w14:textId="77777777" w:rsidR="00497CE3" w:rsidRDefault="00497CE3" w:rsidP="00497CE3">
      <w:pPr>
        <w:autoSpaceDE w:val="0"/>
        <w:autoSpaceDN w:val="0"/>
        <w:adjustRightInd w:val="0"/>
      </w:pPr>
      <w:r>
        <w:rPr>
          <w:b/>
        </w:rPr>
        <w:t>Leardi JM, Pol D, Clark JM. 2017.</w:t>
      </w:r>
      <w:r>
        <w:t xml:space="preserve"> Detailed anatomy of the braincase of </w:t>
      </w:r>
      <w:r>
        <w:rPr>
          <w:i/>
        </w:rPr>
        <w:t>Macelognathus vagans</w:t>
      </w:r>
      <w:r>
        <w:t xml:space="preserve"> Marsh, 1884 (Archosauria, Crocodylomorpha) using high resolution tomography and new insights on basal crocodylomorph phylogeny. </w:t>
      </w:r>
      <w:r>
        <w:rPr>
          <w:i/>
        </w:rPr>
        <w:t>PeerJ</w:t>
      </w:r>
      <w:r>
        <w:t xml:space="preserve"> </w:t>
      </w:r>
      <w:r>
        <w:rPr>
          <w:b/>
        </w:rPr>
        <w:t>5</w:t>
      </w:r>
      <w:r>
        <w:t>: e2801. doi: 10.7717/peerj.2801</w:t>
      </w:r>
    </w:p>
    <w:p w14:paraId="03DC1144" w14:textId="77777777" w:rsidR="00497CE3" w:rsidRDefault="00497CE3" w:rsidP="00497CE3">
      <w:pPr>
        <w:autoSpaceDE w:val="0"/>
        <w:autoSpaceDN w:val="0"/>
        <w:adjustRightInd w:val="0"/>
        <w:rPr>
          <w:lang w:val="en-US"/>
        </w:rPr>
      </w:pPr>
      <w:r>
        <w:rPr>
          <w:b/>
          <w:lang w:val="en-US"/>
        </w:rPr>
        <w:t>Lecuona A, Desojo JB.</w:t>
      </w:r>
      <w:r>
        <w:rPr>
          <w:lang w:val="en-US"/>
        </w:rPr>
        <w:t xml:space="preserve"> </w:t>
      </w:r>
      <w:r>
        <w:rPr>
          <w:b/>
          <w:lang w:val="en-US"/>
        </w:rPr>
        <w:t>2011.</w:t>
      </w:r>
      <w:r>
        <w:rPr>
          <w:lang w:val="en-US"/>
        </w:rPr>
        <w:t xml:space="preserve"> Hind limb osteology of </w:t>
      </w:r>
      <w:r>
        <w:rPr>
          <w:i/>
          <w:lang w:val="en-US"/>
        </w:rPr>
        <w:t>Gracilisuchus stipanicicorum</w:t>
      </w:r>
      <w:r>
        <w:rPr>
          <w:lang w:val="en-US"/>
        </w:rPr>
        <w:t xml:space="preserve"> (Archosauria: Pseudosuchia). </w:t>
      </w:r>
      <w:r>
        <w:rPr>
          <w:i/>
          <w:lang w:val="en-US"/>
        </w:rPr>
        <w:t>Earth and Environmental Science Transactions of the Royal Society of Edinburgh</w:t>
      </w:r>
      <w:r>
        <w:rPr>
          <w:lang w:val="en-US"/>
        </w:rPr>
        <w:t xml:space="preserve"> </w:t>
      </w:r>
      <w:r>
        <w:rPr>
          <w:b/>
          <w:lang w:val="en-US"/>
        </w:rPr>
        <w:t>102</w:t>
      </w:r>
      <w:r>
        <w:rPr>
          <w:lang w:val="en-US"/>
        </w:rPr>
        <w:t>: 105</w:t>
      </w:r>
      <w:r>
        <w:t>–</w:t>
      </w:r>
      <w:r>
        <w:rPr>
          <w:lang w:val="en-US"/>
        </w:rPr>
        <w:t>128.</w:t>
      </w:r>
    </w:p>
    <w:p w14:paraId="2C8F1F31" w14:textId="77777777" w:rsidR="00497CE3" w:rsidRDefault="00497CE3" w:rsidP="00497CE3">
      <w:pPr>
        <w:pStyle w:val="Default"/>
      </w:pPr>
      <w:r>
        <w:rPr>
          <w:b/>
          <w:bCs/>
        </w:rPr>
        <w:t xml:space="preserve">Lennier G. 1887. </w:t>
      </w:r>
      <w:r>
        <w:t xml:space="preserve">Description des fossils du Cap de la Heve. </w:t>
      </w:r>
      <w:r>
        <w:rPr>
          <w:i/>
          <w:iCs/>
        </w:rPr>
        <w:t xml:space="preserve">Bulletin de la Société Géologique de Normandie, Le Harve </w:t>
      </w:r>
      <w:r>
        <w:rPr>
          <w:b/>
          <w:bCs/>
        </w:rPr>
        <w:t>12</w:t>
      </w:r>
      <w:r>
        <w:t xml:space="preserve">: 17–98. </w:t>
      </w:r>
    </w:p>
    <w:p w14:paraId="09AC6B34" w14:textId="77777777" w:rsidR="00497CE3" w:rsidRDefault="00497CE3" w:rsidP="00497CE3">
      <w:pPr>
        <w:autoSpaceDE w:val="0"/>
      </w:pPr>
      <w:r>
        <w:rPr>
          <w:b/>
        </w:rPr>
        <w:t>Lepage Y, Buffetaut E, Hua S, Martin JE, Tabouelle J. 2008.</w:t>
      </w:r>
      <w:r>
        <w:t xml:space="preserve"> Catalogue descriptif, anatomique, géologique et historique des fossiles présentés à l’exposition « Les Crocodiliens fossiles de Normandie » (6 novembre - 14 decembre 2008). </w:t>
      </w:r>
      <w:r>
        <w:rPr>
          <w:i/>
        </w:rPr>
        <w:t>Bulletin de la Société Géologique de Normandie et des Amis du Muséum du Havre</w:t>
      </w:r>
      <w:r>
        <w:t xml:space="preserve"> </w:t>
      </w:r>
      <w:r>
        <w:rPr>
          <w:b/>
        </w:rPr>
        <w:t>95</w:t>
      </w:r>
      <w:r>
        <w:t>: 5–152.</w:t>
      </w:r>
    </w:p>
    <w:p w14:paraId="3699598C" w14:textId="77777777" w:rsidR="00497CE3" w:rsidRDefault="00497CE3" w:rsidP="00497CE3">
      <w:pPr>
        <w:autoSpaceDE w:val="0"/>
      </w:pPr>
      <w:r>
        <w:rPr>
          <w:b/>
        </w:rPr>
        <w:t>Li J. 1993.</w:t>
      </w:r>
      <w:r>
        <w:t xml:space="preserve"> A new specimen of </w:t>
      </w:r>
      <w:r>
        <w:rPr>
          <w:i/>
        </w:rPr>
        <w:t>Peipehsuchus teleorhinus</w:t>
      </w:r>
      <w:r>
        <w:t xml:space="preserve"> from Ziliujing Formation of Daixan, Sichuan. </w:t>
      </w:r>
      <w:r>
        <w:rPr>
          <w:i/>
        </w:rPr>
        <w:t>Vertebrata PalAsiatica</w:t>
      </w:r>
      <w:r>
        <w:t xml:space="preserve"> </w:t>
      </w:r>
      <w:r>
        <w:rPr>
          <w:b/>
        </w:rPr>
        <w:t>31</w:t>
      </w:r>
      <w:r>
        <w:t>: 85–94.</w:t>
      </w:r>
    </w:p>
    <w:p w14:paraId="340D176B" w14:textId="77777777" w:rsidR="00497CE3" w:rsidRDefault="00497CE3" w:rsidP="00497CE3">
      <w:pPr>
        <w:autoSpaceDE w:val="0"/>
        <w:autoSpaceDN w:val="0"/>
        <w:adjustRightInd w:val="0"/>
      </w:pPr>
      <w:r>
        <w:rPr>
          <w:b/>
          <w:bCs/>
        </w:rPr>
        <w:t xml:space="preserve">Li JL, Wu XC. 2008. </w:t>
      </w:r>
      <w:r>
        <w:t xml:space="preserve">Crocodylomorpha. Pp. 183–214 in J. L. Li, X. C. Wu &amp; F. Zhang (eds) </w:t>
      </w:r>
      <w:r>
        <w:rPr>
          <w:i/>
          <w:iCs/>
        </w:rPr>
        <w:t>The Chinese fossil reptiles and their kin</w:t>
      </w:r>
      <w:r>
        <w:t>. Beijing: Science Press.</w:t>
      </w:r>
    </w:p>
    <w:p w14:paraId="75482940" w14:textId="77777777" w:rsidR="00497CE3" w:rsidRDefault="00497CE3" w:rsidP="00497CE3">
      <w:pPr>
        <w:autoSpaceDE w:val="0"/>
        <w:autoSpaceDN w:val="0"/>
        <w:adjustRightInd w:val="0"/>
      </w:pPr>
      <w:r>
        <w:rPr>
          <w:b/>
          <w:bCs/>
        </w:rPr>
        <w:t xml:space="preserve">Li JL, Wu XC, Li XM. 1994. </w:t>
      </w:r>
      <w:r>
        <w:t xml:space="preserve">[New material of </w:t>
      </w:r>
      <w:r>
        <w:rPr>
          <w:i/>
          <w:iCs/>
        </w:rPr>
        <w:t xml:space="preserve">Hsisosuchus chungkingensis </w:t>
      </w:r>
      <w:r>
        <w:t xml:space="preserve">from Sichuan, China]. </w:t>
      </w:r>
      <w:r>
        <w:rPr>
          <w:i/>
          <w:iCs/>
        </w:rPr>
        <w:t>Vertebrata Palasiatica</w:t>
      </w:r>
      <w:r>
        <w:t xml:space="preserve"> </w:t>
      </w:r>
      <w:r>
        <w:rPr>
          <w:b/>
        </w:rPr>
        <w:t xml:space="preserve">32 </w:t>
      </w:r>
      <w:r>
        <w:t>(2): 107–126. [In Chinese]</w:t>
      </w:r>
    </w:p>
    <w:p w14:paraId="6C638418" w14:textId="77777777" w:rsidR="00497CE3" w:rsidRPr="005734BB" w:rsidRDefault="00497CE3" w:rsidP="00497CE3">
      <w:pPr>
        <w:pStyle w:val="NoSpacing"/>
      </w:pPr>
      <w:r w:rsidRPr="005734BB">
        <w:rPr>
          <w:b/>
        </w:rPr>
        <w:t>Long RA, Murry PA. 1995.</w:t>
      </w:r>
      <w:r w:rsidRPr="005734BB">
        <w:t xml:space="preserve"> Late Triassic (Carnian and Norian) tetrapods from the southwestern United States. </w:t>
      </w:r>
      <w:r w:rsidRPr="005734BB">
        <w:rPr>
          <w:i/>
        </w:rPr>
        <w:t>New Mexico Museum of Natural History and Science</w:t>
      </w:r>
      <w:r w:rsidRPr="005734BB">
        <w:t xml:space="preserve"> </w:t>
      </w:r>
      <w:r w:rsidRPr="005734BB">
        <w:rPr>
          <w:b/>
        </w:rPr>
        <w:t>4</w:t>
      </w:r>
      <w:r w:rsidRPr="005734BB">
        <w:t>: 1–254.</w:t>
      </w:r>
    </w:p>
    <w:p w14:paraId="40CF72B2" w14:textId="77777777" w:rsidR="00497CE3" w:rsidRDefault="00497CE3" w:rsidP="00497CE3">
      <w:pPr>
        <w:autoSpaceDE w:val="0"/>
        <w:autoSpaceDN w:val="0"/>
        <w:adjustRightInd w:val="0"/>
      </w:pPr>
      <w:r>
        <w:rPr>
          <w:b/>
          <w:bCs/>
        </w:rPr>
        <w:t xml:space="preserve">López RM. 1975. </w:t>
      </w:r>
      <w:r>
        <w:t xml:space="preserve">Informe estratigráfico de los ríos Alto Moile, Alto Isarsama, Ichoa, Alto Beni y Tequeje. </w:t>
      </w:r>
      <w:r>
        <w:rPr>
          <w:i/>
          <w:iCs/>
        </w:rPr>
        <w:t>Informe YPFB GXG-2600</w:t>
      </w:r>
      <w:r>
        <w:t>.</w:t>
      </w:r>
    </w:p>
    <w:p w14:paraId="716FF8BE" w14:textId="77777777" w:rsidR="00497CE3" w:rsidRDefault="00497CE3" w:rsidP="00497CE3">
      <w:pPr>
        <w:autoSpaceDE w:val="0"/>
        <w:autoSpaceDN w:val="0"/>
        <w:adjustRightInd w:val="0"/>
        <w:rPr>
          <w:rFonts w:eastAsia="Times New Roman"/>
          <w:iCs/>
          <w:lang w:val="en-US"/>
        </w:rPr>
      </w:pPr>
      <w:r>
        <w:rPr>
          <w:rFonts w:eastAsia="Times New Roman"/>
          <w:b/>
          <w:iCs/>
          <w:lang w:val="en-US"/>
        </w:rPr>
        <w:t>Lucas SG, Sullivan RM.</w:t>
      </w:r>
      <w:r>
        <w:rPr>
          <w:rFonts w:eastAsia="Times New Roman"/>
          <w:iCs/>
          <w:lang w:val="en-US"/>
        </w:rPr>
        <w:t xml:space="preserve"> </w:t>
      </w:r>
      <w:r>
        <w:rPr>
          <w:rFonts w:eastAsia="Times New Roman"/>
          <w:b/>
          <w:iCs/>
          <w:lang w:val="en-US"/>
        </w:rPr>
        <w:t>2003.</w:t>
      </w:r>
      <w:r>
        <w:rPr>
          <w:rFonts w:eastAsia="Times New Roman"/>
          <w:iCs/>
          <w:lang w:val="en-US"/>
        </w:rPr>
        <w:t xml:space="preserve"> A new crocodilian from the Upper Cretaceous of the San Juan Basin, New Mexico. </w:t>
      </w:r>
      <w:r>
        <w:rPr>
          <w:rFonts w:eastAsia="Times New Roman"/>
          <w:i/>
          <w:iCs/>
          <w:lang w:val="en-US"/>
        </w:rPr>
        <w:t>Neues Jahrbuch fur Geologie und Palaontologie, Monatshefte</w:t>
      </w:r>
      <w:r>
        <w:rPr>
          <w:rFonts w:eastAsia="Times New Roman"/>
          <w:iCs/>
          <w:lang w:val="en-US"/>
        </w:rPr>
        <w:t xml:space="preserve"> </w:t>
      </w:r>
      <w:r>
        <w:rPr>
          <w:rFonts w:eastAsia="Times New Roman"/>
          <w:b/>
          <w:iCs/>
          <w:lang w:val="en-US"/>
        </w:rPr>
        <w:t>2</w:t>
      </w:r>
      <w:r>
        <w:rPr>
          <w:rFonts w:eastAsia="Times New Roman"/>
          <w:iCs/>
          <w:lang w:val="en-US"/>
        </w:rPr>
        <w:t>: 109</w:t>
      </w:r>
      <w:r>
        <w:t>–</w:t>
      </w:r>
      <w:r>
        <w:rPr>
          <w:rFonts w:eastAsia="Times New Roman"/>
          <w:iCs/>
          <w:lang w:val="en-US"/>
        </w:rPr>
        <w:t>119.</w:t>
      </w:r>
    </w:p>
    <w:p w14:paraId="6FA6884F" w14:textId="77777777" w:rsidR="00497CE3" w:rsidRDefault="00497CE3" w:rsidP="00497CE3">
      <w:pPr>
        <w:autoSpaceDE w:val="0"/>
        <w:autoSpaceDN w:val="0"/>
        <w:adjustRightInd w:val="0"/>
        <w:rPr>
          <w:rFonts w:eastAsiaTheme="minorHAnsi"/>
          <w:lang w:eastAsia="en-US"/>
        </w:rPr>
      </w:pPr>
      <w:r>
        <w:rPr>
          <w:b/>
          <w:bCs/>
        </w:rPr>
        <w:t>Lydekker R. 1890.</w:t>
      </w:r>
      <w:r>
        <w:rPr>
          <w:bCs/>
        </w:rPr>
        <w:t xml:space="preserve"> </w:t>
      </w:r>
      <w:r>
        <w:t xml:space="preserve">On a crocodilian jaw from the Oxford Clay of Peterborough. </w:t>
      </w:r>
      <w:r>
        <w:rPr>
          <w:i/>
          <w:iCs/>
        </w:rPr>
        <w:t xml:space="preserve">Quarterly Journal of the Geological Society, London </w:t>
      </w:r>
      <w:r>
        <w:rPr>
          <w:b/>
          <w:bCs/>
        </w:rPr>
        <w:t>46</w:t>
      </w:r>
      <w:r>
        <w:rPr>
          <w:bCs/>
        </w:rPr>
        <w:t xml:space="preserve">: </w:t>
      </w:r>
      <w:r>
        <w:t>284–288.</w:t>
      </w:r>
    </w:p>
    <w:p w14:paraId="62C81F21" w14:textId="77777777" w:rsidR="00497CE3" w:rsidRDefault="00497CE3" w:rsidP="00497CE3">
      <w:pPr>
        <w:autoSpaceDE w:val="0"/>
        <w:autoSpaceDN w:val="0"/>
        <w:adjustRightInd w:val="0"/>
      </w:pPr>
      <w:r>
        <w:rPr>
          <w:b/>
        </w:rPr>
        <w:t>Mansel-Pleydell JC. 1888.</w:t>
      </w:r>
      <w:r>
        <w:t xml:space="preserve"> Fossil reptiles of Dorset. </w:t>
      </w:r>
      <w:r>
        <w:rPr>
          <w:i/>
        </w:rPr>
        <w:t xml:space="preserve">Proceedings of the Dorset Natural History and Antiquarian Field Club </w:t>
      </w:r>
      <w:r>
        <w:rPr>
          <w:b/>
        </w:rPr>
        <w:t>9</w:t>
      </w:r>
      <w:r>
        <w:t>: 1–40.</w:t>
      </w:r>
    </w:p>
    <w:p w14:paraId="325F2C80" w14:textId="77777777" w:rsidR="00497CE3" w:rsidRDefault="00497CE3" w:rsidP="00497CE3">
      <w:pPr>
        <w:autoSpaceDE w:val="0"/>
        <w:autoSpaceDN w:val="0"/>
        <w:adjustRightInd w:val="0"/>
      </w:pPr>
      <w:r>
        <w:rPr>
          <w:b/>
          <w:bCs/>
        </w:rPr>
        <w:t xml:space="preserve">Marinho TS, Carvalho IS. 2009. </w:t>
      </w:r>
      <w:r>
        <w:t xml:space="preserve">An armadillo-like sphagesaurid crocodyliform from the Late Cretaceous of Brazil. </w:t>
      </w:r>
      <w:r>
        <w:rPr>
          <w:i/>
          <w:iCs/>
        </w:rPr>
        <w:t>Journal of South American Earth Sciences</w:t>
      </w:r>
      <w:r>
        <w:t xml:space="preserve"> </w:t>
      </w:r>
      <w:r>
        <w:rPr>
          <w:b/>
        </w:rPr>
        <w:t>27</w:t>
      </w:r>
      <w:r>
        <w:t>: 36–41.</w:t>
      </w:r>
    </w:p>
    <w:p w14:paraId="083AF97A" w14:textId="77777777" w:rsidR="00497CE3" w:rsidRDefault="00497CE3" w:rsidP="00497CE3">
      <w:pPr>
        <w:autoSpaceDE w:val="0"/>
        <w:autoSpaceDN w:val="0"/>
        <w:adjustRightInd w:val="0"/>
      </w:pPr>
      <w:r>
        <w:rPr>
          <w:b/>
          <w:bCs/>
        </w:rPr>
        <w:t xml:space="preserve">Marsh OC. 1869. </w:t>
      </w:r>
      <w:r>
        <w:t xml:space="preserve">Notice of some new reptilian remains from the Cretaceous of Brazil. </w:t>
      </w:r>
      <w:r>
        <w:rPr>
          <w:i/>
          <w:iCs/>
        </w:rPr>
        <w:t>American Journal of Science</w:t>
      </w:r>
      <w:r>
        <w:t xml:space="preserve"> </w:t>
      </w:r>
      <w:r>
        <w:rPr>
          <w:b/>
        </w:rPr>
        <w:t>47</w:t>
      </w:r>
      <w:r>
        <w:t>: 390–392.</w:t>
      </w:r>
    </w:p>
    <w:p w14:paraId="59818207" w14:textId="77777777" w:rsidR="00497CE3" w:rsidRPr="005734BB" w:rsidRDefault="00497CE3" w:rsidP="00497CE3">
      <w:pPr>
        <w:pStyle w:val="NoSpacing"/>
      </w:pPr>
      <w:r w:rsidRPr="005734BB">
        <w:rPr>
          <w:b/>
        </w:rPr>
        <w:t>Marsh OC. 1884.</w:t>
      </w:r>
      <w:r w:rsidRPr="005734BB">
        <w:t xml:space="preserve"> A new order of extinct Jurassic reptile (Macelognatha). </w:t>
      </w:r>
      <w:r w:rsidRPr="005734BB">
        <w:rPr>
          <w:i/>
        </w:rPr>
        <w:t>American Journal of</w:t>
      </w:r>
      <w:r w:rsidRPr="005734BB">
        <w:t xml:space="preserve"> </w:t>
      </w:r>
      <w:r w:rsidRPr="005734BB">
        <w:rPr>
          <w:i/>
        </w:rPr>
        <w:t>Science</w:t>
      </w:r>
      <w:r w:rsidRPr="005734BB">
        <w:t xml:space="preserve"> </w:t>
      </w:r>
      <w:r w:rsidRPr="005734BB">
        <w:rPr>
          <w:b/>
        </w:rPr>
        <w:t>27</w:t>
      </w:r>
      <w:r w:rsidRPr="005734BB">
        <w:t xml:space="preserve"> (3): 341.</w:t>
      </w:r>
    </w:p>
    <w:p w14:paraId="58663609" w14:textId="77777777" w:rsidR="00497CE3" w:rsidRPr="0067411E" w:rsidRDefault="00497CE3" w:rsidP="00497CE3">
      <w:pPr>
        <w:autoSpaceDE w:val="0"/>
        <w:autoSpaceDN w:val="0"/>
        <w:adjustRightInd w:val="0"/>
        <w:rPr>
          <w:rFonts w:eastAsia="Times New Roman"/>
          <w:lang w:val="en-US"/>
        </w:rPr>
      </w:pPr>
      <w:r>
        <w:rPr>
          <w:rFonts w:eastAsia="Times New Roman"/>
          <w:b/>
          <w:lang w:val="en-US"/>
        </w:rPr>
        <w:t>Martin JE, Deesri U, Liard R, Wattanapituksakul A.</w:t>
      </w:r>
      <w:r>
        <w:rPr>
          <w:rFonts w:eastAsia="Times New Roman"/>
          <w:lang w:val="en-US"/>
        </w:rPr>
        <w:t xml:space="preserve"> </w:t>
      </w:r>
      <w:r>
        <w:rPr>
          <w:rFonts w:eastAsia="Times New Roman"/>
          <w:b/>
          <w:lang w:val="en-US"/>
        </w:rPr>
        <w:t>2016c.</w:t>
      </w:r>
      <w:r>
        <w:rPr>
          <w:rFonts w:eastAsia="Times New Roman"/>
          <w:lang w:val="en-US"/>
        </w:rPr>
        <w:t xml:space="preserve"> Strontium isotopes and the long-term residency of thalattosuchians in the freshwater environment. </w:t>
      </w:r>
      <w:r>
        <w:rPr>
          <w:rFonts w:eastAsia="Times New Roman"/>
          <w:i/>
          <w:lang w:val="en-US"/>
        </w:rPr>
        <w:t>Palaeobiology</w:t>
      </w:r>
      <w:r>
        <w:rPr>
          <w:rFonts w:eastAsia="Times New Roman"/>
          <w:lang w:val="en-US"/>
        </w:rPr>
        <w:t xml:space="preserve"> </w:t>
      </w:r>
      <w:r w:rsidRPr="0067411E">
        <w:rPr>
          <w:rFonts w:eastAsia="Times New Roman"/>
          <w:b/>
          <w:lang w:val="en-US"/>
        </w:rPr>
        <w:t>42</w:t>
      </w:r>
      <w:r>
        <w:rPr>
          <w:rFonts w:eastAsia="Times New Roman"/>
          <w:lang w:val="en-US"/>
        </w:rPr>
        <w:t xml:space="preserve"> (1): 143</w:t>
      </w:r>
      <w:r>
        <w:t>–</w:t>
      </w:r>
      <w:r>
        <w:rPr>
          <w:rFonts w:eastAsia="Times New Roman"/>
          <w:lang w:val="en-US"/>
        </w:rPr>
        <w:t>156.</w:t>
      </w:r>
    </w:p>
    <w:p w14:paraId="6433DBE5" w14:textId="77777777" w:rsidR="00497CE3" w:rsidRDefault="00497CE3" w:rsidP="00497CE3">
      <w:pPr>
        <w:autoSpaceDE w:val="0"/>
        <w:autoSpaceDN w:val="0"/>
        <w:adjustRightInd w:val="0"/>
        <w:rPr>
          <w:rFonts w:eastAsia="Times New Roman"/>
          <w:lang w:val="en-US"/>
        </w:rPr>
      </w:pPr>
      <w:r>
        <w:rPr>
          <w:rFonts w:eastAsia="Times New Roman"/>
          <w:b/>
          <w:lang w:val="en-US"/>
        </w:rPr>
        <w:t>Martin JE, Delfino M, Smith T.</w:t>
      </w:r>
      <w:r>
        <w:rPr>
          <w:rFonts w:eastAsia="Times New Roman"/>
          <w:lang w:val="en-US"/>
        </w:rPr>
        <w:t xml:space="preserve"> </w:t>
      </w:r>
      <w:r>
        <w:rPr>
          <w:rFonts w:eastAsia="Times New Roman"/>
          <w:b/>
          <w:lang w:val="en-US"/>
        </w:rPr>
        <w:t>2016a.</w:t>
      </w:r>
      <w:r>
        <w:rPr>
          <w:rFonts w:eastAsia="Times New Roman"/>
          <w:lang w:val="en-US"/>
        </w:rPr>
        <w:t xml:space="preserve"> Osteology and affinities of Dollo's goniopholidid (Mesoeucrocodylia) from the Early Cretaceous of Bernissart, Belgium. </w:t>
      </w:r>
      <w:r>
        <w:rPr>
          <w:rFonts w:eastAsia="Times New Roman"/>
          <w:i/>
          <w:lang w:val="en-US"/>
        </w:rPr>
        <w:t>Journal of Vertebrate Paleontology</w:t>
      </w:r>
      <w:r>
        <w:rPr>
          <w:rFonts w:eastAsia="Times New Roman"/>
          <w:lang w:val="en-US"/>
        </w:rPr>
        <w:t xml:space="preserve"> DOI: 10.1080/02724634.2016.1222534.</w:t>
      </w:r>
    </w:p>
    <w:p w14:paraId="3487DE39" w14:textId="77777777" w:rsidR="00497CE3" w:rsidRDefault="00497CE3" w:rsidP="00497CE3">
      <w:pPr>
        <w:autoSpaceDE w:val="0"/>
        <w:autoSpaceDN w:val="0"/>
        <w:adjustRightInd w:val="0"/>
        <w:rPr>
          <w:rFonts w:eastAsiaTheme="minorHAnsi"/>
          <w:lang w:eastAsia="en-US"/>
        </w:rPr>
      </w:pPr>
      <w:r>
        <w:rPr>
          <w:rFonts w:eastAsia="Times New Roman"/>
          <w:b/>
          <w:lang w:val="en-US"/>
        </w:rPr>
        <w:t>Martin JE, Lauprasert K, Buffetaut E, Liard R, Suteethorn V.</w:t>
      </w:r>
      <w:r>
        <w:rPr>
          <w:rFonts w:eastAsia="Times New Roman"/>
          <w:lang w:val="en-US"/>
        </w:rPr>
        <w:t xml:space="preserve">  </w:t>
      </w:r>
      <w:r>
        <w:rPr>
          <w:rFonts w:eastAsia="Times New Roman"/>
          <w:b/>
          <w:lang w:val="en-US"/>
        </w:rPr>
        <w:t>2014.</w:t>
      </w:r>
      <w:r>
        <w:rPr>
          <w:rFonts w:eastAsia="Times New Roman"/>
          <w:lang w:val="en-US"/>
        </w:rPr>
        <w:t xml:space="preserve"> A large pholidosaurid in the Phu Kradung Formation of north</w:t>
      </w:r>
      <w:r>
        <w:rPr>
          <w:rFonts w:ascii="Cambria Math" w:eastAsia="Times New Roman" w:hAnsi="Cambria Math" w:cs="Cambria Math"/>
          <w:lang w:val="en-US"/>
        </w:rPr>
        <w:t>‐</w:t>
      </w:r>
      <w:r>
        <w:rPr>
          <w:rFonts w:eastAsia="Times New Roman"/>
          <w:lang w:val="en-US"/>
        </w:rPr>
        <w:t xml:space="preserve">eastern Thailand. </w:t>
      </w:r>
      <w:r>
        <w:rPr>
          <w:rFonts w:eastAsia="Times New Roman"/>
          <w:i/>
          <w:lang w:val="en-US"/>
        </w:rPr>
        <w:t>Palaeontology</w:t>
      </w:r>
      <w:r>
        <w:rPr>
          <w:rFonts w:eastAsia="Times New Roman"/>
          <w:lang w:val="en-US"/>
        </w:rPr>
        <w:t xml:space="preserve">, </w:t>
      </w:r>
      <w:r>
        <w:rPr>
          <w:rFonts w:eastAsia="Times New Roman"/>
          <w:b/>
          <w:lang w:val="en-US"/>
        </w:rPr>
        <w:t xml:space="preserve">57 </w:t>
      </w:r>
      <w:r>
        <w:rPr>
          <w:rFonts w:eastAsia="Times New Roman"/>
          <w:lang w:val="en-US"/>
        </w:rPr>
        <w:t>(4): 757</w:t>
      </w:r>
      <w:r>
        <w:t>–</w:t>
      </w:r>
      <w:r>
        <w:rPr>
          <w:rFonts w:eastAsia="Times New Roman"/>
          <w:lang w:val="en-US"/>
        </w:rPr>
        <w:t>769.</w:t>
      </w:r>
    </w:p>
    <w:p w14:paraId="5B64F81D" w14:textId="77777777" w:rsidR="00497CE3" w:rsidRDefault="00497CE3" w:rsidP="00497CE3">
      <w:pPr>
        <w:autoSpaceDE w:val="0"/>
        <w:autoSpaceDN w:val="0"/>
        <w:adjustRightInd w:val="0"/>
        <w:rPr>
          <w:rFonts w:eastAsia="Times New Roman"/>
          <w:lang w:val="en-US"/>
        </w:rPr>
      </w:pPr>
      <w:r>
        <w:rPr>
          <w:rFonts w:eastAsia="Times New Roman"/>
          <w:b/>
          <w:lang w:val="en-US"/>
        </w:rPr>
        <w:t>Martin JE, Raslan-Loubatié J, Mazin JM. 2016b.</w:t>
      </w:r>
      <w:r>
        <w:rPr>
          <w:rFonts w:eastAsia="Times New Roman"/>
          <w:lang w:val="en-US"/>
        </w:rPr>
        <w:t xml:space="preserve"> Cranial anatomy of </w:t>
      </w:r>
      <w:r>
        <w:rPr>
          <w:rFonts w:eastAsia="Times New Roman"/>
          <w:i/>
          <w:lang w:val="en-US"/>
        </w:rPr>
        <w:t>Pholidosaurus purbeckensis</w:t>
      </w:r>
      <w:r>
        <w:rPr>
          <w:rFonts w:eastAsia="Times New Roman"/>
          <w:lang w:val="en-US"/>
        </w:rPr>
        <w:t xml:space="preserve"> from the Lower Cretaceous of France and its bearing on pholidosaurid affinities. </w:t>
      </w:r>
      <w:r>
        <w:rPr>
          <w:rFonts w:eastAsia="Times New Roman"/>
          <w:i/>
          <w:lang w:val="en-US"/>
        </w:rPr>
        <w:t>Cretaceous Research</w:t>
      </w:r>
      <w:r>
        <w:rPr>
          <w:rFonts w:eastAsia="Times New Roman"/>
          <w:lang w:val="en-US"/>
        </w:rPr>
        <w:t xml:space="preserve"> </w:t>
      </w:r>
      <w:r>
        <w:rPr>
          <w:rFonts w:eastAsia="Times New Roman"/>
          <w:b/>
          <w:lang w:val="en-US"/>
        </w:rPr>
        <w:t>66</w:t>
      </w:r>
      <w:r>
        <w:rPr>
          <w:rFonts w:eastAsia="Times New Roman"/>
          <w:lang w:val="en-US"/>
        </w:rPr>
        <w:t>: 43–59.</w:t>
      </w:r>
    </w:p>
    <w:p w14:paraId="4B8F4E58" w14:textId="77777777" w:rsidR="00497CE3" w:rsidRDefault="00497CE3" w:rsidP="00497CE3">
      <w:pPr>
        <w:autoSpaceDE w:val="0"/>
        <w:autoSpaceDN w:val="0"/>
        <w:adjustRightInd w:val="0"/>
        <w:rPr>
          <w:rFonts w:eastAsiaTheme="minorHAnsi"/>
          <w:lang w:eastAsia="en-US"/>
        </w:rPr>
      </w:pPr>
      <w:r>
        <w:rPr>
          <w:b/>
          <w:bCs/>
        </w:rPr>
        <w:t xml:space="preserve">Martinelli A. 2003. </w:t>
      </w:r>
      <w:r>
        <w:t xml:space="preserve">New cranial remains of the bizarre notosuchid </w:t>
      </w:r>
      <w:r>
        <w:rPr>
          <w:i/>
          <w:iCs/>
        </w:rPr>
        <w:t xml:space="preserve">Comahuesuchus brachybuccalis </w:t>
      </w:r>
      <w:r>
        <w:t xml:space="preserve">(Archosauria, Crocodyliformes) from the Late Cretaceous of Rio Negro Province (Argentina). </w:t>
      </w:r>
      <w:r>
        <w:rPr>
          <w:i/>
          <w:iCs/>
        </w:rPr>
        <w:t>Ameghiniana</w:t>
      </w:r>
      <w:r>
        <w:t xml:space="preserve"> </w:t>
      </w:r>
      <w:r>
        <w:rPr>
          <w:b/>
        </w:rPr>
        <w:t>40</w:t>
      </w:r>
      <w:r>
        <w:t>: 559–572.</w:t>
      </w:r>
    </w:p>
    <w:p w14:paraId="53BD6FB1" w14:textId="77777777" w:rsidR="00497CE3" w:rsidRDefault="00497CE3" w:rsidP="00497CE3">
      <w:pPr>
        <w:autoSpaceDE w:val="0"/>
        <w:autoSpaceDN w:val="0"/>
        <w:adjustRightInd w:val="0"/>
      </w:pPr>
      <w:r>
        <w:rPr>
          <w:b/>
          <w:bCs/>
        </w:rPr>
        <w:t xml:space="preserve">Mawson J, Woodward AS. 1907. </w:t>
      </w:r>
      <w:r>
        <w:t xml:space="preserve">On the Cretaceous formation of Bahia (Brazil) and on vertebrate fossil collections therein. </w:t>
      </w:r>
      <w:r>
        <w:rPr>
          <w:i/>
          <w:iCs/>
        </w:rPr>
        <w:t xml:space="preserve">Quarterly Journal of the Geological Society </w:t>
      </w:r>
      <w:r>
        <w:rPr>
          <w:b/>
        </w:rPr>
        <w:t>63</w:t>
      </w:r>
      <w:r>
        <w:t>: 28–139.</w:t>
      </w:r>
    </w:p>
    <w:p w14:paraId="2572BE75" w14:textId="77777777" w:rsidR="00497CE3" w:rsidRDefault="00497CE3" w:rsidP="00497CE3">
      <w:pPr>
        <w:pStyle w:val="Default"/>
        <w:rPr>
          <w:color w:val="auto"/>
        </w:rPr>
      </w:pPr>
      <w:r>
        <w:rPr>
          <w:b/>
          <w:bCs/>
          <w:color w:val="auto"/>
        </w:rPr>
        <w:t xml:space="preserve">Mercier J. 1933. </w:t>
      </w:r>
      <w:r>
        <w:rPr>
          <w:color w:val="auto"/>
        </w:rPr>
        <w:t xml:space="preserve">Contribution à l’étude des Métriorhynchidés (crocodiliens). </w:t>
      </w:r>
      <w:r>
        <w:rPr>
          <w:i/>
          <w:iCs/>
          <w:color w:val="auto"/>
        </w:rPr>
        <w:t xml:space="preserve">Annales de Paléontologie </w:t>
      </w:r>
      <w:r>
        <w:rPr>
          <w:b/>
          <w:bCs/>
          <w:color w:val="auto"/>
        </w:rPr>
        <w:t>22</w:t>
      </w:r>
      <w:r>
        <w:rPr>
          <w:bCs/>
          <w:color w:val="auto"/>
        </w:rPr>
        <w:t>:</w:t>
      </w:r>
      <w:r>
        <w:rPr>
          <w:color w:val="auto"/>
        </w:rPr>
        <w:t xml:space="preserve"> 99–119.</w:t>
      </w:r>
    </w:p>
    <w:p w14:paraId="3E014A39" w14:textId="77777777" w:rsidR="00497CE3" w:rsidRDefault="00497CE3" w:rsidP="00497CE3">
      <w:pPr>
        <w:pStyle w:val="Default"/>
        <w:rPr>
          <w:rFonts w:eastAsia="Times New Roman"/>
          <w:color w:val="auto"/>
          <w:lang w:eastAsia="en-GB"/>
        </w:rPr>
      </w:pPr>
      <w:r>
        <w:rPr>
          <w:rFonts w:eastAsia="Times New Roman"/>
          <w:b/>
          <w:color w:val="auto"/>
          <w:lang w:eastAsia="en-GB"/>
        </w:rPr>
        <w:t>Meunier LV, Larsson HC. 2016.</w:t>
      </w:r>
      <w:r>
        <w:rPr>
          <w:rFonts w:eastAsia="Times New Roman"/>
          <w:color w:val="auto"/>
          <w:lang w:eastAsia="en-GB"/>
        </w:rPr>
        <w:t xml:space="preserve"> Revision and phylogenetic affinities of </w:t>
      </w:r>
      <w:r>
        <w:rPr>
          <w:rFonts w:eastAsia="Times New Roman"/>
          <w:i/>
          <w:color w:val="auto"/>
          <w:lang w:eastAsia="en-GB"/>
        </w:rPr>
        <w:t>Elosuchus</w:t>
      </w:r>
      <w:r>
        <w:rPr>
          <w:rFonts w:eastAsia="Times New Roman"/>
          <w:color w:val="auto"/>
          <w:lang w:eastAsia="en-GB"/>
        </w:rPr>
        <w:t xml:space="preserve"> (Crocodyliformes). </w:t>
      </w:r>
      <w:r>
        <w:rPr>
          <w:rFonts w:eastAsia="Times New Roman"/>
          <w:i/>
          <w:color w:val="auto"/>
          <w:lang w:eastAsia="en-GB"/>
        </w:rPr>
        <w:t>Zoological Journal of the Linnean Society</w:t>
      </w:r>
      <w:r>
        <w:rPr>
          <w:rFonts w:eastAsia="Times New Roman"/>
          <w:color w:val="auto"/>
          <w:lang w:eastAsia="en-GB"/>
        </w:rPr>
        <w:t xml:space="preserve"> DOI: 10.1111/zoj.12448.</w:t>
      </w:r>
    </w:p>
    <w:p w14:paraId="52893DA1" w14:textId="77777777" w:rsidR="00497CE3" w:rsidRDefault="00497CE3" w:rsidP="00497CE3">
      <w:pPr>
        <w:pStyle w:val="Heading1"/>
        <w:spacing w:before="0" w:beforeAutospacing="0" w:after="0" w:afterAutospacing="0"/>
        <w:rPr>
          <w:b w:val="0"/>
          <w:sz w:val="24"/>
          <w:szCs w:val="24"/>
        </w:rPr>
      </w:pPr>
      <w:r>
        <w:rPr>
          <w:sz w:val="24"/>
          <w:szCs w:val="24"/>
        </w:rPr>
        <w:t>von Meyer CEH. 1831.</w:t>
      </w:r>
      <w:r>
        <w:rPr>
          <w:b w:val="0"/>
          <w:sz w:val="24"/>
          <w:szCs w:val="24"/>
        </w:rPr>
        <w:t xml:space="preserve"> Neue fossile Reptilien, aus der Ordnung der Sauier. </w:t>
      </w:r>
      <w:r>
        <w:rPr>
          <w:b w:val="0"/>
          <w:i/>
          <w:sz w:val="24"/>
          <w:szCs w:val="24"/>
        </w:rPr>
        <w:t xml:space="preserve">Nova acta physico-medica Academiae Caesareae Leopoldino-Carolinae Naturae Curiosum </w:t>
      </w:r>
      <w:r>
        <w:rPr>
          <w:sz w:val="24"/>
          <w:szCs w:val="24"/>
        </w:rPr>
        <w:t>15</w:t>
      </w:r>
      <w:r>
        <w:rPr>
          <w:b w:val="0"/>
          <w:sz w:val="24"/>
          <w:szCs w:val="24"/>
        </w:rPr>
        <w:t>: 171–200.</w:t>
      </w:r>
    </w:p>
    <w:p w14:paraId="760E29EB" w14:textId="77777777" w:rsidR="00497CE3" w:rsidRDefault="00497CE3" w:rsidP="00497CE3">
      <w:pPr>
        <w:autoSpaceDE w:val="0"/>
        <w:autoSpaceDN w:val="0"/>
        <w:adjustRightInd w:val="0"/>
      </w:pPr>
      <w:r>
        <w:rPr>
          <w:b/>
        </w:rPr>
        <w:t>von Meyer CEH. 1832.</w:t>
      </w:r>
      <w:r>
        <w:t xml:space="preserve"> </w:t>
      </w:r>
      <w:r>
        <w:rPr>
          <w:iCs/>
        </w:rPr>
        <w:t>Paleologica zur Geschichte der Erde</w:t>
      </w:r>
      <w:r>
        <w:t>. Franfurt am Main, 560 pp.</w:t>
      </w:r>
    </w:p>
    <w:p w14:paraId="186B13CF" w14:textId="77777777" w:rsidR="00497CE3" w:rsidRDefault="00497CE3" w:rsidP="00497CE3">
      <w:pPr>
        <w:autoSpaceDE w:val="0"/>
        <w:autoSpaceDN w:val="0"/>
        <w:adjustRightInd w:val="0"/>
        <w:rPr>
          <w:rFonts w:eastAsia="MyriadPro-Cond"/>
        </w:rPr>
      </w:pPr>
      <w:r>
        <w:rPr>
          <w:rFonts w:eastAsia="MyriadPro-Cond"/>
          <w:b/>
        </w:rPr>
        <w:t>von Meyer CEH. 1837.</w:t>
      </w:r>
      <w:r>
        <w:rPr>
          <w:rFonts w:eastAsia="MyriadPro-Cond"/>
        </w:rPr>
        <w:t xml:space="preserve"> Mittheilungen, an Professor Bronn gerichtet. </w:t>
      </w:r>
      <w:r>
        <w:rPr>
          <w:rFonts w:eastAsia="MyriadPro-Cond"/>
          <w:i/>
          <w:iCs/>
        </w:rPr>
        <w:t>Neues Jahrbuch für Mineralogie, Geognosie, Geologie und Petrefaktenkunde</w:t>
      </w:r>
      <w:r>
        <w:rPr>
          <w:rFonts w:eastAsia="MyriadPro-Cond"/>
          <w:iCs/>
        </w:rPr>
        <w:t xml:space="preserve"> </w:t>
      </w:r>
      <w:r>
        <w:rPr>
          <w:rFonts w:eastAsia="MyriadPro-Cond"/>
          <w:b/>
          <w:bCs/>
        </w:rPr>
        <w:t>1837</w:t>
      </w:r>
      <w:r>
        <w:rPr>
          <w:rFonts w:eastAsia="MyriadPro-Cond"/>
        </w:rPr>
        <w:t>: 557–562.</w:t>
      </w:r>
    </w:p>
    <w:p w14:paraId="5EE3B45B" w14:textId="77777777" w:rsidR="00497CE3" w:rsidRPr="000469C6" w:rsidRDefault="00497CE3" w:rsidP="00497CE3">
      <w:pPr>
        <w:contextualSpacing/>
      </w:pPr>
      <w:r w:rsidRPr="000469C6">
        <w:rPr>
          <w:b/>
        </w:rPr>
        <w:t>Montefeltro FC, Larsson HCE, Langer MC. 2011.</w:t>
      </w:r>
      <w:r w:rsidRPr="00A760BE">
        <w:t xml:space="preserve"> A new baurusuchid (Crocodyliformes, Mesoeucrocodylia) from the Late Cretaceous of Brazil and the phylogeny of Baurusuchidae. </w:t>
      </w:r>
      <w:r w:rsidRPr="000469C6">
        <w:rPr>
          <w:i/>
        </w:rPr>
        <w:t>PLoS ONE</w:t>
      </w:r>
      <w:r w:rsidRPr="00A760BE">
        <w:t xml:space="preserve"> </w:t>
      </w:r>
      <w:r w:rsidRPr="000469C6">
        <w:rPr>
          <w:b/>
        </w:rPr>
        <w:t>6</w:t>
      </w:r>
      <w:r w:rsidRPr="00A760BE">
        <w:t>: e21916. doi:10.1371/journal.pone.0021916</w:t>
      </w:r>
    </w:p>
    <w:p w14:paraId="608ADDD3" w14:textId="77777777" w:rsidR="00497CE3" w:rsidRPr="00912956" w:rsidRDefault="00497CE3" w:rsidP="00497CE3">
      <w:pPr>
        <w:contextualSpacing/>
        <w:rPr>
          <w:rFonts w:eastAsiaTheme="minorHAnsi"/>
          <w:lang w:eastAsia="en-US"/>
        </w:rPr>
      </w:pPr>
      <w:r w:rsidRPr="00912956">
        <w:rPr>
          <w:rFonts w:eastAsiaTheme="minorHAnsi"/>
          <w:b/>
          <w:lang w:eastAsia="en-US"/>
        </w:rPr>
        <w:t>Mook CC. 1924.</w:t>
      </w:r>
      <w:r w:rsidRPr="00912956">
        <w:rPr>
          <w:rFonts w:eastAsiaTheme="minorHAnsi"/>
          <w:lang w:eastAsia="en-US"/>
        </w:rPr>
        <w:t xml:space="preserve"> A new crocodilian from Mongolia. </w:t>
      </w:r>
      <w:r w:rsidRPr="00912956">
        <w:rPr>
          <w:rFonts w:eastAsiaTheme="minorHAnsi"/>
          <w:i/>
          <w:lang w:eastAsia="en-US"/>
        </w:rPr>
        <w:t>American Museum Novitates</w:t>
      </w:r>
      <w:r w:rsidRPr="00912956">
        <w:rPr>
          <w:rFonts w:eastAsiaTheme="minorHAnsi"/>
          <w:lang w:eastAsia="en-US"/>
        </w:rPr>
        <w:t xml:space="preserve"> </w:t>
      </w:r>
      <w:r w:rsidRPr="00912956">
        <w:rPr>
          <w:rFonts w:eastAsiaTheme="minorHAnsi"/>
          <w:b/>
          <w:lang w:eastAsia="en-US"/>
        </w:rPr>
        <w:t>117</w:t>
      </w:r>
      <w:r w:rsidRPr="00912956">
        <w:rPr>
          <w:rFonts w:eastAsiaTheme="minorHAnsi"/>
          <w:lang w:eastAsia="en-US"/>
        </w:rPr>
        <w:t>: 1–5.</w:t>
      </w:r>
    </w:p>
    <w:p w14:paraId="4A6CCE87" w14:textId="77777777" w:rsidR="00497CE3" w:rsidRPr="000469C6" w:rsidRDefault="00497CE3" w:rsidP="00497CE3">
      <w:pPr>
        <w:contextualSpacing/>
      </w:pPr>
      <w:r w:rsidRPr="000469C6">
        <w:rPr>
          <w:b/>
        </w:rPr>
        <w:t>Mook CC. 1933.</w:t>
      </w:r>
      <w:r w:rsidRPr="00A760BE">
        <w:t xml:space="preserve"> A new species of </w:t>
      </w:r>
      <w:r w:rsidRPr="00A760BE">
        <w:rPr>
          <w:i/>
        </w:rPr>
        <w:t>Teleorhinus</w:t>
      </w:r>
      <w:r w:rsidRPr="00A760BE">
        <w:t xml:space="preserve"> from the Benton shales. </w:t>
      </w:r>
      <w:r>
        <w:rPr>
          <w:i/>
          <w:iCs/>
        </w:rPr>
        <w:t>American Museum novitates</w:t>
      </w:r>
      <w:r>
        <w:t xml:space="preserve"> </w:t>
      </w:r>
      <w:r w:rsidRPr="000469C6">
        <w:rPr>
          <w:b/>
        </w:rPr>
        <w:t>702</w:t>
      </w:r>
      <w:r w:rsidRPr="00A760BE">
        <w:t>:</w:t>
      </w:r>
      <w:r>
        <w:t xml:space="preserve"> </w:t>
      </w:r>
      <w:r w:rsidRPr="00A760BE">
        <w:t>1</w:t>
      </w:r>
      <w:r>
        <w:t>–</w:t>
      </w:r>
      <w:r w:rsidRPr="00A760BE">
        <w:t>11</w:t>
      </w:r>
    </w:p>
    <w:p w14:paraId="4B3BF9F1" w14:textId="77777777" w:rsidR="00497CE3" w:rsidRDefault="00497CE3" w:rsidP="00497CE3">
      <w:pPr>
        <w:autoSpaceDE w:val="0"/>
        <w:autoSpaceDN w:val="0"/>
        <w:adjustRightInd w:val="0"/>
        <w:rPr>
          <w:rFonts w:eastAsia="MyriadPro-Cond"/>
        </w:rPr>
      </w:pPr>
      <w:r>
        <w:rPr>
          <w:b/>
          <w:bCs/>
        </w:rPr>
        <w:t xml:space="preserve">Mook CC. 1942. </w:t>
      </w:r>
      <w:r>
        <w:t xml:space="preserve">Skull characters of </w:t>
      </w:r>
      <w:r>
        <w:rPr>
          <w:i/>
          <w:iCs/>
        </w:rPr>
        <w:t xml:space="preserve">Amphicotylus lucasii </w:t>
      </w:r>
      <w:r>
        <w:t xml:space="preserve">Cope. </w:t>
      </w:r>
      <w:r>
        <w:rPr>
          <w:i/>
          <w:iCs/>
        </w:rPr>
        <w:t>American Museum novitates</w:t>
      </w:r>
      <w:r>
        <w:t xml:space="preserve"> </w:t>
      </w:r>
      <w:r>
        <w:rPr>
          <w:b/>
        </w:rPr>
        <w:t>1165</w:t>
      </w:r>
      <w:r>
        <w:t>: 1–5.</w:t>
      </w:r>
    </w:p>
    <w:p w14:paraId="56F077C7" w14:textId="77777777" w:rsidR="00497CE3" w:rsidRDefault="00497CE3" w:rsidP="00497CE3">
      <w:pPr>
        <w:autoSpaceDE w:val="0"/>
        <w:autoSpaceDN w:val="0"/>
        <w:adjustRightInd w:val="0"/>
        <w:rPr>
          <w:rFonts w:eastAsia="Times New Roman"/>
          <w:iCs/>
          <w:lang w:val="en-US"/>
        </w:rPr>
      </w:pPr>
      <w:r>
        <w:rPr>
          <w:rFonts w:eastAsia="Times New Roman"/>
          <w:b/>
          <w:iCs/>
          <w:lang w:val="en-US"/>
        </w:rPr>
        <w:t>Mook CC.</w:t>
      </w:r>
      <w:r>
        <w:rPr>
          <w:rFonts w:eastAsia="Times New Roman"/>
          <w:iCs/>
          <w:lang w:val="en-US"/>
        </w:rPr>
        <w:t xml:space="preserve"> </w:t>
      </w:r>
      <w:r>
        <w:rPr>
          <w:rFonts w:eastAsia="Times New Roman"/>
          <w:b/>
          <w:iCs/>
          <w:lang w:val="en-US"/>
        </w:rPr>
        <w:t>1967.</w:t>
      </w:r>
      <w:r>
        <w:rPr>
          <w:rFonts w:eastAsia="Times New Roman"/>
          <w:iCs/>
          <w:lang w:val="en-US"/>
        </w:rPr>
        <w:t xml:space="preserve"> Preliminary description of a new goniopholidid crocodilian.</w:t>
      </w:r>
      <w:r>
        <w:rPr>
          <w:rFonts w:eastAsia="Times New Roman"/>
          <w:i/>
          <w:iCs/>
          <w:lang w:val="en-US"/>
        </w:rPr>
        <w:t xml:space="preserve"> Kirtlandia</w:t>
      </w:r>
      <w:r>
        <w:rPr>
          <w:rFonts w:eastAsia="Times New Roman"/>
          <w:iCs/>
          <w:lang w:val="en-US"/>
        </w:rPr>
        <w:t xml:space="preserve"> </w:t>
      </w:r>
      <w:r>
        <w:rPr>
          <w:rFonts w:eastAsia="Times New Roman"/>
          <w:b/>
          <w:iCs/>
          <w:lang w:val="en-US"/>
        </w:rPr>
        <w:t>2</w:t>
      </w:r>
      <w:r>
        <w:rPr>
          <w:rFonts w:eastAsia="Times New Roman"/>
          <w:iCs/>
          <w:lang w:val="en-US"/>
        </w:rPr>
        <w:t>: 1</w:t>
      </w:r>
      <w:r>
        <w:t>–</w:t>
      </w:r>
      <w:r>
        <w:rPr>
          <w:rFonts w:eastAsia="Times New Roman"/>
          <w:iCs/>
          <w:lang w:val="en-US"/>
        </w:rPr>
        <w:t>10.</w:t>
      </w:r>
    </w:p>
    <w:p w14:paraId="622FF657" w14:textId="77777777" w:rsidR="00497CE3" w:rsidRDefault="00497CE3" w:rsidP="00497CE3">
      <w:pPr>
        <w:autoSpaceDE w:val="0"/>
        <w:autoSpaceDN w:val="0"/>
        <w:adjustRightInd w:val="0"/>
        <w:rPr>
          <w:rFonts w:eastAsiaTheme="minorHAnsi"/>
          <w:lang w:eastAsia="en-US"/>
        </w:rPr>
      </w:pPr>
      <w:r>
        <w:rPr>
          <w:rFonts w:eastAsia="MyriadPro-Cond"/>
          <w:b/>
          <w:color w:val="231F20"/>
        </w:rPr>
        <w:t>Motani R. 2005.</w:t>
      </w:r>
      <w:r>
        <w:rPr>
          <w:rFonts w:eastAsia="MyriadPro-Cond"/>
          <w:color w:val="231F20"/>
        </w:rPr>
        <w:t xml:space="preserve"> Evolution of fish-shaped reptiles (Reptilia: Ichthyopterygia) in their physical environments and constraints. </w:t>
      </w:r>
      <w:r>
        <w:rPr>
          <w:rFonts w:eastAsia="MyriadPro-Cond"/>
          <w:i/>
          <w:color w:val="231F20"/>
        </w:rPr>
        <w:t>Annual Review in Earth and Plantetary Sciences</w:t>
      </w:r>
      <w:r>
        <w:rPr>
          <w:rFonts w:eastAsia="MyriadPro-Cond"/>
          <w:color w:val="231F20"/>
        </w:rPr>
        <w:t xml:space="preserve"> </w:t>
      </w:r>
      <w:r>
        <w:rPr>
          <w:rFonts w:eastAsia="MyriadPro-Cond"/>
          <w:b/>
          <w:color w:val="231F20"/>
        </w:rPr>
        <w:t>33</w:t>
      </w:r>
      <w:r>
        <w:rPr>
          <w:rFonts w:eastAsia="MyriadPro-Cond"/>
          <w:color w:val="231F20"/>
        </w:rPr>
        <w:t>: 395</w:t>
      </w:r>
      <w:r>
        <w:rPr>
          <w:b/>
        </w:rPr>
        <w:t>–</w:t>
      </w:r>
      <w:r>
        <w:rPr>
          <w:rFonts w:eastAsia="MyriadPro-Cond"/>
          <w:color w:val="231F20"/>
        </w:rPr>
        <w:t>420.</w:t>
      </w:r>
    </w:p>
    <w:p w14:paraId="650A5AC5" w14:textId="77777777" w:rsidR="00497CE3" w:rsidRDefault="00497CE3" w:rsidP="00497CE3">
      <w:pPr>
        <w:autoSpaceDE w:val="0"/>
        <w:autoSpaceDN w:val="0"/>
        <w:adjustRightInd w:val="0"/>
      </w:pPr>
      <w:r>
        <w:rPr>
          <w:b/>
          <w:bCs/>
        </w:rPr>
        <w:t xml:space="preserve">Mueller-Töwe, J. 2006. </w:t>
      </w:r>
      <w:r>
        <w:rPr>
          <w:i/>
          <w:iCs/>
        </w:rPr>
        <w:t>Anatomy, phylogeny, and palaeoecology of the basal thalattosuchians (Mesoeucrocodylia) from the Liassic of Central Europe</w:t>
      </w:r>
      <w:r>
        <w:t>. Unpublished PhD thesis. Johannes Gutenberg-Universität Mainz, Mainz, 369 pp.</w:t>
      </w:r>
    </w:p>
    <w:p w14:paraId="5949185F" w14:textId="77777777" w:rsidR="00497CE3" w:rsidRDefault="00497CE3" w:rsidP="00497CE3">
      <w:pPr>
        <w:autoSpaceDE w:val="0"/>
        <w:autoSpaceDN w:val="0"/>
        <w:adjustRightInd w:val="0"/>
        <w:rPr>
          <w:lang w:val="en-US"/>
        </w:rPr>
      </w:pPr>
      <w:bookmarkStart w:id="82" w:name="_Hlk489640732"/>
      <w:r>
        <w:rPr>
          <w:b/>
          <w:lang w:val="en-US"/>
        </w:rPr>
        <w:t>Narváez I, Brochu CA, Escaso F, Pérez-García A, Ortega F. 2015.</w:t>
      </w:r>
      <w:r>
        <w:rPr>
          <w:lang w:val="en-US"/>
        </w:rPr>
        <w:t xml:space="preserve"> New crocodyliforms from Southwestern Europe and definition of a diverse clade of European Late Cretaceous basal eusuchians. </w:t>
      </w:r>
      <w:r>
        <w:rPr>
          <w:i/>
          <w:lang w:val="en-US"/>
        </w:rPr>
        <w:t>PLoS ONE</w:t>
      </w:r>
      <w:r>
        <w:rPr>
          <w:lang w:val="en-US"/>
        </w:rPr>
        <w:t xml:space="preserve"> </w:t>
      </w:r>
      <w:r>
        <w:rPr>
          <w:b/>
          <w:lang w:val="en-US"/>
        </w:rPr>
        <w:t>10</w:t>
      </w:r>
      <w:r>
        <w:rPr>
          <w:lang w:val="en-US"/>
        </w:rPr>
        <w:t xml:space="preserve"> (11): e0140679. doi: 10.1371/journal.pone.0140679</w:t>
      </w:r>
    </w:p>
    <w:p w14:paraId="6438E86D" w14:textId="77777777" w:rsidR="00497CE3" w:rsidRDefault="00497CE3" w:rsidP="00497CE3">
      <w:pPr>
        <w:autoSpaceDE w:val="0"/>
        <w:autoSpaceDN w:val="0"/>
        <w:adjustRightInd w:val="0"/>
        <w:rPr>
          <w:lang w:val="en-US"/>
        </w:rPr>
      </w:pPr>
      <w:r>
        <w:rPr>
          <w:b/>
          <w:lang w:val="en-US"/>
        </w:rPr>
        <w:t>Nascimento PM, Zaher H.</w:t>
      </w:r>
      <w:r>
        <w:rPr>
          <w:lang w:val="en-US"/>
        </w:rPr>
        <w:t xml:space="preserve"> </w:t>
      </w:r>
      <w:r>
        <w:rPr>
          <w:b/>
          <w:lang w:val="en-US"/>
        </w:rPr>
        <w:t>2010.</w:t>
      </w:r>
      <w:r>
        <w:rPr>
          <w:lang w:val="en-US"/>
        </w:rPr>
        <w:t xml:space="preserve"> A new species of </w:t>
      </w:r>
      <w:r>
        <w:rPr>
          <w:i/>
          <w:lang w:val="en-US"/>
        </w:rPr>
        <w:t>Baurusuchus</w:t>
      </w:r>
      <w:r>
        <w:rPr>
          <w:lang w:val="en-US"/>
        </w:rPr>
        <w:t xml:space="preserve"> (Crocodyliformes, Mesoeucrocodylia) from the Upper Cretaceous of Brazil, with the first complete postcranial skeleton described for the family Baurusuchidae. </w:t>
      </w:r>
      <w:r>
        <w:rPr>
          <w:i/>
          <w:lang w:val="en-US"/>
        </w:rPr>
        <w:t>Papéis Avulsos de Zoologia (São Paulo)</w:t>
      </w:r>
      <w:r>
        <w:rPr>
          <w:lang w:val="en-US"/>
        </w:rPr>
        <w:t xml:space="preserve"> </w:t>
      </w:r>
      <w:r>
        <w:rPr>
          <w:b/>
          <w:lang w:val="en-US"/>
        </w:rPr>
        <w:t>50</w:t>
      </w:r>
      <w:r>
        <w:rPr>
          <w:lang w:val="en-US"/>
        </w:rPr>
        <w:t>: 323</w:t>
      </w:r>
      <w:r>
        <w:t>–</w:t>
      </w:r>
      <w:r>
        <w:rPr>
          <w:lang w:val="en-US"/>
        </w:rPr>
        <w:t>361.</w:t>
      </w:r>
    </w:p>
    <w:p w14:paraId="7639775C" w14:textId="77777777" w:rsidR="00497CE3" w:rsidRDefault="00497CE3" w:rsidP="00497CE3">
      <w:pPr>
        <w:autoSpaceDE w:val="0"/>
        <w:autoSpaceDN w:val="0"/>
        <w:adjustRightInd w:val="0"/>
        <w:rPr>
          <w:lang w:val="en-US"/>
        </w:rPr>
      </w:pPr>
      <w:r w:rsidRPr="00BE249E">
        <w:rPr>
          <w:rStyle w:val="hlfld-contribauthor"/>
          <w:b/>
        </w:rPr>
        <w:t xml:space="preserve">Nash </w:t>
      </w:r>
      <w:r w:rsidRPr="00BE249E">
        <w:rPr>
          <w:rStyle w:val="nlmgiven-names"/>
          <w:b/>
        </w:rPr>
        <w:t>D</w:t>
      </w:r>
      <w:r w:rsidRPr="00BE249E">
        <w:rPr>
          <w:rStyle w:val="ref-overlay"/>
          <w:b/>
        </w:rPr>
        <w:t xml:space="preserve">. </w:t>
      </w:r>
      <w:r w:rsidRPr="00BE249E">
        <w:rPr>
          <w:rStyle w:val="nlmyear"/>
          <w:b/>
        </w:rPr>
        <w:t>1968</w:t>
      </w:r>
      <w:r w:rsidRPr="00BE249E">
        <w:rPr>
          <w:rStyle w:val="ref-overlay"/>
          <w:b/>
        </w:rPr>
        <w:t>.</w:t>
      </w:r>
      <w:r>
        <w:rPr>
          <w:rStyle w:val="ref-overlay"/>
        </w:rPr>
        <w:t xml:space="preserve"> </w:t>
      </w:r>
      <w:r>
        <w:rPr>
          <w:rStyle w:val="nlmarticle-title"/>
        </w:rPr>
        <w:t>A crocodile from the Upper Triassic of Lesotho</w:t>
      </w:r>
      <w:r>
        <w:rPr>
          <w:rStyle w:val="ref-overlay"/>
        </w:rPr>
        <w:t xml:space="preserve">. </w:t>
      </w:r>
      <w:r w:rsidRPr="00BE249E">
        <w:rPr>
          <w:rStyle w:val="ref-overlay"/>
          <w:i/>
        </w:rPr>
        <w:t>Journal of Zoology, London</w:t>
      </w:r>
      <w:r>
        <w:rPr>
          <w:rStyle w:val="ref-overlay"/>
        </w:rPr>
        <w:t xml:space="preserve"> </w:t>
      </w:r>
      <w:r w:rsidRPr="00BE249E">
        <w:rPr>
          <w:rStyle w:val="ref-overlay"/>
          <w:b/>
        </w:rPr>
        <w:t>156</w:t>
      </w:r>
      <w:r>
        <w:rPr>
          <w:rStyle w:val="ref-overlay"/>
        </w:rPr>
        <w:t xml:space="preserve">: </w:t>
      </w:r>
      <w:r>
        <w:rPr>
          <w:rStyle w:val="nlmfpage"/>
        </w:rPr>
        <w:t>163</w:t>
      </w:r>
      <w:r>
        <w:rPr>
          <w:rStyle w:val="ref-overlay"/>
        </w:rPr>
        <w:t>–</w:t>
      </w:r>
      <w:r>
        <w:rPr>
          <w:rStyle w:val="nlmlpage"/>
        </w:rPr>
        <w:t>179</w:t>
      </w:r>
      <w:r>
        <w:rPr>
          <w:rStyle w:val="ref-overlay"/>
        </w:rPr>
        <w:t>.</w:t>
      </w:r>
    </w:p>
    <w:p w14:paraId="15A4F57E" w14:textId="77777777" w:rsidR="00497CE3" w:rsidRPr="000469C6" w:rsidRDefault="00497CE3" w:rsidP="00497CE3">
      <w:pPr>
        <w:contextualSpacing/>
        <w:rPr>
          <w:iCs/>
        </w:rPr>
      </w:pPr>
      <w:r w:rsidRPr="000469C6">
        <w:rPr>
          <w:b/>
        </w:rPr>
        <w:t>Nash DS. 1975.</w:t>
      </w:r>
      <w:r w:rsidRPr="00A760BE">
        <w:t xml:space="preserve"> The morphology and relationships of a crocodilian, </w:t>
      </w:r>
      <w:r w:rsidRPr="00A760BE">
        <w:rPr>
          <w:i/>
        </w:rPr>
        <w:t>Orthosuchus stormbergi</w:t>
      </w:r>
      <w:r w:rsidRPr="00A760BE">
        <w:t xml:space="preserve">, from the upper Triassic of Lesotho. </w:t>
      </w:r>
      <w:r w:rsidRPr="003E7D96">
        <w:rPr>
          <w:i/>
          <w:iCs/>
        </w:rPr>
        <w:t>Ann</w:t>
      </w:r>
      <w:r>
        <w:rPr>
          <w:i/>
          <w:iCs/>
        </w:rPr>
        <w:t>als of the</w:t>
      </w:r>
      <w:r w:rsidRPr="003E7D96">
        <w:rPr>
          <w:i/>
          <w:iCs/>
        </w:rPr>
        <w:t xml:space="preserve"> S</w:t>
      </w:r>
      <w:r>
        <w:rPr>
          <w:i/>
          <w:iCs/>
        </w:rPr>
        <w:t>outh</w:t>
      </w:r>
      <w:r w:rsidRPr="003E7D96">
        <w:rPr>
          <w:i/>
          <w:iCs/>
        </w:rPr>
        <w:t xml:space="preserve"> Afr</w:t>
      </w:r>
      <w:r>
        <w:rPr>
          <w:i/>
          <w:iCs/>
        </w:rPr>
        <w:t>ican</w:t>
      </w:r>
      <w:r w:rsidRPr="003E7D96">
        <w:rPr>
          <w:i/>
          <w:iCs/>
        </w:rPr>
        <w:t xml:space="preserve"> Mus</w:t>
      </w:r>
      <w:r>
        <w:rPr>
          <w:i/>
          <w:iCs/>
        </w:rPr>
        <w:t>eum</w:t>
      </w:r>
      <w:r w:rsidRPr="00A760BE">
        <w:rPr>
          <w:iCs/>
        </w:rPr>
        <w:t xml:space="preserve"> </w:t>
      </w:r>
      <w:r w:rsidRPr="000469C6">
        <w:rPr>
          <w:b/>
          <w:iCs/>
        </w:rPr>
        <w:t>67</w:t>
      </w:r>
      <w:r w:rsidRPr="00A760BE">
        <w:rPr>
          <w:iCs/>
        </w:rPr>
        <w:t>:</w:t>
      </w:r>
      <w:r>
        <w:rPr>
          <w:iCs/>
        </w:rPr>
        <w:t xml:space="preserve"> </w:t>
      </w:r>
      <w:r w:rsidRPr="00A760BE">
        <w:rPr>
          <w:iCs/>
        </w:rPr>
        <w:t>227</w:t>
      </w:r>
      <w:r>
        <w:t>–</w:t>
      </w:r>
      <w:r w:rsidRPr="00A760BE">
        <w:rPr>
          <w:iCs/>
        </w:rPr>
        <w:t>329.</w:t>
      </w:r>
    </w:p>
    <w:p w14:paraId="746A99FE" w14:textId="77777777" w:rsidR="00497CE3" w:rsidRDefault="00497CE3" w:rsidP="00497CE3">
      <w:pPr>
        <w:pStyle w:val="Default"/>
        <w:rPr>
          <w:color w:val="auto"/>
        </w:rPr>
      </w:pPr>
      <w:bookmarkStart w:id="83" w:name="_Hlk489640773"/>
      <w:bookmarkEnd w:id="82"/>
      <w:r>
        <w:rPr>
          <w:rFonts w:eastAsia="Times New Roman"/>
          <w:b/>
          <w:color w:val="auto"/>
          <w:lang w:val="en-US" w:eastAsia="en-GB"/>
        </w:rPr>
        <w:t>Nesbitt NJ.</w:t>
      </w:r>
      <w:r>
        <w:rPr>
          <w:rFonts w:eastAsia="Times New Roman"/>
          <w:color w:val="auto"/>
          <w:lang w:val="en-US" w:eastAsia="en-GB"/>
        </w:rPr>
        <w:t xml:space="preserve"> </w:t>
      </w:r>
      <w:r>
        <w:rPr>
          <w:rFonts w:eastAsia="Times New Roman"/>
          <w:b/>
          <w:color w:val="auto"/>
          <w:lang w:val="en-US" w:eastAsia="en-GB"/>
        </w:rPr>
        <w:t>2011.</w:t>
      </w:r>
      <w:r>
        <w:rPr>
          <w:rFonts w:eastAsia="Times New Roman"/>
          <w:color w:val="auto"/>
          <w:lang w:val="en-US" w:eastAsia="en-GB"/>
        </w:rPr>
        <w:t xml:space="preserve"> The early evolution of archosaurs: relationships and the origin of major clades. </w:t>
      </w:r>
      <w:r>
        <w:rPr>
          <w:rFonts w:eastAsia="Times New Roman"/>
          <w:i/>
          <w:color w:val="auto"/>
          <w:lang w:val="en-US" w:eastAsia="en-GB"/>
        </w:rPr>
        <w:t>Bulletin of the American Museum of Natural History</w:t>
      </w:r>
      <w:r>
        <w:rPr>
          <w:rFonts w:eastAsia="Times New Roman"/>
          <w:color w:val="auto"/>
          <w:lang w:val="en-US" w:eastAsia="en-GB"/>
        </w:rPr>
        <w:t xml:space="preserve"> </w:t>
      </w:r>
      <w:r>
        <w:rPr>
          <w:rFonts w:eastAsia="Times New Roman"/>
          <w:b/>
          <w:color w:val="auto"/>
          <w:lang w:val="en-US" w:eastAsia="en-GB"/>
        </w:rPr>
        <w:t>352</w:t>
      </w:r>
      <w:r>
        <w:rPr>
          <w:rFonts w:eastAsia="Times New Roman"/>
          <w:color w:val="auto"/>
          <w:lang w:val="en-US" w:eastAsia="en-GB"/>
        </w:rPr>
        <w:t>: 1</w:t>
      </w:r>
      <w:r>
        <w:t>–</w:t>
      </w:r>
      <w:r>
        <w:rPr>
          <w:rFonts w:eastAsia="Times New Roman"/>
          <w:color w:val="auto"/>
          <w:lang w:val="en-US" w:eastAsia="en-GB"/>
        </w:rPr>
        <w:t>292.</w:t>
      </w:r>
    </w:p>
    <w:bookmarkEnd w:id="83"/>
    <w:p w14:paraId="38A2A075" w14:textId="77777777" w:rsidR="00497CE3" w:rsidRDefault="00497CE3" w:rsidP="00497CE3">
      <w:pPr>
        <w:pStyle w:val="Default"/>
        <w:rPr>
          <w:color w:val="auto"/>
        </w:rPr>
      </w:pPr>
      <w:r>
        <w:rPr>
          <w:rFonts w:eastAsia="Times New Roman"/>
          <w:b/>
          <w:color w:val="auto"/>
          <w:lang w:val="en-US" w:eastAsia="en-GB"/>
        </w:rPr>
        <w:t>Nesbitt NJ, Desojo JB.</w:t>
      </w:r>
      <w:r>
        <w:rPr>
          <w:rFonts w:eastAsia="Times New Roman"/>
          <w:color w:val="auto"/>
          <w:lang w:val="en-US" w:eastAsia="en-GB"/>
        </w:rPr>
        <w:t xml:space="preserve"> </w:t>
      </w:r>
      <w:r>
        <w:rPr>
          <w:rFonts w:eastAsia="Times New Roman"/>
          <w:b/>
          <w:color w:val="auto"/>
          <w:lang w:val="en-US" w:eastAsia="en-GB"/>
        </w:rPr>
        <w:t>2017.</w:t>
      </w:r>
      <w:r>
        <w:rPr>
          <w:rFonts w:eastAsia="Times New Roman"/>
          <w:color w:val="auto"/>
          <w:lang w:val="en-US" w:eastAsia="en-GB"/>
        </w:rPr>
        <w:t xml:space="preserve"> The osteology and phylogenetic position of </w:t>
      </w:r>
      <w:r>
        <w:rPr>
          <w:rFonts w:eastAsia="Times New Roman"/>
          <w:i/>
          <w:color w:val="auto"/>
          <w:lang w:val="en-US" w:eastAsia="en-GB"/>
        </w:rPr>
        <w:t xml:space="preserve">Luperosuchus fractus </w:t>
      </w:r>
      <w:r>
        <w:rPr>
          <w:rFonts w:eastAsia="Times New Roman"/>
          <w:color w:val="auto"/>
          <w:lang w:val="en-US" w:eastAsia="en-GB"/>
        </w:rPr>
        <w:t xml:space="preserve">(Archosauria: Loricata) from the latest Middle Triassic or earliest Late Triassic of Argentina. </w:t>
      </w:r>
      <w:r>
        <w:rPr>
          <w:rFonts w:eastAsia="Times New Roman"/>
          <w:i/>
          <w:color w:val="auto"/>
          <w:lang w:val="en-US" w:eastAsia="en-GB"/>
        </w:rPr>
        <w:t>Ameghiniana</w:t>
      </w:r>
      <w:r>
        <w:rPr>
          <w:rFonts w:eastAsia="Times New Roman"/>
          <w:color w:val="auto"/>
          <w:lang w:val="en-US" w:eastAsia="en-GB"/>
        </w:rPr>
        <w:t xml:space="preserve"> </w:t>
      </w:r>
      <w:r>
        <w:rPr>
          <w:rFonts w:eastAsia="Times New Roman"/>
          <w:b/>
          <w:color w:val="auto"/>
          <w:lang w:val="en-US" w:eastAsia="en-GB"/>
        </w:rPr>
        <w:t>54</w:t>
      </w:r>
      <w:r>
        <w:rPr>
          <w:rFonts w:eastAsia="Times New Roman"/>
          <w:color w:val="auto"/>
          <w:lang w:val="en-US" w:eastAsia="en-GB"/>
        </w:rPr>
        <w:t xml:space="preserve"> (3): 261</w:t>
      </w:r>
      <w:r>
        <w:t>–</w:t>
      </w:r>
      <w:r>
        <w:rPr>
          <w:rFonts w:eastAsia="Times New Roman"/>
          <w:color w:val="auto"/>
          <w:lang w:val="en-US" w:eastAsia="en-GB"/>
        </w:rPr>
        <w:t>282.</w:t>
      </w:r>
    </w:p>
    <w:p w14:paraId="51F273A8" w14:textId="77777777" w:rsidR="00497CE3" w:rsidRPr="005734BB" w:rsidRDefault="00497CE3" w:rsidP="00497CE3">
      <w:pPr>
        <w:pStyle w:val="NoSpacing"/>
      </w:pPr>
      <w:r w:rsidRPr="005734BB">
        <w:rPr>
          <w:b/>
        </w:rPr>
        <w:t>Nesbitt SJ, Irmis RB, Lucas SG, Hunt AP. 2005.</w:t>
      </w:r>
      <w:r w:rsidRPr="005734BB">
        <w:t xml:space="preserve"> A giant crocodylomorph from the Upper Triassic of New Mexico. </w:t>
      </w:r>
      <w:r w:rsidRPr="005734BB">
        <w:rPr>
          <w:i/>
        </w:rPr>
        <w:t>Paläontologische Zeitschrift</w:t>
      </w:r>
      <w:r w:rsidRPr="005734BB">
        <w:t xml:space="preserve"> </w:t>
      </w:r>
      <w:r w:rsidRPr="005734BB">
        <w:rPr>
          <w:b/>
        </w:rPr>
        <w:t>79</w:t>
      </w:r>
      <w:r w:rsidRPr="005734BB">
        <w:t xml:space="preserve"> (4): 471–478.</w:t>
      </w:r>
    </w:p>
    <w:p w14:paraId="5D4BD4FD" w14:textId="77777777" w:rsidR="00497CE3" w:rsidRDefault="00497CE3" w:rsidP="00497CE3">
      <w:pPr>
        <w:autoSpaceDE w:val="0"/>
        <w:autoSpaceDN w:val="0"/>
        <w:adjustRightInd w:val="0"/>
        <w:rPr>
          <w:i/>
          <w:iCs/>
        </w:rPr>
      </w:pPr>
      <w:r>
        <w:rPr>
          <w:b/>
          <w:bCs/>
        </w:rPr>
        <w:t>Nobre PH, Carvalho IS. 2002.</w:t>
      </w:r>
      <w:r>
        <w:rPr>
          <w:bCs/>
        </w:rPr>
        <w:t xml:space="preserve"> </w:t>
      </w:r>
      <w:r>
        <w:t xml:space="preserve">Osteologia do crânio de </w:t>
      </w:r>
      <w:r>
        <w:rPr>
          <w:i/>
          <w:iCs/>
        </w:rPr>
        <w:t xml:space="preserve">Candidodon itapecuruense </w:t>
      </w:r>
      <w:r>
        <w:t xml:space="preserve">(Crocodylomorpha, Mesoeucrocodylia) do Cretáceo do Brasil. In: Simpósio sobre o Cretáceo no Brasil, 6 / Simpósio sobre el Cretácico de América del Sur, 2. </w:t>
      </w:r>
      <w:r>
        <w:rPr>
          <w:i/>
          <w:iCs/>
        </w:rPr>
        <w:t>Boletim</w:t>
      </w:r>
      <w:r>
        <w:t>, São Pedro, UNESP/Rio Claro, p.77–82.</w:t>
      </w:r>
    </w:p>
    <w:p w14:paraId="4136C966" w14:textId="77777777" w:rsidR="00497CE3" w:rsidRDefault="00497CE3" w:rsidP="00497CE3">
      <w:pPr>
        <w:autoSpaceDE w:val="0"/>
        <w:autoSpaceDN w:val="0"/>
        <w:adjustRightInd w:val="0"/>
      </w:pPr>
      <w:r>
        <w:rPr>
          <w:b/>
          <w:bCs/>
        </w:rPr>
        <w:t xml:space="preserve">Nobre PH, Carvalho IS. 2006. </w:t>
      </w:r>
      <w:r>
        <w:rPr>
          <w:i/>
          <w:iCs/>
        </w:rPr>
        <w:t>Adamantinasuchus navae</w:t>
      </w:r>
      <w:r>
        <w:t xml:space="preserve">, a new Gondwanan Crocodylomorpha (Mesoeucrocodylia) from the Late Cretaceous of Brazil. </w:t>
      </w:r>
      <w:r>
        <w:rPr>
          <w:i/>
          <w:iCs/>
        </w:rPr>
        <w:t>Gondwana Research</w:t>
      </w:r>
      <w:r>
        <w:t xml:space="preserve"> </w:t>
      </w:r>
      <w:r>
        <w:rPr>
          <w:b/>
        </w:rPr>
        <w:t>10</w:t>
      </w:r>
      <w:r>
        <w:t>: 370–378.</w:t>
      </w:r>
    </w:p>
    <w:p w14:paraId="6DD91F93" w14:textId="77777777" w:rsidR="00497CE3" w:rsidRDefault="00497CE3" w:rsidP="00497CE3">
      <w:pPr>
        <w:autoSpaceDE w:val="0"/>
        <w:autoSpaceDN w:val="0"/>
        <w:adjustRightInd w:val="0"/>
        <w:rPr>
          <w:lang w:val="en-US"/>
        </w:rPr>
      </w:pPr>
      <w:r>
        <w:rPr>
          <w:b/>
          <w:bCs/>
        </w:rPr>
        <w:t xml:space="preserve">Nobre PH, Carvalho IS. </w:t>
      </w:r>
      <w:r>
        <w:rPr>
          <w:b/>
          <w:lang w:val="en-US"/>
        </w:rPr>
        <w:t>2013.</w:t>
      </w:r>
      <w:r>
        <w:rPr>
          <w:lang w:val="en-US"/>
        </w:rPr>
        <w:t xml:space="preserve"> Postcranial skeleton of </w:t>
      </w:r>
      <w:r>
        <w:rPr>
          <w:i/>
          <w:lang w:val="en-US"/>
        </w:rPr>
        <w:t>Mariliasuchus amarali</w:t>
      </w:r>
      <w:r>
        <w:rPr>
          <w:lang w:val="en-US"/>
        </w:rPr>
        <w:t xml:space="preserve"> Carvalho and Bertini, 1999 (Mesoeucrocodylia) from the Bauru Basin, Upper Cretaceous of Brazil. </w:t>
      </w:r>
      <w:r>
        <w:rPr>
          <w:i/>
          <w:iCs/>
          <w:lang w:val="en-US"/>
        </w:rPr>
        <w:t>Ameghiniana</w:t>
      </w:r>
      <w:r>
        <w:rPr>
          <w:lang w:val="en-US"/>
        </w:rPr>
        <w:t xml:space="preserve"> </w:t>
      </w:r>
      <w:r>
        <w:rPr>
          <w:b/>
          <w:iCs/>
          <w:lang w:val="en-US"/>
        </w:rPr>
        <w:t>50</w:t>
      </w:r>
      <w:r>
        <w:rPr>
          <w:lang w:val="en-US"/>
        </w:rPr>
        <w:t>: 98</w:t>
      </w:r>
      <w:r>
        <w:t>–</w:t>
      </w:r>
      <w:r>
        <w:rPr>
          <w:lang w:val="en-US"/>
        </w:rPr>
        <w:t xml:space="preserve">113. </w:t>
      </w:r>
    </w:p>
    <w:p w14:paraId="3D9D3C38" w14:textId="77777777" w:rsidR="00497CE3" w:rsidRDefault="00497CE3" w:rsidP="00497CE3">
      <w:pPr>
        <w:autoSpaceDE w:val="0"/>
        <w:autoSpaceDN w:val="0"/>
        <w:adjustRightInd w:val="0"/>
      </w:pPr>
      <w:r>
        <w:rPr>
          <w:b/>
          <w:bCs/>
        </w:rPr>
        <w:t xml:space="preserve">Norell MA, Clark JM. 1990. </w:t>
      </w:r>
      <w:r>
        <w:t xml:space="preserve">A reanalysis of </w:t>
      </w:r>
      <w:r>
        <w:rPr>
          <w:i/>
          <w:iCs/>
        </w:rPr>
        <w:t xml:space="preserve">Bernissartia fagesii, </w:t>
      </w:r>
      <w:r>
        <w:t xml:space="preserve">with comments on its phylogenetic position and its bearing on the origin and diagnosis of the Eusuchia. </w:t>
      </w:r>
      <w:r>
        <w:rPr>
          <w:i/>
          <w:iCs/>
        </w:rPr>
        <w:t>Bulletin de l’Insitut Royal des Sciences Naturalles de Belgique</w:t>
      </w:r>
      <w:r>
        <w:t xml:space="preserve"> </w:t>
      </w:r>
      <w:r>
        <w:rPr>
          <w:b/>
        </w:rPr>
        <w:t>60</w:t>
      </w:r>
      <w:r>
        <w:t>: 115–128.</w:t>
      </w:r>
    </w:p>
    <w:p w14:paraId="541C06E3" w14:textId="77777777" w:rsidR="00497CE3" w:rsidRDefault="00497CE3" w:rsidP="00497CE3">
      <w:pPr>
        <w:autoSpaceDE w:val="0"/>
        <w:autoSpaceDN w:val="0"/>
        <w:adjustRightInd w:val="0"/>
      </w:pPr>
      <w:r>
        <w:rPr>
          <w:b/>
          <w:bCs/>
        </w:rPr>
        <w:t>Ortega F. 2004.</w:t>
      </w:r>
      <w:r>
        <w:rPr>
          <w:bCs/>
        </w:rPr>
        <w:t xml:space="preserve"> </w:t>
      </w:r>
      <w:r>
        <w:rPr>
          <w:i/>
          <w:iCs/>
        </w:rPr>
        <w:t>Historia evolutiva de los cocodrilos Mesoeucrocodylia</w:t>
      </w:r>
      <w:r>
        <w:t>. Unpublished PhD theis. Universidad Autónoma de Madrid, Madrid, 350 pp.</w:t>
      </w:r>
    </w:p>
    <w:p w14:paraId="52410470" w14:textId="77777777" w:rsidR="00497CE3" w:rsidRDefault="00497CE3" w:rsidP="00497CE3">
      <w:pPr>
        <w:autoSpaceDE w:val="0"/>
        <w:autoSpaceDN w:val="0"/>
        <w:adjustRightInd w:val="0"/>
        <w:rPr>
          <w:i/>
          <w:iCs/>
        </w:rPr>
      </w:pPr>
      <w:bookmarkStart w:id="84" w:name="_Hlk489640823"/>
      <w:r>
        <w:rPr>
          <w:b/>
          <w:bCs/>
        </w:rPr>
        <w:t xml:space="preserve">Ortega F, Gasparini Z, Buscalioni </w:t>
      </w:r>
      <w:r>
        <w:rPr>
          <w:rFonts w:eastAsia="Times New Roman"/>
          <w:b/>
          <w:lang w:val="en-US"/>
        </w:rPr>
        <w:t>Á</w:t>
      </w:r>
      <w:r>
        <w:rPr>
          <w:b/>
          <w:bCs/>
        </w:rPr>
        <w:t xml:space="preserve">D, Calvo JO. 2000. </w:t>
      </w:r>
      <w:r>
        <w:t xml:space="preserve">A new species of </w:t>
      </w:r>
      <w:r>
        <w:rPr>
          <w:i/>
          <w:iCs/>
        </w:rPr>
        <w:t xml:space="preserve">Araripesuchus </w:t>
      </w:r>
      <w:r>
        <w:t xml:space="preserve">(Crocodylomorpha, Mesoeucrocodylia) from the Lower Cretaceous of Patagonia (Argentina). </w:t>
      </w:r>
      <w:r>
        <w:rPr>
          <w:i/>
          <w:iCs/>
        </w:rPr>
        <w:t>Journal of Vertebrate Paleontology</w:t>
      </w:r>
      <w:r>
        <w:t xml:space="preserve"> </w:t>
      </w:r>
      <w:r>
        <w:rPr>
          <w:b/>
        </w:rPr>
        <w:t xml:space="preserve">20 </w:t>
      </w:r>
      <w:r>
        <w:t>(1): 57–76.</w:t>
      </w:r>
    </w:p>
    <w:p w14:paraId="23540B97" w14:textId="77777777" w:rsidR="00497CE3" w:rsidRDefault="00497CE3" w:rsidP="00497CE3">
      <w:pPr>
        <w:autoSpaceDE w:val="0"/>
        <w:autoSpaceDN w:val="0"/>
        <w:adjustRightInd w:val="0"/>
      </w:pPr>
      <w:bookmarkStart w:id="85" w:name="_Hlk489640899"/>
      <w:bookmarkEnd w:id="84"/>
      <w:r>
        <w:rPr>
          <w:b/>
          <w:bCs/>
        </w:rPr>
        <w:t>Osmólska H. 1972.</w:t>
      </w:r>
      <w:r>
        <w:rPr>
          <w:bCs/>
        </w:rPr>
        <w:t xml:space="preserve"> </w:t>
      </w:r>
      <w:r>
        <w:t xml:space="preserve">Preliminary note on a crocodilian from the Upper Cretaceous of Mongolia. </w:t>
      </w:r>
      <w:r>
        <w:rPr>
          <w:i/>
          <w:iCs/>
        </w:rPr>
        <w:t>Palaeontologia Polonica</w:t>
      </w:r>
      <w:r>
        <w:t xml:space="preserve"> </w:t>
      </w:r>
      <w:r>
        <w:rPr>
          <w:b/>
        </w:rPr>
        <w:t>27</w:t>
      </w:r>
      <w:r>
        <w:t>: 43–47.</w:t>
      </w:r>
    </w:p>
    <w:p w14:paraId="6A4D5D98" w14:textId="77777777" w:rsidR="00497CE3" w:rsidRDefault="00497CE3" w:rsidP="00497CE3">
      <w:pPr>
        <w:autoSpaceDE w:val="0"/>
        <w:autoSpaceDN w:val="0"/>
        <w:adjustRightInd w:val="0"/>
      </w:pPr>
      <w:bookmarkStart w:id="86" w:name="_Hlk489640912"/>
      <w:bookmarkEnd w:id="85"/>
      <w:r>
        <w:rPr>
          <w:b/>
          <w:bCs/>
        </w:rPr>
        <w:t xml:space="preserve">Osmólska H, Hua S, Buffetaut E. 1997. </w:t>
      </w:r>
      <w:r>
        <w:rPr>
          <w:i/>
          <w:iCs/>
        </w:rPr>
        <w:t xml:space="preserve">Gobiosuchus kielanae </w:t>
      </w:r>
      <w:r>
        <w:t xml:space="preserve">(Protosuchia) from the Late Cretaceous of Mongolia: anatomy and relationships. </w:t>
      </w:r>
      <w:r>
        <w:rPr>
          <w:i/>
        </w:rPr>
        <w:t>Acta</w:t>
      </w:r>
      <w:r>
        <w:t xml:space="preserve"> </w:t>
      </w:r>
      <w:r>
        <w:rPr>
          <w:i/>
          <w:iCs/>
        </w:rPr>
        <w:t>Palaeontologica Polonica</w:t>
      </w:r>
      <w:r>
        <w:t xml:space="preserve"> </w:t>
      </w:r>
      <w:r>
        <w:rPr>
          <w:b/>
        </w:rPr>
        <w:t>42</w:t>
      </w:r>
      <w:r>
        <w:t>: 257–289.</w:t>
      </w:r>
    </w:p>
    <w:bookmarkEnd w:id="86"/>
    <w:p w14:paraId="350C83D6" w14:textId="77777777" w:rsidR="00497CE3" w:rsidRDefault="00497CE3" w:rsidP="00497CE3">
      <w:pPr>
        <w:autoSpaceDE w:val="0"/>
        <w:autoSpaceDN w:val="0"/>
        <w:adjustRightInd w:val="0"/>
        <w:rPr>
          <w:rFonts w:eastAsia="Times New Roman"/>
          <w:lang w:val="en-US"/>
        </w:rPr>
      </w:pPr>
      <w:r>
        <w:rPr>
          <w:rFonts w:eastAsia="Times New Roman"/>
          <w:b/>
          <w:bCs/>
        </w:rPr>
        <w:t>Ő</w:t>
      </w:r>
      <w:r>
        <w:rPr>
          <w:rFonts w:eastAsia="Times New Roman"/>
          <w:b/>
          <w:bCs/>
          <w:lang w:val="en-US"/>
        </w:rPr>
        <w:t>si A.</w:t>
      </w:r>
      <w:r>
        <w:rPr>
          <w:rFonts w:eastAsia="Times New Roman"/>
          <w:bCs/>
          <w:lang w:val="en-US"/>
        </w:rPr>
        <w:t xml:space="preserve"> </w:t>
      </w:r>
      <w:r>
        <w:rPr>
          <w:rFonts w:eastAsia="Times New Roman"/>
          <w:b/>
          <w:bCs/>
          <w:lang w:val="en-US"/>
        </w:rPr>
        <w:t xml:space="preserve">2008. </w:t>
      </w:r>
      <w:r>
        <w:rPr>
          <w:rFonts w:eastAsia="Times New Roman"/>
          <w:lang w:val="en-US"/>
        </w:rPr>
        <w:t xml:space="preserve">Cranial osteology of </w:t>
      </w:r>
      <w:r>
        <w:rPr>
          <w:rFonts w:eastAsia="Times New Roman"/>
          <w:i/>
          <w:iCs/>
          <w:lang w:val="en-US"/>
        </w:rPr>
        <w:t>Iharkutosuchus makadii</w:t>
      </w:r>
      <w:r>
        <w:rPr>
          <w:rFonts w:eastAsia="Times New Roman"/>
          <w:lang w:val="en-US"/>
        </w:rPr>
        <w:t xml:space="preserve">, a Late Cretaceous basal eusuchian crocodyliform from Hungary. </w:t>
      </w:r>
      <w:r>
        <w:rPr>
          <w:rFonts w:eastAsia="Times New Roman"/>
          <w:i/>
          <w:iCs/>
          <w:lang w:val="en-US"/>
        </w:rPr>
        <w:t>Neues Jahrbuch für Geologie und Palaontologie,</w:t>
      </w:r>
      <w:r>
        <w:rPr>
          <w:rFonts w:eastAsia="Times New Roman"/>
          <w:lang w:val="en-US"/>
        </w:rPr>
        <w:t xml:space="preserve"> </w:t>
      </w:r>
      <w:r>
        <w:rPr>
          <w:rFonts w:eastAsia="Times New Roman"/>
          <w:i/>
          <w:iCs/>
          <w:lang w:val="en-US"/>
        </w:rPr>
        <w:t>Abhandlungen</w:t>
      </w:r>
      <w:r>
        <w:rPr>
          <w:rFonts w:eastAsia="Times New Roman"/>
          <w:lang w:val="en-US"/>
        </w:rPr>
        <w:t xml:space="preserve"> </w:t>
      </w:r>
      <w:r>
        <w:rPr>
          <w:rFonts w:eastAsia="Times New Roman"/>
          <w:b/>
          <w:lang w:val="en-US"/>
        </w:rPr>
        <w:t>248</w:t>
      </w:r>
      <w:r>
        <w:rPr>
          <w:rFonts w:eastAsia="Times New Roman"/>
          <w:lang w:val="en-US"/>
        </w:rPr>
        <w:t>: 279</w:t>
      </w:r>
      <w:r>
        <w:t>–</w:t>
      </w:r>
      <w:r>
        <w:rPr>
          <w:rFonts w:eastAsia="Times New Roman"/>
          <w:lang w:val="en-US"/>
        </w:rPr>
        <w:t>299.</w:t>
      </w:r>
    </w:p>
    <w:p w14:paraId="3C2A66A2" w14:textId="77777777" w:rsidR="00497CE3" w:rsidRDefault="00497CE3" w:rsidP="00497CE3">
      <w:pPr>
        <w:autoSpaceDE w:val="0"/>
        <w:autoSpaceDN w:val="0"/>
        <w:adjustRightInd w:val="0"/>
        <w:rPr>
          <w:rFonts w:eastAsiaTheme="minorHAnsi"/>
          <w:lang w:eastAsia="en-US"/>
        </w:rPr>
      </w:pPr>
      <w:r>
        <w:rPr>
          <w:b/>
        </w:rPr>
        <w:t>Ősi A. 2014</w:t>
      </w:r>
      <w:r>
        <w:t xml:space="preserve">. The evolution of jaw mechanism and dental function in heterodont crocodyliforms. </w:t>
      </w:r>
      <w:r>
        <w:rPr>
          <w:i/>
        </w:rPr>
        <w:t>Historical Biology</w:t>
      </w:r>
      <w:r>
        <w:t xml:space="preserve"> </w:t>
      </w:r>
      <w:r>
        <w:rPr>
          <w:b/>
        </w:rPr>
        <w:t>24</w:t>
      </w:r>
      <w:r>
        <w:t xml:space="preserve">(3): 279–414. </w:t>
      </w:r>
    </w:p>
    <w:p w14:paraId="41B0300A" w14:textId="77777777" w:rsidR="00497CE3" w:rsidRDefault="00497CE3" w:rsidP="00497CE3">
      <w:pPr>
        <w:autoSpaceDE w:val="0"/>
        <w:autoSpaceDN w:val="0"/>
        <w:adjustRightInd w:val="0"/>
        <w:rPr>
          <w:rFonts w:eastAsia="Times New Roman"/>
          <w:lang w:val="en-US"/>
        </w:rPr>
      </w:pPr>
      <w:r>
        <w:rPr>
          <w:rFonts w:eastAsia="Times New Roman"/>
          <w:b/>
          <w:bCs/>
        </w:rPr>
        <w:t>Ő</w:t>
      </w:r>
      <w:r>
        <w:rPr>
          <w:rFonts w:eastAsia="Times New Roman"/>
          <w:b/>
          <w:bCs/>
          <w:lang w:val="en-US"/>
        </w:rPr>
        <w:t>si A, Clark JM, Weishampel DB.</w:t>
      </w:r>
      <w:r>
        <w:rPr>
          <w:rFonts w:eastAsia="Times New Roman"/>
          <w:bCs/>
          <w:lang w:val="en-US"/>
        </w:rPr>
        <w:t xml:space="preserve"> </w:t>
      </w:r>
      <w:r>
        <w:rPr>
          <w:rFonts w:eastAsia="Times New Roman"/>
          <w:b/>
          <w:bCs/>
          <w:lang w:val="en-US"/>
        </w:rPr>
        <w:t xml:space="preserve">2007. </w:t>
      </w:r>
      <w:r>
        <w:rPr>
          <w:rFonts w:eastAsia="Times New Roman"/>
          <w:lang w:val="en-US"/>
        </w:rPr>
        <w:t xml:space="preserve">First report on a new basal eusuchian crocodyliform with multicusped teeth from the Upper Cretaceous (Santonian) of Hungary. </w:t>
      </w:r>
      <w:r>
        <w:rPr>
          <w:rFonts w:eastAsia="Times New Roman"/>
          <w:i/>
          <w:iCs/>
          <w:lang w:val="en-US"/>
        </w:rPr>
        <w:t>Neues Jahrbuch</w:t>
      </w:r>
      <w:r>
        <w:rPr>
          <w:rFonts w:eastAsia="Times New Roman"/>
          <w:lang w:val="en-US"/>
        </w:rPr>
        <w:t xml:space="preserve"> </w:t>
      </w:r>
      <w:r>
        <w:rPr>
          <w:rFonts w:eastAsia="Times New Roman"/>
          <w:i/>
          <w:iCs/>
          <w:lang w:val="en-US"/>
        </w:rPr>
        <w:t>für Geologie und Palaontologie, Abhandlungen</w:t>
      </w:r>
      <w:r>
        <w:rPr>
          <w:rFonts w:eastAsia="Times New Roman"/>
          <w:lang w:val="en-US"/>
        </w:rPr>
        <w:t xml:space="preserve"> </w:t>
      </w:r>
      <w:r>
        <w:rPr>
          <w:rFonts w:eastAsia="Times New Roman"/>
          <w:b/>
          <w:lang w:val="en-US"/>
        </w:rPr>
        <w:t>243</w:t>
      </w:r>
      <w:r>
        <w:rPr>
          <w:rFonts w:eastAsia="Times New Roman"/>
          <w:lang w:val="en-US"/>
        </w:rPr>
        <w:t>: 169</w:t>
      </w:r>
      <w:r>
        <w:t>–</w:t>
      </w:r>
      <w:r>
        <w:rPr>
          <w:rFonts w:eastAsia="Times New Roman"/>
          <w:lang w:val="en-US"/>
        </w:rPr>
        <w:t>177.</w:t>
      </w:r>
    </w:p>
    <w:p w14:paraId="1F2FCBA6" w14:textId="77777777" w:rsidR="00497CE3" w:rsidRPr="005734BB" w:rsidRDefault="00497CE3" w:rsidP="00497CE3">
      <w:pPr>
        <w:pStyle w:val="NoSpacing"/>
      </w:pPr>
      <w:r w:rsidRPr="005734BB">
        <w:rPr>
          <w:b/>
        </w:rPr>
        <w:t>Ostrom JH. 1971.</w:t>
      </w:r>
      <w:r w:rsidRPr="005734BB">
        <w:t xml:space="preserve"> On the systematic position of </w:t>
      </w:r>
      <w:r w:rsidRPr="005734BB">
        <w:rPr>
          <w:i/>
        </w:rPr>
        <w:t>Macelognathus vagans</w:t>
      </w:r>
      <w:r w:rsidRPr="005734BB">
        <w:t xml:space="preserve">. </w:t>
      </w:r>
      <w:r w:rsidRPr="005734BB">
        <w:rPr>
          <w:i/>
        </w:rPr>
        <w:t>Postilla</w:t>
      </w:r>
      <w:r w:rsidRPr="005734BB">
        <w:t xml:space="preserve"> </w:t>
      </w:r>
      <w:r w:rsidRPr="005734BB">
        <w:rPr>
          <w:b/>
        </w:rPr>
        <w:t>153</w:t>
      </w:r>
      <w:r w:rsidRPr="005734BB">
        <w:t>: 1–10.</w:t>
      </w:r>
    </w:p>
    <w:p w14:paraId="07A454E2" w14:textId="77777777" w:rsidR="00497CE3" w:rsidRDefault="00497CE3" w:rsidP="00497CE3">
      <w:pPr>
        <w:rPr>
          <w:rFonts w:eastAsiaTheme="minorHAnsi"/>
          <w:lang w:eastAsia="en-US"/>
        </w:rPr>
      </w:pPr>
      <w:r>
        <w:rPr>
          <w:b/>
        </w:rPr>
        <w:t>Owen R. 1849.</w:t>
      </w:r>
      <w:r>
        <w:t xml:space="preserve"> Notes on remains of fossil reptiles discovered by Prof. </w:t>
      </w:r>
      <w:r>
        <w:rPr>
          <w:smallCaps/>
        </w:rPr>
        <w:t>Henry Rogers</w:t>
      </w:r>
      <w:r>
        <w:t xml:space="preserve"> of Pennsylania, U.S., in greensand formations of </w:t>
      </w:r>
      <w:r>
        <w:rPr>
          <w:smallCaps/>
        </w:rPr>
        <w:t>New Jersey</w:t>
      </w:r>
      <w:r>
        <w:t xml:space="preserve">. </w:t>
      </w:r>
      <w:r>
        <w:rPr>
          <w:i/>
        </w:rPr>
        <w:t>Quarterly Journal of the Geological Society of London</w:t>
      </w:r>
      <w:r>
        <w:t xml:space="preserve"> </w:t>
      </w:r>
      <w:r>
        <w:rPr>
          <w:b/>
        </w:rPr>
        <w:t>5</w:t>
      </w:r>
      <w:r>
        <w:t xml:space="preserve"> (1–2): 380–383.</w:t>
      </w:r>
    </w:p>
    <w:p w14:paraId="465910B5" w14:textId="77777777" w:rsidR="00497CE3" w:rsidRDefault="00497CE3" w:rsidP="00497CE3">
      <w:pPr>
        <w:autoSpaceDE w:val="0"/>
        <w:autoSpaceDN w:val="0"/>
        <w:adjustRightInd w:val="0"/>
        <w:rPr>
          <w:rFonts w:eastAsia="Times New Roman"/>
          <w:lang w:val="en-US"/>
        </w:rPr>
      </w:pPr>
      <w:r>
        <w:rPr>
          <w:rFonts w:eastAsia="Times New Roman"/>
          <w:b/>
          <w:lang w:val="en-US"/>
        </w:rPr>
        <w:t>Owen R.</w:t>
      </w:r>
      <w:r>
        <w:rPr>
          <w:rFonts w:eastAsia="Times New Roman"/>
          <w:lang w:val="en-US"/>
        </w:rPr>
        <w:t xml:space="preserve"> </w:t>
      </w:r>
      <w:r>
        <w:rPr>
          <w:rFonts w:eastAsia="Times New Roman"/>
          <w:b/>
          <w:lang w:val="en-US"/>
        </w:rPr>
        <w:t>1874.</w:t>
      </w:r>
      <w:r>
        <w:rPr>
          <w:rFonts w:eastAsia="Times New Roman"/>
          <w:lang w:val="en-US"/>
        </w:rPr>
        <w:t xml:space="preserve"> Monograph of the fossil Reptilia of the Wealden and Purbeck formations. Supplement No. IV (</w:t>
      </w:r>
      <w:r>
        <w:rPr>
          <w:rFonts w:eastAsia="Times New Roman"/>
          <w:i/>
          <w:iCs/>
          <w:lang w:val="en-US"/>
        </w:rPr>
        <w:t>Hylaeochampsa</w:t>
      </w:r>
      <w:r>
        <w:rPr>
          <w:rFonts w:eastAsia="Times New Roman"/>
          <w:lang w:val="en-US"/>
        </w:rPr>
        <w:t xml:space="preserve">). </w:t>
      </w:r>
      <w:r>
        <w:rPr>
          <w:rFonts w:eastAsia="Times New Roman"/>
          <w:i/>
          <w:iCs/>
          <w:lang w:val="en-US"/>
        </w:rPr>
        <w:t>Monograph</w:t>
      </w:r>
      <w:r>
        <w:rPr>
          <w:rFonts w:eastAsia="Times New Roman"/>
          <w:lang w:val="en-US"/>
        </w:rPr>
        <w:t xml:space="preserve"> </w:t>
      </w:r>
      <w:r>
        <w:rPr>
          <w:rFonts w:eastAsia="Times New Roman"/>
          <w:i/>
          <w:iCs/>
          <w:lang w:val="en-US"/>
        </w:rPr>
        <w:t>of the Palaeontolographical Society</w:t>
      </w:r>
      <w:r>
        <w:rPr>
          <w:rFonts w:eastAsia="Times New Roman"/>
          <w:iCs/>
          <w:lang w:val="en-US"/>
        </w:rPr>
        <w:t xml:space="preserve"> </w:t>
      </w:r>
      <w:r>
        <w:rPr>
          <w:rFonts w:eastAsia="Times New Roman"/>
          <w:b/>
          <w:lang w:val="en-US"/>
        </w:rPr>
        <w:t>27</w:t>
      </w:r>
      <w:r>
        <w:rPr>
          <w:rFonts w:eastAsia="Times New Roman"/>
          <w:lang w:val="en-US"/>
        </w:rPr>
        <w:t>: 1</w:t>
      </w:r>
      <w:r>
        <w:t>–</w:t>
      </w:r>
      <w:r>
        <w:rPr>
          <w:rFonts w:eastAsia="Times New Roman"/>
          <w:lang w:val="en-US"/>
        </w:rPr>
        <w:t>7.</w:t>
      </w:r>
    </w:p>
    <w:p w14:paraId="61E2C8D8" w14:textId="77777777" w:rsidR="00497CE3" w:rsidRDefault="00497CE3" w:rsidP="00497CE3">
      <w:pPr>
        <w:pStyle w:val="NoSpacing"/>
        <w:rPr>
          <w:lang w:val="en-US" w:eastAsia="en-GB"/>
        </w:rPr>
      </w:pPr>
      <w:r>
        <w:rPr>
          <w:b/>
          <w:lang w:val="en-US" w:eastAsia="en-GB"/>
        </w:rPr>
        <w:t>Owen R.</w:t>
      </w:r>
      <w:r>
        <w:rPr>
          <w:lang w:val="en-US" w:eastAsia="en-GB"/>
        </w:rPr>
        <w:t xml:space="preserve"> </w:t>
      </w:r>
      <w:r>
        <w:rPr>
          <w:b/>
          <w:lang w:val="en-US" w:eastAsia="en-GB"/>
        </w:rPr>
        <w:t>1878.</w:t>
      </w:r>
      <w:r>
        <w:rPr>
          <w:lang w:val="en-US" w:eastAsia="en-GB"/>
        </w:rPr>
        <w:t xml:space="preserve"> Monograph on the fossil Reptilia of the Wealden and Purbeck Formations – Crocodilia (</w:t>
      </w:r>
      <w:r>
        <w:rPr>
          <w:i/>
          <w:lang w:val="en-US" w:eastAsia="en-GB"/>
        </w:rPr>
        <w:t>Goniopholis</w:t>
      </w:r>
      <w:r>
        <w:rPr>
          <w:lang w:val="en-US" w:eastAsia="en-GB"/>
        </w:rPr>
        <w:t xml:space="preserve">, </w:t>
      </w:r>
      <w:r>
        <w:rPr>
          <w:i/>
          <w:lang w:val="en-US" w:eastAsia="en-GB"/>
        </w:rPr>
        <w:t>Pterosuchus</w:t>
      </w:r>
      <w:r>
        <w:rPr>
          <w:lang w:val="en-US" w:eastAsia="en-GB"/>
        </w:rPr>
        <w:t xml:space="preserve">, and </w:t>
      </w:r>
      <w:r>
        <w:rPr>
          <w:i/>
          <w:lang w:val="en-US" w:eastAsia="en-GB"/>
        </w:rPr>
        <w:t>Suchosaurus</w:t>
      </w:r>
      <w:r>
        <w:rPr>
          <w:lang w:val="en-US" w:eastAsia="en-GB"/>
        </w:rPr>
        <w:t xml:space="preserve">). </w:t>
      </w:r>
      <w:r>
        <w:rPr>
          <w:i/>
          <w:lang w:val="en-US" w:eastAsia="en-GB"/>
        </w:rPr>
        <w:t>Palaeontolographical Society Monograph</w:t>
      </w:r>
      <w:r>
        <w:rPr>
          <w:lang w:val="en-US" w:eastAsia="en-GB"/>
        </w:rPr>
        <w:t xml:space="preserve"> </w:t>
      </w:r>
      <w:r>
        <w:rPr>
          <w:b/>
          <w:lang w:val="en-US" w:eastAsia="en-GB"/>
        </w:rPr>
        <w:t>7</w:t>
      </w:r>
      <w:r>
        <w:rPr>
          <w:lang w:val="en-US" w:eastAsia="en-GB"/>
        </w:rPr>
        <w:t>: 1</w:t>
      </w:r>
      <w:r>
        <w:t>–</w:t>
      </w:r>
      <w:r>
        <w:rPr>
          <w:lang w:val="en-US" w:eastAsia="en-GB"/>
        </w:rPr>
        <w:t>15.</w:t>
      </w:r>
    </w:p>
    <w:p w14:paraId="543FDF2F" w14:textId="77777777" w:rsidR="00497CE3" w:rsidRDefault="00497CE3" w:rsidP="00497CE3">
      <w:pPr>
        <w:autoSpaceDE w:val="0"/>
        <w:autoSpaceDN w:val="0"/>
        <w:adjustRightInd w:val="0"/>
        <w:rPr>
          <w:rFonts w:eastAsia="Times New Roman"/>
          <w:lang w:val="en-US"/>
        </w:rPr>
      </w:pPr>
      <w:r>
        <w:rPr>
          <w:rFonts w:eastAsia="Times New Roman"/>
          <w:b/>
          <w:lang w:val="en-US"/>
        </w:rPr>
        <w:t>Owen R.</w:t>
      </w:r>
      <w:r>
        <w:rPr>
          <w:rFonts w:eastAsia="Times New Roman"/>
          <w:lang w:val="en-US"/>
        </w:rPr>
        <w:t xml:space="preserve"> </w:t>
      </w:r>
      <w:r>
        <w:rPr>
          <w:rFonts w:eastAsia="Times New Roman"/>
          <w:b/>
          <w:lang w:val="en-US"/>
        </w:rPr>
        <w:t>1879.</w:t>
      </w:r>
      <w:r>
        <w:rPr>
          <w:rFonts w:eastAsia="Times New Roman"/>
          <w:lang w:val="en-US"/>
        </w:rPr>
        <w:t xml:space="preserve"> Monograph on the fossil Reptilia of the Wealden and Purbeck Formations – Crocodilia (</w:t>
      </w:r>
      <w:r>
        <w:rPr>
          <w:rFonts w:eastAsia="Times New Roman"/>
          <w:i/>
          <w:lang w:val="en-US"/>
        </w:rPr>
        <w:t>Goniopholis</w:t>
      </w:r>
      <w:r>
        <w:rPr>
          <w:rFonts w:eastAsia="Times New Roman"/>
          <w:lang w:val="en-US"/>
        </w:rPr>
        <w:t xml:space="preserve">, </w:t>
      </w:r>
      <w:r>
        <w:rPr>
          <w:rFonts w:eastAsia="Times New Roman"/>
          <w:i/>
          <w:lang w:val="en-US"/>
        </w:rPr>
        <w:t>Brachydectes</w:t>
      </w:r>
      <w:r>
        <w:rPr>
          <w:rFonts w:eastAsia="Times New Roman"/>
          <w:lang w:val="en-US"/>
        </w:rPr>
        <w:t xml:space="preserve">, </w:t>
      </w:r>
      <w:r>
        <w:rPr>
          <w:rFonts w:eastAsia="Times New Roman"/>
          <w:i/>
          <w:lang w:val="en-US"/>
        </w:rPr>
        <w:t>Nannosuchus</w:t>
      </w:r>
      <w:r>
        <w:rPr>
          <w:rFonts w:eastAsia="Times New Roman"/>
          <w:lang w:val="en-US"/>
        </w:rPr>
        <w:t xml:space="preserve">, </w:t>
      </w:r>
      <w:r>
        <w:rPr>
          <w:rFonts w:eastAsia="Times New Roman"/>
          <w:i/>
          <w:lang w:val="en-US"/>
        </w:rPr>
        <w:t>Theriosuchus</w:t>
      </w:r>
      <w:r>
        <w:rPr>
          <w:rFonts w:eastAsia="Times New Roman"/>
          <w:lang w:val="en-US"/>
        </w:rPr>
        <w:t xml:space="preserve">, and </w:t>
      </w:r>
      <w:r>
        <w:rPr>
          <w:rFonts w:eastAsia="Times New Roman"/>
          <w:i/>
          <w:lang w:val="en-US"/>
        </w:rPr>
        <w:t>Neuthetes</w:t>
      </w:r>
      <w:r>
        <w:rPr>
          <w:rFonts w:eastAsia="Times New Roman"/>
          <w:lang w:val="en-US"/>
        </w:rPr>
        <w:t xml:space="preserve">). </w:t>
      </w:r>
      <w:r>
        <w:rPr>
          <w:rFonts w:eastAsia="Times New Roman"/>
          <w:i/>
          <w:lang w:val="en-US"/>
        </w:rPr>
        <w:t>Palaeontolographical Society Monograph</w:t>
      </w:r>
      <w:r>
        <w:rPr>
          <w:rFonts w:eastAsia="Times New Roman"/>
          <w:lang w:val="en-US"/>
        </w:rPr>
        <w:t xml:space="preserve"> </w:t>
      </w:r>
      <w:r>
        <w:rPr>
          <w:rFonts w:eastAsia="Times New Roman"/>
          <w:b/>
          <w:lang w:val="en-US"/>
        </w:rPr>
        <w:t>9</w:t>
      </w:r>
      <w:r>
        <w:rPr>
          <w:rFonts w:eastAsia="Times New Roman"/>
          <w:lang w:val="en-US"/>
        </w:rPr>
        <w:t>: 1</w:t>
      </w:r>
      <w:r>
        <w:t>–</w:t>
      </w:r>
      <w:r>
        <w:rPr>
          <w:rFonts w:eastAsia="Times New Roman"/>
          <w:lang w:val="en-US"/>
        </w:rPr>
        <w:t>19.</w:t>
      </w:r>
    </w:p>
    <w:p w14:paraId="3161EA50" w14:textId="77777777" w:rsidR="00497CE3" w:rsidRDefault="00497CE3" w:rsidP="00497CE3">
      <w:pPr>
        <w:autoSpaceDE w:val="0"/>
        <w:autoSpaceDN w:val="0"/>
        <w:adjustRightInd w:val="0"/>
        <w:outlineLvl w:val="0"/>
        <w:rPr>
          <w:rFonts w:eastAsiaTheme="minorHAnsi"/>
          <w:lang w:eastAsia="en-US"/>
        </w:rPr>
      </w:pPr>
      <w:r>
        <w:rPr>
          <w:b/>
        </w:rPr>
        <w:t xml:space="preserve">Parrilla-Bel J, Young MT, Moreno-Azanza M, Canudo JI. 2013. </w:t>
      </w:r>
      <w:r>
        <w:t xml:space="preserve">The first metriorhynchid crocodyliform from the Middle Jurassic of Spain, with implications for evolution of the subclade Rhacheosaurini. </w:t>
      </w:r>
      <w:r>
        <w:rPr>
          <w:i/>
        </w:rPr>
        <w:t>PLOS ONE</w:t>
      </w:r>
      <w:r>
        <w:t xml:space="preserve"> </w:t>
      </w:r>
      <w:r>
        <w:rPr>
          <w:b/>
        </w:rPr>
        <w:t>8</w:t>
      </w:r>
      <w:r>
        <w:t xml:space="preserve"> (1): e54275. (doi: 10.1371/journal.pone.0054275)</w:t>
      </w:r>
    </w:p>
    <w:p w14:paraId="1466C98B" w14:textId="77777777" w:rsidR="00497CE3" w:rsidRPr="005734BB" w:rsidRDefault="00497CE3" w:rsidP="00497CE3">
      <w:pPr>
        <w:pStyle w:val="NoSpacing"/>
        <w:rPr>
          <w:rFonts w:eastAsia="Times New Roman"/>
          <w:lang w:eastAsia="es-ES"/>
        </w:rPr>
      </w:pPr>
      <w:bookmarkStart w:id="87" w:name="_Hlk489641016"/>
      <w:r w:rsidRPr="005734BB">
        <w:rPr>
          <w:rFonts w:eastAsia="Times New Roman"/>
          <w:b/>
          <w:lang w:eastAsia="es-ES"/>
        </w:rPr>
        <w:t>Parrish JM. 1994.</w:t>
      </w:r>
      <w:r w:rsidRPr="005734BB">
        <w:rPr>
          <w:rFonts w:eastAsia="Times New Roman"/>
          <w:lang w:eastAsia="es-ES"/>
        </w:rPr>
        <w:t xml:space="preserve"> Cranial osteology of </w:t>
      </w:r>
      <w:r w:rsidRPr="005734BB">
        <w:rPr>
          <w:rFonts w:eastAsia="Times New Roman"/>
          <w:i/>
          <w:lang w:eastAsia="es-ES"/>
        </w:rPr>
        <w:t>Longosuchus</w:t>
      </w:r>
      <w:r w:rsidRPr="005734BB">
        <w:rPr>
          <w:rFonts w:eastAsia="Times New Roman"/>
          <w:lang w:eastAsia="es-ES"/>
        </w:rPr>
        <w:t xml:space="preserve"> </w:t>
      </w:r>
      <w:r w:rsidRPr="005734BB">
        <w:rPr>
          <w:rFonts w:eastAsia="Times New Roman"/>
          <w:i/>
          <w:lang w:eastAsia="es-ES"/>
        </w:rPr>
        <w:t>meadei</w:t>
      </w:r>
      <w:r w:rsidRPr="005734BB">
        <w:rPr>
          <w:rFonts w:eastAsia="Times New Roman"/>
          <w:lang w:eastAsia="es-ES"/>
        </w:rPr>
        <w:t xml:space="preserve"> and the phylogeny and distribution of the Aetosauria. </w:t>
      </w:r>
      <w:r w:rsidRPr="005734BB">
        <w:rPr>
          <w:rFonts w:eastAsia="Times New Roman"/>
          <w:i/>
          <w:lang w:eastAsia="es-ES"/>
        </w:rPr>
        <w:t>Journal of Vertebrate Paleontology</w:t>
      </w:r>
      <w:r w:rsidRPr="005734BB">
        <w:rPr>
          <w:rFonts w:eastAsia="Times New Roman"/>
          <w:lang w:eastAsia="es-ES"/>
        </w:rPr>
        <w:t xml:space="preserve"> </w:t>
      </w:r>
      <w:r w:rsidRPr="005734BB">
        <w:rPr>
          <w:rFonts w:eastAsia="Times New Roman"/>
          <w:b/>
          <w:lang w:eastAsia="es-ES"/>
        </w:rPr>
        <w:t>14</w:t>
      </w:r>
      <w:r w:rsidRPr="005734BB">
        <w:rPr>
          <w:rFonts w:eastAsia="Times New Roman"/>
          <w:lang w:eastAsia="es-ES"/>
        </w:rPr>
        <w:t xml:space="preserve"> (2): 196</w:t>
      </w:r>
      <w:r w:rsidRPr="005734BB">
        <w:t>–</w:t>
      </w:r>
      <w:r w:rsidRPr="005734BB">
        <w:rPr>
          <w:rFonts w:eastAsia="Times New Roman"/>
          <w:lang w:eastAsia="es-ES"/>
        </w:rPr>
        <w:t>209.</w:t>
      </w:r>
    </w:p>
    <w:p w14:paraId="464EA21A" w14:textId="77777777" w:rsidR="00497CE3" w:rsidRDefault="00497CE3" w:rsidP="00497CE3">
      <w:pPr>
        <w:autoSpaceDE w:val="0"/>
        <w:autoSpaceDN w:val="0"/>
        <w:adjustRightInd w:val="0"/>
      </w:pPr>
      <w:r>
        <w:rPr>
          <w:b/>
          <w:bCs/>
        </w:rPr>
        <w:t xml:space="preserve">Peng G-Z, Shu C-K. 2005. </w:t>
      </w:r>
      <w:r>
        <w:t xml:space="preserve">A new species of </w:t>
      </w:r>
      <w:r>
        <w:rPr>
          <w:i/>
          <w:iCs/>
        </w:rPr>
        <w:t xml:space="preserve">Hsisosuchus </w:t>
      </w:r>
      <w:r>
        <w:t xml:space="preserve">from the Late Jurassic of Zigong, Sichuan, China. </w:t>
      </w:r>
      <w:r>
        <w:rPr>
          <w:i/>
          <w:iCs/>
        </w:rPr>
        <w:t>Vertebrata PalAsiatica</w:t>
      </w:r>
      <w:r>
        <w:t xml:space="preserve"> </w:t>
      </w:r>
      <w:r>
        <w:rPr>
          <w:b/>
        </w:rPr>
        <w:t>43</w:t>
      </w:r>
      <w:r>
        <w:t>: 312–324.</w:t>
      </w:r>
    </w:p>
    <w:p w14:paraId="51AD99A9" w14:textId="77777777" w:rsidR="00497CE3" w:rsidRDefault="00497CE3" w:rsidP="00497CE3">
      <w:pPr>
        <w:autoSpaceDE w:val="0"/>
        <w:autoSpaceDN w:val="0"/>
        <w:adjustRightInd w:val="0"/>
        <w:outlineLvl w:val="0"/>
        <w:rPr>
          <w:caps/>
        </w:rPr>
      </w:pPr>
      <w:bookmarkStart w:id="88" w:name="_Hlk489641023"/>
      <w:bookmarkEnd w:id="87"/>
      <w:r>
        <w:rPr>
          <w:b/>
        </w:rPr>
        <w:t>Peyer K, Carter JG, Sues H-D, Novak SE, Olsen PE. 2008.</w:t>
      </w:r>
      <w:r>
        <w:t xml:space="preserve"> A new suchian archosaur from the Upper Triassic of North Carolina. </w:t>
      </w:r>
      <w:r>
        <w:rPr>
          <w:rFonts w:eastAsia="TimesNRMT-Italic"/>
          <w:i/>
          <w:iCs/>
        </w:rPr>
        <w:t xml:space="preserve">Journal of Vertebrate Paleontology </w:t>
      </w:r>
      <w:r>
        <w:rPr>
          <w:b/>
          <w:bCs/>
        </w:rPr>
        <w:t>28</w:t>
      </w:r>
      <w:r>
        <w:t>: 363–81.</w:t>
      </w:r>
    </w:p>
    <w:bookmarkEnd w:id="88"/>
    <w:p w14:paraId="0BECB68C" w14:textId="77777777" w:rsidR="00497CE3" w:rsidRDefault="00497CE3" w:rsidP="00497CE3">
      <w:pPr>
        <w:autoSpaceDE w:val="0"/>
        <w:autoSpaceDN w:val="0"/>
        <w:adjustRightInd w:val="0"/>
      </w:pPr>
      <w:r>
        <w:rPr>
          <w:b/>
          <w:bCs/>
        </w:rPr>
        <w:t>Phillips J. 1871.</w:t>
      </w:r>
      <w:r>
        <w:rPr>
          <w:bCs/>
        </w:rPr>
        <w:t xml:space="preserve"> </w:t>
      </w:r>
      <w:r>
        <w:rPr>
          <w:iCs/>
        </w:rPr>
        <w:t>Geology of Oxford and the Valley of the Thames</w:t>
      </w:r>
      <w:r>
        <w:t>. Clarendon Press, Oxford, 523 pp.</w:t>
      </w:r>
    </w:p>
    <w:p w14:paraId="1323DDA6" w14:textId="77777777" w:rsidR="00497CE3" w:rsidRDefault="00497CE3" w:rsidP="00497CE3">
      <w:pPr>
        <w:autoSpaceDE w:val="0"/>
        <w:autoSpaceDN w:val="0"/>
        <w:adjustRightInd w:val="0"/>
      </w:pPr>
      <w:r>
        <w:rPr>
          <w:b/>
          <w:bCs/>
        </w:rPr>
        <w:t xml:space="preserve">Pierce SE, Benton MJ. 2006. </w:t>
      </w:r>
      <w:r>
        <w:rPr>
          <w:i/>
          <w:iCs/>
        </w:rPr>
        <w:t xml:space="preserve">Pelagosaurus typus </w:t>
      </w:r>
      <w:r>
        <w:t xml:space="preserve">Bronn, 1841 (Mesoeucrocodylia: Thalattosuchia) from the Upper Lias (Toarcian, Lower Jurassic) of Somerset, England. </w:t>
      </w:r>
      <w:r>
        <w:rPr>
          <w:i/>
          <w:iCs/>
        </w:rPr>
        <w:t>Journal of Vertebrate Paleontology</w:t>
      </w:r>
      <w:r>
        <w:t xml:space="preserve"> </w:t>
      </w:r>
      <w:r>
        <w:rPr>
          <w:b/>
        </w:rPr>
        <w:t xml:space="preserve">26 </w:t>
      </w:r>
      <w:r>
        <w:t>(3): 621–635.</w:t>
      </w:r>
    </w:p>
    <w:p w14:paraId="61FAD30A" w14:textId="77777777" w:rsidR="00497CE3" w:rsidRDefault="00497CE3" w:rsidP="00497CE3">
      <w:pPr>
        <w:autoSpaceDE w:val="0"/>
        <w:autoSpaceDN w:val="0"/>
        <w:adjustRightInd w:val="0"/>
      </w:pPr>
      <w:r>
        <w:rPr>
          <w:b/>
          <w:bCs/>
        </w:rPr>
        <w:t xml:space="preserve">Pinheiro AEP, Bertini RJ, Andrade MB, Martins Neto RG. </w:t>
      </w:r>
      <w:r w:rsidRPr="003E7D96">
        <w:rPr>
          <w:b/>
          <w:bCs/>
        </w:rPr>
        <w:t>2008.</w:t>
      </w:r>
      <w:r>
        <w:rPr>
          <w:b/>
          <w:bCs/>
        </w:rPr>
        <w:t xml:space="preserve"> </w:t>
      </w:r>
      <w:r>
        <w:t xml:space="preserve">New specimen of </w:t>
      </w:r>
      <w:r>
        <w:rPr>
          <w:i/>
          <w:iCs/>
        </w:rPr>
        <w:t xml:space="preserve">Stratiotosuchus maxhechti </w:t>
      </w:r>
      <w:r>
        <w:t xml:space="preserve">(Baurusuchidae, Crocodyliformes) from the Adamantina Formation (Upper Cretaceous), Southeastern Brazil. </w:t>
      </w:r>
      <w:r>
        <w:rPr>
          <w:i/>
          <w:iCs/>
        </w:rPr>
        <w:t>Revista Brasileira de Paleontologia</w:t>
      </w:r>
      <w:r>
        <w:t xml:space="preserve">, </w:t>
      </w:r>
      <w:r>
        <w:rPr>
          <w:b/>
        </w:rPr>
        <w:t>11</w:t>
      </w:r>
      <w:r>
        <w:t>, 37-50.</w:t>
      </w:r>
    </w:p>
    <w:p w14:paraId="6E7F0723" w14:textId="77777777" w:rsidR="00497CE3" w:rsidRDefault="00497CE3" w:rsidP="00497CE3">
      <w:pPr>
        <w:autoSpaceDE w:val="0"/>
        <w:autoSpaceDN w:val="0"/>
        <w:adjustRightInd w:val="0"/>
      </w:pPr>
      <w:r>
        <w:rPr>
          <w:b/>
          <w:bCs/>
        </w:rPr>
        <w:t>Plieninger T. 1846.</w:t>
      </w:r>
      <w:r>
        <w:rPr>
          <w:bCs/>
        </w:rPr>
        <w:t xml:space="preserve"> </w:t>
      </w:r>
      <w:r>
        <w:t xml:space="preserve">Prof. Dr. Th. Plieninger hielt nachstehenden vortrag über ein neues Sauriergenus und die Einreihung der Saurier mit flachen, schneidenden Zähnen in eine Familie. Pp. 148–154 in: Zweite Generalversammlung am 1. Mai 1846 zu Tübingen. </w:t>
      </w:r>
      <w:r>
        <w:rPr>
          <w:i/>
          <w:iCs/>
        </w:rPr>
        <w:t xml:space="preserve">Württembergische naturwissenschaftliche Jahreshefte </w:t>
      </w:r>
      <w:r>
        <w:rPr>
          <w:b/>
          <w:bCs/>
        </w:rPr>
        <w:t>2</w:t>
      </w:r>
      <w:r>
        <w:rPr>
          <w:bCs/>
        </w:rPr>
        <w:t xml:space="preserve">: </w:t>
      </w:r>
      <w:r>
        <w:t>129–183.</w:t>
      </w:r>
    </w:p>
    <w:p w14:paraId="1A41C81F" w14:textId="77777777" w:rsidR="00497CE3" w:rsidRDefault="00497CE3" w:rsidP="00497CE3">
      <w:r>
        <w:rPr>
          <w:b/>
        </w:rPr>
        <w:t>Pol D. 1999.</w:t>
      </w:r>
      <w:r>
        <w:t xml:space="preserve"> El esqueleto postcraneano de </w:t>
      </w:r>
      <w:r>
        <w:rPr>
          <w:i/>
          <w:iCs/>
        </w:rPr>
        <w:t xml:space="preserve">Notosuchus terrestris </w:t>
      </w:r>
      <w:r>
        <w:t>(Archosauria: Crocodyliformes) del Cretácico Superior de la Cuenca Neuquina y su información filogenética. Tesis de Licenciatura, Facultad de Ciencias Exactas y Naturales, Universidad de Buenos Aires, Argentina, 158 pp.</w:t>
      </w:r>
    </w:p>
    <w:p w14:paraId="68A71138" w14:textId="77777777" w:rsidR="00497CE3" w:rsidRDefault="00497CE3" w:rsidP="00497CE3">
      <w:pPr>
        <w:autoSpaceDE w:val="0"/>
        <w:autoSpaceDN w:val="0"/>
        <w:adjustRightInd w:val="0"/>
      </w:pPr>
      <w:r>
        <w:rPr>
          <w:b/>
          <w:bCs/>
        </w:rPr>
        <w:t xml:space="preserve">Pol D. 2003. </w:t>
      </w:r>
      <w:r>
        <w:t xml:space="preserve">New remains of </w:t>
      </w:r>
      <w:r>
        <w:rPr>
          <w:i/>
          <w:iCs/>
        </w:rPr>
        <w:t xml:space="preserve">Sphagesaurus </w:t>
      </w:r>
      <w:r>
        <w:t xml:space="preserve">(Crocodylomorpha: Mesoeucrocodylia) from the Upper Cretaceous of Brazil. </w:t>
      </w:r>
      <w:r>
        <w:rPr>
          <w:i/>
          <w:iCs/>
        </w:rPr>
        <w:t>Journal of Vertebrate Paleontology</w:t>
      </w:r>
      <w:r>
        <w:t xml:space="preserve"> </w:t>
      </w:r>
      <w:r>
        <w:rPr>
          <w:b/>
        </w:rPr>
        <w:t xml:space="preserve">23 </w:t>
      </w:r>
      <w:r>
        <w:t>(4): 817–831.</w:t>
      </w:r>
    </w:p>
    <w:p w14:paraId="6C4C87E1" w14:textId="77777777" w:rsidR="00497CE3" w:rsidRDefault="00497CE3" w:rsidP="00497CE3">
      <w:pPr>
        <w:contextualSpacing/>
      </w:pPr>
      <w:r w:rsidRPr="003E7D96">
        <w:rPr>
          <w:b/>
        </w:rPr>
        <w:t>Pol D. 2005.</w:t>
      </w:r>
      <w:r w:rsidRPr="00A760BE">
        <w:t xml:space="preserve"> Postcranial remains of </w:t>
      </w:r>
      <w:r w:rsidRPr="00A760BE">
        <w:rPr>
          <w:i/>
        </w:rPr>
        <w:t>Notosuchus terrestris</w:t>
      </w:r>
      <w:r w:rsidRPr="00A760BE">
        <w:t xml:space="preserve"> Woodward (Archosauria: Crocodyliformes) from the upper Cretaceous of Patagonia, Argentina. Ameghiniana </w:t>
      </w:r>
      <w:r w:rsidRPr="003E7D96">
        <w:rPr>
          <w:b/>
        </w:rPr>
        <w:t>42</w:t>
      </w:r>
      <w:r w:rsidRPr="00A760BE">
        <w:t>:</w:t>
      </w:r>
      <w:r>
        <w:t xml:space="preserve"> </w:t>
      </w:r>
      <w:r w:rsidRPr="00A760BE">
        <w:t>1</w:t>
      </w:r>
      <w:r>
        <w:t>–</w:t>
      </w:r>
      <w:r w:rsidRPr="00A760BE">
        <w:t>21.</w:t>
      </w:r>
    </w:p>
    <w:p w14:paraId="4F05AA37" w14:textId="77777777" w:rsidR="00497CE3" w:rsidRDefault="00497CE3" w:rsidP="00497CE3">
      <w:pPr>
        <w:autoSpaceDE w:val="0"/>
        <w:autoSpaceDN w:val="0"/>
        <w:adjustRightInd w:val="0"/>
      </w:pPr>
      <w:r>
        <w:rPr>
          <w:b/>
          <w:bCs/>
        </w:rPr>
        <w:t xml:space="preserve">Pol D, Apesteguia S. 2005. </w:t>
      </w:r>
      <w:r>
        <w:t xml:space="preserve">New </w:t>
      </w:r>
      <w:r>
        <w:rPr>
          <w:i/>
          <w:iCs/>
        </w:rPr>
        <w:t xml:space="preserve">Araripesuchus </w:t>
      </w:r>
      <w:r>
        <w:t xml:space="preserve">remains from the early Late Cretaceous (Cenomanian–Turonian) of Patagonia. </w:t>
      </w:r>
      <w:r>
        <w:rPr>
          <w:i/>
          <w:iCs/>
        </w:rPr>
        <w:t>American Museum Novitates</w:t>
      </w:r>
      <w:r>
        <w:t xml:space="preserve"> </w:t>
      </w:r>
      <w:r>
        <w:rPr>
          <w:b/>
        </w:rPr>
        <w:t>3490</w:t>
      </w:r>
      <w:r>
        <w:t>: 1–38.</w:t>
      </w:r>
    </w:p>
    <w:p w14:paraId="275FD3FA" w14:textId="77777777" w:rsidR="00497CE3" w:rsidRDefault="00497CE3" w:rsidP="00497CE3">
      <w:pPr>
        <w:autoSpaceDE w:val="0"/>
        <w:autoSpaceDN w:val="0"/>
        <w:adjustRightInd w:val="0"/>
      </w:pPr>
      <w:r>
        <w:rPr>
          <w:b/>
          <w:bCs/>
        </w:rPr>
        <w:t xml:space="preserve">Pol D, Gasparini Z. 2009. </w:t>
      </w:r>
      <w:r>
        <w:t xml:space="preserve">Skull anatomy of </w:t>
      </w:r>
      <w:r>
        <w:rPr>
          <w:i/>
          <w:iCs/>
        </w:rPr>
        <w:t xml:space="preserve">Dakosaurus andiniensis </w:t>
      </w:r>
      <w:r>
        <w:t xml:space="preserve">(Thalattosuchia: Crocodylomorpha) and the phylogenetic position of Thalattosuchia. </w:t>
      </w:r>
      <w:r>
        <w:rPr>
          <w:i/>
          <w:iCs/>
        </w:rPr>
        <w:t>Journal of Systematic Palaeontology</w:t>
      </w:r>
      <w:r>
        <w:t xml:space="preserve"> </w:t>
      </w:r>
      <w:r>
        <w:rPr>
          <w:b/>
        </w:rPr>
        <w:t>7</w:t>
      </w:r>
      <w:r>
        <w:t>: 163–197.</w:t>
      </w:r>
    </w:p>
    <w:p w14:paraId="2253E90D" w14:textId="77777777" w:rsidR="00497CE3" w:rsidRDefault="00497CE3" w:rsidP="00497CE3">
      <w:pPr>
        <w:autoSpaceDE w:val="0"/>
        <w:autoSpaceDN w:val="0"/>
        <w:adjustRightInd w:val="0"/>
        <w:rPr>
          <w:bCs/>
          <w:lang w:val="en-US"/>
        </w:rPr>
      </w:pPr>
      <w:r>
        <w:rPr>
          <w:b/>
          <w:bCs/>
          <w:lang w:val="en-US"/>
        </w:rPr>
        <w:t>Pol D, Leardi JM, Lecuona A, Krause M.</w:t>
      </w:r>
      <w:r>
        <w:rPr>
          <w:bCs/>
          <w:lang w:val="en-US"/>
        </w:rPr>
        <w:t xml:space="preserve"> </w:t>
      </w:r>
      <w:r>
        <w:rPr>
          <w:b/>
          <w:bCs/>
          <w:lang w:val="en-US"/>
        </w:rPr>
        <w:t>2012.</w:t>
      </w:r>
      <w:r>
        <w:rPr>
          <w:bCs/>
          <w:lang w:val="en-US"/>
        </w:rPr>
        <w:t xml:space="preserve"> Postcranial anatomy of </w:t>
      </w:r>
      <w:r>
        <w:rPr>
          <w:bCs/>
          <w:i/>
          <w:lang w:val="en-US"/>
        </w:rPr>
        <w:t>Sebecus icaeorhinus</w:t>
      </w:r>
      <w:r>
        <w:rPr>
          <w:bCs/>
          <w:lang w:val="en-US"/>
        </w:rPr>
        <w:t xml:space="preserve"> (Crocodyliformes, Sebecidae) from the Eocene of Patagonia. </w:t>
      </w:r>
      <w:r>
        <w:rPr>
          <w:bCs/>
          <w:i/>
          <w:lang w:val="en-US"/>
        </w:rPr>
        <w:t>Journal of Vertebrate Paleontology</w:t>
      </w:r>
      <w:r>
        <w:rPr>
          <w:bCs/>
          <w:lang w:val="en-US"/>
        </w:rPr>
        <w:t xml:space="preserve"> </w:t>
      </w:r>
      <w:r>
        <w:rPr>
          <w:b/>
          <w:bCs/>
          <w:lang w:val="en-US"/>
        </w:rPr>
        <w:t>32</w:t>
      </w:r>
      <w:r>
        <w:rPr>
          <w:bCs/>
          <w:lang w:val="en-US"/>
        </w:rPr>
        <w:t>: 328</w:t>
      </w:r>
      <w:r>
        <w:t>–</w:t>
      </w:r>
      <w:r>
        <w:rPr>
          <w:bCs/>
          <w:lang w:val="en-US"/>
        </w:rPr>
        <w:t>354.</w:t>
      </w:r>
    </w:p>
    <w:p w14:paraId="0820594A" w14:textId="77777777" w:rsidR="00497CE3" w:rsidRDefault="00497CE3" w:rsidP="00497CE3">
      <w:r>
        <w:rPr>
          <w:b/>
        </w:rPr>
        <w:t>Pol D, Norell MA. 2004a.</w:t>
      </w:r>
      <w:r>
        <w:t xml:space="preserve"> A new crocodyliform from Zos Canyon, Mongolia. </w:t>
      </w:r>
      <w:r>
        <w:rPr>
          <w:i/>
        </w:rPr>
        <w:t>American Museum Novitates</w:t>
      </w:r>
      <w:r>
        <w:t xml:space="preserve"> </w:t>
      </w:r>
      <w:r>
        <w:rPr>
          <w:b/>
        </w:rPr>
        <w:t>3445</w:t>
      </w:r>
      <w:r>
        <w:t>: 1–36.</w:t>
      </w:r>
    </w:p>
    <w:p w14:paraId="5C0E1CE2" w14:textId="77777777" w:rsidR="00497CE3" w:rsidRDefault="00497CE3" w:rsidP="00497CE3">
      <w:r>
        <w:rPr>
          <w:b/>
        </w:rPr>
        <w:t>Pol D, Norell MA. 2004b.</w:t>
      </w:r>
      <w:r>
        <w:t xml:space="preserve"> A new gobiosuchid crocodyliform taxon from the Cretaceous of Mongolia. </w:t>
      </w:r>
      <w:r>
        <w:rPr>
          <w:i/>
        </w:rPr>
        <w:t>American Museum Novitates</w:t>
      </w:r>
      <w:r>
        <w:t xml:space="preserve"> </w:t>
      </w:r>
      <w:r>
        <w:rPr>
          <w:b/>
        </w:rPr>
        <w:t>3458</w:t>
      </w:r>
      <w:r>
        <w:t>: 1–31.</w:t>
      </w:r>
    </w:p>
    <w:p w14:paraId="2477025D" w14:textId="77777777" w:rsidR="00497CE3" w:rsidRDefault="00497CE3" w:rsidP="00497CE3">
      <w:pPr>
        <w:contextualSpacing/>
      </w:pPr>
      <w:r w:rsidRPr="003E7D96">
        <w:rPr>
          <w:b/>
        </w:rPr>
        <w:t>Pol D, Rauhut</w:t>
      </w:r>
      <w:r>
        <w:rPr>
          <w:b/>
        </w:rPr>
        <w:t xml:space="preserve"> OWM</w:t>
      </w:r>
      <w:r w:rsidRPr="003E7D96">
        <w:rPr>
          <w:b/>
        </w:rPr>
        <w:t>, Leucona</w:t>
      </w:r>
      <w:r>
        <w:rPr>
          <w:b/>
        </w:rPr>
        <w:t xml:space="preserve"> A</w:t>
      </w:r>
      <w:r w:rsidRPr="003E7D96">
        <w:rPr>
          <w:b/>
        </w:rPr>
        <w:t>, Leardi</w:t>
      </w:r>
      <w:r>
        <w:rPr>
          <w:b/>
        </w:rPr>
        <w:t xml:space="preserve"> JM</w:t>
      </w:r>
      <w:r w:rsidRPr="003E7D96">
        <w:rPr>
          <w:b/>
        </w:rPr>
        <w:t>, Xu</w:t>
      </w:r>
      <w:r>
        <w:rPr>
          <w:b/>
        </w:rPr>
        <w:t xml:space="preserve"> X</w:t>
      </w:r>
      <w:r w:rsidRPr="003E7D96">
        <w:rPr>
          <w:b/>
        </w:rPr>
        <w:t>, Clark</w:t>
      </w:r>
      <w:r>
        <w:rPr>
          <w:b/>
        </w:rPr>
        <w:t xml:space="preserve"> JM</w:t>
      </w:r>
      <w:r w:rsidRPr="003E7D96">
        <w:rPr>
          <w:b/>
        </w:rPr>
        <w:t>. 2013.</w:t>
      </w:r>
      <w:r w:rsidRPr="00A760BE">
        <w:t xml:space="preserve"> A new fossil from the Jurassic of Patagonia reveals the early basicranial evolution and the origins of Crocodyliformes. </w:t>
      </w:r>
      <w:r w:rsidRPr="003E7D96">
        <w:rPr>
          <w:i/>
        </w:rPr>
        <w:t>Biological Reviews</w:t>
      </w:r>
      <w:r>
        <w:t xml:space="preserve"> </w:t>
      </w:r>
      <w:r w:rsidRPr="003E7D96">
        <w:rPr>
          <w:b/>
        </w:rPr>
        <w:t>4</w:t>
      </w:r>
      <w:r w:rsidRPr="00A760BE">
        <w:t>:</w:t>
      </w:r>
      <w:r>
        <w:t xml:space="preserve"> </w:t>
      </w:r>
      <w:r w:rsidRPr="00A760BE">
        <w:t>862</w:t>
      </w:r>
      <w:r>
        <w:t>–</w:t>
      </w:r>
      <w:r w:rsidRPr="00A760BE">
        <w:t>872.</w:t>
      </w:r>
    </w:p>
    <w:p w14:paraId="04A271B8" w14:textId="77777777" w:rsidR="00497CE3" w:rsidRDefault="00497CE3" w:rsidP="00497CE3">
      <w:pPr>
        <w:contextualSpacing/>
      </w:pPr>
      <w:r w:rsidRPr="003E7D96">
        <w:rPr>
          <w:b/>
        </w:rPr>
        <w:t>Pol D, Turner</w:t>
      </w:r>
      <w:r>
        <w:rPr>
          <w:b/>
        </w:rPr>
        <w:t xml:space="preserve"> AH</w:t>
      </w:r>
      <w:r w:rsidRPr="003E7D96">
        <w:rPr>
          <w:b/>
        </w:rPr>
        <w:t>, Norell</w:t>
      </w:r>
      <w:r>
        <w:rPr>
          <w:b/>
        </w:rPr>
        <w:t xml:space="preserve"> MA</w:t>
      </w:r>
      <w:r w:rsidRPr="003E7D96">
        <w:rPr>
          <w:b/>
        </w:rPr>
        <w:t>. 2009.</w:t>
      </w:r>
      <w:r w:rsidRPr="00A760BE">
        <w:t xml:space="preserve"> Morphology of the Late Cretaceous crocodylomorph </w:t>
      </w:r>
      <w:r w:rsidRPr="00A760BE">
        <w:rPr>
          <w:i/>
        </w:rPr>
        <w:t xml:space="preserve">Shamosuchus djadochtaensis </w:t>
      </w:r>
      <w:r w:rsidRPr="00A760BE">
        <w:t xml:space="preserve">and a discussion of neosuchian phylogeny as related to the origin of Eusuchia. </w:t>
      </w:r>
      <w:r w:rsidRPr="003E7D96">
        <w:rPr>
          <w:i/>
        </w:rPr>
        <w:t>Bull</w:t>
      </w:r>
      <w:r>
        <w:rPr>
          <w:i/>
        </w:rPr>
        <w:t>etin of the</w:t>
      </w:r>
      <w:r w:rsidRPr="003E7D96">
        <w:rPr>
          <w:i/>
        </w:rPr>
        <w:t xml:space="preserve"> Am</w:t>
      </w:r>
      <w:r>
        <w:rPr>
          <w:i/>
        </w:rPr>
        <w:t>erican</w:t>
      </w:r>
      <w:r w:rsidRPr="003E7D96">
        <w:rPr>
          <w:i/>
        </w:rPr>
        <w:t xml:space="preserve"> Mus</w:t>
      </w:r>
      <w:r>
        <w:rPr>
          <w:i/>
        </w:rPr>
        <w:t>eum</w:t>
      </w:r>
      <w:r w:rsidRPr="003E7D96">
        <w:rPr>
          <w:i/>
        </w:rPr>
        <w:t xml:space="preserve"> Nat</w:t>
      </w:r>
      <w:r>
        <w:rPr>
          <w:i/>
        </w:rPr>
        <w:t>ural</w:t>
      </w:r>
      <w:r w:rsidRPr="003E7D96">
        <w:rPr>
          <w:i/>
        </w:rPr>
        <w:t xml:space="preserve"> His</w:t>
      </w:r>
      <w:r>
        <w:rPr>
          <w:i/>
        </w:rPr>
        <w:t>tory</w:t>
      </w:r>
      <w:r w:rsidRPr="00A760BE">
        <w:t xml:space="preserve">. </w:t>
      </w:r>
      <w:r w:rsidRPr="003E7D96">
        <w:rPr>
          <w:b/>
        </w:rPr>
        <w:t>324</w:t>
      </w:r>
      <w:r w:rsidRPr="00A760BE">
        <w:t>:</w:t>
      </w:r>
      <w:r>
        <w:t xml:space="preserve"> </w:t>
      </w:r>
      <w:r w:rsidRPr="00A760BE">
        <w:t>1</w:t>
      </w:r>
      <w:r>
        <w:t>–</w:t>
      </w:r>
      <w:r w:rsidRPr="00A760BE">
        <w:t>103.</w:t>
      </w:r>
    </w:p>
    <w:p w14:paraId="66F161B4" w14:textId="77777777" w:rsidR="00497CE3" w:rsidRDefault="00497CE3" w:rsidP="00497CE3">
      <w:pPr>
        <w:autoSpaceDE w:val="0"/>
        <w:autoSpaceDN w:val="0"/>
        <w:adjustRightInd w:val="0"/>
      </w:pPr>
      <w:r>
        <w:rPr>
          <w:b/>
          <w:bCs/>
        </w:rPr>
        <w:t xml:space="preserve">Prasad GVR, de Lapparent de Broin F. 2002. </w:t>
      </w:r>
      <w:r>
        <w:t xml:space="preserve">Late Cretaceous crocodile remains from Naskal (India): comparisons and biogeographic affinities. </w:t>
      </w:r>
      <w:r>
        <w:rPr>
          <w:i/>
          <w:iCs/>
        </w:rPr>
        <w:t>Annales de Paléontologie</w:t>
      </w:r>
      <w:r>
        <w:t xml:space="preserve"> </w:t>
      </w:r>
      <w:r>
        <w:rPr>
          <w:b/>
        </w:rPr>
        <w:t>88</w:t>
      </w:r>
      <w:r>
        <w:t>: 19–71.</w:t>
      </w:r>
    </w:p>
    <w:p w14:paraId="553E29A1" w14:textId="77777777" w:rsidR="00497CE3" w:rsidRDefault="00497CE3" w:rsidP="00497CE3">
      <w:pPr>
        <w:autoSpaceDE w:val="0"/>
        <w:autoSpaceDN w:val="0"/>
        <w:adjustRightInd w:val="0"/>
      </w:pPr>
      <w:r>
        <w:rPr>
          <w:b/>
          <w:bCs/>
        </w:rPr>
        <w:t xml:space="preserve">Price LI. 1945. </w:t>
      </w:r>
      <w:r>
        <w:t xml:space="preserve">A new reptile from the Cretaceous of Brazil. </w:t>
      </w:r>
      <w:r>
        <w:rPr>
          <w:i/>
          <w:iCs/>
        </w:rPr>
        <w:t xml:space="preserve">Notas Preliminares e Estudos </w:t>
      </w:r>
      <w:r>
        <w:t>–</w:t>
      </w:r>
      <w:r>
        <w:rPr>
          <w:i/>
          <w:iCs/>
        </w:rPr>
        <w:t xml:space="preserve"> DGM</w:t>
      </w:r>
      <w:r>
        <w:t xml:space="preserve"> </w:t>
      </w:r>
      <w:r>
        <w:rPr>
          <w:b/>
        </w:rPr>
        <w:t>25</w:t>
      </w:r>
      <w:r>
        <w:t>: 1–8.</w:t>
      </w:r>
    </w:p>
    <w:p w14:paraId="4CCFED43" w14:textId="77777777" w:rsidR="00497CE3" w:rsidRDefault="00497CE3" w:rsidP="00497CE3">
      <w:pPr>
        <w:autoSpaceDE w:val="0"/>
        <w:autoSpaceDN w:val="0"/>
        <w:adjustRightInd w:val="0"/>
      </w:pPr>
      <w:r>
        <w:rPr>
          <w:b/>
          <w:bCs/>
        </w:rPr>
        <w:t xml:space="preserve">Price LI. 1950. </w:t>
      </w:r>
      <w:r>
        <w:t xml:space="preserve">On a new crocodilian, </w:t>
      </w:r>
      <w:r>
        <w:rPr>
          <w:i/>
          <w:iCs/>
        </w:rPr>
        <w:t>Sphagesaurus</w:t>
      </w:r>
      <w:r>
        <w:t xml:space="preserve">, from the Cretaceous of the State of São Paulo, Brazil. </w:t>
      </w:r>
      <w:r>
        <w:rPr>
          <w:i/>
          <w:iCs/>
        </w:rPr>
        <w:t>Anais da Academia Brasileira de Ciências</w:t>
      </w:r>
      <w:r>
        <w:t xml:space="preserve"> </w:t>
      </w:r>
      <w:r>
        <w:rPr>
          <w:b/>
        </w:rPr>
        <w:t xml:space="preserve">22 </w:t>
      </w:r>
      <w:r>
        <w:t>(1): 77–85.</w:t>
      </w:r>
    </w:p>
    <w:p w14:paraId="5FCE1322" w14:textId="77777777" w:rsidR="00497CE3" w:rsidRDefault="00497CE3" w:rsidP="00497CE3">
      <w:pPr>
        <w:autoSpaceDE w:val="0"/>
        <w:autoSpaceDN w:val="0"/>
        <w:adjustRightInd w:val="0"/>
      </w:pPr>
      <w:r>
        <w:rPr>
          <w:b/>
          <w:bCs/>
        </w:rPr>
        <w:t xml:space="preserve">Price LI. 1955. </w:t>
      </w:r>
      <w:r>
        <w:t xml:space="preserve">Novos crocodilídeos dos arenitos da Série Bauru, Cretáceo do Estado de Minas Gerais. </w:t>
      </w:r>
      <w:r>
        <w:rPr>
          <w:i/>
          <w:iCs/>
        </w:rPr>
        <w:t>Anais da Academia Brasileira de Ciências</w:t>
      </w:r>
      <w:r>
        <w:t xml:space="preserve"> </w:t>
      </w:r>
      <w:r>
        <w:rPr>
          <w:b/>
        </w:rPr>
        <w:t>27</w:t>
      </w:r>
      <w:r>
        <w:t>: 487–498.</w:t>
      </w:r>
    </w:p>
    <w:p w14:paraId="7FC0D97D" w14:textId="77777777" w:rsidR="00497CE3" w:rsidRDefault="00497CE3" w:rsidP="00497CE3">
      <w:pPr>
        <w:autoSpaceDE w:val="0"/>
        <w:autoSpaceDN w:val="0"/>
        <w:adjustRightInd w:val="0"/>
      </w:pPr>
      <w:r>
        <w:rPr>
          <w:b/>
          <w:bCs/>
        </w:rPr>
        <w:t xml:space="preserve">Price LI. 1959. </w:t>
      </w:r>
      <w:r>
        <w:t xml:space="preserve">Sobre um crocodilídeo notossúquio do Cretáceo brasileiro. </w:t>
      </w:r>
      <w:r>
        <w:rPr>
          <w:i/>
          <w:iCs/>
        </w:rPr>
        <w:t>Boletim do Departamento Nacional de Produção Mineral</w:t>
      </w:r>
      <w:r>
        <w:t xml:space="preserve"> </w:t>
      </w:r>
      <w:r>
        <w:rPr>
          <w:b/>
        </w:rPr>
        <w:t>188</w:t>
      </w:r>
      <w:r>
        <w:t>: 1–55.</w:t>
      </w:r>
    </w:p>
    <w:p w14:paraId="24647DF5" w14:textId="77777777" w:rsidR="00497CE3" w:rsidRDefault="00497CE3" w:rsidP="00497CE3">
      <w:pPr>
        <w:contextualSpacing/>
      </w:pPr>
      <w:r w:rsidRPr="003E7D96">
        <w:rPr>
          <w:b/>
        </w:rPr>
        <w:t>Pritchard AC, Turner</w:t>
      </w:r>
      <w:r>
        <w:rPr>
          <w:b/>
        </w:rPr>
        <w:t xml:space="preserve"> AH</w:t>
      </w:r>
      <w:r w:rsidRPr="003E7D96">
        <w:rPr>
          <w:b/>
        </w:rPr>
        <w:t>, Allen</w:t>
      </w:r>
      <w:r>
        <w:rPr>
          <w:b/>
        </w:rPr>
        <w:t xml:space="preserve"> ER</w:t>
      </w:r>
      <w:r w:rsidRPr="003E7D96">
        <w:rPr>
          <w:b/>
        </w:rPr>
        <w:t>, Norell</w:t>
      </w:r>
      <w:r>
        <w:rPr>
          <w:b/>
        </w:rPr>
        <w:t xml:space="preserve"> MA</w:t>
      </w:r>
      <w:r w:rsidRPr="003E7D96">
        <w:rPr>
          <w:b/>
        </w:rPr>
        <w:t>. 2013.</w:t>
      </w:r>
      <w:r w:rsidRPr="00A760BE">
        <w:t xml:space="preserve"> Osteology of a North American goniopholidid (</w:t>
      </w:r>
      <w:r w:rsidRPr="00A760BE">
        <w:rPr>
          <w:i/>
        </w:rPr>
        <w:t>Eutretauranosuchus delfsi</w:t>
      </w:r>
      <w:r w:rsidRPr="00A760BE">
        <w:t xml:space="preserve">) and palate evolution in Neosuchia. </w:t>
      </w:r>
      <w:r w:rsidRPr="003E7D96">
        <w:rPr>
          <w:i/>
        </w:rPr>
        <w:t>American Museum novitates</w:t>
      </w:r>
      <w:r w:rsidRPr="00A760BE">
        <w:t xml:space="preserve"> </w:t>
      </w:r>
      <w:r w:rsidRPr="003E7D96">
        <w:rPr>
          <w:b/>
        </w:rPr>
        <w:t>3783</w:t>
      </w:r>
      <w:r w:rsidRPr="00A760BE">
        <w:t>:</w:t>
      </w:r>
      <w:r>
        <w:t xml:space="preserve"> </w:t>
      </w:r>
      <w:r w:rsidRPr="00A760BE">
        <w:t>1</w:t>
      </w:r>
      <w:r>
        <w:t>–</w:t>
      </w:r>
      <w:r w:rsidRPr="00A760BE">
        <w:t>56.</w:t>
      </w:r>
    </w:p>
    <w:p w14:paraId="3E40E90F" w14:textId="77777777" w:rsidR="00497CE3" w:rsidRDefault="00497CE3" w:rsidP="00497CE3">
      <w:pPr>
        <w:autoSpaceDE w:val="0"/>
        <w:autoSpaceDN w:val="0"/>
        <w:adjustRightInd w:val="0"/>
        <w:rPr>
          <w:rFonts w:eastAsia="Times New Roman"/>
          <w:lang w:val="en-US"/>
        </w:rPr>
      </w:pPr>
      <w:r>
        <w:rPr>
          <w:rFonts w:eastAsia="Times New Roman"/>
          <w:b/>
          <w:lang w:val="en-US"/>
        </w:rPr>
        <w:t>Puértolas-Pascual E, Canudo JI, Sender LM.</w:t>
      </w:r>
      <w:r>
        <w:rPr>
          <w:rFonts w:eastAsia="Times New Roman"/>
          <w:lang w:val="en-US"/>
        </w:rPr>
        <w:t xml:space="preserve"> </w:t>
      </w:r>
      <w:r>
        <w:rPr>
          <w:rFonts w:eastAsia="Times New Roman"/>
          <w:b/>
          <w:lang w:val="en-US"/>
        </w:rPr>
        <w:t>2015.</w:t>
      </w:r>
      <w:r>
        <w:rPr>
          <w:rFonts w:eastAsia="Times New Roman"/>
          <w:lang w:val="en-US"/>
        </w:rPr>
        <w:t xml:space="preserve"> New material from a huge specimen of </w:t>
      </w:r>
      <w:r>
        <w:rPr>
          <w:rFonts w:eastAsia="Times New Roman"/>
          <w:i/>
          <w:lang w:val="en-US"/>
        </w:rPr>
        <w:t xml:space="preserve">Anteophthalmosuchus </w:t>
      </w:r>
      <w:r>
        <w:rPr>
          <w:rFonts w:eastAsia="Times New Roman"/>
          <w:lang w:val="en-US"/>
        </w:rPr>
        <w:t>cf.</w:t>
      </w:r>
      <w:r>
        <w:rPr>
          <w:rFonts w:eastAsia="Times New Roman"/>
          <w:i/>
          <w:lang w:val="en-US"/>
        </w:rPr>
        <w:t xml:space="preserve"> escuchae</w:t>
      </w:r>
      <w:r>
        <w:rPr>
          <w:rFonts w:eastAsia="Times New Roman"/>
          <w:lang w:val="en-US"/>
        </w:rPr>
        <w:t xml:space="preserve"> (Goniopholididae) from the Albian of Andorra (Teruel, Spain): Phylogenetic implications. </w:t>
      </w:r>
      <w:r>
        <w:rPr>
          <w:rFonts w:eastAsia="Times New Roman"/>
          <w:i/>
          <w:lang w:val="en-US"/>
        </w:rPr>
        <w:t>Journal of Iberian Geology</w:t>
      </w:r>
      <w:r>
        <w:rPr>
          <w:rFonts w:eastAsia="Times New Roman"/>
          <w:lang w:val="en-US"/>
        </w:rPr>
        <w:t xml:space="preserve"> </w:t>
      </w:r>
      <w:r>
        <w:rPr>
          <w:rFonts w:eastAsia="Times New Roman"/>
          <w:b/>
          <w:lang w:val="en-US"/>
        </w:rPr>
        <w:t>41</w:t>
      </w:r>
      <w:r>
        <w:rPr>
          <w:rFonts w:eastAsia="Times New Roman"/>
          <w:lang w:val="en-US"/>
        </w:rPr>
        <w:t>: 41</w:t>
      </w:r>
      <w:r>
        <w:t>–</w:t>
      </w:r>
      <w:r>
        <w:rPr>
          <w:rFonts w:eastAsia="Times New Roman"/>
          <w:lang w:val="en-US"/>
        </w:rPr>
        <w:t>56.</w:t>
      </w:r>
    </w:p>
    <w:p w14:paraId="5B39C21C" w14:textId="77777777" w:rsidR="00497CE3" w:rsidRPr="005734BB" w:rsidRDefault="00497CE3" w:rsidP="00497CE3">
      <w:pPr>
        <w:pStyle w:val="NoSpacing"/>
      </w:pPr>
      <w:r w:rsidRPr="005734BB">
        <w:rPr>
          <w:b/>
          <w:lang w:val="es-AR"/>
        </w:rPr>
        <w:t>Reig OA. 1963.</w:t>
      </w:r>
      <w:r w:rsidRPr="005734BB">
        <w:rPr>
          <w:lang w:val="es-AR"/>
        </w:rPr>
        <w:t xml:space="preserve"> La presencia de dinosaurios saurisquios en los “estratos de Ischigualasto” (Mesotriásico Superior) de las provincias de San Juan y La Rioja (República Argentina). </w:t>
      </w:r>
      <w:r w:rsidRPr="005734BB">
        <w:rPr>
          <w:i/>
        </w:rPr>
        <w:t>Ameghiniana</w:t>
      </w:r>
      <w:r w:rsidRPr="005734BB">
        <w:t xml:space="preserve"> </w:t>
      </w:r>
      <w:r w:rsidRPr="005734BB">
        <w:rPr>
          <w:b/>
        </w:rPr>
        <w:t>3</w:t>
      </w:r>
      <w:r w:rsidRPr="005734BB">
        <w:t>: 3–20.</w:t>
      </w:r>
    </w:p>
    <w:p w14:paraId="51D887F5" w14:textId="77777777" w:rsidR="00497CE3" w:rsidRDefault="00497CE3" w:rsidP="00497CE3">
      <w:pPr>
        <w:autoSpaceDE w:val="0"/>
        <w:autoSpaceDN w:val="0"/>
        <w:adjustRightInd w:val="0"/>
        <w:rPr>
          <w:rFonts w:eastAsiaTheme="minorHAnsi"/>
          <w:lang w:eastAsia="en-US"/>
        </w:rPr>
      </w:pPr>
      <w:r>
        <w:rPr>
          <w:b/>
          <w:bCs/>
        </w:rPr>
        <w:t xml:space="preserve">Riff D. </w:t>
      </w:r>
      <w:r>
        <w:rPr>
          <w:b/>
        </w:rPr>
        <w:t>2003.</w:t>
      </w:r>
      <w:r>
        <w:rPr>
          <w:b/>
          <w:bCs/>
        </w:rPr>
        <w:t xml:space="preserve"> </w:t>
      </w:r>
      <w:r>
        <w:rPr>
          <w:i/>
          <w:iCs/>
        </w:rPr>
        <w:t xml:space="preserve">Descrição morfológica do crânio e mandíbula de </w:t>
      </w:r>
      <w:r>
        <w:t xml:space="preserve">Stratiotosuchus maxhechti </w:t>
      </w:r>
      <w:r>
        <w:rPr>
          <w:i/>
          <w:iCs/>
        </w:rPr>
        <w:t>(Crocodylomorpha, Cretáceo Superior do Brasil) e seu posicionamento filogenético</w:t>
      </w:r>
      <w:r>
        <w:t>. Unpublished MSc (Master of Science) thesis. Universidade Federal do Rio de Janeiro, Rio de Janeiro, 133 pp.</w:t>
      </w:r>
    </w:p>
    <w:p w14:paraId="7AE4AF65" w14:textId="77777777" w:rsidR="00497CE3" w:rsidRDefault="00497CE3" w:rsidP="00497CE3">
      <w:pPr>
        <w:autoSpaceDE w:val="0"/>
        <w:autoSpaceDN w:val="0"/>
        <w:adjustRightInd w:val="0"/>
        <w:rPr>
          <w:i/>
          <w:iCs/>
        </w:rPr>
      </w:pPr>
      <w:r>
        <w:rPr>
          <w:b/>
          <w:bCs/>
        </w:rPr>
        <w:t xml:space="preserve">Riff D. 2007. </w:t>
      </w:r>
      <w:r>
        <w:rPr>
          <w:i/>
          <w:iCs/>
        </w:rPr>
        <w:t xml:space="preserve">Anatomia apendicular de </w:t>
      </w:r>
      <w:r>
        <w:t xml:space="preserve">Stratiotosuchus maxhechti </w:t>
      </w:r>
      <w:r>
        <w:rPr>
          <w:i/>
          <w:iCs/>
        </w:rPr>
        <w:t>(Baurusuchidae, Cretáceo Superior do Brasil) e análise filogenética dos Mesoeucrocodylia</w:t>
      </w:r>
      <w:r>
        <w:t>. Unpublished PhD thesis. Universidade Federal do Rio de Janeiro, Rio de Janeiro, 395 pp.</w:t>
      </w:r>
    </w:p>
    <w:p w14:paraId="3229BD63" w14:textId="77777777" w:rsidR="00497CE3" w:rsidRDefault="00497CE3" w:rsidP="00497CE3">
      <w:pPr>
        <w:autoSpaceDE w:val="0"/>
        <w:autoSpaceDN w:val="0"/>
        <w:adjustRightInd w:val="0"/>
      </w:pPr>
      <w:r>
        <w:rPr>
          <w:b/>
          <w:bCs/>
        </w:rPr>
        <w:t xml:space="preserve">Riff D, Kellner AWA. 2001. </w:t>
      </w:r>
      <w:r>
        <w:t xml:space="preserve">On the dentition of </w:t>
      </w:r>
      <w:r>
        <w:rPr>
          <w:i/>
          <w:iCs/>
        </w:rPr>
        <w:t xml:space="preserve">Baurusuchus pachecoi </w:t>
      </w:r>
      <w:r>
        <w:t xml:space="preserve">(Crocodyliformes, Metasuchia) from the Upper Cretaceous of Brazil. </w:t>
      </w:r>
      <w:r>
        <w:rPr>
          <w:i/>
          <w:iCs/>
        </w:rPr>
        <w:t xml:space="preserve">Boletim do Museu Nacional </w:t>
      </w:r>
      <w:r>
        <w:t xml:space="preserve">– </w:t>
      </w:r>
      <w:r>
        <w:rPr>
          <w:i/>
          <w:iCs/>
        </w:rPr>
        <w:t>Nova Série Geologia</w:t>
      </w:r>
      <w:r>
        <w:t xml:space="preserve"> </w:t>
      </w:r>
      <w:r>
        <w:rPr>
          <w:b/>
        </w:rPr>
        <w:t>59</w:t>
      </w:r>
      <w:r>
        <w:t>: 1–15.</w:t>
      </w:r>
    </w:p>
    <w:p w14:paraId="06535702" w14:textId="77777777" w:rsidR="00497CE3" w:rsidRDefault="00497CE3" w:rsidP="00497CE3">
      <w:pPr>
        <w:contextualSpacing/>
      </w:pPr>
      <w:r w:rsidRPr="00D21B01">
        <w:rPr>
          <w:b/>
        </w:rPr>
        <w:t>Riff D</w:t>
      </w:r>
      <w:r>
        <w:rPr>
          <w:b/>
        </w:rPr>
        <w:t>,</w:t>
      </w:r>
      <w:r w:rsidRPr="00D21B01">
        <w:rPr>
          <w:b/>
        </w:rPr>
        <w:t xml:space="preserve"> Kellner</w:t>
      </w:r>
      <w:r>
        <w:rPr>
          <w:b/>
        </w:rPr>
        <w:t xml:space="preserve"> AWA</w:t>
      </w:r>
      <w:r w:rsidRPr="00D21B01">
        <w:rPr>
          <w:b/>
        </w:rPr>
        <w:t>. 2011.</w:t>
      </w:r>
      <w:r w:rsidRPr="00A760BE">
        <w:t xml:space="preserve"> Baurusuchid crocodyliforms as theropod mimics: clues from the skull and appendicular morphology of </w:t>
      </w:r>
      <w:r w:rsidRPr="00A760BE">
        <w:rPr>
          <w:i/>
        </w:rPr>
        <w:t>Strat</w:t>
      </w:r>
      <w:r>
        <w:rPr>
          <w:i/>
        </w:rPr>
        <w:t>iot</w:t>
      </w:r>
      <w:r w:rsidRPr="00A760BE">
        <w:rPr>
          <w:i/>
        </w:rPr>
        <w:t>osuchus maxhechti</w:t>
      </w:r>
      <w:r w:rsidRPr="00A760BE">
        <w:t xml:space="preserve"> (Upper Cretaceous of Brazil). </w:t>
      </w:r>
      <w:r w:rsidRPr="003E7D96">
        <w:rPr>
          <w:i/>
          <w:iCs/>
        </w:rPr>
        <w:t>Zoological Journal of the Linnean Society</w:t>
      </w:r>
      <w:r w:rsidRPr="00A760BE">
        <w:rPr>
          <w:iCs/>
        </w:rPr>
        <w:t xml:space="preserve"> </w:t>
      </w:r>
      <w:r w:rsidRPr="003E7D96">
        <w:rPr>
          <w:b/>
          <w:iCs/>
        </w:rPr>
        <w:t>163</w:t>
      </w:r>
      <w:r w:rsidRPr="00A760BE">
        <w:rPr>
          <w:iCs/>
        </w:rPr>
        <w:t>:</w:t>
      </w:r>
      <w:r>
        <w:rPr>
          <w:iCs/>
        </w:rPr>
        <w:t xml:space="preserve"> </w:t>
      </w:r>
      <w:r w:rsidRPr="00A760BE">
        <w:rPr>
          <w:iCs/>
        </w:rPr>
        <w:t>S37</w:t>
      </w:r>
      <w:r>
        <w:t>–</w:t>
      </w:r>
      <w:r w:rsidRPr="00A760BE">
        <w:rPr>
          <w:iCs/>
        </w:rPr>
        <w:t>S56.</w:t>
      </w:r>
    </w:p>
    <w:p w14:paraId="463DAB9D" w14:textId="77777777" w:rsidR="00497CE3" w:rsidRDefault="00497CE3" w:rsidP="00497CE3">
      <w:pPr>
        <w:autoSpaceDE w:val="0"/>
        <w:autoSpaceDN w:val="0"/>
        <w:adjustRightInd w:val="0"/>
      </w:pPr>
      <w:r>
        <w:rPr>
          <w:b/>
        </w:rPr>
        <w:t xml:space="preserve">Ristevski J, Young MT, Andrade MB, Hastings AK. 2018. </w:t>
      </w:r>
      <w:r>
        <w:t xml:space="preserve">A new species of </w:t>
      </w:r>
      <w:r>
        <w:rPr>
          <w:i/>
        </w:rPr>
        <w:t>Anteophthalmosuchus</w:t>
      </w:r>
      <w:r>
        <w:t xml:space="preserve"> (Crocdoylomorpha, Goniopholididae) from the Lower Cretaceous of the Isle of Wight, United Kingdom, and a review of the genus. </w:t>
      </w:r>
      <w:r>
        <w:rPr>
          <w:i/>
        </w:rPr>
        <w:t>Cretaceous Research</w:t>
      </w:r>
      <w:r>
        <w:t xml:space="preserve"> </w:t>
      </w:r>
      <w:r>
        <w:rPr>
          <w:b/>
        </w:rPr>
        <w:t>84</w:t>
      </w:r>
      <w:r>
        <w:t>: 340–383.</w:t>
      </w:r>
    </w:p>
    <w:p w14:paraId="46ED6F3D" w14:textId="77777777" w:rsidR="00497CE3" w:rsidRDefault="00497CE3" w:rsidP="00497CE3">
      <w:pPr>
        <w:autoSpaceDE w:val="0"/>
        <w:autoSpaceDN w:val="0"/>
        <w:adjustRightInd w:val="0"/>
      </w:pPr>
      <w:r>
        <w:rPr>
          <w:b/>
          <w:bCs/>
        </w:rPr>
        <w:t xml:space="preserve">Rossmann T, Rauhe M, Ortega F. 2000. </w:t>
      </w:r>
      <w:r>
        <w:t xml:space="preserve">Studies on Cenozoic crocodiles: 8. </w:t>
      </w:r>
      <w:r>
        <w:rPr>
          <w:i/>
          <w:iCs/>
        </w:rPr>
        <w:t xml:space="preserve">Bergisuchus dietrichbergi </w:t>
      </w:r>
      <w:r>
        <w:t xml:space="preserve">Kuhn (Sebecosuchia: Bergisuchidae n. fam.) from the Middle Eocene of Germany, some new systematic and biological conclusions. </w:t>
      </w:r>
      <w:r>
        <w:rPr>
          <w:i/>
          <w:iCs/>
        </w:rPr>
        <w:t>Paläontologische Zeitschrift</w:t>
      </w:r>
      <w:r>
        <w:t xml:space="preserve"> </w:t>
      </w:r>
      <w:r>
        <w:rPr>
          <w:b/>
        </w:rPr>
        <w:t>74</w:t>
      </w:r>
      <w:r>
        <w:t>: 379–392.</w:t>
      </w:r>
    </w:p>
    <w:p w14:paraId="1DD162C2" w14:textId="77777777" w:rsidR="00497CE3" w:rsidRDefault="00497CE3" w:rsidP="00497CE3">
      <w:pPr>
        <w:autoSpaceDE w:val="0"/>
        <w:autoSpaceDN w:val="0"/>
        <w:adjustRightInd w:val="0"/>
        <w:rPr>
          <w:rFonts w:eastAsia="Times New Roman"/>
          <w:lang w:val="en-US"/>
        </w:rPr>
      </w:pPr>
      <w:bookmarkStart w:id="89" w:name="_Hlk489641193"/>
      <w:r>
        <w:rPr>
          <w:rFonts w:eastAsia="Times New Roman"/>
          <w:b/>
          <w:lang w:val="en-US"/>
        </w:rPr>
        <w:t>Romer AS.</w:t>
      </w:r>
      <w:r>
        <w:rPr>
          <w:rFonts w:eastAsia="Times New Roman"/>
          <w:lang w:val="en-US"/>
        </w:rPr>
        <w:t xml:space="preserve"> </w:t>
      </w:r>
      <w:r>
        <w:rPr>
          <w:rFonts w:eastAsia="Times New Roman"/>
          <w:b/>
          <w:lang w:val="en-US"/>
        </w:rPr>
        <w:t>1972.</w:t>
      </w:r>
      <w:r>
        <w:rPr>
          <w:rFonts w:eastAsia="Times New Roman"/>
          <w:lang w:val="en-US"/>
        </w:rPr>
        <w:t xml:space="preserve"> The Chañares (Argentina) Triassic reptile fauna. XIII. An early ornithosuchid pseudosuchian, </w:t>
      </w:r>
      <w:r>
        <w:rPr>
          <w:rFonts w:eastAsia="Times New Roman"/>
          <w:i/>
          <w:lang w:val="en-US"/>
        </w:rPr>
        <w:t>Gracilisuchus stipanicicorum</w:t>
      </w:r>
      <w:r>
        <w:rPr>
          <w:rFonts w:eastAsia="Times New Roman"/>
          <w:lang w:val="en-US"/>
        </w:rPr>
        <w:t xml:space="preserve">, gen. et sp. nov. </w:t>
      </w:r>
      <w:r>
        <w:rPr>
          <w:rFonts w:eastAsia="Times New Roman"/>
          <w:i/>
          <w:lang w:val="en-US"/>
        </w:rPr>
        <w:t>Breviora</w:t>
      </w:r>
      <w:r>
        <w:rPr>
          <w:rFonts w:eastAsia="Times New Roman"/>
          <w:lang w:val="en-US"/>
        </w:rPr>
        <w:t xml:space="preserve"> </w:t>
      </w:r>
      <w:r>
        <w:rPr>
          <w:rFonts w:eastAsia="Times New Roman"/>
          <w:b/>
          <w:lang w:val="en-US"/>
        </w:rPr>
        <w:t>389</w:t>
      </w:r>
      <w:r>
        <w:rPr>
          <w:rFonts w:eastAsia="Times New Roman"/>
          <w:lang w:val="en-US"/>
        </w:rPr>
        <w:t>: 1</w:t>
      </w:r>
      <w:r>
        <w:t>–</w:t>
      </w:r>
      <w:r>
        <w:rPr>
          <w:rFonts w:eastAsia="Times New Roman"/>
          <w:lang w:val="en-US"/>
        </w:rPr>
        <w:t>24.</w:t>
      </w:r>
    </w:p>
    <w:bookmarkEnd w:id="89"/>
    <w:p w14:paraId="04C68007" w14:textId="77777777" w:rsidR="00497CE3" w:rsidRDefault="00497CE3" w:rsidP="00497CE3">
      <w:pPr>
        <w:autoSpaceDE w:val="0"/>
        <w:autoSpaceDN w:val="0"/>
        <w:adjustRightInd w:val="0"/>
        <w:rPr>
          <w:rFonts w:eastAsiaTheme="minorHAnsi"/>
          <w:i/>
          <w:iCs/>
          <w:lang w:eastAsia="en-US"/>
        </w:rPr>
      </w:pPr>
      <w:r>
        <w:rPr>
          <w:b/>
        </w:rPr>
        <w:t>Rogers II, JV. (2003).</w:t>
      </w:r>
      <w:r>
        <w:t xml:space="preserve"> </w:t>
      </w:r>
      <w:r>
        <w:rPr>
          <w:i/>
        </w:rPr>
        <w:t>Pachycheilosuchus trinquei</w:t>
      </w:r>
      <w:r>
        <w:t xml:space="preserve">, a new procoelous crocodyliform from the Lower Cretaceous (Albian) Glen Rose Formation of Texas. </w:t>
      </w:r>
      <w:r>
        <w:rPr>
          <w:i/>
        </w:rPr>
        <w:t xml:space="preserve">Journal of Vertebrate Paleontology </w:t>
      </w:r>
      <w:r>
        <w:rPr>
          <w:b/>
        </w:rPr>
        <w:t xml:space="preserve">23 </w:t>
      </w:r>
      <w:r>
        <w:t>(1): 128–145.</w:t>
      </w:r>
    </w:p>
    <w:p w14:paraId="4E2A2DF6" w14:textId="77777777" w:rsidR="00497CE3" w:rsidRDefault="00497CE3" w:rsidP="00497CE3">
      <w:pPr>
        <w:autoSpaceDE w:val="0"/>
        <w:autoSpaceDN w:val="0"/>
        <w:adjustRightInd w:val="0"/>
      </w:pPr>
      <w:r>
        <w:rPr>
          <w:b/>
          <w:bCs/>
        </w:rPr>
        <w:t xml:space="preserve">Rusconi C. 1933. </w:t>
      </w:r>
      <w:r>
        <w:t>Sobre reptiles cretáceos del Uruguay (</w:t>
      </w:r>
      <w:r>
        <w:rPr>
          <w:i/>
          <w:iCs/>
        </w:rPr>
        <w:t>Uruguaysuchus aznarezi</w:t>
      </w:r>
      <w:r>
        <w:t xml:space="preserve">, n.g. n. sp.) y sus relaciones com los notosúchidos de Patagonia. </w:t>
      </w:r>
      <w:r>
        <w:rPr>
          <w:i/>
          <w:iCs/>
        </w:rPr>
        <w:t>Boletin del Instituto de Geologia y Perforaciones</w:t>
      </w:r>
      <w:r>
        <w:t xml:space="preserve"> </w:t>
      </w:r>
      <w:r>
        <w:rPr>
          <w:b/>
        </w:rPr>
        <w:t xml:space="preserve">19 </w:t>
      </w:r>
      <w:r>
        <w:t>(8): 1–64.</w:t>
      </w:r>
    </w:p>
    <w:p w14:paraId="433210A8" w14:textId="77777777" w:rsidR="00497CE3" w:rsidRDefault="00497CE3" w:rsidP="00497CE3">
      <w:pPr>
        <w:pStyle w:val="Default"/>
      </w:pPr>
      <w:r>
        <w:rPr>
          <w:b/>
          <w:bCs/>
        </w:rPr>
        <w:t xml:space="preserve">Rusconi C. 1948. </w:t>
      </w:r>
      <w:r>
        <w:t xml:space="preserve">Nuevo plesiosaurio pez y Langostas del mar Jurassico de Mendoza. </w:t>
      </w:r>
      <w:r>
        <w:rPr>
          <w:i/>
          <w:iCs/>
        </w:rPr>
        <w:t xml:space="preserve">Revista del Museo de Historia Natural de Mendoza </w:t>
      </w:r>
      <w:r>
        <w:rPr>
          <w:b/>
          <w:bCs/>
        </w:rPr>
        <w:t>2</w:t>
      </w:r>
      <w:r>
        <w:t xml:space="preserve">: 3–12. </w:t>
      </w:r>
    </w:p>
    <w:p w14:paraId="72B5D226" w14:textId="77777777" w:rsidR="00497CE3" w:rsidRDefault="00497CE3" w:rsidP="00497CE3">
      <w:pPr>
        <w:autoSpaceDE w:val="0"/>
        <w:autoSpaceDN w:val="0"/>
        <w:adjustRightInd w:val="0"/>
      </w:pPr>
      <w:r>
        <w:rPr>
          <w:b/>
          <w:bCs/>
        </w:rPr>
        <w:t xml:space="preserve">Rusconi C. 1955. </w:t>
      </w:r>
      <w:r>
        <w:t>Acerca del plesiosaurio ‘</w:t>
      </w:r>
      <w:r>
        <w:rPr>
          <w:i/>
          <w:iCs/>
        </w:rPr>
        <w:t>Purranisaurus</w:t>
      </w:r>
      <w:r>
        <w:t xml:space="preserve">’ del Jurasico de Mendoza. </w:t>
      </w:r>
      <w:r>
        <w:rPr>
          <w:i/>
          <w:iCs/>
        </w:rPr>
        <w:t xml:space="preserve">Anales de la Sociedad Científica Argentina </w:t>
      </w:r>
      <w:r>
        <w:rPr>
          <w:b/>
          <w:bCs/>
        </w:rPr>
        <w:t>160</w:t>
      </w:r>
      <w:r>
        <w:rPr>
          <w:bCs/>
        </w:rPr>
        <w:t>:</w:t>
      </w:r>
      <w:r>
        <w:rPr>
          <w:b/>
          <w:bCs/>
        </w:rPr>
        <w:t xml:space="preserve"> </w:t>
      </w:r>
      <w:r>
        <w:t>71–77.</w:t>
      </w:r>
    </w:p>
    <w:p w14:paraId="444BE2D5" w14:textId="77777777" w:rsidR="00497CE3" w:rsidRDefault="00497CE3" w:rsidP="00497CE3">
      <w:pPr>
        <w:autoSpaceDE w:val="0"/>
        <w:autoSpaceDN w:val="0"/>
        <w:adjustRightInd w:val="0"/>
      </w:pPr>
      <w:r>
        <w:rPr>
          <w:b/>
        </w:rPr>
        <w:t>Salas-Gismondi R, Flynn JJ, Baby P, Tejada-Lara JV, Claude J, Antoine P-O. 2016.</w:t>
      </w:r>
      <w:r>
        <w:t xml:space="preserve"> A new 13 million year old gavialoid crocodylian from Proto-Amazonian mega-wetlands reveals parallel evolutionary trends in skull shape linked to longirostry. </w:t>
      </w:r>
      <w:r>
        <w:rPr>
          <w:i/>
        </w:rPr>
        <w:t xml:space="preserve">PLOS ONE </w:t>
      </w:r>
      <w:r>
        <w:rPr>
          <w:b/>
        </w:rPr>
        <w:t>11</w:t>
      </w:r>
      <w:r>
        <w:t xml:space="preserve"> (4): e0152453.</w:t>
      </w:r>
    </w:p>
    <w:p w14:paraId="2E49D5EE" w14:textId="77777777" w:rsidR="00497CE3" w:rsidRDefault="00497CE3" w:rsidP="00497CE3">
      <w:pPr>
        <w:autoSpaceDE w:val="0"/>
        <w:autoSpaceDN w:val="0"/>
        <w:adjustRightInd w:val="0"/>
      </w:pPr>
      <w:r>
        <w:rPr>
          <w:b/>
        </w:rPr>
        <w:t>Salih KAO, Evans DC, Bussert R, Klein N, Nafi M, Müller J. 2015.</w:t>
      </w:r>
      <w:r>
        <w:t xml:space="preserve"> First record of </w:t>
      </w:r>
      <w:r>
        <w:rPr>
          <w:i/>
        </w:rPr>
        <w:t>Hyposaurus</w:t>
      </w:r>
      <w:r>
        <w:t xml:space="preserve"> (Dyrosauridae, Crocodyliformes) from the Upper Cretaceous Shendi Formation of Sudan. </w:t>
      </w:r>
      <w:r>
        <w:rPr>
          <w:i/>
        </w:rPr>
        <w:t>Journal of Vertebrate Paleontology</w:t>
      </w:r>
      <w:r>
        <w:t xml:space="preserve"> DOI: 10.1080/02724634.2016.1115408</w:t>
      </w:r>
    </w:p>
    <w:p w14:paraId="61A0C90D" w14:textId="77777777" w:rsidR="00497CE3" w:rsidRDefault="00497CE3" w:rsidP="00497CE3">
      <w:pPr>
        <w:autoSpaceDE w:val="0"/>
        <w:autoSpaceDN w:val="0"/>
        <w:adjustRightInd w:val="0"/>
      </w:pPr>
      <w:r>
        <w:rPr>
          <w:b/>
          <w:bCs/>
        </w:rPr>
        <w:t xml:space="preserve">Salisbury SW. 1998. </w:t>
      </w:r>
      <w:r>
        <w:t xml:space="preserve">The long-lost crocodilian of Mr. Willett. Symposium of Vertebrate Palaeontology and Comparative Anatomy, 46. </w:t>
      </w:r>
      <w:r>
        <w:rPr>
          <w:i/>
          <w:iCs/>
        </w:rPr>
        <w:t>Abstracts</w:t>
      </w:r>
      <w:r>
        <w:t>, Bournemouth University, Bournemouth.</w:t>
      </w:r>
    </w:p>
    <w:p w14:paraId="704DDD66" w14:textId="77777777" w:rsidR="00497CE3" w:rsidRDefault="00497CE3" w:rsidP="00497CE3">
      <w:pPr>
        <w:autoSpaceDE w:val="0"/>
        <w:autoSpaceDN w:val="0"/>
        <w:adjustRightInd w:val="0"/>
      </w:pPr>
      <w:r>
        <w:rPr>
          <w:rFonts w:eastAsia="Times New Roman"/>
          <w:b/>
          <w:bCs/>
          <w:lang w:val="en-US"/>
        </w:rPr>
        <w:t>Salisbury SW.</w:t>
      </w:r>
      <w:r>
        <w:rPr>
          <w:rFonts w:eastAsia="Times New Roman"/>
          <w:bCs/>
          <w:lang w:val="en-US"/>
        </w:rPr>
        <w:t xml:space="preserve"> </w:t>
      </w:r>
      <w:r>
        <w:rPr>
          <w:rFonts w:eastAsia="Times New Roman"/>
          <w:b/>
          <w:bCs/>
          <w:lang w:val="en-US"/>
        </w:rPr>
        <w:t>2002.</w:t>
      </w:r>
      <w:r>
        <w:rPr>
          <w:rFonts w:eastAsia="Times New Roman"/>
          <w:bCs/>
          <w:lang w:val="en-US"/>
        </w:rPr>
        <w:t xml:space="preserve"> Crocodilians from the Lower Cretaceous (Berriasian) Purbeck Limestone Group of Dorset, Southern England. </w:t>
      </w:r>
      <w:r>
        <w:rPr>
          <w:rFonts w:eastAsia="Times New Roman"/>
          <w:bCs/>
          <w:i/>
          <w:lang w:val="en-US"/>
        </w:rPr>
        <w:t>Special Papers in Palaeontology</w:t>
      </w:r>
      <w:r>
        <w:rPr>
          <w:rFonts w:eastAsia="Times New Roman"/>
          <w:bCs/>
          <w:lang w:val="en-US"/>
        </w:rPr>
        <w:t xml:space="preserve"> </w:t>
      </w:r>
      <w:r>
        <w:rPr>
          <w:rFonts w:eastAsia="Times New Roman"/>
          <w:b/>
          <w:bCs/>
          <w:lang w:val="en-US"/>
        </w:rPr>
        <w:t>68</w:t>
      </w:r>
      <w:r>
        <w:rPr>
          <w:rFonts w:eastAsia="Times New Roman"/>
          <w:bCs/>
          <w:lang w:val="en-US"/>
        </w:rPr>
        <w:t>: 121</w:t>
      </w:r>
      <w:r>
        <w:t>–</w:t>
      </w:r>
      <w:r>
        <w:rPr>
          <w:rFonts w:eastAsia="Times New Roman"/>
          <w:bCs/>
          <w:lang w:val="en-US"/>
        </w:rPr>
        <w:t>144.</w:t>
      </w:r>
    </w:p>
    <w:p w14:paraId="76337E8C" w14:textId="77777777" w:rsidR="00497CE3" w:rsidRDefault="00497CE3" w:rsidP="00497CE3">
      <w:pPr>
        <w:autoSpaceDE w:val="0"/>
        <w:autoSpaceDN w:val="0"/>
        <w:adjustRightInd w:val="0"/>
      </w:pPr>
      <w:r>
        <w:rPr>
          <w:b/>
          <w:bCs/>
        </w:rPr>
        <w:t>Salisbury SW, Frey E, Martill DM, Buchy M-C. 2003.</w:t>
      </w:r>
      <w:r>
        <w:rPr>
          <w:bCs/>
        </w:rPr>
        <w:t xml:space="preserve"> </w:t>
      </w:r>
      <w:r>
        <w:t xml:space="preserve">A new crocodilian from the Lower Cretaceous Crato Formation of north-eastern Brazil. </w:t>
      </w:r>
      <w:r>
        <w:rPr>
          <w:i/>
          <w:iCs/>
        </w:rPr>
        <w:t>Palaeontographica Abteilung A</w:t>
      </w:r>
      <w:r>
        <w:rPr>
          <w:iCs/>
        </w:rPr>
        <w:t xml:space="preserve"> </w:t>
      </w:r>
      <w:r>
        <w:rPr>
          <w:b/>
          <w:bCs/>
        </w:rPr>
        <w:t>270</w:t>
      </w:r>
      <w:r>
        <w:t xml:space="preserve">: 3–47. </w:t>
      </w:r>
    </w:p>
    <w:p w14:paraId="308AC1AA" w14:textId="77777777" w:rsidR="00497CE3" w:rsidRDefault="00497CE3" w:rsidP="00497CE3">
      <w:pPr>
        <w:autoSpaceDE w:val="0"/>
        <w:autoSpaceDN w:val="0"/>
        <w:adjustRightInd w:val="0"/>
      </w:pPr>
      <w:r>
        <w:rPr>
          <w:b/>
          <w:bCs/>
        </w:rPr>
        <w:t xml:space="preserve">Salisbury SW, Molnar RE, Frey E, Willis P. 2006. </w:t>
      </w:r>
      <w:r>
        <w:t xml:space="preserve">The origin of modern crocodyliforms: new evidence from the Cretaceous of Australia. </w:t>
      </w:r>
      <w:r>
        <w:rPr>
          <w:i/>
          <w:iCs/>
        </w:rPr>
        <w:t xml:space="preserve">Proceedings of the Royal Society B </w:t>
      </w:r>
      <w:r>
        <w:rPr>
          <w:b/>
          <w:bCs/>
        </w:rPr>
        <w:t>273</w:t>
      </w:r>
      <w:r>
        <w:rPr>
          <w:bCs/>
        </w:rPr>
        <w:t xml:space="preserve">: </w:t>
      </w:r>
      <w:r>
        <w:t>2439–2448.</w:t>
      </w:r>
    </w:p>
    <w:p w14:paraId="56345386" w14:textId="77777777" w:rsidR="00497CE3" w:rsidRDefault="00497CE3" w:rsidP="00497CE3">
      <w:pPr>
        <w:autoSpaceDE w:val="0"/>
        <w:autoSpaceDN w:val="0"/>
        <w:adjustRightInd w:val="0"/>
        <w:rPr>
          <w:lang w:val="en-US"/>
        </w:rPr>
      </w:pPr>
      <w:r>
        <w:rPr>
          <w:rFonts w:eastAsia="Times New Roman"/>
          <w:b/>
          <w:lang w:val="en-US"/>
        </w:rPr>
        <w:t>Salisbury SW, Naish D.</w:t>
      </w:r>
      <w:r>
        <w:rPr>
          <w:rFonts w:eastAsia="Times New Roman"/>
          <w:lang w:val="en-US"/>
        </w:rPr>
        <w:t xml:space="preserve"> </w:t>
      </w:r>
      <w:r>
        <w:rPr>
          <w:rFonts w:eastAsia="Times New Roman"/>
          <w:b/>
          <w:lang w:val="en-US"/>
        </w:rPr>
        <w:t>2011.</w:t>
      </w:r>
      <w:r>
        <w:rPr>
          <w:rFonts w:eastAsia="Times New Roman"/>
          <w:lang w:val="en-US"/>
        </w:rPr>
        <w:t xml:space="preserve"> Crocodilians. In: Batten D, Lane PD. (eds). </w:t>
      </w:r>
      <w:r>
        <w:rPr>
          <w:rFonts w:eastAsia="Times New Roman"/>
          <w:i/>
          <w:iCs/>
          <w:lang w:val="en-US"/>
        </w:rPr>
        <w:t>English Wealden fossils</w:t>
      </w:r>
      <w:r>
        <w:rPr>
          <w:rFonts w:eastAsia="Times New Roman"/>
          <w:lang w:val="en-US"/>
        </w:rPr>
        <w:t>. Palaeontological Association, Aberystwyth, 305</w:t>
      </w:r>
      <w:r>
        <w:t>–</w:t>
      </w:r>
      <w:r>
        <w:rPr>
          <w:rFonts w:eastAsia="Times New Roman"/>
          <w:lang w:val="en-US"/>
        </w:rPr>
        <w:t>369.</w:t>
      </w:r>
    </w:p>
    <w:p w14:paraId="3075216F" w14:textId="77777777" w:rsidR="00497CE3" w:rsidRDefault="00497CE3" w:rsidP="00497CE3">
      <w:pPr>
        <w:autoSpaceDE w:val="0"/>
        <w:autoSpaceDN w:val="0"/>
        <w:adjustRightInd w:val="0"/>
        <w:rPr>
          <w:rFonts w:eastAsia="Times New Roman"/>
          <w:lang w:val="en-US"/>
        </w:rPr>
      </w:pPr>
      <w:bookmarkStart w:id="90" w:name="_Hlk489641211"/>
      <w:r>
        <w:rPr>
          <w:rFonts w:eastAsia="Times New Roman"/>
          <w:b/>
          <w:lang w:val="en-US"/>
        </w:rPr>
        <w:t>Salisbury SW, Willis PMA, Peitz S, Sander PM.</w:t>
      </w:r>
      <w:r>
        <w:rPr>
          <w:rFonts w:eastAsia="Times New Roman"/>
          <w:lang w:val="en-US"/>
        </w:rPr>
        <w:t xml:space="preserve"> </w:t>
      </w:r>
      <w:r>
        <w:rPr>
          <w:rFonts w:eastAsia="Times New Roman"/>
          <w:b/>
          <w:lang w:val="en-US"/>
        </w:rPr>
        <w:t>1999.</w:t>
      </w:r>
      <w:r>
        <w:rPr>
          <w:rFonts w:eastAsia="Times New Roman"/>
          <w:lang w:val="en-US"/>
        </w:rPr>
        <w:t xml:space="preserve"> The crocodilian </w:t>
      </w:r>
      <w:r>
        <w:rPr>
          <w:rFonts w:eastAsia="Times New Roman"/>
          <w:i/>
          <w:lang w:val="en-US"/>
        </w:rPr>
        <w:t>Goniopholis simus</w:t>
      </w:r>
      <w:r>
        <w:rPr>
          <w:rFonts w:eastAsia="Times New Roman"/>
          <w:lang w:val="en-US"/>
        </w:rPr>
        <w:t xml:space="preserve"> from the Lower Cretaceous of North-Western Germany. </w:t>
      </w:r>
      <w:r>
        <w:rPr>
          <w:rFonts w:eastAsia="Times New Roman"/>
          <w:i/>
          <w:lang w:val="en-US"/>
        </w:rPr>
        <w:t>Special Papers in Palaeontology</w:t>
      </w:r>
      <w:r>
        <w:rPr>
          <w:rFonts w:eastAsia="Times New Roman"/>
          <w:lang w:val="en-US"/>
        </w:rPr>
        <w:t xml:space="preserve"> </w:t>
      </w:r>
      <w:r>
        <w:rPr>
          <w:rFonts w:eastAsia="Times New Roman"/>
          <w:b/>
          <w:lang w:val="en-US"/>
        </w:rPr>
        <w:t>60</w:t>
      </w:r>
      <w:r>
        <w:rPr>
          <w:rFonts w:eastAsia="Times New Roman"/>
          <w:lang w:val="en-US"/>
        </w:rPr>
        <w:t>: 121</w:t>
      </w:r>
      <w:r>
        <w:t>–</w:t>
      </w:r>
      <w:r>
        <w:rPr>
          <w:rFonts w:eastAsia="Times New Roman"/>
          <w:lang w:val="en-US"/>
        </w:rPr>
        <w:t>148.</w:t>
      </w:r>
    </w:p>
    <w:bookmarkEnd w:id="90"/>
    <w:p w14:paraId="18906C6E" w14:textId="77777777" w:rsidR="00497CE3" w:rsidRDefault="00497CE3" w:rsidP="00497CE3">
      <w:pPr>
        <w:rPr>
          <w:rFonts w:eastAsiaTheme="minorHAnsi"/>
          <w:lang w:eastAsia="en-US"/>
        </w:rPr>
      </w:pPr>
      <w:r>
        <w:rPr>
          <w:b/>
        </w:rPr>
        <w:t>Sauvage H-E, Liénard F. 1879.</w:t>
      </w:r>
      <w:r>
        <w:t xml:space="preserve"> Mémoire sur le genre </w:t>
      </w:r>
      <w:r>
        <w:rPr>
          <w:i/>
        </w:rPr>
        <w:t>Machimosaurus</w:t>
      </w:r>
      <w:r>
        <w:t xml:space="preserve">. </w:t>
      </w:r>
      <w:r>
        <w:rPr>
          <w:i/>
        </w:rPr>
        <w:t xml:space="preserve">Mémoires de la Société Géologiques de France </w:t>
      </w:r>
      <w:r>
        <w:rPr>
          <w:b/>
        </w:rPr>
        <w:t>3</w:t>
      </w:r>
      <w:r>
        <w:t>: 1–31.</w:t>
      </w:r>
    </w:p>
    <w:p w14:paraId="779C67E9" w14:textId="77777777" w:rsidR="00497CE3" w:rsidRDefault="00497CE3" w:rsidP="00497CE3">
      <w:pPr>
        <w:autoSpaceDE w:val="0"/>
        <w:autoSpaceDN w:val="0"/>
        <w:adjustRightInd w:val="0"/>
        <w:rPr>
          <w:rFonts w:eastAsia="Times New Roman"/>
          <w:lang w:val="en-US"/>
        </w:rPr>
      </w:pPr>
      <w:r>
        <w:rPr>
          <w:rFonts w:eastAsia="Times New Roman"/>
          <w:b/>
          <w:lang w:val="en-US"/>
        </w:rPr>
        <w:t>Schellhorn R, Schwarz-Wings D, Maisch MW, Wings O.</w:t>
      </w:r>
      <w:r>
        <w:rPr>
          <w:rFonts w:eastAsia="Times New Roman"/>
          <w:lang w:val="en-US"/>
        </w:rPr>
        <w:t xml:space="preserve"> </w:t>
      </w:r>
      <w:r>
        <w:rPr>
          <w:rFonts w:eastAsia="Times New Roman"/>
          <w:b/>
          <w:lang w:val="en-US"/>
        </w:rPr>
        <w:t>2009.</w:t>
      </w:r>
      <w:r>
        <w:rPr>
          <w:rFonts w:eastAsia="Times New Roman"/>
          <w:lang w:val="en-US"/>
        </w:rPr>
        <w:t xml:space="preserve"> Late Jurassic </w:t>
      </w:r>
      <w:r>
        <w:rPr>
          <w:rFonts w:eastAsia="Times New Roman"/>
          <w:i/>
          <w:lang w:val="en-US"/>
        </w:rPr>
        <w:t>Sunosuchus</w:t>
      </w:r>
      <w:r>
        <w:rPr>
          <w:rFonts w:eastAsia="Times New Roman"/>
          <w:lang w:val="en-US"/>
        </w:rPr>
        <w:t xml:space="preserve"> (Crocodylomorpha, Neosuchia) from the Qigu Formation in the Junggar Basin (Xinjiang, China). </w:t>
      </w:r>
      <w:r>
        <w:rPr>
          <w:rFonts w:eastAsia="Times New Roman"/>
          <w:i/>
          <w:iCs/>
          <w:lang w:val="en-US"/>
        </w:rPr>
        <w:t>Fossil Record-Mitteilungen aus dem Museum für Naturkunde in Berlin</w:t>
      </w:r>
      <w:r>
        <w:rPr>
          <w:rFonts w:eastAsia="Times New Roman"/>
          <w:lang w:val="en-US"/>
        </w:rPr>
        <w:t> </w:t>
      </w:r>
      <w:r>
        <w:rPr>
          <w:rFonts w:eastAsia="Times New Roman"/>
          <w:b/>
          <w:iCs/>
          <w:lang w:val="en-US"/>
        </w:rPr>
        <w:t>12</w:t>
      </w:r>
      <w:r>
        <w:rPr>
          <w:rFonts w:eastAsia="Times New Roman"/>
          <w:lang w:val="en-US"/>
        </w:rPr>
        <w:t>: 59</w:t>
      </w:r>
      <w:r>
        <w:t>–</w:t>
      </w:r>
      <w:r>
        <w:rPr>
          <w:rFonts w:eastAsia="Times New Roman"/>
          <w:lang w:val="en-US"/>
        </w:rPr>
        <w:t>69.</w:t>
      </w:r>
    </w:p>
    <w:p w14:paraId="464B5F70" w14:textId="77777777" w:rsidR="00497CE3" w:rsidRDefault="00497CE3" w:rsidP="00497CE3">
      <w:pPr>
        <w:rPr>
          <w:rFonts w:eastAsiaTheme="minorHAnsi"/>
          <w:b/>
          <w:bCs/>
          <w:lang w:val="de-DE" w:eastAsia="en-US"/>
        </w:rPr>
      </w:pPr>
      <w:r>
        <w:rPr>
          <w:b/>
          <w:lang w:val="fr-FR"/>
        </w:rPr>
        <w:t>Schneider G. 1801.</w:t>
      </w:r>
      <w:r>
        <w:rPr>
          <w:lang w:val="fr-FR"/>
        </w:rPr>
        <w:t xml:space="preserve"> Historiae Amphibiorum naturalis et literariae. Fasciculus secundus continens Crocodilos, Scincos, Chamaesauras, Boas. Pseudoboas, Elapes, Angues. </w:t>
      </w:r>
      <w:r>
        <w:rPr>
          <w:lang w:val="de-DE"/>
        </w:rPr>
        <w:t>Amphisbaenas et Caecilias, p. 159–160. Friederici Frommanni, Jena.</w:t>
      </w:r>
    </w:p>
    <w:p w14:paraId="54992706" w14:textId="77777777" w:rsidR="00497CE3" w:rsidRDefault="00497CE3" w:rsidP="00497CE3">
      <w:pPr>
        <w:autoSpaceDE w:val="0"/>
        <w:autoSpaceDN w:val="0"/>
        <w:adjustRightInd w:val="0"/>
      </w:pPr>
      <w:r>
        <w:rPr>
          <w:rFonts w:eastAsia="Times New Roman"/>
          <w:b/>
          <w:bCs/>
          <w:lang w:val="en-US"/>
        </w:rPr>
        <w:t>Schwarz D.</w:t>
      </w:r>
      <w:r>
        <w:rPr>
          <w:rFonts w:eastAsia="Times New Roman"/>
          <w:bCs/>
          <w:lang w:val="en-US"/>
        </w:rPr>
        <w:t xml:space="preserve"> </w:t>
      </w:r>
      <w:r>
        <w:rPr>
          <w:rFonts w:eastAsia="Times New Roman"/>
          <w:b/>
          <w:bCs/>
          <w:lang w:val="en-US"/>
        </w:rPr>
        <w:t xml:space="preserve">2002. </w:t>
      </w:r>
      <w:r>
        <w:rPr>
          <w:rFonts w:eastAsia="Times New Roman"/>
          <w:lang w:val="en-US"/>
        </w:rPr>
        <w:t xml:space="preserve">A new species of </w:t>
      </w:r>
      <w:r>
        <w:rPr>
          <w:rFonts w:eastAsia="Times New Roman"/>
          <w:i/>
          <w:iCs/>
          <w:lang w:val="en-US"/>
        </w:rPr>
        <w:t xml:space="preserve">Goniopholis </w:t>
      </w:r>
      <w:r>
        <w:rPr>
          <w:rFonts w:eastAsia="Times New Roman"/>
          <w:lang w:val="en-US"/>
        </w:rPr>
        <w:t xml:space="preserve">from the Upper Jurassic of Portugal. </w:t>
      </w:r>
      <w:r>
        <w:rPr>
          <w:rFonts w:eastAsia="Times New Roman"/>
          <w:i/>
          <w:iCs/>
          <w:lang w:val="en-US"/>
        </w:rPr>
        <w:t>Palaeontology</w:t>
      </w:r>
      <w:r>
        <w:rPr>
          <w:rFonts w:eastAsia="Times New Roman"/>
          <w:iCs/>
          <w:lang w:val="en-US"/>
        </w:rPr>
        <w:t xml:space="preserve"> </w:t>
      </w:r>
      <w:r>
        <w:rPr>
          <w:rFonts w:eastAsia="Times New Roman"/>
          <w:b/>
          <w:bCs/>
          <w:lang w:val="en-US"/>
        </w:rPr>
        <w:t>45</w:t>
      </w:r>
      <w:r>
        <w:rPr>
          <w:rFonts w:eastAsia="Times New Roman"/>
          <w:bCs/>
          <w:lang w:val="en-US"/>
        </w:rPr>
        <w:t xml:space="preserve">: </w:t>
      </w:r>
      <w:r>
        <w:rPr>
          <w:rFonts w:eastAsia="Times New Roman"/>
          <w:lang w:val="en-US"/>
        </w:rPr>
        <w:t>185</w:t>
      </w:r>
      <w:r>
        <w:t>–</w:t>
      </w:r>
      <w:r>
        <w:rPr>
          <w:rFonts w:eastAsia="Times New Roman"/>
          <w:lang w:val="en-US"/>
        </w:rPr>
        <w:t>208.</w:t>
      </w:r>
    </w:p>
    <w:p w14:paraId="127AFB22" w14:textId="77777777" w:rsidR="00497CE3" w:rsidRDefault="00497CE3" w:rsidP="00497CE3">
      <w:pPr>
        <w:autoSpaceDE w:val="0"/>
        <w:autoSpaceDN w:val="0"/>
        <w:adjustRightInd w:val="0"/>
        <w:rPr>
          <w:rFonts w:eastAsia="Times New Roman"/>
          <w:lang w:val="en-US"/>
        </w:rPr>
      </w:pPr>
      <w:r>
        <w:rPr>
          <w:rFonts w:eastAsia="Times New Roman"/>
          <w:b/>
          <w:lang w:val="en-US"/>
        </w:rPr>
        <w:t>Schwarz D, Frey E, Martin T.</w:t>
      </w:r>
      <w:r>
        <w:rPr>
          <w:rFonts w:eastAsia="Times New Roman"/>
          <w:lang w:val="en-US"/>
        </w:rPr>
        <w:t xml:space="preserve"> </w:t>
      </w:r>
      <w:r>
        <w:rPr>
          <w:rFonts w:eastAsia="Times New Roman"/>
          <w:b/>
          <w:lang w:val="en-US"/>
        </w:rPr>
        <w:t xml:space="preserve">2006. </w:t>
      </w:r>
      <w:r>
        <w:rPr>
          <w:rFonts w:eastAsia="Times New Roman"/>
          <w:lang w:val="en-US"/>
        </w:rPr>
        <w:t xml:space="preserve">The postcranial skeleton of the Hyposaurinae (Dyrosauridae; Crocodyliformes). </w:t>
      </w:r>
      <w:r>
        <w:rPr>
          <w:rFonts w:eastAsia="Times New Roman"/>
          <w:i/>
          <w:lang w:val="en-US"/>
        </w:rPr>
        <w:t>Palaeontology</w:t>
      </w:r>
      <w:r>
        <w:rPr>
          <w:rFonts w:eastAsia="Times New Roman"/>
          <w:b/>
          <w:lang w:val="en-US"/>
        </w:rPr>
        <w:t xml:space="preserve"> 49</w:t>
      </w:r>
      <w:r>
        <w:rPr>
          <w:rFonts w:eastAsia="Times New Roman"/>
          <w:lang w:val="en-US"/>
        </w:rPr>
        <w:t>: 695</w:t>
      </w:r>
      <w:r>
        <w:t>–</w:t>
      </w:r>
      <w:r>
        <w:rPr>
          <w:rFonts w:eastAsia="Times New Roman"/>
          <w:lang w:val="en-US"/>
        </w:rPr>
        <w:t>718.</w:t>
      </w:r>
    </w:p>
    <w:p w14:paraId="1300F4B0" w14:textId="77777777" w:rsidR="00497CE3" w:rsidRDefault="00497CE3" w:rsidP="00497CE3">
      <w:pPr>
        <w:autoSpaceDE w:val="0"/>
        <w:autoSpaceDN w:val="0"/>
        <w:adjustRightInd w:val="0"/>
        <w:rPr>
          <w:rFonts w:eastAsiaTheme="minorHAnsi"/>
          <w:lang w:eastAsia="en-US"/>
        </w:rPr>
      </w:pPr>
      <w:r>
        <w:rPr>
          <w:b/>
        </w:rPr>
        <w:t>Schwarz D, Raddatz M, Wings O. 2017.</w:t>
      </w:r>
      <w:r>
        <w:t xml:space="preserve"> </w:t>
      </w:r>
      <w:r>
        <w:rPr>
          <w:i/>
          <w:iCs/>
        </w:rPr>
        <w:t xml:space="preserve">Knoetschkesuchus langenbergensis </w:t>
      </w:r>
      <w:r>
        <w:t xml:space="preserve">gen. nov. sp. nov., a new atoposaurid crocodyliform from the Upper Jurassic Langenberg Quarry (Lower Saxony, northwestern Germany), and its relationships to </w:t>
      </w:r>
      <w:r>
        <w:rPr>
          <w:i/>
          <w:iCs/>
        </w:rPr>
        <w:t>Theriosuchus</w:t>
      </w:r>
      <w:r>
        <w:t xml:space="preserve">. </w:t>
      </w:r>
      <w:r>
        <w:rPr>
          <w:i/>
        </w:rPr>
        <w:t>PLoS ONE</w:t>
      </w:r>
      <w:r>
        <w:t xml:space="preserve"> </w:t>
      </w:r>
      <w:r>
        <w:rPr>
          <w:b/>
        </w:rPr>
        <w:t>12</w:t>
      </w:r>
      <w:r>
        <w:t xml:space="preserve"> (2): e0160617. doi:10.1371/journal.pone.0160617.</w:t>
      </w:r>
    </w:p>
    <w:p w14:paraId="26B7B34B" w14:textId="77777777" w:rsidR="00497CE3" w:rsidRDefault="00497CE3" w:rsidP="00497CE3">
      <w:pPr>
        <w:autoSpaceDE w:val="0"/>
        <w:autoSpaceDN w:val="0"/>
        <w:adjustRightInd w:val="0"/>
        <w:rPr>
          <w:rFonts w:eastAsia="Times New Roman"/>
          <w:bCs/>
          <w:lang w:val="en-US"/>
        </w:rPr>
      </w:pPr>
      <w:r>
        <w:rPr>
          <w:rFonts w:eastAsia="Times New Roman"/>
          <w:b/>
          <w:bCs/>
          <w:lang w:val="en-US"/>
        </w:rPr>
        <w:t>Schwarz D, Salisbury SW.</w:t>
      </w:r>
      <w:r>
        <w:rPr>
          <w:rFonts w:eastAsia="Times New Roman"/>
          <w:bCs/>
          <w:lang w:val="en-US"/>
        </w:rPr>
        <w:t xml:space="preserve"> </w:t>
      </w:r>
      <w:r>
        <w:rPr>
          <w:rFonts w:eastAsia="Times New Roman"/>
          <w:b/>
          <w:bCs/>
          <w:lang w:val="en-US"/>
        </w:rPr>
        <w:t>2005.</w:t>
      </w:r>
      <w:r>
        <w:rPr>
          <w:rFonts w:eastAsia="Times New Roman"/>
          <w:bCs/>
          <w:lang w:val="en-US"/>
        </w:rPr>
        <w:t xml:space="preserve"> A new species of </w:t>
      </w:r>
      <w:r>
        <w:rPr>
          <w:rFonts w:eastAsia="Times New Roman"/>
          <w:bCs/>
          <w:i/>
          <w:lang w:val="en-US"/>
        </w:rPr>
        <w:t>Theriosuchus</w:t>
      </w:r>
      <w:r>
        <w:rPr>
          <w:rFonts w:eastAsia="Times New Roman"/>
          <w:bCs/>
          <w:lang w:val="en-US"/>
        </w:rPr>
        <w:t xml:space="preserve"> (Atoposauridae, Crocodylomorpha) from the Late Jurassic (Kimmeridgian) of Guimarota, Portugal. </w:t>
      </w:r>
      <w:r>
        <w:rPr>
          <w:rFonts w:eastAsia="Times New Roman"/>
          <w:bCs/>
          <w:i/>
          <w:lang w:val="en-US"/>
        </w:rPr>
        <w:t>Geobios</w:t>
      </w:r>
      <w:r>
        <w:rPr>
          <w:rFonts w:eastAsia="Times New Roman"/>
          <w:bCs/>
          <w:lang w:val="en-US"/>
        </w:rPr>
        <w:t xml:space="preserve"> </w:t>
      </w:r>
      <w:r>
        <w:rPr>
          <w:rFonts w:eastAsia="Times New Roman"/>
          <w:b/>
          <w:bCs/>
          <w:lang w:val="en-US"/>
        </w:rPr>
        <w:t>38</w:t>
      </w:r>
      <w:r>
        <w:rPr>
          <w:rFonts w:eastAsia="Times New Roman"/>
          <w:bCs/>
          <w:lang w:val="en-US"/>
        </w:rPr>
        <w:t>: 779</w:t>
      </w:r>
      <w:r>
        <w:t>–</w:t>
      </w:r>
      <w:r>
        <w:rPr>
          <w:rFonts w:eastAsia="Times New Roman"/>
          <w:bCs/>
          <w:lang w:val="en-US"/>
        </w:rPr>
        <w:t>802.</w:t>
      </w:r>
    </w:p>
    <w:p w14:paraId="7066164A" w14:textId="77777777" w:rsidR="00497CE3" w:rsidRDefault="00497CE3" w:rsidP="00497CE3">
      <w:pPr>
        <w:autoSpaceDE w:val="0"/>
        <w:autoSpaceDN w:val="0"/>
        <w:adjustRightInd w:val="0"/>
      </w:pPr>
      <w:r>
        <w:rPr>
          <w:b/>
          <w:bCs/>
        </w:rPr>
        <w:t xml:space="preserve">Schwarz-Wings D, Frey E, Martin, T. 2009. </w:t>
      </w:r>
      <w:r>
        <w:t xml:space="preserve">Reconstruction of the bracing system of the trunk and tail in Hyposaurine dyrosaurids (Crocodylomorpha; Mesoeucrocodylia). </w:t>
      </w:r>
      <w:r>
        <w:rPr>
          <w:i/>
          <w:iCs/>
        </w:rPr>
        <w:t>Journal of Vertebrate Paleontology</w:t>
      </w:r>
      <w:r>
        <w:t xml:space="preserve"> </w:t>
      </w:r>
      <w:r>
        <w:rPr>
          <w:b/>
        </w:rPr>
        <w:t xml:space="preserve">29 </w:t>
      </w:r>
      <w:r>
        <w:t>(2): 453–472.</w:t>
      </w:r>
    </w:p>
    <w:p w14:paraId="1772111E" w14:textId="77777777" w:rsidR="00497CE3" w:rsidRDefault="00497CE3" w:rsidP="00497CE3">
      <w:pPr>
        <w:rPr>
          <w:rFonts w:eastAsiaTheme="minorHAnsi"/>
          <w:lang w:eastAsia="en-US"/>
        </w:rPr>
      </w:pPr>
      <w:r>
        <w:rPr>
          <w:b/>
        </w:rPr>
        <w:t>Seeley HG. 1869.</w:t>
      </w:r>
      <w:r>
        <w:t xml:space="preserve"> Discovery of </w:t>
      </w:r>
      <w:r>
        <w:rPr>
          <w:i/>
        </w:rPr>
        <w:t>Dakosaurus</w:t>
      </w:r>
      <w:r>
        <w:t xml:space="preserve"> in England. </w:t>
      </w:r>
      <w:r>
        <w:rPr>
          <w:i/>
        </w:rPr>
        <w:t>Geological Magazine</w:t>
      </w:r>
      <w:r>
        <w:t xml:space="preserve"> </w:t>
      </w:r>
      <w:r>
        <w:rPr>
          <w:b/>
        </w:rPr>
        <w:t>6</w:t>
      </w:r>
      <w:r>
        <w:t>: 188–189.</w:t>
      </w:r>
    </w:p>
    <w:p w14:paraId="0E0765AC" w14:textId="77777777" w:rsidR="00497CE3" w:rsidRDefault="00497CE3" w:rsidP="00497CE3">
      <w:pPr>
        <w:autoSpaceDE w:val="0"/>
        <w:autoSpaceDN w:val="0"/>
        <w:adjustRightInd w:val="0"/>
      </w:pPr>
      <w:r>
        <w:rPr>
          <w:b/>
          <w:bCs/>
        </w:rPr>
        <w:t xml:space="preserve">Sereno PC, Larsson HCE. 2009. </w:t>
      </w:r>
      <w:r>
        <w:t xml:space="preserve">Cretaceous Crocodyliforms from the Sahara. </w:t>
      </w:r>
      <w:r>
        <w:rPr>
          <w:i/>
          <w:iCs/>
        </w:rPr>
        <w:t>ZooKeys</w:t>
      </w:r>
      <w:r>
        <w:t xml:space="preserve"> </w:t>
      </w:r>
      <w:r>
        <w:rPr>
          <w:b/>
        </w:rPr>
        <w:t>28</w:t>
      </w:r>
      <w:r>
        <w:t>: 1–143.</w:t>
      </w:r>
    </w:p>
    <w:p w14:paraId="4CD42CAF" w14:textId="77777777" w:rsidR="00497CE3" w:rsidRDefault="00497CE3" w:rsidP="00497CE3">
      <w:pPr>
        <w:autoSpaceDE w:val="0"/>
        <w:autoSpaceDN w:val="0"/>
        <w:adjustRightInd w:val="0"/>
      </w:pPr>
      <w:r>
        <w:rPr>
          <w:rFonts w:eastAsia="Times New Roman"/>
          <w:b/>
          <w:bCs/>
          <w:lang w:val="en-US"/>
        </w:rPr>
        <w:t>Sereno PC, Larsson HCE, Sidor CA, Gado B.</w:t>
      </w:r>
      <w:r>
        <w:rPr>
          <w:rFonts w:eastAsia="Times New Roman"/>
          <w:bCs/>
          <w:lang w:val="en-US"/>
        </w:rPr>
        <w:t xml:space="preserve"> </w:t>
      </w:r>
      <w:r>
        <w:rPr>
          <w:rFonts w:eastAsia="Times New Roman"/>
          <w:b/>
          <w:bCs/>
          <w:lang w:val="en-US"/>
        </w:rPr>
        <w:t xml:space="preserve">2001. </w:t>
      </w:r>
      <w:r>
        <w:rPr>
          <w:rFonts w:eastAsia="Times New Roman"/>
          <w:lang w:val="en-US"/>
        </w:rPr>
        <w:t xml:space="preserve">The giant crocodyliform </w:t>
      </w:r>
      <w:r>
        <w:rPr>
          <w:rFonts w:eastAsia="Times New Roman"/>
          <w:i/>
          <w:iCs/>
          <w:lang w:val="en-US"/>
        </w:rPr>
        <w:t xml:space="preserve">Sarcosuchus </w:t>
      </w:r>
      <w:r>
        <w:rPr>
          <w:rFonts w:eastAsia="Times New Roman"/>
          <w:lang w:val="en-US"/>
        </w:rPr>
        <w:t xml:space="preserve">from the Cretaceous of Africa. </w:t>
      </w:r>
      <w:r>
        <w:rPr>
          <w:rFonts w:eastAsia="Times New Roman"/>
          <w:i/>
          <w:iCs/>
          <w:lang w:val="en-US"/>
        </w:rPr>
        <w:t>Science</w:t>
      </w:r>
      <w:r>
        <w:rPr>
          <w:rFonts w:eastAsia="Times New Roman"/>
          <w:lang w:val="en-US"/>
        </w:rPr>
        <w:t xml:space="preserve"> </w:t>
      </w:r>
      <w:r>
        <w:rPr>
          <w:rFonts w:eastAsia="Times New Roman"/>
          <w:b/>
          <w:lang w:val="en-US"/>
        </w:rPr>
        <w:t>294</w:t>
      </w:r>
      <w:r>
        <w:rPr>
          <w:rFonts w:eastAsia="Times New Roman"/>
          <w:lang w:val="en-US"/>
        </w:rPr>
        <w:t>: 1516</w:t>
      </w:r>
      <w:r>
        <w:t>–</w:t>
      </w:r>
      <w:r>
        <w:rPr>
          <w:rFonts w:eastAsia="Times New Roman"/>
          <w:lang w:val="en-US"/>
        </w:rPr>
        <w:t>1519.</w:t>
      </w:r>
    </w:p>
    <w:p w14:paraId="02C30E12" w14:textId="77777777" w:rsidR="00497CE3" w:rsidRDefault="00497CE3" w:rsidP="00497CE3">
      <w:pPr>
        <w:autoSpaceDE w:val="0"/>
        <w:autoSpaceDN w:val="0"/>
        <w:adjustRightInd w:val="0"/>
      </w:pPr>
      <w:r>
        <w:rPr>
          <w:b/>
          <w:bCs/>
        </w:rPr>
        <w:t xml:space="preserve">Sereno PC, Sidor CA, Larsson HCE, Gado B. </w:t>
      </w:r>
      <w:r>
        <w:rPr>
          <w:b/>
        </w:rPr>
        <w:t>2003.</w:t>
      </w:r>
      <w:r>
        <w:t xml:space="preserve"> A new notosuchian from the Early Cretaceous of Niger. </w:t>
      </w:r>
      <w:r>
        <w:rPr>
          <w:i/>
          <w:iCs/>
        </w:rPr>
        <w:t>Journal of Vertebrate Paleontology</w:t>
      </w:r>
      <w:r>
        <w:t xml:space="preserve"> </w:t>
      </w:r>
      <w:r>
        <w:rPr>
          <w:b/>
        </w:rPr>
        <w:t xml:space="preserve">23 </w:t>
      </w:r>
      <w:r>
        <w:t>(2): 477–482.</w:t>
      </w:r>
    </w:p>
    <w:p w14:paraId="0FFF6983" w14:textId="77777777" w:rsidR="00497CE3" w:rsidRPr="005734BB" w:rsidRDefault="00497CE3" w:rsidP="00497CE3">
      <w:pPr>
        <w:pStyle w:val="NoSpacing"/>
      </w:pPr>
      <w:r w:rsidRPr="005734BB">
        <w:rPr>
          <w:b/>
        </w:rPr>
        <w:t>Sereno PC, Wild R. 1992.</w:t>
      </w:r>
      <w:r w:rsidRPr="005734BB">
        <w:t xml:space="preserve"> </w:t>
      </w:r>
      <w:r w:rsidRPr="005734BB">
        <w:rPr>
          <w:i/>
        </w:rPr>
        <w:t>Procompsognathus</w:t>
      </w:r>
      <w:r w:rsidRPr="005734BB">
        <w:t xml:space="preserve">: theropod, “thecodont” or both? </w:t>
      </w:r>
      <w:r w:rsidRPr="005734BB">
        <w:rPr>
          <w:i/>
        </w:rPr>
        <w:t>Journal of Vertebrate Paleontology</w:t>
      </w:r>
      <w:r w:rsidRPr="005734BB">
        <w:t xml:space="preserve"> </w:t>
      </w:r>
      <w:r w:rsidRPr="005734BB">
        <w:rPr>
          <w:b/>
        </w:rPr>
        <w:t>12</w:t>
      </w:r>
      <w:r w:rsidRPr="005734BB">
        <w:t>: 435–458.</w:t>
      </w:r>
    </w:p>
    <w:p w14:paraId="547F7712" w14:textId="77777777" w:rsidR="00497CE3" w:rsidRDefault="00497CE3" w:rsidP="00497CE3">
      <w:pPr>
        <w:contextualSpacing/>
      </w:pPr>
      <w:r w:rsidRPr="00D21B01">
        <w:rPr>
          <w:b/>
        </w:rPr>
        <w:t>Sertich JJW, Groenke JR. 2010.</w:t>
      </w:r>
      <w:r w:rsidRPr="00A760BE">
        <w:t xml:space="preserve"> Appendicular skeleton of </w:t>
      </w:r>
      <w:r w:rsidRPr="00A760BE">
        <w:rPr>
          <w:i/>
        </w:rPr>
        <w:t>Simosuchus clarki</w:t>
      </w:r>
      <w:r w:rsidRPr="00A760BE">
        <w:t xml:space="preserve"> (Crocodyliformes: Notosuchia) from the Late Cretaceous of Madagascar. </w:t>
      </w:r>
      <w:r w:rsidRPr="00D21B01">
        <w:rPr>
          <w:i/>
        </w:rPr>
        <w:t>Soc</w:t>
      </w:r>
      <w:r>
        <w:rPr>
          <w:i/>
        </w:rPr>
        <w:t>iety of</w:t>
      </w:r>
      <w:r w:rsidRPr="00D21B01">
        <w:rPr>
          <w:i/>
        </w:rPr>
        <w:t xml:space="preserve"> Vert</w:t>
      </w:r>
      <w:r>
        <w:rPr>
          <w:i/>
        </w:rPr>
        <w:t>ebrate</w:t>
      </w:r>
      <w:r w:rsidRPr="00D21B01">
        <w:rPr>
          <w:i/>
        </w:rPr>
        <w:t xml:space="preserve"> Paleontol</w:t>
      </w:r>
      <w:r>
        <w:rPr>
          <w:i/>
        </w:rPr>
        <w:t>ogy</w:t>
      </w:r>
      <w:r w:rsidRPr="00D21B01">
        <w:rPr>
          <w:i/>
        </w:rPr>
        <w:t xml:space="preserve"> Mem</w:t>
      </w:r>
      <w:r>
        <w:rPr>
          <w:i/>
        </w:rPr>
        <w:t>ior</w:t>
      </w:r>
      <w:r w:rsidRPr="00A760BE">
        <w:t xml:space="preserve"> </w:t>
      </w:r>
      <w:r w:rsidRPr="00D21B01">
        <w:rPr>
          <w:b/>
        </w:rPr>
        <w:t>10</w:t>
      </w:r>
      <w:r w:rsidRPr="00A760BE">
        <w:t>:</w:t>
      </w:r>
      <w:r>
        <w:t xml:space="preserve"> </w:t>
      </w:r>
      <w:r w:rsidRPr="00A760BE">
        <w:t>122</w:t>
      </w:r>
      <w:r>
        <w:t>–</w:t>
      </w:r>
      <w:r w:rsidRPr="00A760BE">
        <w:t>153.</w:t>
      </w:r>
    </w:p>
    <w:p w14:paraId="3907CC06" w14:textId="77777777" w:rsidR="00497CE3" w:rsidRDefault="00497CE3" w:rsidP="00497CE3">
      <w:pPr>
        <w:autoSpaceDE w:val="0"/>
        <w:autoSpaceDN w:val="0"/>
        <w:adjustRightInd w:val="0"/>
      </w:pPr>
      <w:r>
        <w:rPr>
          <w:b/>
        </w:rPr>
        <w:t>Shiller TA II, Porras-Muzquiz HG, Lehman TM. 2016.</w:t>
      </w:r>
      <w:r>
        <w:t xml:space="preserve"> </w:t>
      </w:r>
      <w:r>
        <w:rPr>
          <w:i/>
        </w:rPr>
        <w:t>Sabinosuchus coahuilensis</w:t>
      </w:r>
      <w:r>
        <w:t xml:space="preserve">, a new dyrosaurid crocodyliform from the Escondido Formation (Maastrichtian) of Coahuila, Mexico. </w:t>
      </w:r>
      <w:r>
        <w:rPr>
          <w:i/>
        </w:rPr>
        <w:t>Journal of Vertebrate Paleontology</w:t>
      </w:r>
      <w:r>
        <w:t xml:space="preserve"> DOI: 10.1080/02724634.2016.1222586.</w:t>
      </w:r>
    </w:p>
    <w:p w14:paraId="7B2ADDE3" w14:textId="77777777" w:rsidR="00497CE3" w:rsidRDefault="00497CE3" w:rsidP="00497CE3">
      <w:pPr>
        <w:autoSpaceDE w:val="0"/>
        <w:autoSpaceDN w:val="0"/>
        <w:adjustRightInd w:val="0"/>
      </w:pPr>
      <w:r>
        <w:rPr>
          <w:b/>
        </w:rPr>
        <w:t>Smith AS. 2013.</w:t>
      </w:r>
      <w:r>
        <w:t xml:space="preserve"> Morphology of the caudal vertebrae in </w:t>
      </w:r>
      <w:r>
        <w:rPr>
          <w:i/>
        </w:rPr>
        <w:t>Rhomaleosaurus zetlandicus</w:t>
      </w:r>
      <w:r>
        <w:t xml:space="preserve"> and a review of the evidence for a tail fin in Plesiosauria. </w:t>
      </w:r>
      <w:r>
        <w:rPr>
          <w:i/>
        </w:rPr>
        <w:t>Paludicola</w:t>
      </w:r>
      <w:r>
        <w:t xml:space="preserve"> </w:t>
      </w:r>
      <w:r>
        <w:rPr>
          <w:b/>
        </w:rPr>
        <w:t>9</w:t>
      </w:r>
      <w:r>
        <w:t xml:space="preserve"> (3): 144–148.</w:t>
      </w:r>
    </w:p>
    <w:p w14:paraId="368F5A42" w14:textId="77777777" w:rsidR="00497CE3" w:rsidRDefault="00497CE3" w:rsidP="00497CE3">
      <w:pPr>
        <w:autoSpaceDE w:val="0"/>
        <w:autoSpaceDN w:val="0"/>
        <w:adjustRightInd w:val="0"/>
        <w:rPr>
          <w:rFonts w:eastAsia="Times New Roman"/>
          <w:lang w:val="en-US"/>
        </w:rPr>
      </w:pPr>
      <w:r>
        <w:rPr>
          <w:rFonts w:eastAsia="Times New Roman"/>
          <w:b/>
          <w:bCs/>
          <w:lang w:val="en-US"/>
        </w:rPr>
        <w:t>Smith DK, Allen ER, Sanders RK, Stadtman KL.</w:t>
      </w:r>
      <w:r>
        <w:rPr>
          <w:rFonts w:eastAsia="Times New Roman"/>
          <w:bCs/>
          <w:lang w:val="en-US"/>
        </w:rPr>
        <w:t xml:space="preserve"> </w:t>
      </w:r>
      <w:r>
        <w:rPr>
          <w:rFonts w:eastAsia="Times New Roman"/>
          <w:b/>
          <w:bCs/>
          <w:lang w:val="en-US"/>
        </w:rPr>
        <w:t xml:space="preserve">2010. </w:t>
      </w:r>
      <w:r>
        <w:rPr>
          <w:rFonts w:eastAsia="Times New Roman"/>
          <w:lang w:val="en-US"/>
        </w:rPr>
        <w:t xml:space="preserve">A new specimen of </w:t>
      </w:r>
      <w:r>
        <w:rPr>
          <w:rFonts w:eastAsia="Times New Roman"/>
          <w:i/>
          <w:iCs/>
          <w:lang w:val="en-US"/>
        </w:rPr>
        <w:t xml:space="preserve">Eutretauranosuchus </w:t>
      </w:r>
      <w:r>
        <w:rPr>
          <w:rFonts w:eastAsia="Times New Roman"/>
          <w:lang w:val="en-US"/>
        </w:rPr>
        <w:t xml:space="preserve">(Crocodyliformes; Goniopholididae) from Dry Mesa, Colorado. </w:t>
      </w:r>
      <w:r>
        <w:rPr>
          <w:rFonts w:eastAsia="Times New Roman"/>
          <w:i/>
          <w:iCs/>
          <w:lang w:val="en-US"/>
        </w:rPr>
        <w:t>Journal of Vertebrate Paleontology</w:t>
      </w:r>
      <w:r>
        <w:rPr>
          <w:rFonts w:eastAsia="Times New Roman"/>
          <w:lang w:val="en-US"/>
        </w:rPr>
        <w:t xml:space="preserve"> </w:t>
      </w:r>
      <w:r>
        <w:rPr>
          <w:rFonts w:eastAsia="Times New Roman"/>
          <w:b/>
          <w:lang w:val="en-US"/>
        </w:rPr>
        <w:t>30</w:t>
      </w:r>
      <w:r>
        <w:rPr>
          <w:rFonts w:eastAsia="Times New Roman"/>
          <w:lang w:val="en-US"/>
        </w:rPr>
        <w:t>: 466</w:t>
      </w:r>
      <w:r>
        <w:t>–</w:t>
      </w:r>
      <w:r>
        <w:rPr>
          <w:rFonts w:eastAsia="Times New Roman"/>
          <w:lang w:val="en-US"/>
        </w:rPr>
        <w:t>1477.</w:t>
      </w:r>
    </w:p>
    <w:p w14:paraId="34865524" w14:textId="77777777" w:rsidR="00497CE3" w:rsidRDefault="00497CE3" w:rsidP="00497CE3">
      <w:pPr>
        <w:autoSpaceDE w:val="0"/>
        <w:autoSpaceDN w:val="0"/>
        <w:adjustRightInd w:val="0"/>
        <w:rPr>
          <w:rFonts w:eastAsiaTheme="minorHAnsi"/>
          <w:lang w:eastAsia="en-US"/>
        </w:rPr>
      </w:pPr>
      <w:r>
        <w:rPr>
          <w:b/>
        </w:rPr>
        <w:t>Soares D. 2002.</w:t>
      </w:r>
      <w:r>
        <w:t xml:space="preserve"> An ancient sensory organ in crocodilians. </w:t>
      </w:r>
      <w:r>
        <w:rPr>
          <w:i/>
        </w:rPr>
        <w:t>Nature</w:t>
      </w:r>
      <w:r>
        <w:t xml:space="preserve"> </w:t>
      </w:r>
      <w:r>
        <w:rPr>
          <w:b/>
        </w:rPr>
        <w:t>417</w:t>
      </w:r>
      <w:r>
        <w:t>: 241–242.</w:t>
      </w:r>
    </w:p>
    <w:p w14:paraId="207D24A4" w14:textId="77777777" w:rsidR="00497CE3" w:rsidRDefault="00497CE3" w:rsidP="00497CE3">
      <w:pPr>
        <w:autoSpaceDE w:val="0"/>
        <w:rPr>
          <w:b/>
          <w:lang w:val="de-DE"/>
        </w:rPr>
      </w:pPr>
      <w:r>
        <w:rPr>
          <w:b/>
          <w:bCs/>
          <w:lang w:val="de-DE"/>
        </w:rPr>
        <w:t xml:space="preserve">von Sömmerring ST. 1814. </w:t>
      </w:r>
      <w:r>
        <w:rPr>
          <w:lang w:val="de-DE"/>
        </w:rPr>
        <w:t xml:space="preserve">Über den </w:t>
      </w:r>
      <w:r>
        <w:rPr>
          <w:i/>
          <w:lang w:val="de-DE"/>
        </w:rPr>
        <w:t>Crocodilus priscus</w:t>
      </w:r>
      <w:r>
        <w:rPr>
          <w:lang w:val="de-DE"/>
        </w:rPr>
        <w:t xml:space="preserve">, oder ein in Baiern versteint gefundenes schmalkie-feriges Krokodil, Gavial der Vorwelt. </w:t>
      </w:r>
      <w:r>
        <w:rPr>
          <w:i/>
          <w:iCs/>
        </w:rPr>
        <w:t xml:space="preserve">Denkschriften der Königlichen Akademie der Wisseschaften zu Münch </w:t>
      </w:r>
      <w:r>
        <w:rPr>
          <w:b/>
          <w:bCs/>
        </w:rPr>
        <w:t>5</w:t>
      </w:r>
      <w:r>
        <w:rPr>
          <w:bCs/>
        </w:rPr>
        <w:t>:</w:t>
      </w:r>
      <w:r>
        <w:rPr>
          <w:b/>
          <w:bCs/>
        </w:rPr>
        <w:t xml:space="preserve"> </w:t>
      </w:r>
      <w:r>
        <w:t>Classe der Mathematik und Naturwissenschaften</w:t>
      </w:r>
      <w:r>
        <w:rPr>
          <w:lang w:val="de-DE"/>
        </w:rPr>
        <w:t xml:space="preserve"> 9–82.</w:t>
      </w:r>
    </w:p>
    <w:p w14:paraId="7BF363E4" w14:textId="77777777" w:rsidR="00497CE3" w:rsidRDefault="00497CE3" w:rsidP="00497CE3">
      <w:pPr>
        <w:autoSpaceDE w:val="0"/>
        <w:autoSpaceDN w:val="0"/>
        <w:adjustRightInd w:val="0"/>
      </w:pPr>
      <w:r>
        <w:rPr>
          <w:b/>
          <w:bCs/>
        </w:rPr>
        <w:t>von Sömmerring ST. 1816.</w:t>
      </w:r>
      <w:r>
        <w:rPr>
          <w:bCs/>
        </w:rPr>
        <w:t xml:space="preserve"> </w:t>
      </w:r>
      <w:r>
        <w:t xml:space="preserve">Ueber die </w:t>
      </w:r>
      <w:r>
        <w:rPr>
          <w:i/>
          <w:iCs/>
        </w:rPr>
        <w:t xml:space="preserve">Lacerta gigantea </w:t>
      </w:r>
      <w:r>
        <w:t xml:space="preserve">der vorwelt. </w:t>
      </w:r>
      <w:r>
        <w:rPr>
          <w:i/>
          <w:iCs/>
        </w:rPr>
        <w:t>Denkschriften der Königlichen Akademie der Wisseschaften zu Münch</w:t>
      </w:r>
      <w:r>
        <w:rPr>
          <w:b/>
          <w:i/>
          <w:iCs/>
        </w:rPr>
        <w:t xml:space="preserve"> </w:t>
      </w:r>
      <w:r>
        <w:rPr>
          <w:b/>
          <w:bCs/>
        </w:rPr>
        <w:t>6</w:t>
      </w:r>
      <w:r>
        <w:rPr>
          <w:bCs/>
        </w:rPr>
        <w:t xml:space="preserve">: </w:t>
      </w:r>
      <w:r>
        <w:t>Classe der Mathematik und Naturwissenschaften 37–59.</w:t>
      </w:r>
    </w:p>
    <w:p w14:paraId="434C2A7F" w14:textId="77777777" w:rsidR="00497CE3" w:rsidRDefault="00497CE3" w:rsidP="00497CE3">
      <w:pPr>
        <w:autoSpaceDE w:val="0"/>
        <w:autoSpaceDN w:val="0"/>
        <w:adjustRightInd w:val="0"/>
      </w:pPr>
      <w:r>
        <w:rPr>
          <w:b/>
          <w:bCs/>
        </w:rPr>
        <w:t xml:space="preserve">Soto M. 2005. </w:t>
      </w:r>
      <w:r>
        <w:t xml:space="preserve">Especulaciones sobre </w:t>
      </w:r>
      <w:r>
        <w:rPr>
          <w:i/>
          <w:iCs/>
        </w:rPr>
        <w:t xml:space="preserve">Uruguaysuchus </w:t>
      </w:r>
      <w:r>
        <w:t>(Crocodyliformes, Mesoeucrocodylia). In: Jornadas de Zoología del Uruguay, 8. Montevideo, Actas. P. 108.</w:t>
      </w:r>
    </w:p>
    <w:p w14:paraId="5C072FF6" w14:textId="77777777" w:rsidR="00497CE3" w:rsidRDefault="00497CE3" w:rsidP="00497CE3">
      <w:pPr>
        <w:autoSpaceDE w:val="0"/>
        <w:autoSpaceDN w:val="0"/>
        <w:adjustRightInd w:val="0"/>
      </w:pPr>
      <w:r>
        <w:rPr>
          <w:b/>
          <w:bCs/>
        </w:rPr>
        <w:t xml:space="preserve">Soto M, Pol D, Perea D. 2008a. </w:t>
      </w:r>
      <w:r>
        <w:t xml:space="preserve">A new specimen of </w:t>
      </w:r>
      <w:r>
        <w:rPr>
          <w:i/>
          <w:iCs/>
        </w:rPr>
        <w:t xml:space="preserve">Uruguaysuchus aznarezi </w:t>
      </w:r>
      <w:r>
        <w:t xml:space="preserve">Rusconi, 1933. In: Congreso Latino-Americano de Paleontología de Vertebrados, 3. </w:t>
      </w:r>
      <w:r>
        <w:rPr>
          <w:i/>
          <w:iCs/>
        </w:rPr>
        <w:t>Resúmenes</w:t>
      </w:r>
      <w:r>
        <w:t>, Neuquén, Universidad Nacional del Comahue.</w:t>
      </w:r>
    </w:p>
    <w:p w14:paraId="1AC7EACD" w14:textId="77777777" w:rsidR="00497CE3" w:rsidRDefault="00497CE3" w:rsidP="00497CE3">
      <w:pPr>
        <w:autoSpaceDE w:val="0"/>
        <w:autoSpaceDN w:val="0"/>
        <w:adjustRightInd w:val="0"/>
      </w:pPr>
      <w:r>
        <w:rPr>
          <w:b/>
          <w:bCs/>
        </w:rPr>
        <w:t xml:space="preserve">Soto M, Perea D, Pol D. 2008b. </w:t>
      </w:r>
      <w:r>
        <w:t xml:space="preserve">The phylogenetic relationships of </w:t>
      </w:r>
      <w:r>
        <w:rPr>
          <w:i/>
        </w:rPr>
        <w:t>Uruguaysuchus</w:t>
      </w:r>
      <w:r>
        <w:t xml:space="preserve"> Rusconi, 1933 (Mesoeucrocodylia, Notosuchia). In: Jornadas de Zoología del Uruguay, 9 Actas.</w:t>
      </w:r>
    </w:p>
    <w:p w14:paraId="02878CAC" w14:textId="77777777" w:rsidR="00497CE3" w:rsidRDefault="00497CE3" w:rsidP="00497CE3">
      <w:pPr>
        <w:autoSpaceDE w:val="0"/>
        <w:autoSpaceDN w:val="0"/>
        <w:adjustRightInd w:val="0"/>
      </w:pPr>
      <w:r>
        <w:rPr>
          <w:b/>
          <w:bCs/>
        </w:rPr>
        <w:t xml:space="preserve">Storrs GW, Efimov MB. 2000. </w:t>
      </w:r>
      <w:r>
        <w:t xml:space="preserve">Mesozoic crocodyliforms of north-central Eurasia. In: Benton MJ, Shishkin MA, Unwin DM, Kurochkin EN (eds). </w:t>
      </w:r>
      <w:r>
        <w:rPr>
          <w:i/>
          <w:iCs/>
        </w:rPr>
        <w:t>The age of dinosaurs in Russia and Mongolia</w:t>
      </w:r>
      <w:r>
        <w:t>. Cambridge University Press, Cambridge, 402–419</w:t>
      </w:r>
    </w:p>
    <w:p w14:paraId="252C5FED" w14:textId="77777777" w:rsidR="00497CE3" w:rsidRDefault="00497CE3" w:rsidP="00497CE3">
      <w:pPr>
        <w:autoSpaceDE w:val="0"/>
        <w:autoSpaceDN w:val="0"/>
        <w:adjustRightInd w:val="0"/>
      </w:pPr>
      <w:r>
        <w:rPr>
          <w:b/>
          <w:bCs/>
        </w:rPr>
        <w:t xml:space="preserve">Stromer E. 1914. </w:t>
      </w:r>
      <w:r>
        <w:t xml:space="preserve">Ergebnissemder forschungsreisen Prof. E. Stromer in der wusten Aegyptiens. II. Wirbeltierreste der Baharije-Stufe (unterstes Cenoman). 1. Einleitung und </w:t>
      </w:r>
      <w:r>
        <w:rPr>
          <w:i/>
          <w:iCs/>
        </w:rPr>
        <w:t>Libyosuchus</w:t>
      </w:r>
      <w:r>
        <w:t xml:space="preserve">. </w:t>
      </w:r>
      <w:r>
        <w:rPr>
          <w:i/>
          <w:iCs/>
        </w:rPr>
        <w:t>Abhandlungen der Bayerischen Akademie der Wissenschaften, Mathematische-physikalische Klasse</w:t>
      </w:r>
      <w:r>
        <w:t xml:space="preserve"> </w:t>
      </w:r>
      <w:r>
        <w:rPr>
          <w:b/>
        </w:rPr>
        <w:t xml:space="preserve">27 </w:t>
      </w:r>
      <w:r>
        <w:t>(3): 1–16.</w:t>
      </w:r>
    </w:p>
    <w:p w14:paraId="3268DED8" w14:textId="77777777" w:rsidR="00497CE3" w:rsidRDefault="00497CE3" w:rsidP="00497CE3">
      <w:pPr>
        <w:autoSpaceDE w:val="0"/>
        <w:autoSpaceDN w:val="0"/>
        <w:adjustRightInd w:val="0"/>
      </w:pPr>
      <w:bookmarkStart w:id="91" w:name="_Hlk489641307"/>
      <w:r>
        <w:rPr>
          <w:b/>
          <w:bCs/>
        </w:rPr>
        <w:t xml:space="preserve">Sues H-D, Olsen PE, Carter JG, Scott DM. 2003. </w:t>
      </w:r>
      <w:r>
        <w:t xml:space="preserve">A new crocodylomorph archosaur from the Upper Triassic of North Carolina. </w:t>
      </w:r>
      <w:r>
        <w:rPr>
          <w:i/>
          <w:iCs/>
        </w:rPr>
        <w:t>Journal of Vertebrate Paleontology</w:t>
      </w:r>
      <w:r>
        <w:rPr>
          <w:iCs/>
        </w:rPr>
        <w:t xml:space="preserve"> </w:t>
      </w:r>
      <w:r>
        <w:rPr>
          <w:b/>
          <w:bCs/>
        </w:rPr>
        <w:t>23</w:t>
      </w:r>
      <w:r>
        <w:t>: 329–343.</w:t>
      </w:r>
    </w:p>
    <w:bookmarkEnd w:id="91"/>
    <w:p w14:paraId="7C39C37B" w14:textId="77777777" w:rsidR="00497CE3" w:rsidRDefault="00497CE3" w:rsidP="00497CE3">
      <w:pPr>
        <w:autoSpaceDE w:val="0"/>
        <w:autoSpaceDN w:val="0"/>
        <w:adjustRightInd w:val="0"/>
      </w:pPr>
      <w:r>
        <w:rPr>
          <w:b/>
          <w:bCs/>
        </w:rPr>
        <w:t>Sweetman SC, Pedreira-Segade U, Vidovic SU. 2015.</w:t>
      </w:r>
      <w:r>
        <w:rPr>
          <w:bCs/>
        </w:rPr>
        <w:t xml:space="preserve"> </w:t>
      </w:r>
      <w:r>
        <w:t xml:space="preserve">A new bernissartiid crocodyliform from the Lower Cretaceous Wessex Formation (Wealden Group, Barremian) of the Isle of Wight, southern England. </w:t>
      </w:r>
      <w:r>
        <w:rPr>
          <w:i/>
          <w:iCs/>
        </w:rPr>
        <w:t xml:space="preserve">Acta Palaeontologica Polonica </w:t>
      </w:r>
      <w:r>
        <w:rPr>
          <w:b/>
          <w:bCs/>
        </w:rPr>
        <w:t>60</w:t>
      </w:r>
      <w:r>
        <w:rPr>
          <w:bCs/>
        </w:rPr>
        <w:t xml:space="preserve">: </w:t>
      </w:r>
      <w:r>
        <w:t>257–268.</w:t>
      </w:r>
    </w:p>
    <w:p w14:paraId="4F0D3CAB" w14:textId="77777777" w:rsidR="00497CE3" w:rsidRDefault="00497CE3" w:rsidP="00497CE3">
      <w:pPr>
        <w:autoSpaceDE w:val="0"/>
        <w:autoSpaceDN w:val="0"/>
        <w:adjustRightInd w:val="0"/>
      </w:pPr>
      <w:r>
        <w:rPr>
          <w:b/>
          <w:bCs/>
        </w:rPr>
        <w:t xml:space="preserve">Swinton WE. 1950. </w:t>
      </w:r>
      <w:r>
        <w:t xml:space="preserve">On </w:t>
      </w:r>
      <w:r>
        <w:rPr>
          <w:i/>
          <w:iCs/>
        </w:rPr>
        <w:t xml:space="preserve">Congosaurus bequaerti </w:t>
      </w:r>
      <w:r>
        <w:t xml:space="preserve">Dollo. </w:t>
      </w:r>
      <w:r>
        <w:rPr>
          <w:i/>
          <w:iCs/>
        </w:rPr>
        <w:t>Annales du Musée du Congo Belge</w:t>
      </w:r>
      <w:r>
        <w:t xml:space="preserve"> </w:t>
      </w:r>
      <w:r>
        <w:rPr>
          <w:b/>
        </w:rPr>
        <w:t>13</w:t>
      </w:r>
      <w:r>
        <w:t>: 1–60.</w:t>
      </w:r>
    </w:p>
    <w:p w14:paraId="49DD570B" w14:textId="77777777" w:rsidR="00497CE3" w:rsidRDefault="00497CE3" w:rsidP="00497CE3">
      <w:pPr>
        <w:autoSpaceDE w:val="0"/>
        <w:autoSpaceDN w:val="0"/>
        <w:adjustRightInd w:val="0"/>
      </w:pPr>
      <w:r>
        <w:rPr>
          <w:b/>
          <w:bCs/>
        </w:rPr>
        <w:t xml:space="preserve">Tanner LH, Lucas S. 2007. </w:t>
      </w:r>
      <w:r>
        <w:t xml:space="preserve">The Moenave Formation: sedimentologic and stratigraphic context of the Triassic–Jurassic boundary in the Four Corners area, southwestern U.S.A. </w:t>
      </w:r>
      <w:r>
        <w:rPr>
          <w:i/>
          <w:iCs/>
        </w:rPr>
        <w:t>Palaeogeography, Palaeoclimatology, Palaeoecology</w:t>
      </w:r>
      <w:r>
        <w:t xml:space="preserve"> </w:t>
      </w:r>
      <w:r>
        <w:rPr>
          <w:b/>
        </w:rPr>
        <w:t>244</w:t>
      </w:r>
      <w:r>
        <w:t>: 111–125.</w:t>
      </w:r>
    </w:p>
    <w:p w14:paraId="4B61228D" w14:textId="77777777" w:rsidR="00497CE3" w:rsidRDefault="00497CE3" w:rsidP="00497CE3">
      <w:pPr>
        <w:autoSpaceDE w:val="0"/>
        <w:autoSpaceDN w:val="0"/>
        <w:adjustRightInd w:val="0"/>
      </w:pPr>
      <w:r>
        <w:rPr>
          <w:b/>
        </w:rPr>
        <w:t>Taplin LE. 1985.</w:t>
      </w:r>
      <w:r>
        <w:t xml:space="preserve"> Sodium and water budgets of the fasted esturarine crocodile, </w:t>
      </w:r>
      <w:r>
        <w:rPr>
          <w:i/>
        </w:rPr>
        <w:t>Crocodylus porosus</w:t>
      </w:r>
      <w:r>
        <w:t xml:space="preserve">, in sea water. </w:t>
      </w:r>
      <w:r>
        <w:rPr>
          <w:i/>
        </w:rPr>
        <w:t>Journal of Comparative Physiology B: Biochemical, Systematic, and Environmental Physiology</w:t>
      </w:r>
      <w:r>
        <w:t xml:space="preserve"> </w:t>
      </w:r>
      <w:r>
        <w:rPr>
          <w:b/>
        </w:rPr>
        <w:t>155</w:t>
      </w:r>
      <w:r>
        <w:t>: 501–513.</w:t>
      </w:r>
    </w:p>
    <w:p w14:paraId="68776817" w14:textId="77777777" w:rsidR="00497CE3" w:rsidRDefault="00497CE3" w:rsidP="00497CE3">
      <w:pPr>
        <w:autoSpaceDE w:val="0"/>
        <w:autoSpaceDN w:val="0"/>
        <w:adjustRightInd w:val="0"/>
      </w:pPr>
      <w:r>
        <w:rPr>
          <w:b/>
        </w:rPr>
        <w:t>Taplin LE, Grigg GC. 1989.</w:t>
      </w:r>
      <w:r>
        <w:t xml:space="preserve"> Historical zoogeography of the eusuchian crocodilians: a physiological perspective. </w:t>
      </w:r>
      <w:r>
        <w:rPr>
          <w:i/>
        </w:rPr>
        <w:t>American Zoologist</w:t>
      </w:r>
      <w:r>
        <w:t xml:space="preserve"> </w:t>
      </w:r>
      <w:r>
        <w:rPr>
          <w:b/>
        </w:rPr>
        <w:t>29</w:t>
      </w:r>
      <w:r>
        <w:t>: 885–901.</w:t>
      </w:r>
    </w:p>
    <w:p w14:paraId="47E137A3" w14:textId="77777777" w:rsidR="00497CE3" w:rsidRDefault="00497CE3" w:rsidP="00497CE3">
      <w:pPr>
        <w:pStyle w:val="Default"/>
        <w:rPr>
          <w:bCs/>
          <w:color w:val="auto"/>
        </w:rPr>
      </w:pPr>
      <w:r>
        <w:rPr>
          <w:b/>
          <w:bCs/>
          <w:color w:val="auto"/>
        </w:rPr>
        <w:t>Taquet P. 1976.</w:t>
      </w:r>
      <w:r>
        <w:rPr>
          <w:bCs/>
          <w:color w:val="auto"/>
        </w:rPr>
        <w:t> </w:t>
      </w:r>
      <w:r>
        <w:rPr>
          <w:bCs/>
          <w:iCs/>
          <w:color w:val="auto"/>
        </w:rPr>
        <w:t>Géologie et paléontologie du gisement de Gadoufaoua (Aptien du Niger)</w:t>
      </w:r>
      <w:r>
        <w:rPr>
          <w:bCs/>
          <w:color w:val="auto"/>
        </w:rPr>
        <w:t>. Centre National de la Recherche Scientifique, Paris, France. 191 p.</w:t>
      </w:r>
    </w:p>
    <w:p w14:paraId="262036AB" w14:textId="77777777" w:rsidR="00497CE3" w:rsidRDefault="00497CE3" w:rsidP="00497CE3">
      <w:pPr>
        <w:autoSpaceDE w:val="0"/>
        <w:autoSpaceDN w:val="0"/>
        <w:adjustRightInd w:val="0"/>
      </w:pPr>
      <w:r>
        <w:rPr>
          <w:b/>
        </w:rPr>
        <w:t>Tennant JP, Mannion PD, Upchurch P. 2016.</w:t>
      </w:r>
      <w:r>
        <w:t xml:space="preserve"> Evolutionary relationships and systematics of Atoposauridae (Crocodylomorpha: Neosuchia): implications for the rise of Eusuchia. </w:t>
      </w:r>
      <w:r>
        <w:rPr>
          <w:i/>
        </w:rPr>
        <w:t>Zoological Journal of the Linnean Society</w:t>
      </w:r>
      <w:r>
        <w:t xml:space="preserve"> </w:t>
      </w:r>
      <w:r>
        <w:rPr>
          <w:b/>
        </w:rPr>
        <w:t>177</w:t>
      </w:r>
      <w:r>
        <w:t>: 854–936.</w:t>
      </w:r>
    </w:p>
    <w:p w14:paraId="3CDDF86A" w14:textId="77777777" w:rsidR="00497CE3" w:rsidRDefault="00497CE3" w:rsidP="00497CE3">
      <w:pPr>
        <w:autoSpaceDE w:val="0"/>
        <w:autoSpaceDN w:val="0"/>
        <w:adjustRightInd w:val="0"/>
      </w:pPr>
      <w:r>
        <w:rPr>
          <w:b/>
        </w:rPr>
        <w:t>Thomas P. 1893.</w:t>
      </w:r>
      <w:r>
        <w:t xml:space="preserve"> Description de quelques fossiles nouveaux ou critiques des terrains tertiaires et secondairesde la Tunisie recueillis en 1885 et 1886 par M. Philippe Thomas. Exploration Scientifique de la Tunisie. Paris: Imprimerie Nationale.</w:t>
      </w:r>
    </w:p>
    <w:p w14:paraId="2A8FE07D" w14:textId="77777777" w:rsidR="00497CE3" w:rsidRDefault="00497CE3" w:rsidP="00497CE3">
      <w:pPr>
        <w:pStyle w:val="Default"/>
        <w:rPr>
          <w:bCs/>
          <w:color w:val="auto"/>
        </w:rPr>
      </w:pPr>
      <w:r>
        <w:rPr>
          <w:b/>
          <w:bCs/>
          <w:color w:val="auto"/>
        </w:rPr>
        <w:t>Troxell EL. 1925.</w:t>
      </w:r>
      <w:r>
        <w:rPr>
          <w:bCs/>
          <w:color w:val="auto"/>
        </w:rPr>
        <w:t xml:space="preserve"> </w:t>
      </w:r>
      <w:r>
        <w:rPr>
          <w:bCs/>
          <w:i/>
          <w:color w:val="auto"/>
        </w:rPr>
        <w:t>Hyposaurus</w:t>
      </w:r>
      <w:r>
        <w:rPr>
          <w:bCs/>
          <w:color w:val="auto"/>
        </w:rPr>
        <w:t>, a marine crocodilian. </w:t>
      </w:r>
      <w:r>
        <w:rPr>
          <w:bCs/>
          <w:i/>
          <w:iCs/>
          <w:color w:val="auto"/>
        </w:rPr>
        <w:t>American Journal of Science</w:t>
      </w:r>
      <w:r>
        <w:rPr>
          <w:bCs/>
          <w:iCs/>
          <w:color w:val="auto"/>
        </w:rPr>
        <w:t xml:space="preserve"> </w:t>
      </w:r>
      <w:r>
        <w:rPr>
          <w:b/>
          <w:bCs/>
          <w:color w:val="auto"/>
        </w:rPr>
        <w:t>54</w:t>
      </w:r>
      <w:r>
        <w:rPr>
          <w:bCs/>
          <w:color w:val="auto"/>
        </w:rPr>
        <w:t>: 489</w:t>
      </w:r>
      <w:r>
        <w:t>–</w:t>
      </w:r>
      <w:r>
        <w:rPr>
          <w:bCs/>
          <w:color w:val="auto"/>
        </w:rPr>
        <w:t>514.</w:t>
      </w:r>
    </w:p>
    <w:p w14:paraId="6CA3D70D" w14:textId="77777777" w:rsidR="00497CE3" w:rsidRDefault="00497CE3" w:rsidP="00497CE3">
      <w:pPr>
        <w:autoSpaceDE w:val="0"/>
        <w:autoSpaceDN w:val="0"/>
        <w:adjustRightInd w:val="0"/>
      </w:pPr>
      <w:r>
        <w:rPr>
          <w:b/>
          <w:bCs/>
        </w:rPr>
        <w:t xml:space="preserve">Turner AH. 2006. </w:t>
      </w:r>
      <w:r>
        <w:t xml:space="preserve">Osteology and phylogeny of a new species of </w:t>
      </w:r>
      <w:r>
        <w:rPr>
          <w:i/>
          <w:iCs/>
        </w:rPr>
        <w:t xml:space="preserve">Araripesuchus </w:t>
      </w:r>
      <w:r>
        <w:t xml:space="preserve">(Crocodyliformes: Mesoeucrocodylia) from the Late Cretaceous of Madagascar. </w:t>
      </w:r>
      <w:r>
        <w:rPr>
          <w:i/>
          <w:iCs/>
        </w:rPr>
        <w:t>Historical Biology</w:t>
      </w:r>
      <w:r>
        <w:t xml:space="preserve"> </w:t>
      </w:r>
      <w:r>
        <w:rPr>
          <w:b/>
        </w:rPr>
        <w:t xml:space="preserve">18 </w:t>
      </w:r>
      <w:r>
        <w:t>(3): 255–369.</w:t>
      </w:r>
    </w:p>
    <w:p w14:paraId="647DFE0A" w14:textId="77777777" w:rsidR="00497CE3" w:rsidRDefault="00497CE3" w:rsidP="00497CE3">
      <w:pPr>
        <w:autoSpaceDE w:val="0"/>
        <w:autoSpaceDN w:val="0"/>
        <w:adjustRightInd w:val="0"/>
      </w:pPr>
      <w:r>
        <w:rPr>
          <w:b/>
          <w:bCs/>
        </w:rPr>
        <w:t xml:space="preserve">Turner AH, Buckley GA. 2008. </w:t>
      </w:r>
      <w:r>
        <w:rPr>
          <w:i/>
          <w:iCs/>
        </w:rPr>
        <w:t xml:space="preserve">Mahajangasuchus insignis </w:t>
      </w:r>
      <w:r>
        <w:t xml:space="preserve">(Crocodyliformes: Mesoeucrocodylia) cranial anatomy and new data on the origin of the eusuchian-style palate. </w:t>
      </w:r>
      <w:r>
        <w:rPr>
          <w:i/>
          <w:iCs/>
        </w:rPr>
        <w:t>Journal of Vertebrate Paleontology</w:t>
      </w:r>
      <w:r>
        <w:t xml:space="preserve"> </w:t>
      </w:r>
      <w:r>
        <w:rPr>
          <w:b/>
        </w:rPr>
        <w:t>28</w:t>
      </w:r>
      <w:r>
        <w:t>: 382–408.</w:t>
      </w:r>
    </w:p>
    <w:p w14:paraId="5087AA43" w14:textId="77777777" w:rsidR="00497CE3" w:rsidRDefault="00497CE3" w:rsidP="00497CE3">
      <w:pPr>
        <w:pStyle w:val="Default"/>
        <w:rPr>
          <w:color w:val="auto"/>
        </w:rPr>
      </w:pPr>
      <w:r>
        <w:rPr>
          <w:b/>
          <w:color w:val="auto"/>
        </w:rPr>
        <w:t>Turner AH, Pritchard AC. 2015.</w:t>
      </w:r>
      <w:r>
        <w:rPr>
          <w:color w:val="auto"/>
        </w:rPr>
        <w:t xml:space="preserve"> </w:t>
      </w:r>
      <w:r>
        <w:rPr>
          <w:rFonts w:eastAsia="Minion-Bold"/>
          <w:bCs/>
          <w:color w:val="333333"/>
        </w:rPr>
        <w:t xml:space="preserve">The monophyly of Susisuchidae (Crocodyliformes) and its phylogenetic placement in Neosuchia. </w:t>
      </w:r>
      <w:r>
        <w:rPr>
          <w:rFonts w:eastAsia="Minion-Bold"/>
          <w:bCs/>
          <w:i/>
          <w:color w:val="333333"/>
        </w:rPr>
        <w:t>PeerJ</w:t>
      </w:r>
      <w:r>
        <w:rPr>
          <w:rFonts w:eastAsia="Minion-Bold"/>
          <w:bCs/>
          <w:color w:val="333333"/>
        </w:rPr>
        <w:t xml:space="preserve"> </w:t>
      </w:r>
      <w:r>
        <w:rPr>
          <w:rFonts w:eastAsia="Minion-Bold"/>
          <w:b/>
          <w:bCs/>
          <w:color w:val="333333"/>
        </w:rPr>
        <w:t>3</w:t>
      </w:r>
      <w:r>
        <w:rPr>
          <w:rFonts w:eastAsia="Minion-Bold"/>
          <w:bCs/>
        </w:rPr>
        <w:t>: e759</w:t>
      </w:r>
      <w:r>
        <w:rPr>
          <w:rFonts w:eastAsia="Minion-Regular"/>
        </w:rPr>
        <w:t xml:space="preserve">; </w:t>
      </w:r>
      <w:r>
        <w:rPr>
          <w:rFonts w:eastAsia="Minion-Bold"/>
          <w:bCs/>
        </w:rPr>
        <w:t>DOI 10.7717/peerj.759</w:t>
      </w:r>
    </w:p>
    <w:p w14:paraId="7F9BA401" w14:textId="77777777" w:rsidR="00497CE3" w:rsidRDefault="00497CE3" w:rsidP="00497CE3">
      <w:pPr>
        <w:autoSpaceDE w:val="0"/>
        <w:autoSpaceDN w:val="0"/>
        <w:adjustRightInd w:val="0"/>
      </w:pPr>
      <w:r>
        <w:rPr>
          <w:b/>
          <w:iCs/>
        </w:rPr>
        <w:t>Turner AH, Sertich JJW. 2010.</w:t>
      </w:r>
      <w:r>
        <w:rPr>
          <w:i/>
        </w:rPr>
        <w:t xml:space="preserve"> </w:t>
      </w:r>
      <w:r>
        <w:t xml:space="preserve">Phylogenetic history of </w:t>
      </w:r>
      <w:r>
        <w:rPr>
          <w:i/>
        </w:rPr>
        <w:t>Simosuchus clarki</w:t>
      </w:r>
      <w:r>
        <w:t xml:space="preserve"> (Crocodyliformes: Notosuchia) from the Late Cretaceous of Madagascar.</w:t>
      </w:r>
      <w:r>
        <w:rPr>
          <w:i/>
        </w:rPr>
        <w:t xml:space="preserve"> Journal of Vertebrate Paleontology</w:t>
      </w:r>
      <w:r>
        <w:t xml:space="preserve">, </w:t>
      </w:r>
      <w:r>
        <w:rPr>
          <w:b/>
        </w:rPr>
        <w:t>30</w:t>
      </w:r>
      <w:r>
        <w:t xml:space="preserve"> (supplement to issue 6): 177–236. Society of Vertebrate Paleontology Memoir 10.</w:t>
      </w:r>
    </w:p>
    <w:p w14:paraId="10EFA823" w14:textId="77777777" w:rsidR="00497CE3" w:rsidRDefault="00497CE3" w:rsidP="00497CE3">
      <w:pPr>
        <w:autoSpaceDE w:val="0"/>
        <w:autoSpaceDN w:val="0"/>
        <w:adjustRightInd w:val="0"/>
      </w:pPr>
      <w:r>
        <w:rPr>
          <w:rFonts w:eastAsia="Times New Roman"/>
          <w:b/>
          <w:bCs/>
        </w:rPr>
        <w:t xml:space="preserve">Tykoski RS, Rowe TB, Ketcham RA, Colbert MW. 2002. </w:t>
      </w:r>
      <w:r>
        <w:rPr>
          <w:rFonts w:eastAsia="Times New Roman"/>
          <w:i/>
          <w:iCs/>
        </w:rPr>
        <w:t>Calsoyasuchus valliceps</w:t>
      </w:r>
      <w:r>
        <w:rPr>
          <w:rFonts w:eastAsia="Times New Roman"/>
        </w:rPr>
        <w:t xml:space="preserve">, a new crocodyliform from the Early Jurassic Kayenta Formation of Arizona. </w:t>
      </w:r>
      <w:r>
        <w:rPr>
          <w:rFonts w:eastAsia="Times New Roman"/>
          <w:i/>
          <w:iCs/>
        </w:rPr>
        <w:t xml:space="preserve">Journal of Vertebrate Paleontology </w:t>
      </w:r>
      <w:r>
        <w:rPr>
          <w:rFonts w:eastAsia="Times New Roman"/>
          <w:b/>
          <w:bCs/>
        </w:rPr>
        <w:t>22</w:t>
      </w:r>
      <w:r>
        <w:rPr>
          <w:rFonts w:eastAsia="Times New Roman"/>
          <w:bCs/>
        </w:rPr>
        <w:t xml:space="preserve">: </w:t>
      </w:r>
      <w:r>
        <w:rPr>
          <w:rFonts w:eastAsia="Times New Roman"/>
        </w:rPr>
        <w:t>593</w:t>
      </w:r>
      <w:r>
        <w:t>–</w:t>
      </w:r>
      <w:r>
        <w:rPr>
          <w:rFonts w:eastAsia="Times New Roman"/>
        </w:rPr>
        <w:t>611.</w:t>
      </w:r>
    </w:p>
    <w:p w14:paraId="5511FE3C" w14:textId="77777777" w:rsidR="00497CE3" w:rsidRDefault="00497CE3" w:rsidP="00497CE3">
      <w:pPr>
        <w:autoSpaceDE w:val="0"/>
        <w:autoSpaceDN w:val="0"/>
        <w:adjustRightInd w:val="0"/>
      </w:pPr>
      <w:r>
        <w:rPr>
          <w:b/>
          <w:bCs/>
        </w:rPr>
        <w:t xml:space="preserve">Vasconcellos FM. 2006. </w:t>
      </w:r>
      <w:r>
        <w:rPr>
          <w:i/>
          <w:iCs/>
        </w:rPr>
        <w:t xml:space="preserve">Descrição do pós-crânio de </w:t>
      </w:r>
      <w:r>
        <w:rPr>
          <w:iCs/>
        </w:rPr>
        <w:t>Uberabasuchus terrificus</w:t>
      </w:r>
      <w:r>
        <w:rPr>
          <w:i/>
          <w:iCs/>
        </w:rPr>
        <w:t xml:space="preserve"> Carvalho, Ribeiro, Avilla, 2004 (Crocodyliformes, Peirosauridae) do Cretáceo Superior da Bacia Bauru: inferências morfofuncionais e paleoautoecológicas</w:t>
      </w:r>
      <w:r>
        <w:t>. Unpublished MSc (Master of Science) thesis. Universidade Federal do Rio de Janeiro, Rio de Janeiro, 158 pp.</w:t>
      </w:r>
    </w:p>
    <w:p w14:paraId="2E53347E" w14:textId="77777777" w:rsidR="00497CE3" w:rsidRDefault="00497CE3" w:rsidP="00497CE3">
      <w:pPr>
        <w:pStyle w:val="Default"/>
        <w:rPr>
          <w:color w:val="auto"/>
        </w:rPr>
      </w:pPr>
      <w:r>
        <w:rPr>
          <w:b/>
          <w:bCs/>
          <w:color w:val="auto"/>
        </w:rPr>
        <w:t>Vasconcellos FM, Carvalho IS. 2005.</w:t>
      </w:r>
      <w:r>
        <w:rPr>
          <w:bCs/>
          <w:color w:val="auto"/>
        </w:rPr>
        <w:t xml:space="preserve"> </w:t>
      </w:r>
      <w:r>
        <w:rPr>
          <w:color w:val="auto"/>
        </w:rPr>
        <w:t xml:space="preserve">Estágios de desenvolvimento de </w:t>
      </w:r>
      <w:r>
        <w:rPr>
          <w:i/>
          <w:iCs/>
          <w:color w:val="auto"/>
        </w:rPr>
        <w:t>Mariliasuchus amarali</w:t>
      </w:r>
      <w:r>
        <w:rPr>
          <w:color w:val="auto"/>
        </w:rPr>
        <w:t xml:space="preserve">, Crocodyliformes Mesoeucrocodylia da Formação Adamantina, Cretáceo Superior da Bacia Bauru, Brasil. </w:t>
      </w:r>
      <w:r>
        <w:rPr>
          <w:i/>
          <w:iCs/>
          <w:color w:val="auto"/>
        </w:rPr>
        <w:t>Anuário do Instituto de Geociências</w:t>
      </w:r>
      <w:r>
        <w:rPr>
          <w:iCs/>
          <w:color w:val="auto"/>
        </w:rPr>
        <w:t xml:space="preserve"> </w:t>
      </w:r>
      <w:r>
        <w:rPr>
          <w:b/>
          <w:bCs/>
          <w:color w:val="auto"/>
        </w:rPr>
        <w:t>28</w:t>
      </w:r>
      <w:r>
        <w:rPr>
          <w:color w:val="auto"/>
        </w:rPr>
        <w:t>: 49–69.</w:t>
      </w:r>
    </w:p>
    <w:p w14:paraId="49118071" w14:textId="77777777" w:rsidR="00497CE3" w:rsidRDefault="00497CE3" w:rsidP="00497CE3">
      <w:pPr>
        <w:autoSpaceDE w:val="0"/>
        <w:autoSpaceDN w:val="0"/>
        <w:adjustRightInd w:val="0"/>
      </w:pPr>
      <w:r>
        <w:rPr>
          <w:b/>
          <w:bCs/>
        </w:rPr>
        <w:t>Vasconcellos FM, Carvalho IS.</w:t>
      </w:r>
      <w:r>
        <w:rPr>
          <w:bCs/>
        </w:rPr>
        <w:t xml:space="preserve"> </w:t>
      </w:r>
      <w:r>
        <w:rPr>
          <w:b/>
          <w:bCs/>
        </w:rPr>
        <w:t>2007.</w:t>
      </w:r>
      <w:r>
        <w:rPr>
          <w:bCs/>
        </w:rPr>
        <w:t xml:space="preserve"> </w:t>
      </w:r>
      <w:r>
        <w:t xml:space="preserve">Cranial features of </w:t>
      </w:r>
      <w:r>
        <w:rPr>
          <w:i/>
          <w:iCs/>
        </w:rPr>
        <w:t xml:space="preserve">Baurusuchus salgadoensis </w:t>
      </w:r>
      <w:r>
        <w:t xml:space="preserve">Carvalho, Campos, Nobre 2005, a Baurusuchidae (Mesoeucrocodylia) from the Adamantina Formation, Bauru Basin, Brazil: paleoichnological, taxonomic and systematic implications. In: Carvalho IS (org). </w:t>
      </w:r>
      <w:r>
        <w:rPr>
          <w:i/>
          <w:iCs/>
        </w:rPr>
        <w:t>Paleontologia: cenários de vida</w:t>
      </w:r>
      <w:r>
        <w:t xml:space="preserve">. Rio de Janeiro: Interciência </w:t>
      </w:r>
      <w:r>
        <w:rPr>
          <w:b/>
        </w:rPr>
        <w:t>1</w:t>
      </w:r>
      <w:r>
        <w:t>: 319–332.</w:t>
      </w:r>
    </w:p>
    <w:p w14:paraId="3F795182" w14:textId="77777777" w:rsidR="00497CE3" w:rsidRDefault="00497CE3" w:rsidP="00497CE3">
      <w:pPr>
        <w:autoSpaceDE w:val="0"/>
        <w:autoSpaceDN w:val="0"/>
        <w:adjustRightInd w:val="0"/>
      </w:pPr>
      <w:r>
        <w:rPr>
          <w:b/>
          <w:bCs/>
        </w:rPr>
        <w:t>Vignaud P. 1995.</w:t>
      </w:r>
      <w:r>
        <w:rPr>
          <w:bCs/>
        </w:rPr>
        <w:t xml:space="preserve"> </w:t>
      </w:r>
      <w:r>
        <w:t>Les Thalattosuchia, crocodiles marins du Mésozöique: Systématique, phylogénie, paléoécologie, biochronologie et implications paléogéographiques. Unpublished Ph.D. thesis. Université de Poitiers, Poitiers.</w:t>
      </w:r>
    </w:p>
    <w:p w14:paraId="2C38B5A1" w14:textId="77777777" w:rsidR="00497CE3" w:rsidRDefault="00497CE3" w:rsidP="00497CE3">
      <w:pPr>
        <w:autoSpaceDE w:val="0"/>
        <w:autoSpaceDN w:val="0"/>
        <w:adjustRightInd w:val="0"/>
      </w:pPr>
      <w:bookmarkStart w:id="92" w:name="_Hlk489641317"/>
      <w:r>
        <w:rPr>
          <w:b/>
          <w:bCs/>
        </w:rPr>
        <w:t xml:space="preserve">Vignaud P, Gasparini Z. 1996. </w:t>
      </w:r>
      <w:r>
        <w:t xml:space="preserve">New </w:t>
      </w:r>
      <w:r>
        <w:rPr>
          <w:i/>
          <w:iCs/>
        </w:rPr>
        <w:t xml:space="preserve">Dakosaurus </w:t>
      </w:r>
      <w:r>
        <w:t xml:space="preserve">(Crocodylomorpha, Thalattosuchia) from the Upper Jurassic of Argentina. </w:t>
      </w:r>
      <w:r>
        <w:rPr>
          <w:i/>
          <w:iCs/>
        </w:rPr>
        <w:t xml:space="preserve">Comptes Rendus de l’Académie des Sciences, Paris </w:t>
      </w:r>
      <w:r>
        <w:rPr>
          <w:b/>
        </w:rPr>
        <w:t>2</w:t>
      </w:r>
      <w:r>
        <w:t>: 245–250.</w:t>
      </w:r>
    </w:p>
    <w:bookmarkEnd w:id="92"/>
    <w:p w14:paraId="169CAD52" w14:textId="77777777" w:rsidR="00497CE3" w:rsidRDefault="00497CE3" w:rsidP="00497CE3">
      <w:pPr>
        <w:autoSpaceDE w:val="0"/>
        <w:autoSpaceDN w:val="0"/>
        <w:adjustRightInd w:val="0"/>
      </w:pPr>
      <w:r>
        <w:rPr>
          <w:b/>
          <w:bCs/>
        </w:rPr>
        <w:t>Wagner A. 1852.</w:t>
      </w:r>
      <w:r>
        <w:rPr>
          <w:bCs/>
        </w:rPr>
        <w:t xml:space="preserve"> </w:t>
      </w:r>
      <w:r>
        <w:t xml:space="preserve">Neu-aufgefundene saurier-veberreste aus den lithographischer Schiefern ind den obern Juralke. </w:t>
      </w:r>
      <w:r>
        <w:rPr>
          <w:i/>
          <w:iCs/>
        </w:rPr>
        <w:t xml:space="preserve">Abhandlungen der Mathemat.-Physikalischen Classe der Königlich Bayerischen Akademie der Wissenschaften </w:t>
      </w:r>
      <w:r>
        <w:rPr>
          <w:b/>
          <w:bCs/>
        </w:rPr>
        <w:t>6</w:t>
      </w:r>
      <w:r>
        <w:rPr>
          <w:bCs/>
        </w:rPr>
        <w:t xml:space="preserve">: </w:t>
      </w:r>
      <w:r>
        <w:t>661–710.</w:t>
      </w:r>
    </w:p>
    <w:p w14:paraId="13B1CF60" w14:textId="77777777" w:rsidR="00497CE3" w:rsidRDefault="00497CE3" w:rsidP="00497CE3">
      <w:pPr>
        <w:autoSpaceDE w:val="0"/>
        <w:autoSpaceDN w:val="0"/>
        <w:adjustRightInd w:val="0"/>
      </w:pPr>
      <w:r>
        <w:rPr>
          <w:b/>
          <w:bCs/>
        </w:rPr>
        <w:t>Wagner A. 1858.</w:t>
      </w:r>
      <w:r>
        <w:rPr>
          <w:bCs/>
        </w:rPr>
        <w:t xml:space="preserve"> </w:t>
      </w:r>
      <w:r>
        <w:t xml:space="preserve">Zur Kenntniss der Sauier aus den lithographischen Schiefen. </w:t>
      </w:r>
      <w:r>
        <w:rPr>
          <w:i/>
          <w:iCs/>
        </w:rPr>
        <w:t xml:space="preserve">Abhandlungen der Mathemat.-Physikalischen Classe der Königlich Bayerischen Akademie der Wissenschaften </w:t>
      </w:r>
      <w:r>
        <w:rPr>
          <w:b/>
          <w:bCs/>
        </w:rPr>
        <w:t>8</w:t>
      </w:r>
      <w:r>
        <w:rPr>
          <w:bCs/>
        </w:rPr>
        <w:t xml:space="preserve">: </w:t>
      </w:r>
      <w:r>
        <w:t>415–528.</w:t>
      </w:r>
    </w:p>
    <w:p w14:paraId="276D4C46" w14:textId="77777777" w:rsidR="00497CE3" w:rsidRPr="005734BB" w:rsidRDefault="00497CE3" w:rsidP="00497CE3">
      <w:pPr>
        <w:pStyle w:val="NoSpacing"/>
      </w:pPr>
      <w:r w:rsidRPr="005734BB">
        <w:rPr>
          <w:b/>
        </w:rPr>
        <w:t xml:space="preserve">Walker AD. 1961. </w:t>
      </w:r>
      <w:r w:rsidRPr="005734BB">
        <w:t xml:space="preserve">Triassic reptiles from the Elgin area: </w:t>
      </w:r>
      <w:r w:rsidRPr="005734BB">
        <w:rPr>
          <w:i/>
        </w:rPr>
        <w:t>Stagonolepis</w:t>
      </w:r>
      <w:r w:rsidRPr="005734BB">
        <w:t xml:space="preserve">, </w:t>
      </w:r>
      <w:r w:rsidRPr="005734BB">
        <w:rPr>
          <w:i/>
        </w:rPr>
        <w:t>Dasygnathus</w:t>
      </w:r>
      <w:r w:rsidRPr="005734BB">
        <w:t xml:space="preserve"> and their allies. </w:t>
      </w:r>
      <w:r w:rsidRPr="005734BB">
        <w:rPr>
          <w:i/>
        </w:rPr>
        <w:t>Philosophical Transactions of the Royal Society of London, B</w:t>
      </w:r>
      <w:r w:rsidRPr="005734BB">
        <w:t xml:space="preserve"> </w:t>
      </w:r>
      <w:r w:rsidRPr="005734BB">
        <w:rPr>
          <w:b/>
        </w:rPr>
        <w:t>244</w:t>
      </w:r>
      <w:r w:rsidRPr="005734BB">
        <w:t>: 103–204.</w:t>
      </w:r>
    </w:p>
    <w:p w14:paraId="2713EE53" w14:textId="77777777" w:rsidR="00497CE3" w:rsidRDefault="00497CE3" w:rsidP="00497CE3">
      <w:pPr>
        <w:autoSpaceDE w:val="0"/>
        <w:autoSpaceDN w:val="0"/>
        <w:adjustRightInd w:val="0"/>
      </w:pPr>
      <w:r>
        <w:rPr>
          <w:b/>
          <w:bCs/>
        </w:rPr>
        <w:t>Walker AD.</w:t>
      </w:r>
      <w:r>
        <w:rPr>
          <w:bCs/>
        </w:rPr>
        <w:t xml:space="preserve"> </w:t>
      </w:r>
      <w:r>
        <w:rPr>
          <w:b/>
          <w:bCs/>
        </w:rPr>
        <w:t>1968.</w:t>
      </w:r>
      <w:r>
        <w:rPr>
          <w:bCs/>
        </w:rPr>
        <w:t xml:space="preserve"> </w:t>
      </w:r>
      <w:r>
        <w:rPr>
          <w:i/>
          <w:iCs/>
        </w:rPr>
        <w:t xml:space="preserve">Protosuchus, Proterochampsa, </w:t>
      </w:r>
      <w:r>
        <w:t xml:space="preserve">and the origin of phytosaurs and crocodiles. </w:t>
      </w:r>
      <w:r>
        <w:rPr>
          <w:i/>
          <w:iCs/>
        </w:rPr>
        <w:t>Geological Magazine</w:t>
      </w:r>
      <w:r>
        <w:t xml:space="preserve"> </w:t>
      </w:r>
      <w:r>
        <w:rPr>
          <w:b/>
        </w:rPr>
        <w:t>105</w:t>
      </w:r>
      <w:r>
        <w:t>: 1–14.</w:t>
      </w:r>
    </w:p>
    <w:p w14:paraId="42AAB846" w14:textId="77777777" w:rsidR="00497CE3" w:rsidRPr="005734BB" w:rsidRDefault="00497CE3" w:rsidP="00497CE3">
      <w:pPr>
        <w:pStyle w:val="NoSpacing"/>
      </w:pPr>
      <w:bookmarkStart w:id="93" w:name="_Hlk489641433"/>
      <w:r w:rsidRPr="005734BB">
        <w:rPr>
          <w:b/>
        </w:rPr>
        <w:t>Walker AD. 1970.</w:t>
      </w:r>
      <w:r w:rsidRPr="005734BB">
        <w:t xml:space="preserve"> A revision of the Jurassic reptile </w:t>
      </w:r>
      <w:r w:rsidRPr="005734BB">
        <w:rPr>
          <w:i/>
        </w:rPr>
        <w:t>Hallopus</w:t>
      </w:r>
      <w:r w:rsidRPr="005734BB">
        <w:t xml:space="preserve"> </w:t>
      </w:r>
      <w:r w:rsidRPr="005734BB">
        <w:rPr>
          <w:i/>
        </w:rPr>
        <w:t>victor</w:t>
      </w:r>
      <w:r w:rsidRPr="005734BB">
        <w:t xml:space="preserve"> (Marsh) with remarks on the classification of the crocodiles. </w:t>
      </w:r>
      <w:r w:rsidRPr="005734BB">
        <w:rPr>
          <w:i/>
        </w:rPr>
        <w:t xml:space="preserve">Philosophical Transactions of the Royal Society of London, B </w:t>
      </w:r>
      <w:r w:rsidRPr="005734BB">
        <w:rPr>
          <w:b/>
        </w:rPr>
        <w:t>257</w:t>
      </w:r>
      <w:r w:rsidRPr="005734BB">
        <w:t>: 323–372.</w:t>
      </w:r>
    </w:p>
    <w:p w14:paraId="2A6C3244" w14:textId="77777777" w:rsidR="00497CE3" w:rsidRDefault="00497CE3" w:rsidP="00497CE3">
      <w:pPr>
        <w:autoSpaceDE w:val="0"/>
        <w:autoSpaceDN w:val="0"/>
        <w:adjustRightInd w:val="0"/>
      </w:pPr>
      <w:r>
        <w:rPr>
          <w:b/>
          <w:bCs/>
        </w:rPr>
        <w:t xml:space="preserve">Walker AD. 1990. </w:t>
      </w:r>
      <w:r>
        <w:t xml:space="preserve">A revision of </w:t>
      </w:r>
      <w:r>
        <w:rPr>
          <w:i/>
          <w:iCs/>
        </w:rPr>
        <w:t xml:space="preserve">Sphenosuchus acutus </w:t>
      </w:r>
      <w:r>
        <w:t xml:space="preserve">Haughton, a crocodylomorph reptile from the Elliot Formation (Late Triassic or Early Jurassic) of South Africa. </w:t>
      </w:r>
      <w:r>
        <w:rPr>
          <w:i/>
          <w:iCs/>
        </w:rPr>
        <w:t>Philosophical Transactions of the Royal Society of London</w:t>
      </w:r>
      <w:r>
        <w:t xml:space="preserve"> </w:t>
      </w:r>
      <w:r>
        <w:rPr>
          <w:b/>
        </w:rPr>
        <w:t>330</w:t>
      </w:r>
      <w:r>
        <w:t>: 1–120.</w:t>
      </w:r>
    </w:p>
    <w:p w14:paraId="13D13691" w14:textId="77777777" w:rsidR="00497CE3" w:rsidRDefault="00497CE3" w:rsidP="00497CE3">
      <w:pPr>
        <w:contextualSpacing/>
      </w:pPr>
      <w:r w:rsidRPr="00D21B01">
        <w:rPr>
          <w:b/>
        </w:rPr>
        <w:t>Weinbaum JC. 2002.</w:t>
      </w:r>
      <w:r w:rsidRPr="00A760BE">
        <w:t xml:space="preserve"> Osteology and relationships of </w:t>
      </w:r>
      <w:r w:rsidRPr="00A760BE">
        <w:rPr>
          <w:i/>
        </w:rPr>
        <w:t>Postosuchus kirkpatricki</w:t>
      </w:r>
      <w:r w:rsidRPr="00A760BE">
        <w:t xml:space="preserve"> (Archosauria: Crurotarsi). Unpublished M.S. thesis, Texas Tech University, Lubbock, Texas, USA. 78 pp.</w:t>
      </w:r>
    </w:p>
    <w:bookmarkEnd w:id="93"/>
    <w:p w14:paraId="5C2726AD" w14:textId="77777777" w:rsidR="00497CE3" w:rsidRDefault="00497CE3" w:rsidP="00497CE3">
      <w:pPr>
        <w:autoSpaceDE w:val="0"/>
        <w:autoSpaceDN w:val="0"/>
        <w:adjustRightInd w:val="0"/>
      </w:pPr>
      <w:r>
        <w:rPr>
          <w:b/>
        </w:rPr>
        <w:t xml:space="preserve">Weinbaum JC. 2011. </w:t>
      </w:r>
      <w:r>
        <w:rPr>
          <w:bCs/>
        </w:rPr>
        <w:t xml:space="preserve">The skull of </w:t>
      </w:r>
      <w:r>
        <w:rPr>
          <w:bCs/>
          <w:i/>
          <w:iCs/>
        </w:rPr>
        <w:t xml:space="preserve">Postosuchus kirkpatricki </w:t>
      </w:r>
      <w:r>
        <w:rPr>
          <w:bCs/>
        </w:rPr>
        <w:t xml:space="preserve">(Archosauria: Paracrocodyliformes) from the Upper Triassic of the United States. </w:t>
      </w:r>
      <w:r>
        <w:rPr>
          <w:i/>
          <w:iCs/>
        </w:rPr>
        <w:t xml:space="preserve">PaleoBios </w:t>
      </w:r>
      <w:r>
        <w:rPr>
          <w:b/>
        </w:rPr>
        <w:t>30</w:t>
      </w:r>
      <w:r>
        <w:t>: 18–44.</w:t>
      </w:r>
    </w:p>
    <w:p w14:paraId="6503980E" w14:textId="77777777" w:rsidR="00497CE3" w:rsidRDefault="00497CE3" w:rsidP="00497CE3">
      <w:pPr>
        <w:pStyle w:val="Heading1"/>
        <w:spacing w:before="0" w:beforeAutospacing="0" w:after="0" w:afterAutospacing="0"/>
        <w:rPr>
          <w:b w:val="0"/>
          <w:sz w:val="24"/>
          <w:szCs w:val="24"/>
        </w:rPr>
      </w:pPr>
      <w:r>
        <w:rPr>
          <w:sz w:val="24"/>
          <w:szCs w:val="24"/>
        </w:rPr>
        <w:t>Weinbaum JC. 2013.</w:t>
      </w:r>
      <w:r>
        <w:rPr>
          <w:b w:val="0"/>
          <w:sz w:val="24"/>
          <w:szCs w:val="24"/>
        </w:rPr>
        <w:t xml:space="preserve"> Postcranial skeleton of </w:t>
      </w:r>
      <w:r>
        <w:rPr>
          <w:b w:val="0"/>
          <w:i/>
          <w:iCs/>
          <w:sz w:val="24"/>
          <w:szCs w:val="24"/>
        </w:rPr>
        <w:t>Postosuchus kirkpatricki</w:t>
      </w:r>
      <w:r>
        <w:rPr>
          <w:b w:val="0"/>
          <w:sz w:val="24"/>
          <w:szCs w:val="24"/>
        </w:rPr>
        <w:t xml:space="preserve"> (Archosauria: Paracrocodylomorpha), from the upper Triassic of the United States. </w:t>
      </w:r>
      <w:r>
        <w:rPr>
          <w:b w:val="0"/>
          <w:i/>
          <w:sz w:val="24"/>
          <w:szCs w:val="24"/>
        </w:rPr>
        <w:t xml:space="preserve">Geological Society, London, Special Publications (Anatomy, Phylogeny and Palaeobiology of Early Archosaurs and their Kin) </w:t>
      </w:r>
      <w:r>
        <w:rPr>
          <w:sz w:val="24"/>
          <w:szCs w:val="24"/>
        </w:rPr>
        <w:t>379</w:t>
      </w:r>
      <w:r>
        <w:rPr>
          <w:b w:val="0"/>
          <w:sz w:val="24"/>
          <w:szCs w:val="24"/>
        </w:rPr>
        <w:t>: 525–553.</w:t>
      </w:r>
    </w:p>
    <w:p w14:paraId="55ED4FCA" w14:textId="77777777" w:rsidR="00497CE3" w:rsidRDefault="00497CE3" w:rsidP="00497CE3">
      <w:pPr>
        <w:autoSpaceDE w:val="0"/>
        <w:autoSpaceDN w:val="0"/>
        <w:adjustRightInd w:val="0"/>
      </w:pPr>
      <w:r>
        <w:rPr>
          <w:b/>
          <w:bCs/>
        </w:rPr>
        <w:t xml:space="preserve">Westhead RK, Mather AE. 1996. </w:t>
      </w:r>
      <w:r>
        <w:t xml:space="preserve">An updated lithostratigraphy for the Purbeck Limestone Group in the Dorset type area. </w:t>
      </w:r>
      <w:r>
        <w:rPr>
          <w:i/>
          <w:iCs/>
        </w:rPr>
        <w:t>Proceedings of the Geologists’ Association</w:t>
      </w:r>
      <w:r>
        <w:t xml:space="preserve"> </w:t>
      </w:r>
      <w:r>
        <w:rPr>
          <w:b/>
        </w:rPr>
        <w:t>77</w:t>
      </w:r>
      <w:r>
        <w:t>: 117–128.</w:t>
      </w:r>
    </w:p>
    <w:p w14:paraId="0C1AD825" w14:textId="77777777" w:rsidR="00497CE3" w:rsidRDefault="00497CE3" w:rsidP="00497CE3">
      <w:pPr>
        <w:autoSpaceDE w:val="0"/>
        <w:autoSpaceDN w:val="0"/>
        <w:adjustRightInd w:val="0"/>
      </w:pPr>
      <w:r>
        <w:rPr>
          <w:b/>
        </w:rPr>
        <w:t>Westphal F. 1961.</w:t>
      </w:r>
      <w:r>
        <w:t xml:space="preserve"> Zu Systematik der deutschen und englischen Lias-Krokodilier. </w:t>
      </w:r>
      <w:r>
        <w:rPr>
          <w:i/>
        </w:rPr>
        <w:t xml:space="preserve">Neues Jahrbuch für Geologie und Paläontologie, Abhandlungen </w:t>
      </w:r>
      <w:r>
        <w:rPr>
          <w:b/>
        </w:rPr>
        <w:t>113</w:t>
      </w:r>
      <w:r>
        <w:t>: 207–218.</w:t>
      </w:r>
    </w:p>
    <w:p w14:paraId="7CE2BC29" w14:textId="77777777" w:rsidR="00497CE3" w:rsidRDefault="00497CE3" w:rsidP="00497CE3">
      <w:pPr>
        <w:autoSpaceDE w:val="0"/>
        <w:autoSpaceDN w:val="0"/>
        <w:adjustRightInd w:val="0"/>
      </w:pPr>
      <w:r>
        <w:rPr>
          <w:b/>
        </w:rPr>
        <w:t>Wieland GR. 1910.</w:t>
      </w:r>
      <w:r>
        <w:t xml:space="preserve"> </w:t>
      </w:r>
      <w:r>
        <w:rPr>
          <w:i/>
          <w:iCs/>
        </w:rPr>
        <w:t xml:space="preserve">Plesiosaurus </w:t>
      </w:r>
      <w:r>
        <w:t>(</w:t>
      </w:r>
      <w:r>
        <w:rPr>
          <w:i/>
          <w:iCs/>
        </w:rPr>
        <w:t>Polyptychodon</w:t>
      </w:r>
      <w:r>
        <w:t xml:space="preserve">) </w:t>
      </w:r>
      <w:r>
        <w:rPr>
          <w:i/>
          <w:iCs/>
        </w:rPr>
        <w:t xml:space="preserve">mexicanus </w:t>
      </w:r>
      <w:r>
        <w:t xml:space="preserve">Wieland. </w:t>
      </w:r>
      <w:r>
        <w:rPr>
          <w:i/>
        </w:rPr>
        <w:t>Parergones del Instituto Geológico de México</w:t>
      </w:r>
      <w:r>
        <w:rPr>
          <w:b/>
        </w:rPr>
        <w:t xml:space="preserve"> 3</w:t>
      </w:r>
      <w:r>
        <w:t xml:space="preserve"> (6): 359</w:t>
      </w:r>
      <w:r>
        <w:rPr>
          <w:lang w:val="fr-FR"/>
        </w:rPr>
        <w:t>–</w:t>
      </w:r>
      <w:r>
        <w:t>365.</w:t>
      </w:r>
    </w:p>
    <w:p w14:paraId="21595DFE" w14:textId="77777777" w:rsidR="00497CE3" w:rsidRDefault="00497CE3" w:rsidP="00497CE3">
      <w:pPr>
        <w:pStyle w:val="Heading1"/>
        <w:spacing w:before="0" w:beforeAutospacing="0" w:after="0" w:afterAutospacing="0"/>
        <w:rPr>
          <w:b w:val="0"/>
          <w:sz w:val="24"/>
          <w:szCs w:val="24"/>
        </w:rPr>
      </w:pPr>
      <w:r>
        <w:rPr>
          <w:sz w:val="24"/>
          <w:szCs w:val="24"/>
        </w:rPr>
        <w:t>Wilberg EW. 2015a.</w:t>
      </w:r>
      <w:r>
        <w:rPr>
          <w:b w:val="0"/>
          <w:sz w:val="24"/>
          <w:szCs w:val="24"/>
        </w:rPr>
        <w:t xml:space="preserve"> A new metriorhynchoid (Crocodylomorpha, Thalattosuchia) from the Middle Jurassic of Oregon and the evolutionary timing of marine adaptations in thalattosuchian crocodylomorphs. </w:t>
      </w:r>
      <w:r>
        <w:rPr>
          <w:b w:val="0"/>
          <w:i/>
          <w:sz w:val="24"/>
          <w:szCs w:val="24"/>
        </w:rPr>
        <w:t>Journal of Vertebrate Paleontology</w:t>
      </w:r>
      <w:r>
        <w:rPr>
          <w:b w:val="0"/>
          <w:sz w:val="24"/>
          <w:szCs w:val="24"/>
        </w:rPr>
        <w:t xml:space="preserve"> </w:t>
      </w:r>
      <w:r>
        <w:rPr>
          <w:sz w:val="24"/>
          <w:szCs w:val="24"/>
        </w:rPr>
        <w:t>35</w:t>
      </w:r>
      <w:r>
        <w:rPr>
          <w:b w:val="0"/>
          <w:sz w:val="24"/>
          <w:szCs w:val="24"/>
        </w:rPr>
        <w:t>: e902846.</w:t>
      </w:r>
    </w:p>
    <w:p w14:paraId="7C779EBB" w14:textId="77777777" w:rsidR="00497CE3" w:rsidRDefault="00497CE3" w:rsidP="00497CE3">
      <w:pPr>
        <w:rPr>
          <w:bCs/>
        </w:rPr>
      </w:pPr>
      <w:r>
        <w:rPr>
          <w:b/>
        </w:rPr>
        <w:t>Wilberg EW. 2015b.</w:t>
      </w:r>
      <w:r>
        <w:t xml:space="preserve"> What’s in an outgroup? </w:t>
      </w:r>
      <w:r>
        <w:rPr>
          <w:bCs/>
        </w:rPr>
        <w:t xml:space="preserve">The Impact of outgroup choice on the phylogenetic position of Thalattosuchia (Crocodylomorpha) and the origin of Crocodyliformes. </w:t>
      </w:r>
      <w:r>
        <w:rPr>
          <w:bCs/>
          <w:i/>
        </w:rPr>
        <w:t>Systematic Biology</w:t>
      </w:r>
      <w:r>
        <w:rPr>
          <w:bCs/>
        </w:rPr>
        <w:t xml:space="preserve"> </w:t>
      </w:r>
      <w:r>
        <w:rPr>
          <w:b/>
          <w:bCs/>
        </w:rPr>
        <w:t>64</w:t>
      </w:r>
      <w:r>
        <w:rPr>
          <w:bCs/>
        </w:rPr>
        <w:t>: 621–637.</w:t>
      </w:r>
    </w:p>
    <w:p w14:paraId="14115463" w14:textId="77777777" w:rsidR="00497CE3" w:rsidRPr="000F0FB7" w:rsidRDefault="00497CE3" w:rsidP="00497CE3">
      <w:pPr>
        <w:rPr>
          <w:bCs/>
          <w:i/>
        </w:rPr>
      </w:pPr>
      <w:r w:rsidRPr="000F0FB7">
        <w:rPr>
          <w:rStyle w:val="Emphasis"/>
          <w:b/>
        </w:rPr>
        <w:t>Wilberg</w:t>
      </w:r>
      <w:r w:rsidRPr="000F0FB7">
        <w:rPr>
          <w:rStyle w:val="st"/>
          <w:b/>
          <w:i/>
        </w:rPr>
        <w:t xml:space="preserve"> </w:t>
      </w:r>
      <w:r w:rsidRPr="000F0FB7">
        <w:rPr>
          <w:rStyle w:val="st"/>
          <w:b/>
        </w:rPr>
        <w:t>EW</w:t>
      </w:r>
      <w:r w:rsidRPr="000F0FB7">
        <w:rPr>
          <w:rStyle w:val="st"/>
          <w:b/>
          <w:i/>
        </w:rPr>
        <w:t xml:space="preserve">. </w:t>
      </w:r>
      <w:r w:rsidRPr="000F0FB7">
        <w:rPr>
          <w:rStyle w:val="Emphasis"/>
          <w:b/>
        </w:rPr>
        <w:t>2017</w:t>
      </w:r>
      <w:r w:rsidRPr="000F0FB7">
        <w:rPr>
          <w:rStyle w:val="st"/>
          <w:b/>
          <w:i/>
        </w:rPr>
        <w:t>.</w:t>
      </w:r>
      <w:r w:rsidRPr="000F0FB7">
        <w:rPr>
          <w:rStyle w:val="st"/>
          <w:i/>
        </w:rPr>
        <w:t xml:space="preserve"> </w:t>
      </w:r>
      <w:r w:rsidRPr="000F0FB7">
        <w:rPr>
          <w:rStyle w:val="Emphasis"/>
        </w:rPr>
        <w:t>Investigating patterns of crocodyliform cranial disparity through the Mesozoic and Cenozoic</w:t>
      </w:r>
      <w:r w:rsidRPr="000F0FB7">
        <w:rPr>
          <w:rStyle w:val="st"/>
          <w:i/>
        </w:rPr>
        <w:t>. Zool</w:t>
      </w:r>
      <w:r>
        <w:rPr>
          <w:rStyle w:val="st"/>
          <w:i/>
        </w:rPr>
        <w:t>ogical</w:t>
      </w:r>
      <w:r w:rsidRPr="000F0FB7">
        <w:rPr>
          <w:rStyle w:val="st"/>
          <w:i/>
        </w:rPr>
        <w:t xml:space="preserve"> J</w:t>
      </w:r>
      <w:r>
        <w:rPr>
          <w:rStyle w:val="st"/>
          <w:i/>
        </w:rPr>
        <w:t>ournal of the</w:t>
      </w:r>
      <w:r w:rsidRPr="000F0FB7">
        <w:rPr>
          <w:rStyle w:val="st"/>
          <w:i/>
        </w:rPr>
        <w:t xml:space="preserve"> Linn</w:t>
      </w:r>
      <w:r>
        <w:rPr>
          <w:rStyle w:val="st"/>
          <w:i/>
        </w:rPr>
        <w:t>ean</w:t>
      </w:r>
      <w:r w:rsidRPr="000F0FB7">
        <w:rPr>
          <w:rStyle w:val="st"/>
          <w:i/>
        </w:rPr>
        <w:t xml:space="preserve"> Soc</w:t>
      </w:r>
      <w:r>
        <w:rPr>
          <w:rStyle w:val="st"/>
          <w:i/>
        </w:rPr>
        <w:t>iety</w:t>
      </w:r>
      <w:r w:rsidRPr="000F0FB7">
        <w:rPr>
          <w:rStyle w:val="st"/>
          <w:i/>
        </w:rPr>
        <w:t xml:space="preserve"> </w:t>
      </w:r>
      <w:r w:rsidRPr="000F0FB7">
        <w:rPr>
          <w:rStyle w:val="st"/>
          <w:b/>
        </w:rPr>
        <w:t>181</w:t>
      </w:r>
      <w:r>
        <w:rPr>
          <w:rStyle w:val="st"/>
        </w:rPr>
        <w:t>:</w:t>
      </w:r>
      <w:r w:rsidRPr="000F0FB7">
        <w:rPr>
          <w:rStyle w:val="st"/>
        </w:rPr>
        <w:t xml:space="preserve"> 189–208.</w:t>
      </w:r>
    </w:p>
    <w:p w14:paraId="77DF1588" w14:textId="77777777" w:rsidR="00497CE3" w:rsidRDefault="00497CE3" w:rsidP="00497CE3">
      <w:pPr>
        <w:rPr>
          <w:bCs/>
        </w:rPr>
      </w:pPr>
      <w:r>
        <w:rPr>
          <w:b/>
          <w:bCs/>
        </w:rPr>
        <w:t xml:space="preserve">Wilkinson LE, Young MT, Benton MJ. 2008. </w:t>
      </w:r>
      <w:r>
        <w:t xml:space="preserve">A new metriorhynchid crocodile (Mesoeucrocodylia: Thalattosuchia) from the Kimmeridgian (Upper Jurassic) of Wiltshire, UK. </w:t>
      </w:r>
      <w:r>
        <w:rPr>
          <w:i/>
          <w:iCs/>
        </w:rPr>
        <w:t>Palaeontology</w:t>
      </w:r>
      <w:r>
        <w:t xml:space="preserve"> </w:t>
      </w:r>
      <w:r>
        <w:rPr>
          <w:b/>
        </w:rPr>
        <w:t xml:space="preserve">51 </w:t>
      </w:r>
      <w:r>
        <w:t>(6): 1307–1333.</w:t>
      </w:r>
    </w:p>
    <w:p w14:paraId="4449EBC1" w14:textId="77777777" w:rsidR="00497CE3" w:rsidRDefault="00497CE3" w:rsidP="00497CE3">
      <w:pPr>
        <w:autoSpaceDE w:val="0"/>
        <w:autoSpaceDN w:val="0"/>
        <w:adjustRightInd w:val="0"/>
      </w:pPr>
      <w:r>
        <w:rPr>
          <w:b/>
          <w:bCs/>
        </w:rPr>
        <w:t xml:space="preserve">Wiman C. 1932. </w:t>
      </w:r>
      <w:r>
        <w:rPr>
          <w:i/>
          <w:iCs/>
        </w:rPr>
        <w:t xml:space="preserve">Goniopholis kirtlandicus </w:t>
      </w:r>
      <w:r>
        <w:t xml:space="preserve">n. sp. aus der oberen Kreide in New Mexico. </w:t>
      </w:r>
      <w:r>
        <w:rPr>
          <w:i/>
          <w:iCs/>
        </w:rPr>
        <w:t>Bulletin of the Geological Institution of the University of Uppsala</w:t>
      </w:r>
      <w:r>
        <w:t xml:space="preserve"> </w:t>
      </w:r>
      <w:r>
        <w:rPr>
          <w:b/>
        </w:rPr>
        <w:t>23</w:t>
      </w:r>
      <w:r>
        <w:t>: 181–189.</w:t>
      </w:r>
    </w:p>
    <w:p w14:paraId="62E633F0" w14:textId="77777777" w:rsidR="00497CE3" w:rsidRDefault="00497CE3" w:rsidP="00497CE3">
      <w:pPr>
        <w:autoSpaceDE w:val="0"/>
        <w:autoSpaceDN w:val="0"/>
        <w:adjustRightInd w:val="0"/>
      </w:pPr>
      <w:r>
        <w:rPr>
          <w:b/>
          <w:bCs/>
        </w:rPr>
        <w:t xml:space="preserve">Woodward AS. 1896. </w:t>
      </w:r>
      <w:r>
        <w:t xml:space="preserve">On two Mesozoic crocodilians, </w:t>
      </w:r>
      <w:r>
        <w:rPr>
          <w:i/>
          <w:iCs/>
        </w:rPr>
        <w:t xml:space="preserve">Notosuchus </w:t>
      </w:r>
      <w:r>
        <w:t>(</w:t>
      </w:r>
      <w:r>
        <w:rPr>
          <w:i/>
          <w:iCs/>
        </w:rPr>
        <w:t>genus novum</w:t>
      </w:r>
      <w:r>
        <w:t xml:space="preserve">) and </w:t>
      </w:r>
      <w:r>
        <w:rPr>
          <w:i/>
          <w:iCs/>
        </w:rPr>
        <w:t xml:space="preserve">Cynodontosuchus </w:t>
      </w:r>
      <w:r>
        <w:t>(</w:t>
      </w:r>
      <w:r>
        <w:rPr>
          <w:i/>
          <w:iCs/>
        </w:rPr>
        <w:t>genum novum</w:t>
      </w:r>
      <w:r>
        <w:t xml:space="preserve">) from the red sandstones of the Territory of Néuquen (Argentine Republic). </w:t>
      </w:r>
      <w:r>
        <w:rPr>
          <w:i/>
          <w:iCs/>
        </w:rPr>
        <w:t>Anales del Museo de La Plata — Série Paleontologia Argentina</w:t>
      </w:r>
      <w:r>
        <w:t xml:space="preserve"> </w:t>
      </w:r>
      <w:r>
        <w:rPr>
          <w:b/>
        </w:rPr>
        <w:t xml:space="preserve">4 </w:t>
      </w:r>
      <w:r>
        <w:t>(1–2): 1–20.</w:t>
      </w:r>
    </w:p>
    <w:p w14:paraId="34635C73" w14:textId="77777777" w:rsidR="00497CE3" w:rsidRDefault="00497CE3" w:rsidP="00497CE3">
      <w:pPr>
        <w:pStyle w:val="Default"/>
      </w:pPr>
      <w:r>
        <w:rPr>
          <w:b/>
          <w:color w:val="auto"/>
        </w:rPr>
        <w:t xml:space="preserve">Wu X. </w:t>
      </w:r>
      <w:r>
        <w:rPr>
          <w:b/>
        </w:rPr>
        <w:t>1986.</w:t>
      </w:r>
      <w:r>
        <w:t xml:space="preserve"> A new species of </w:t>
      </w:r>
      <w:r>
        <w:rPr>
          <w:rStyle w:val="Emphasis"/>
          <w:color w:val="auto"/>
        </w:rPr>
        <w:t>Dibothrosuchus</w:t>
      </w:r>
      <w:r>
        <w:t xml:space="preserve"> from Lufeng Basin. </w:t>
      </w:r>
      <w:r>
        <w:rPr>
          <w:i/>
        </w:rPr>
        <w:t>Vertebrata PalAsiatica</w:t>
      </w:r>
      <w:r>
        <w:t xml:space="preserve"> </w:t>
      </w:r>
      <w:r>
        <w:rPr>
          <w:b/>
        </w:rPr>
        <w:t>24</w:t>
      </w:r>
      <w:r>
        <w:t xml:space="preserve"> (1): 43–62.</w:t>
      </w:r>
    </w:p>
    <w:p w14:paraId="62DE6E95" w14:textId="77777777" w:rsidR="00497CE3" w:rsidRDefault="00497CE3" w:rsidP="00497CE3">
      <w:pPr>
        <w:contextualSpacing/>
      </w:pPr>
      <w:r w:rsidRPr="00280FD4">
        <w:rPr>
          <w:b/>
          <w:bCs/>
        </w:rPr>
        <w:t>Wu X-C,</w:t>
      </w:r>
      <w:r>
        <w:rPr>
          <w:b/>
          <w:bCs/>
        </w:rPr>
        <w:t xml:space="preserve"> </w:t>
      </w:r>
      <w:r w:rsidRPr="00280FD4">
        <w:rPr>
          <w:b/>
          <w:bCs/>
        </w:rPr>
        <w:t>Brinkman</w:t>
      </w:r>
      <w:r>
        <w:rPr>
          <w:b/>
          <w:bCs/>
        </w:rPr>
        <w:t xml:space="preserve"> W</w:t>
      </w:r>
      <w:r w:rsidRPr="00280FD4">
        <w:rPr>
          <w:b/>
          <w:bCs/>
        </w:rPr>
        <w:t>, Lu</w:t>
      </w:r>
      <w:r>
        <w:rPr>
          <w:b/>
          <w:bCs/>
        </w:rPr>
        <w:t xml:space="preserve"> JC</w:t>
      </w:r>
      <w:r w:rsidRPr="00280FD4">
        <w:rPr>
          <w:b/>
          <w:bCs/>
        </w:rPr>
        <w:t>. 1994.</w:t>
      </w:r>
      <w:r w:rsidRPr="00A760BE">
        <w:rPr>
          <w:b/>
          <w:bCs/>
        </w:rPr>
        <w:t xml:space="preserve"> </w:t>
      </w:r>
      <w:r w:rsidRPr="00A760BE">
        <w:t xml:space="preserve">A new species of </w:t>
      </w:r>
      <w:r w:rsidRPr="00A760BE">
        <w:rPr>
          <w:i/>
          <w:iCs/>
        </w:rPr>
        <w:t xml:space="preserve">Shantungosuchus </w:t>
      </w:r>
      <w:r w:rsidRPr="00A760BE">
        <w:t xml:space="preserve">from the Lower Cretaceous of Inner Mongolia (China), with comments on </w:t>
      </w:r>
      <w:r w:rsidRPr="00A760BE">
        <w:rPr>
          <w:i/>
          <w:iCs/>
        </w:rPr>
        <w:t xml:space="preserve">S. chuhsienensis </w:t>
      </w:r>
      <w:r w:rsidRPr="00A760BE">
        <w:t xml:space="preserve">Young, 1961 and the phylogenetic position of the genus. </w:t>
      </w:r>
      <w:r w:rsidRPr="00280FD4">
        <w:rPr>
          <w:i/>
          <w:iCs/>
        </w:rPr>
        <w:t>J</w:t>
      </w:r>
      <w:r>
        <w:rPr>
          <w:i/>
          <w:iCs/>
        </w:rPr>
        <w:t>ournal of</w:t>
      </w:r>
      <w:r w:rsidRPr="00280FD4">
        <w:rPr>
          <w:i/>
          <w:iCs/>
        </w:rPr>
        <w:t xml:space="preserve"> Vert</w:t>
      </w:r>
      <w:r>
        <w:rPr>
          <w:i/>
          <w:iCs/>
        </w:rPr>
        <w:t>ebrate</w:t>
      </w:r>
      <w:r w:rsidRPr="00280FD4">
        <w:rPr>
          <w:i/>
          <w:iCs/>
        </w:rPr>
        <w:t xml:space="preserve"> Paleontol</w:t>
      </w:r>
      <w:r>
        <w:rPr>
          <w:i/>
          <w:iCs/>
        </w:rPr>
        <w:t>ogy</w:t>
      </w:r>
      <w:r w:rsidRPr="00A760BE">
        <w:rPr>
          <w:i/>
          <w:iCs/>
        </w:rPr>
        <w:t xml:space="preserve"> </w:t>
      </w:r>
      <w:r w:rsidRPr="00280FD4">
        <w:rPr>
          <w:b/>
          <w:bCs/>
        </w:rPr>
        <w:t>14</w:t>
      </w:r>
      <w:r w:rsidRPr="00A760BE">
        <w:rPr>
          <w:bCs/>
        </w:rPr>
        <w:t>:</w:t>
      </w:r>
      <w:r w:rsidRPr="00A760BE">
        <w:rPr>
          <w:b/>
          <w:bCs/>
        </w:rPr>
        <w:t xml:space="preserve"> </w:t>
      </w:r>
      <w:r w:rsidRPr="00A760BE">
        <w:t>210–229.</w:t>
      </w:r>
    </w:p>
    <w:p w14:paraId="0A453CEC" w14:textId="77777777" w:rsidR="00497CE3" w:rsidRDefault="00497CE3" w:rsidP="00497CE3">
      <w:pPr>
        <w:pStyle w:val="Default"/>
        <w:rPr>
          <w:rFonts w:eastAsia="Times New Roman"/>
          <w:bCs/>
          <w:color w:val="auto"/>
          <w:lang w:val="en-US" w:eastAsia="en-GB"/>
        </w:rPr>
      </w:pPr>
      <w:r>
        <w:rPr>
          <w:rFonts w:eastAsia="Times New Roman"/>
          <w:b/>
          <w:bCs/>
          <w:color w:val="auto"/>
          <w:lang w:val="en-US" w:eastAsia="en-GB"/>
        </w:rPr>
        <w:t>Wu X-C, Brinkman DB, Russell AP.</w:t>
      </w:r>
      <w:r>
        <w:rPr>
          <w:rFonts w:eastAsia="Times New Roman"/>
          <w:bCs/>
          <w:color w:val="auto"/>
          <w:lang w:val="en-US" w:eastAsia="en-GB"/>
        </w:rPr>
        <w:t xml:space="preserve"> </w:t>
      </w:r>
      <w:r>
        <w:rPr>
          <w:rFonts w:eastAsia="Times New Roman"/>
          <w:b/>
          <w:bCs/>
          <w:color w:val="auto"/>
          <w:lang w:val="en-US" w:eastAsia="en-GB"/>
        </w:rPr>
        <w:t>1996.</w:t>
      </w:r>
      <w:r>
        <w:rPr>
          <w:rFonts w:eastAsia="Times New Roman"/>
          <w:bCs/>
          <w:color w:val="auto"/>
          <w:lang w:val="en-US" w:eastAsia="en-GB"/>
        </w:rPr>
        <w:t xml:space="preserve"> </w:t>
      </w:r>
      <w:r>
        <w:rPr>
          <w:rFonts w:eastAsia="Times New Roman"/>
          <w:bCs/>
          <w:i/>
          <w:color w:val="auto"/>
          <w:lang w:val="en-US" w:eastAsia="en-GB"/>
        </w:rPr>
        <w:t>Sunosuchus junggarensis</w:t>
      </w:r>
      <w:r>
        <w:rPr>
          <w:rFonts w:eastAsia="Times New Roman"/>
          <w:bCs/>
          <w:color w:val="auto"/>
          <w:lang w:val="en-US" w:eastAsia="en-GB"/>
        </w:rPr>
        <w:t xml:space="preserve"> sp. nov. (Archosauria: Crocodyliformes) from the Upper Jurassic of Xinjiang, People's Republic of China. </w:t>
      </w:r>
      <w:r>
        <w:rPr>
          <w:rFonts w:eastAsia="Times New Roman"/>
          <w:bCs/>
          <w:i/>
          <w:color w:val="auto"/>
          <w:lang w:val="en-US" w:eastAsia="en-GB"/>
        </w:rPr>
        <w:t>Canadian Journal of Earth Sciences</w:t>
      </w:r>
      <w:r>
        <w:rPr>
          <w:rFonts w:eastAsia="Times New Roman"/>
          <w:bCs/>
          <w:color w:val="auto"/>
          <w:lang w:val="en-US" w:eastAsia="en-GB"/>
        </w:rPr>
        <w:t xml:space="preserve"> </w:t>
      </w:r>
      <w:r>
        <w:rPr>
          <w:rFonts w:eastAsia="Times New Roman"/>
          <w:b/>
          <w:bCs/>
          <w:color w:val="auto"/>
          <w:lang w:val="en-US" w:eastAsia="en-GB"/>
        </w:rPr>
        <w:t>33</w:t>
      </w:r>
      <w:r>
        <w:rPr>
          <w:rFonts w:eastAsia="Times New Roman"/>
          <w:bCs/>
          <w:color w:val="auto"/>
          <w:lang w:val="en-US" w:eastAsia="en-GB"/>
        </w:rPr>
        <w:t>: 606</w:t>
      </w:r>
      <w:r>
        <w:t>–</w:t>
      </w:r>
      <w:r>
        <w:rPr>
          <w:rFonts w:eastAsia="Times New Roman"/>
          <w:bCs/>
          <w:color w:val="auto"/>
          <w:lang w:val="en-US" w:eastAsia="en-GB"/>
        </w:rPr>
        <w:t>630.</w:t>
      </w:r>
    </w:p>
    <w:p w14:paraId="1D3EE7B4" w14:textId="77777777" w:rsidR="00497CE3" w:rsidRPr="00280FD4" w:rsidRDefault="00497CE3" w:rsidP="00497CE3">
      <w:pPr>
        <w:contextualSpacing/>
        <w:rPr>
          <w:bCs/>
        </w:rPr>
      </w:pPr>
      <w:r w:rsidRPr="00280FD4">
        <w:rPr>
          <w:b/>
          <w:bCs/>
        </w:rPr>
        <w:t>Wu X-C, Chatterjee S. 1993.</w:t>
      </w:r>
      <w:r w:rsidRPr="00A760BE">
        <w:rPr>
          <w:b/>
          <w:bCs/>
        </w:rPr>
        <w:t xml:space="preserve"> </w:t>
      </w:r>
      <w:r w:rsidRPr="00A760BE">
        <w:rPr>
          <w:i/>
          <w:iCs/>
        </w:rPr>
        <w:t>Dibothrosuchus elaphros</w:t>
      </w:r>
      <w:r w:rsidRPr="00A760BE">
        <w:t xml:space="preserve">, a crocodylomorph from the lower Jurassic of China and the phylogeny of the Sphenosuchia. </w:t>
      </w:r>
      <w:r w:rsidRPr="00280FD4">
        <w:rPr>
          <w:i/>
          <w:iCs/>
        </w:rPr>
        <w:t>J</w:t>
      </w:r>
      <w:r>
        <w:rPr>
          <w:i/>
          <w:iCs/>
        </w:rPr>
        <w:t>ournal of</w:t>
      </w:r>
      <w:r w:rsidRPr="00280FD4">
        <w:rPr>
          <w:i/>
          <w:iCs/>
        </w:rPr>
        <w:t xml:space="preserve"> Vert</w:t>
      </w:r>
      <w:r>
        <w:rPr>
          <w:i/>
          <w:iCs/>
        </w:rPr>
        <w:t>ebrate</w:t>
      </w:r>
      <w:r w:rsidRPr="00280FD4">
        <w:rPr>
          <w:i/>
          <w:iCs/>
        </w:rPr>
        <w:t xml:space="preserve"> Paleontol</w:t>
      </w:r>
      <w:r>
        <w:rPr>
          <w:i/>
          <w:iCs/>
        </w:rPr>
        <w:t>ogy</w:t>
      </w:r>
      <w:r w:rsidRPr="00A760BE">
        <w:rPr>
          <w:i/>
          <w:iCs/>
        </w:rPr>
        <w:t xml:space="preserve"> </w:t>
      </w:r>
      <w:r w:rsidRPr="00280FD4">
        <w:rPr>
          <w:b/>
          <w:bCs/>
        </w:rPr>
        <w:t>13</w:t>
      </w:r>
      <w:r w:rsidRPr="00A760BE">
        <w:rPr>
          <w:b/>
          <w:bCs/>
        </w:rPr>
        <w:t xml:space="preserve">: </w:t>
      </w:r>
      <w:r w:rsidRPr="00A760BE">
        <w:t>58–89.</w:t>
      </w:r>
      <w:r w:rsidRPr="00A760BE">
        <w:rPr>
          <w:bCs/>
        </w:rPr>
        <w:t xml:space="preserve"> </w:t>
      </w:r>
    </w:p>
    <w:p w14:paraId="114BA030" w14:textId="77777777" w:rsidR="00497CE3" w:rsidRDefault="00497CE3" w:rsidP="00497CE3">
      <w:pPr>
        <w:autoSpaceDE w:val="0"/>
        <w:autoSpaceDN w:val="0"/>
        <w:adjustRightInd w:val="0"/>
      </w:pPr>
      <w:r>
        <w:rPr>
          <w:b/>
          <w:bCs/>
        </w:rPr>
        <w:t xml:space="preserve">Wu X-C, Cheng ZW, Russell AP, Cumbaa SL. 2001a. </w:t>
      </w:r>
      <w:r>
        <w:t xml:space="preserve">Cranial anatomy of a new crocodyliform (Archosauria: Crocodylomorpha) from the Lower Cretaceous of Song-Liao Plain, northeastern China. </w:t>
      </w:r>
      <w:r>
        <w:rPr>
          <w:i/>
        </w:rPr>
        <w:t>Canadian Journal of Earth Sciences</w:t>
      </w:r>
      <w:r>
        <w:t xml:space="preserve"> </w:t>
      </w:r>
      <w:r>
        <w:rPr>
          <w:b/>
        </w:rPr>
        <w:t>38</w:t>
      </w:r>
      <w:r>
        <w:t>: 1653–1663.</w:t>
      </w:r>
    </w:p>
    <w:p w14:paraId="1D4D02F8" w14:textId="77777777" w:rsidR="00497CE3" w:rsidRDefault="00497CE3" w:rsidP="00497CE3">
      <w:pPr>
        <w:autoSpaceDE w:val="0"/>
        <w:autoSpaceDN w:val="0"/>
        <w:adjustRightInd w:val="0"/>
      </w:pPr>
      <w:bookmarkStart w:id="94" w:name="_Hlk489641505"/>
      <w:r>
        <w:rPr>
          <w:b/>
          <w:bCs/>
        </w:rPr>
        <w:t xml:space="preserve">Wu X-C, Russell AP, Cumbaa SL. 2001b. </w:t>
      </w:r>
      <w:r>
        <w:rPr>
          <w:i/>
          <w:iCs/>
        </w:rPr>
        <w:t xml:space="preserve">Terminonaris </w:t>
      </w:r>
      <w:r>
        <w:t xml:space="preserve">(Archosauria: Crocodyliformes): new material from Saskatchewan, Canada, and comments on its phylogenetic relationships. </w:t>
      </w:r>
      <w:r>
        <w:rPr>
          <w:i/>
        </w:rPr>
        <w:t>Journal of Vertebrate Paleontology</w:t>
      </w:r>
      <w:r>
        <w:t xml:space="preserve"> </w:t>
      </w:r>
      <w:r>
        <w:rPr>
          <w:b/>
        </w:rPr>
        <w:t>21</w:t>
      </w:r>
      <w:r>
        <w:t>: 492–514.</w:t>
      </w:r>
    </w:p>
    <w:p w14:paraId="2E779A0B" w14:textId="77777777" w:rsidR="00497CE3" w:rsidRDefault="00497CE3" w:rsidP="00497CE3">
      <w:pPr>
        <w:autoSpaceDE w:val="0"/>
        <w:autoSpaceDN w:val="0"/>
        <w:adjustRightInd w:val="0"/>
      </w:pPr>
      <w:r>
        <w:rPr>
          <w:b/>
          <w:bCs/>
        </w:rPr>
        <w:t xml:space="preserve">Wu X-C, Sues H-D. 1996. </w:t>
      </w:r>
      <w:r>
        <w:t xml:space="preserve">Anatomy and phylogenetic relationships of </w:t>
      </w:r>
      <w:r>
        <w:rPr>
          <w:i/>
          <w:iCs/>
        </w:rPr>
        <w:t>Chimaerasuchus paradoxus</w:t>
      </w:r>
      <w:r>
        <w:t xml:space="preserve">, an unusual crocodyliform reptile from the Lower Cretaceous of Hubei, China. </w:t>
      </w:r>
      <w:r>
        <w:rPr>
          <w:i/>
          <w:iCs/>
        </w:rPr>
        <w:t>Journal of Vertebrate Paleontology</w:t>
      </w:r>
      <w:r>
        <w:t xml:space="preserve"> </w:t>
      </w:r>
      <w:r>
        <w:rPr>
          <w:b/>
        </w:rPr>
        <w:t xml:space="preserve">16 </w:t>
      </w:r>
      <w:r>
        <w:t>(4): 688–702.</w:t>
      </w:r>
    </w:p>
    <w:p w14:paraId="3D5D6972" w14:textId="77777777" w:rsidR="00497CE3" w:rsidRDefault="00497CE3" w:rsidP="00497CE3">
      <w:pPr>
        <w:contextualSpacing/>
      </w:pPr>
      <w:r w:rsidRPr="00280FD4">
        <w:rPr>
          <w:b/>
          <w:bCs/>
        </w:rPr>
        <w:t>Wu X-C, Sues</w:t>
      </w:r>
      <w:r>
        <w:rPr>
          <w:b/>
          <w:bCs/>
        </w:rPr>
        <w:t xml:space="preserve"> H-D</w:t>
      </w:r>
      <w:r w:rsidRPr="00280FD4">
        <w:rPr>
          <w:b/>
          <w:bCs/>
        </w:rPr>
        <w:t>, Dong</w:t>
      </w:r>
      <w:r>
        <w:rPr>
          <w:b/>
          <w:bCs/>
        </w:rPr>
        <w:t xml:space="preserve"> ZM</w:t>
      </w:r>
      <w:r w:rsidRPr="00280FD4">
        <w:rPr>
          <w:b/>
          <w:bCs/>
        </w:rPr>
        <w:t>. 1997.</w:t>
      </w:r>
      <w:r w:rsidRPr="00A760BE">
        <w:rPr>
          <w:b/>
          <w:bCs/>
        </w:rPr>
        <w:t xml:space="preserve"> </w:t>
      </w:r>
      <w:r w:rsidRPr="00A760BE">
        <w:rPr>
          <w:i/>
          <w:iCs/>
        </w:rPr>
        <w:t>Sichuanosuchus shuhanensis</w:t>
      </w:r>
      <w:r w:rsidRPr="00A760BE">
        <w:t xml:space="preserve">, a new ?Early Cretaceous protosuchian (Archosauria: Crocodyliformes) from Sichuan (China), and the monophyly of Protosuchia. </w:t>
      </w:r>
      <w:r w:rsidRPr="00280FD4">
        <w:rPr>
          <w:i/>
          <w:iCs/>
        </w:rPr>
        <w:t>J</w:t>
      </w:r>
      <w:r>
        <w:rPr>
          <w:i/>
          <w:iCs/>
        </w:rPr>
        <w:t xml:space="preserve">ournal of </w:t>
      </w:r>
      <w:r w:rsidRPr="00280FD4">
        <w:rPr>
          <w:i/>
          <w:iCs/>
        </w:rPr>
        <w:t>Vert</w:t>
      </w:r>
      <w:r>
        <w:rPr>
          <w:i/>
          <w:iCs/>
        </w:rPr>
        <w:t>ebrate</w:t>
      </w:r>
      <w:r w:rsidRPr="00280FD4">
        <w:rPr>
          <w:i/>
          <w:iCs/>
        </w:rPr>
        <w:t xml:space="preserve"> Paleontol</w:t>
      </w:r>
      <w:r>
        <w:rPr>
          <w:i/>
          <w:iCs/>
        </w:rPr>
        <w:t>ogy</w:t>
      </w:r>
      <w:r w:rsidRPr="00A760BE">
        <w:rPr>
          <w:bCs/>
        </w:rPr>
        <w:t xml:space="preserve"> </w:t>
      </w:r>
      <w:r w:rsidRPr="00280FD4">
        <w:rPr>
          <w:b/>
          <w:bCs/>
        </w:rPr>
        <w:t>17</w:t>
      </w:r>
      <w:r w:rsidRPr="00A760BE">
        <w:rPr>
          <w:b/>
          <w:bCs/>
        </w:rPr>
        <w:t xml:space="preserve">: </w:t>
      </w:r>
      <w:r w:rsidRPr="00A760BE">
        <w:t>89–103.</w:t>
      </w:r>
    </w:p>
    <w:bookmarkEnd w:id="94"/>
    <w:p w14:paraId="43A2FEE6" w14:textId="77777777" w:rsidR="00497CE3" w:rsidRDefault="00497CE3" w:rsidP="00497CE3">
      <w:pPr>
        <w:autoSpaceDE w:val="0"/>
        <w:autoSpaceDN w:val="0"/>
        <w:adjustRightInd w:val="0"/>
      </w:pPr>
      <w:r>
        <w:rPr>
          <w:b/>
          <w:bCs/>
        </w:rPr>
        <w:t xml:space="preserve">Wu X-C, Sues H-D, Sun A. 1995. </w:t>
      </w:r>
      <w:r>
        <w:t xml:space="preserve">A plant-eating crocodiliform reptile from the Cretaceous of China. </w:t>
      </w:r>
      <w:r>
        <w:rPr>
          <w:i/>
          <w:iCs/>
        </w:rPr>
        <w:t>Nature</w:t>
      </w:r>
      <w:r>
        <w:t xml:space="preserve"> </w:t>
      </w:r>
      <w:r>
        <w:rPr>
          <w:b/>
        </w:rPr>
        <w:t xml:space="preserve">376 </w:t>
      </w:r>
      <w:r>
        <w:t>(6542): 678–680.</w:t>
      </w:r>
    </w:p>
    <w:p w14:paraId="5F199824" w14:textId="77777777" w:rsidR="00497CE3" w:rsidRDefault="00497CE3" w:rsidP="00497CE3">
      <w:pPr>
        <w:pStyle w:val="Default"/>
        <w:rPr>
          <w:lang w:eastAsia="en-GB"/>
        </w:rPr>
      </w:pPr>
      <w:r>
        <w:rPr>
          <w:b/>
          <w:lang w:eastAsia="en-GB"/>
        </w:rPr>
        <w:t>Young CC. 1948.</w:t>
      </w:r>
      <w:r>
        <w:rPr>
          <w:lang w:eastAsia="en-GB"/>
        </w:rPr>
        <w:t xml:space="preserve"> Fossil crocodiles in China, with notes on dinosaurian remains associated with the Kansu crocodiles. </w:t>
      </w:r>
      <w:r>
        <w:rPr>
          <w:i/>
          <w:lang w:eastAsia="en-GB"/>
        </w:rPr>
        <w:t>Bulletin of the Geological Society of China</w:t>
      </w:r>
      <w:r>
        <w:rPr>
          <w:lang w:eastAsia="en-GB"/>
        </w:rPr>
        <w:t xml:space="preserve"> </w:t>
      </w:r>
      <w:r>
        <w:rPr>
          <w:b/>
          <w:lang w:eastAsia="en-GB"/>
        </w:rPr>
        <w:t>28</w:t>
      </w:r>
      <w:r>
        <w:rPr>
          <w:lang w:eastAsia="en-GB"/>
        </w:rPr>
        <w:t xml:space="preserve"> (3–4): 255–288.</w:t>
      </w:r>
    </w:p>
    <w:p w14:paraId="73EE8E11" w14:textId="77777777" w:rsidR="00497CE3" w:rsidRDefault="00497CE3" w:rsidP="00497CE3">
      <w:pPr>
        <w:autoSpaceDE w:val="0"/>
        <w:autoSpaceDN w:val="0"/>
        <w:adjustRightInd w:val="0"/>
      </w:pPr>
      <w:r w:rsidRPr="004C5947">
        <w:rPr>
          <w:b/>
        </w:rPr>
        <w:t>Young CC. 1973.</w:t>
      </w:r>
      <w:r>
        <w:t xml:space="preserve"> A new fossil crocodile from Wuerho.</w:t>
      </w:r>
      <w:r>
        <w:rPr>
          <w:i/>
          <w:iCs/>
        </w:rPr>
        <w:t xml:space="preserve"> Memoirs of the Institute of Vertebrate Paleontology and Paleoanthropology Academia Sinica</w:t>
      </w:r>
      <w:r>
        <w:t xml:space="preserve"> </w:t>
      </w:r>
      <w:r>
        <w:rPr>
          <w:b/>
          <w:bCs/>
        </w:rPr>
        <w:t>11</w:t>
      </w:r>
      <w:r>
        <w:t>: 37–44</w:t>
      </w:r>
    </w:p>
    <w:p w14:paraId="21CD1F15" w14:textId="77777777" w:rsidR="00497CE3" w:rsidRDefault="00497CE3" w:rsidP="00497CE3">
      <w:pPr>
        <w:autoSpaceDE w:val="0"/>
        <w:autoSpaceDN w:val="0"/>
        <w:adjustRightInd w:val="0"/>
        <w:rPr>
          <w:lang w:eastAsia="en-US"/>
        </w:rPr>
      </w:pPr>
      <w:r>
        <w:rPr>
          <w:b/>
          <w:bCs/>
        </w:rPr>
        <w:t xml:space="preserve">Young CC, Chow MC. 1953. </w:t>
      </w:r>
      <w:r>
        <w:t xml:space="preserve">[New discovery of Reptilia from the Mesozoic of Sichuan]. </w:t>
      </w:r>
      <w:r>
        <w:rPr>
          <w:i/>
          <w:iCs/>
        </w:rPr>
        <w:t>Acta Paleontologica Sinica</w:t>
      </w:r>
      <w:r>
        <w:t xml:space="preserve"> </w:t>
      </w:r>
      <w:r>
        <w:rPr>
          <w:b/>
        </w:rPr>
        <w:t xml:space="preserve">1 </w:t>
      </w:r>
      <w:r>
        <w:t>(3): 87–109. [In Chinese]</w:t>
      </w:r>
    </w:p>
    <w:p w14:paraId="552E3AAD" w14:textId="77777777" w:rsidR="00497CE3" w:rsidRDefault="00497CE3" w:rsidP="00497CE3">
      <w:pPr>
        <w:pStyle w:val="Default"/>
        <w:rPr>
          <w:rFonts w:eastAsiaTheme="minorHAnsi"/>
        </w:rPr>
      </w:pPr>
      <w:r>
        <w:rPr>
          <w:b/>
        </w:rPr>
        <w:t>Young MT. 2006.</w:t>
      </w:r>
      <w:r>
        <w:t xml:space="preserve"> </w:t>
      </w:r>
      <w:r>
        <w:rPr>
          <w:rFonts w:eastAsiaTheme="minorHAnsi"/>
        </w:rPr>
        <w:t>Evolution and taxonomic revision of the Mesozoic marine crocodyliforms Metriorhynchidae, a phylogenetic and morphometric approach. Unpublished MSc (Master of Science) thesis, University of London Imperial College, London, 140 pp.</w:t>
      </w:r>
    </w:p>
    <w:p w14:paraId="698DD4B7" w14:textId="77777777" w:rsidR="00497CE3" w:rsidRDefault="00497CE3" w:rsidP="00497CE3">
      <w:pPr>
        <w:pStyle w:val="Default"/>
        <w:rPr>
          <w:rFonts w:eastAsiaTheme="minorHAnsi"/>
        </w:rPr>
      </w:pPr>
      <w:r>
        <w:rPr>
          <w:b/>
        </w:rPr>
        <w:t>Young MT. 2009.</w:t>
      </w:r>
      <w:r>
        <w:t xml:space="preserve"> </w:t>
      </w:r>
      <w:r>
        <w:rPr>
          <w:rFonts w:eastAsiaTheme="minorHAnsi"/>
        </w:rPr>
        <w:t>Quantifying macroevolutionary patterns in highly specialised clades of archosaurs. Unpublished PhD thesis, University of Bristol, Bristol, 350 pp.</w:t>
      </w:r>
    </w:p>
    <w:p w14:paraId="01265078" w14:textId="77777777" w:rsidR="00497CE3" w:rsidRDefault="00497CE3" w:rsidP="00497CE3">
      <w:pPr>
        <w:autoSpaceDE w:val="0"/>
        <w:autoSpaceDN w:val="0"/>
        <w:adjustRightInd w:val="0"/>
        <w:rPr>
          <w:rFonts w:eastAsiaTheme="minorHAnsi"/>
          <w:b/>
          <w:bCs/>
        </w:rPr>
      </w:pPr>
      <w:r>
        <w:rPr>
          <w:b/>
          <w:szCs w:val="22"/>
        </w:rPr>
        <w:t>Young MT. 2014.</w:t>
      </w:r>
      <w:r>
        <w:rPr>
          <w:szCs w:val="22"/>
        </w:rPr>
        <w:t xml:space="preserve"> </w:t>
      </w:r>
      <w:r>
        <w:rPr>
          <w:rStyle w:val="citation"/>
          <w:szCs w:val="22"/>
        </w:rPr>
        <w:t xml:space="preserve">Filling the “Corallian Gap”: re-description of a metriorhynchid crocodylomorph from the Oxfordian (Late Jurassic) of Headington, England. </w:t>
      </w:r>
      <w:r>
        <w:rPr>
          <w:rStyle w:val="citation"/>
          <w:i/>
          <w:szCs w:val="22"/>
        </w:rPr>
        <w:t>Historical Biology</w:t>
      </w:r>
      <w:r>
        <w:rPr>
          <w:szCs w:val="22"/>
        </w:rPr>
        <w:t xml:space="preserve"> </w:t>
      </w:r>
      <w:r>
        <w:rPr>
          <w:b/>
          <w:szCs w:val="22"/>
        </w:rPr>
        <w:t>26</w:t>
      </w:r>
      <w:r>
        <w:rPr>
          <w:szCs w:val="22"/>
        </w:rPr>
        <w:t xml:space="preserve"> (1): 80–90.</w:t>
      </w:r>
    </w:p>
    <w:p w14:paraId="35E9B2DB" w14:textId="77777777" w:rsidR="00497CE3" w:rsidRDefault="00497CE3" w:rsidP="00497CE3">
      <w:pPr>
        <w:autoSpaceDE w:val="0"/>
        <w:autoSpaceDN w:val="0"/>
        <w:adjustRightInd w:val="0"/>
      </w:pPr>
      <w:r>
        <w:rPr>
          <w:b/>
          <w:bCs/>
        </w:rPr>
        <w:t xml:space="preserve">Young MT, Andrade MB. 2009. </w:t>
      </w:r>
      <w:r>
        <w:t xml:space="preserve">What is </w:t>
      </w:r>
      <w:r>
        <w:rPr>
          <w:i/>
          <w:iCs/>
        </w:rPr>
        <w:t>Geosaurus</w:t>
      </w:r>
      <w:r>
        <w:t xml:space="preserve">? Redescription of </w:t>
      </w:r>
      <w:r>
        <w:rPr>
          <w:i/>
          <w:iCs/>
        </w:rPr>
        <w:t xml:space="preserve">G. giganteus </w:t>
      </w:r>
      <w:r>
        <w:t xml:space="preserve">(Thalattosuchia: Metriorhynchidae) from the Upper Jurassic of Bayern, Germany. </w:t>
      </w:r>
      <w:r>
        <w:rPr>
          <w:i/>
          <w:iCs/>
        </w:rPr>
        <w:t>Zoological Journal of the Linnean Society</w:t>
      </w:r>
      <w:r>
        <w:t xml:space="preserve"> </w:t>
      </w:r>
      <w:r>
        <w:rPr>
          <w:b/>
        </w:rPr>
        <w:t xml:space="preserve">157 </w:t>
      </w:r>
      <w:r>
        <w:t>(3): 551–585.</w:t>
      </w:r>
    </w:p>
    <w:p w14:paraId="617F5C4A" w14:textId="77777777" w:rsidR="00497CE3" w:rsidRDefault="00497CE3" w:rsidP="00497CE3">
      <w:pPr>
        <w:autoSpaceDE w:val="0"/>
        <w:autoSpaceDN w:val="0"/>
        <w:adjustRightInd w:val="0"/>
      </w:pPr>
      <w:r>
        <w:rPr>
          <w:b/>
        </w:rPr>
        <w:t xml:space="preserve">Young MT, Andrade MB, Brusatte SL, Sakamoto M, Liston J. 2013. </w:t>
      </w:r>
      <w:r>
        <w:t xml:space="preserve">The oldest known metriorhynchid super-predator: a new genus and species from the Middle Jurassic of England, with implications for serration and mandibular evolution in predacious clades. </w:t>
      </w:r>
      <w:r>
        <w:rPr>
          <w:i/>
        </w:rPr>
        <w:t>Journal of Systematic Palaeontology</w:t>
      </w:r>
      <w:r>
        <w:t xml:space="preserve"> </w:t>
      </w:r>
      <w:r>
        <w:rPr>
          <w:b/>
        </w:rPr>
        <w:t>11</w:t>
      </w:r>
      <w:r>
        <w:t xml:space="preserve"> (4): 475–513.</w:t>
      </w:r>
    </w:p>
    <w:p w14:paraId="6E047B4A" w14:textId="77777777" w:rsidR="00497CE3" w:rsidRDefault="00497CE3" w:rsidP="00497CE3">
      <w:r>
        <w:rPr>
          <w:b/>
        </w:rPr>
        <w:t>Young MT, Bell MA, Andrade MB, Brusatte SL. 2011.</w:t>
      </w:r>
      <w:r>
        <w:t xml:space="preserve"> Body size estimation and evolution in metriorhynchid crocodylomorphs: implications for species diversification and niche partitioning. </w:t>
      </w:r>
      <w:r>
        <w:rPr>
          <w:i/>
        </w:rPr>
        <w:t>Zoological Journal of the Linnean Society</w:t>
      </w:r>
      <w:r>
        <w:t xml:space="preserve"> </w:t>
      </w:r>
      <w:r>
        <w:rPr>
          <w:b/>
        </w:rPr>
        <w:t>163</w:t>
      </w:r>
      <w:r>
        <w:t>: 1199–1216.</w:t>
      </w:r>
    </w:p>
    <w:p w14:paraId="3CFAC21D" w14:textId="77777777" w:rsidR="00497CE3" w:rsidRDefault="00497CE3" w:rsidP="00497CE3">
      <w:r>
        <w:rPr>
          <w:b/>
        </w:rPr>
        <w:t>Young MT, Brusatte SL, Andrade MB, Desojo JB, Beatty BL, Steel L, Fernández MS, Sakamoto M, Ruiz-Omeñaca JI, Schoch RR. 2012.</w:t>
      </w:r>
      <w:r>
        <w:t xml:space="preserve"> The cranial osteology and feeding ecology of the metriorhynchid crocodylomorph genera </w:t>
      </w:r>
      <w:r>
        <w:rPr>
          <w:i/>
        </w:rPr>
        <w:t>Dakosaurus</w:t>
      </w:r>
      <w:r>
        <w:t xml:space="preserve"> and </w:t>
      </w:r>
      <w:r>
        <w:rPr>
          <w:i/>
        </w:rPr>
        <w:t>Plesiosuchus</w:t>
      </w:r>
      <w:r>
        <w:t xml:space="preserve"> from the Late Jurassic of Europe. </w:t>
      </w:r>
      <w:r>
        <w:rPr>
          <w:i/>
        </w:rPr>
        <w:t>PLOS ONE</w:t>
      </w:r>
      <w:r>
        <w:t xml:space="preserve">, </w:t>
      </w:r>
      <w:r>
        <w:rPr>
          <w:b/>
        </w:rPr>
        <w:t>7</w:t>
      </w:r>
      <w:r>
        <w:t>: e44985.</w:t>
      </w:r>
    </w:p>
    <w:p w14:paraId="7AF5B2AA" w14:textId="77777777" w:rsidR="00497CE3" w:rsidRPr="0029101A" w:rsidRDefault="00497CE3" w:rsidP="00497CE3">
      <w:pPr>
        <w:autoSpaceDE w:val="0"/>
        <w:autoSpaceDN w:val="0"/>
        <w:adjustRightInd w:val="0"/>
      </w:pPr>
      <w:r w:rsidRPr="0029101A">
        <w:rPr>
          <w:b/>
          <w:bCs/>
        </w:rPr>
        <w:t>Young MT</w:t>
      </w:r>
      <w:r w:rsidRPr="0029101A">
        <w:rPr>
          <w:b/>
        </w:rPr>
        <w:t>, Brusatte SL, Ruta M, Andrade MB. 2010.</w:t>
      </w:r>
      <w:r w:rsidRPr="0029101A">
        <w:t xml:space="preserve"> The evolution of Metriorhynchoidea (Mesoeucrocodylia, Thalattosuchia): an integrated approach using geometrics morphometrics, analysis of disparity and biomechanics. </w:t>
      </w:r>
      <w:r w:rsidRPr="0029101A">
        <w:rPr>
          <w:i/>
          <w:iCs/>
        </w:rPr>
        <w:t>Zoological Journal of the Linnean Society</w:t>
      </w:r>
      <w:r w:rsidRPr="0029101A">
        <w:t xml:space="preserve"> </w:t>
      </w:r>
      <w:r w:rsidRPr="0029101A">
        <w:rPr>
          <w:b/>
          <w:bCs/>
        </w:rPr>
        <w:t>158</w:t>
      </w:r>
      <w:r w:rsidRPr="0029101A">
        <w:t xml:space="preserve"> (4): 801</w:t>
      </w:r>
      <w:r>
        <w:t>–</w:t>
      </w:r>
      <w:r w:rsidRPr="0029101A">
        <w:t>859.</w:t>
      </w:r>
    </w:p>
    <w:p w14:paraId="3ED425AF" w14:textId="77777777" w:rsidR="00497CE3" w:rsidRDefault="00497CE3" w:rsidP="00497CE3">
      <w:pPr>
        <w:rPr>
          <w:rFonts w:eastAsia="Times New Roman"/>
          <w:bCs/>
          <w:iCs/>
        </w:rPr>
      </w:pPr>
      <w:r>
        <w:rPr>
          <w:rFonts w:eastAsia="Times New Roman"/>
          <w:b/>
          <w:bCs/>
          <w:lang w:val="en-US"/>
        </w:rPr>
        <w:t>Young MT, Hastings AK, Allain R, Smith TJ.</w:t>
      </w:r>
      <w:r>
        <w:rPr>
          <w:rFonts w:eastAsia="Times New Roman"/>
          <w:bCs/>
          <w:lang w:val="en-US"/>
        </w:rPr>
        <w:t xml:space="preserve"> </w:t>
      </w:r>
      <w:r>
        <w:rPr>
          <w:rFonts w:eastAsia="Times New Roman"/>
          <w:b/>
          <w:bCs/>
          <w:lang w:val="en-US"/>
        </w:rPr>
        <w:t>2016.</w:t>
      </w:r>
      <w:r>
        <w:rPr>
          <w:rFonts w:eastAsia="Times New Roman"/>
          <w:bCs/>
          <w:lang w:val="en-US"/>
        </w:rPr>
        <w:t xml:space="preserve"> Revision of the enigmatic crocodyliform </w:t>
      </w:r>
      <w:r>
        <w:rPr>
          <w:rFonts w:eastAsia="Times New Roman"/>
          <w:bCs/>
          <w:i/>
          <w:lang w:val="en-US"/>
        </w:rPr>
        <w:t>Elosuchus felixi</w:t>
      </w:r>
      <w:r>
        <w:rPr>
          <w:rFonts w:eastAsia="Times New Roman"/>
          <w:bCs/>
          <w:lang w:val="en-US"/>
        </w:rPr>
        <w:t xml:space="preserve"> de Lapparent de Broin, 2002 from the Lower-Upper Cretaceous boundary of Niger: potential evidence for an early origin of the clade Dyrosauridae. </w:t>
      </w:r>
      <w:r>
        <w:rPr>
          <w:rFonts w:eastAsia="Times New Roman"/>
          <w:bCs/>
          <w:i/>
          <w:iCs/>
          <w:lang w:val="en-US"/>
        </w:rPr>
        <w:t xml:space="preserve">Zoological Journal of the Linnaean Society </w:t>
      </w:r>
      <w:r>
        <w:rPr>
          <w:rFonts w:eastAsia="Times New Roman"/>
          <w:bCs/>
          <w:iCs/>
        </w:rPr>
        <w:t>DOI: 10.1111/zoj.12452.</w:t>
      </w:r>
    </w:p>
    <w:p w14:paraId="6BB68336" w14:textId="77777777" w:rsidR="00497CE3" w:rsidRDefault="00497CE3" w:rsidP="00497CE3">
      <w:pPr>
        <w:rPr>
          <w:rFonts w:eastAsiaTheme="minorHAnsi"/>
          <w:lang w:eastAsia="en-US"/>
        </w:rPr>
      </w:pPr>
      <w:r>
        <w:rPr>
          <w:b/>
        </w:rPr>
        <w:t>Young MT, Hua S, Steel L, Foffa D, Brusatte SL, Thüring S, Mateus O, Ruiz-Omeñaca JI, Havlik P, Lepage Y, Andrade MB. 2014.</w:t>
      </w:r>
      <w:r>
        <w:t xml:space="preserve"> Revision of the Late Jurassic teleosaurid genus </w:t>
      </w:r>
      <w:r>
        <w:rPr>
          <w:i/>
        </w:rPr>
        <w:t>Machimosaurus</w:t>
      </w:r>
      <w:r>
        <w:t xml:space="preserve"> (Crocodylomorpha, Thalattosuchia. </w:t>
      </w:r>
      <w:r>
        <w:rPr>
          <w:i/>
        </w:rPr>
        <w:t>Royal Society Open Science</w:t>
      </w:r>
      <w:r>
        <w:t xml:space="preserve"> 1: 140222. http://dx.doi.org/10.1098/rsos.140222.</w:t>
      </w:r>
    </w:p>
    <w:p w14:paraId="53D4AA3F" w14:textId="77777777" w:rsidR="00497CE3" w:rsidRDefault="00497CE3" w:rsidP="00497CE3">
      <w:r>
        <w:rPr>
          <w:b/>
        </w:rPr>
        <w:t>Young MT</w:t>
      </w:r>
      <w:r>
        <w:t xml:space="preserve">, </w:t>
      </w:r>
      <w:r>
        <w:rPr>
          <w:b/>
        </w:rPr>
        <w:t>Hua S, Steel L, Foffa D, Brusatte SL, Thüring S, Mateus O, Ruiz-Omeñaca JI, Havlik P, Lepage Y, Andrade MB. 2015.</w:t>
      </w:r>
      <w:r>
        <w:t xml:space="preserve"> Addendum to 'Revision of the Late Jurassic teleosaurid genus </w:t>
      </w:r>
      <w:r>
        <w:rPr>
          <w:i/>
        </w:rPr>
        <w:t>Machimosaurus</w:t>
      </w:r>
      <w:r>
        <w:t xml:space="preserve"> (Crocodylomorpha, Thalattosuchia)'. </w:t>
      </w:r>
      <w:r>
        <w:rPr>
          <w:i/>
        </w:rPr>
        <w:t>Royal Society Open Science</w:t>
      </w:r>
      <w:r>
        <w:rPr>
          <w:b/>
        </w:rPr>
        <w:t xml:space="preserve"> 2</w:t>
      </w:r>
      <w:r>
        <w:t xml:space="preserve"> (2): 150024. </w:t>
      </w:r>
      <w:r>
        <w:rPr>
          <w:rFonts w:eastAsia="MyriadPro-Cond"/>
          <w:color w:val="231F20"/>
        </w:rPr>
        <w:t>http://dx.doi.org/10.1098/rsos.150024</w:t>
      </w:r>
    </w:p>
    <w:p w14:paraId="20942800" w14:textId="77777777" w:rsidR="00497CE3" w:rsidRDefault="00497CE3" w:rsidP="00497CE3">
      <w:pPr>
        <w:autoSpaceDE w:val="0"/>
        <w:autoSpaceDN w:val="0"/>
        <w:adjustRightInd w:val="0"/>
      </w:pPr>
      <w:r>
        <w:rPr>
          <w:b/>
          <w:bCs/>
        </w:rPr>
        <w:t xml:space="preserve">Zaher H, Pol D, Carvalho AB, Ricomini C, Campos D, Nava W. 2006. </w:t>
      </w:r>
      <w:r>
        <w:t xml:space="preserve">Redescription of the cranial morphology of </w:t>
      </w:r>
      <w:r>
        <w:rPr>
          <w:i/>
          <w:iCs/>
        </w:rPr>
        <w:t>Mariliasuchus amarali</w:t>
      </w:r>
      <w:r>
        <w:t xml:space="preserve">, and its phylogenetic affinities (Crocodyliformes, Notosuchia). </w:t>
      </w:r>
      <w:r>
        <w:rPr>
          <w:i/>
          <w:iCs/>
        </w:rPr>
        <w:t>American Museum Novitates</w:t>
      </w:r>
      <w:r>
        <w:t xml:space="preserve"> </w:t>
      </w:r>
      <w:r>
        <w:rPr>
          <w:b/>
        </w:rPr>
        <w:t>3512</w:t>
      </w:r>
      <w:r>
        <w:t>: 1–40.</w:t>
      </w:r>
    </w:p>
    <w:p w14:paraId="6ECF5E2A" w14:textId="77777777" w:rsidR="00497CE3" w:rsidRPr="005734BB" w:rsidRDefault="00497CE3" w:rsidP="00497CE3">
      <w:pPr>
        <w:pStyle w:val="NoSpacing"/>
      </w:pPr>
      <w:r w:rsidRPr="005734BB">
        <w:rPr>
          <w:b/>
        </w:rPr>
        <w:t>Zanno LE, Drymala S, Nesbitt SJ, Schneider VP. 2015.</w:t>
      </w:r>
      <w:r w:rsidRPr="005734BB">
        <w:t xml:space="preserve"> Early crocodylomorph increases top tier predator diversity during rise of dinosaurs. </w:t>
      </w:r>
      <w:r w:rsidRPr="005734BB">
        <w:rPr>
          <w:i/>
        </w:rPr>
        <w:t xml:space="preserve">Scientific Reports </w:t>
      </w:r>
      <w:r w:rsidRPr="005734BB">
        <w:rPr>
          <w:b/>
        </w:rPr>
        <w:t>5</w:t>
      </w:r>
      <w:r w:rsidRPr="005734BB">
        <w:t>: 9276. doi:10.1038/srep09276</w:t>
      </w:r>
    </w:p>
    <w:p w14:paraId="245C6D1E" w14:textId="77777777" w:rsidR="00497CE3" w:rsidRDefault="00497CE3" w:rsidP="00497CE3">
      <w:pPr>
        <w:rPr>
          <w:b/>
          <w:sz w:val="28"/>
        </w:rPr>
      </w:pPr>
    </w:p>
    <w:p w14:paraId="08D2D51E" w14:textId="77777777" w:rsidR="00497CE3" w:rsidRDefault="00497CE3" w:rsidP="00497CE3">
      <w:pPr>
        <w:rPr>
          <w:b/>
          <w:sz w:val="28"/>
        </w:rPr>
      </w:pPr>
    </w:p>
    <w:p w14:paraId="1B46A2BD" w14:textId="77777777" w:rsidR="00497CE3" w:rsidRDefault="00497CE3" w:rsidP="00497CE3">
      <w:pPr>
        <w:rPr>
          <w:b/>
          <w:sz w:val="28"/>
        </w:rPr>
      </w:pPr>
    </w:p>
    <w:p w14:paraId="7FDDE108" w14:textId="783B803F" w:rsidR="00497CE3" w:rsidRDefault="00497CE3" w:rsidP="00497CE3">
      <w:pPr>
        <w:rPr>
          <w:b/>
          <w:sz w:val="28"/>
        </w:rPr>
      </w:pPr>
      <w:r>
        <w:rPr>
          <w:b/>
          <w:sz w:val="28"/>
        </w:rPr>
        <w:t>S5) List of institutional abbreviations</w:t>
      </w:r>
    </w:p>
    <w:p w14:paraId="7E0EEED5" w14:textId="77777777" w:rsidR="00497CE3" w:rsidRDefault="00497CE3" w:rsidP="00497CE3">
      <w:pPr>
        <w:autoSpaceDE w:val="0"/>
        <w:autoSpaceDN w:val="0"/>
        <w:adjustRightInd w:val="0"/>
        <w:rPr>
          <w:bCs/>
        </w:rPr>
      </w:pPr>
    </w:p>
    <w:p w14:paraId="1DED5632" w14:textId="77777777" w:rsidR="00497CE3" w:rsidRDefault="00497CE3" w:rsidP="00497CE3">
      <w:pPr>
        <w:autoSpaceDE w:val="0"/>
        <w:autoSpaceDN w:val="0"/>
        <w:adjustRightInd w:val="0"/>
      </w:pPr>
      <w:r>
        <w:rPr>
          <w:b/>
        </w:rPr>
        <w:t>AMNH</w:t>
      </w:r>
      <w:r>
        <w:t>, American Museum of Natural History, New York City, NY, USA</w:t>
      </w:r>
    </w:p>
    <w:p w14:paraId="35107689" w14:textId="77777777" w:rsidR="00497CE3" w:rsidRPr="005734BB" w:rsidRDefault="00497CE3" w:rsidP="00497CE3">
      <w:pPr>
        <w:pStyle w:val="NoSpacing"/>
        <w:rPr>
          <w:rFonts w:eastAsia="TT30o00"/>
          <w:lang w:eastAsia="es-ES"/>
        </w:rPr>
      </w:pPr>
      <w:r w:rsidRPr="005734BB">
        <w:rPr>
          <w:rFonts w:eastAsia="Times New Roman"/>
          <w:b/>
          <w:lang w:eastAsia="es-ES"/>
        </w:rPr>
        <w:t>BPI</w:t>
      </w:r>
      <w:r w:rsidRPr="005734BB">
        <w:rPr>
          <w:rFonts w:eastAsia="TT30o00"/>
          <w:lang w:eastAsia="es-ES"/>
        </w:rPr>
        <w:t>, Bernard Price Institute, Johannesburg, South Africa</w:t>
      </w:r>
    </w:p>
    <w:p w14:paraId="53A02C5A" w14:textId="77777777" w:rsidR="00497CE3" w:rsidRDefault="00497CE3" w:rsidP="00497CE3">
      <w:pPr>
        <w:autoSpaceDE w:val="0"/>
        <w:autoSpaceDN w:val="0"/>
        <w:adjustRightInd w:val="0"/>
        <w:ind w:left="720" w:hanging="720"/>
      </w:pPr>
      <w:r>
        <w:rPr>
          <w:b/>
        </w:rPr>
        <w:t>BRLSI</w:t>
      </w:r>
      <w:r>
        <w:t xml:space="preserve">, Bath Royal Literary and Scientific Institute, Bath, England, </w:t>
      </w:r>
      <w:r>
        <w:rPr>
          <w:lang w:val="en-US"/>
        </w:rPr>
        <w:t>UK</w:t>
      </w:r>
    </w:p>
    <w:p w14:paraId="42D25695" w14:textId="77777777" w:rsidR="00497CE3" w:rsidRDefault="00497CE3" w:rsidP="00497CE3">
      <w:pPr>
        <w:autoSpaceDE w:val="0"/>
        <w:autoSpaceDN w:val="0"/>
        <w:adjustRightInd w:val="0"/>
      </w:pPr>
      <w:r>
        <w:rPr>
          <w:b/>
        </w:rPr>
        <w:t>BRSMG</w:t>
      </w:r>
      <w:r>
        <w:t xml:space="preserve">, Bristol City Museum &amp; Art Gallery, Bristol, England, </w:t>
      </w:r>
      <w:r>
        <w:rPr>
          <w:lang w:val="en-US"/>
        </w:rPr>
        <w:t>UK</w:t>
      </w:r>
    </w:p>
    <w:p w14:paraId="1A505C76" w14:textId="77777777" w:rsidR="00497CE3" w:rsidRDefault="00497CE3" w:rsidP="00497CE3">
      <w:pPr>
        <w:autoSpaceDE w:val="0"/>
        <w:autoSpaceDN w:val="0"/>
        <w:adjustRightInd w:val="0"/>
        <w:ind w:left="720" w:hanging="720"/>
      </w:pPr>
      <w:r>
        <w:rPr>
          <w:b/>
        </w:rPr>
        <w:t>BSPG</w:t>
      </w:r>
      <w:r>
        <w:t>, Bayerische Staatssammlung für Paläontologie und Historische Geologie, München, Germany</w:t>
      </w:r>
    </w:p>
    <w:p w14:paraId="17F7D58A" w14:textId="77777777" w:rsidR="00497CE3" w:rsidRDefault="00497CE3" w:rsidP="00497CE3">
      <w:pPr>
        <w:autoSpaceDE w:val="0"/>
        <w:autoSpaceDN w:val="0"/>
        <w:adjustRightInd w:val="0"/>
      </w:pPr>
      <w:r>
        <w:rPr>
          <w:b/>
        </w:rPr>
        <w:t>CAMSM</w:t>
      </w:r>
      <w:r>
        <w:t xml:space="preserve">, Sedgwick Museum of Earth Science, University of Cambridge, England, UK </w:t>
      </w:r>
    </w:p>
    <w:p w14:paraId="19C7CB3A" w14:textId="77777777" w:rsidR="00497CE3" w:rsidRDefault="00497CE3" w:rsidP="00497CE3">
      <w:pPr>
        <w:autoSpaceDE w:val="0"/>
        <w:autoSpaceDN w:val="0"/>
        <w:adjustRightInd w:val="0"/>
      </w:pPr>
      <w:r>
        <w:rPr>
          <w:b/>
          <w:bCs/>
        </w:rPr>
        <w:t>CM</w:t>
      </w:r>
      <w:r>
        <w:t>, Carnegie Museum of Natural History, Pittsburgh, PA, USA</w:t>
      </w:r>
    </w:p>
    <w:p w14:paraId="20CC3D79" w14:textId="77777777" w:rsidR="00497CE3" w:rsidRDefault="00497CE3" w:rsidP="00497CE3">
      <w:pPr>
        <w:autoSpaceDE w:val="0"/>
        <w:autoSpaceDN w:val="0"/>
        <w:adjustRightInd w:val="0"/>
      </w:pPr>
      <w:r>
        <w:rPr>
          <w:b/>
        </w:rPr>
        <w:t>CMC</w:t>
      </w:r>
      <w:r>
        <w:t>, Cincinnati Museum Center, Cincinnati, OH, USA</w:t>
      </w:r>
    </w:p>
    <w:p w14:paraId="565F16C9" w14:textId="77777777" w:rsidR="00497CE3" w:rsidRDefault="00497CE3" w:rsidP="00497CE3">
      <w:pPr>
        <w:autoSpaceDE w:val="0"/>
        <w:autoSpaceDN w:val="0"/>
        <w:adjustRightInd w:val="0"/>
        <w:ind w:left="720" w:hanging="720"/>
      </w:pPr>
      <w:r>
        <w:rPr>
          <w:b/>
        </w:rPr>
        <w:t>DORCM</w:t>
      </w:r>
      <w:r>
        <w:t xml:space="preserve">, Dorchester County Museum, Dorchester, </w:t>
      </w:r>
      <w:r>
        <w:rPr>
          <w:lang w:val="en-US"/>
        </w:rPr>
        <w:t>United Kingdom</w:t>
      </w:r>
    </w:p>
    <w:p w14:paraId="18F9EFF8" w14:textId="77777777" w:rsidR="00497CE3" w:rsidRDefault="00497CE3" w:rsidP="00497CE3">
      <w:pPr>
        <w:autoSpaceDE w:val="0"/>
        <w:autoSpaceDN w:val="0"/>
        <w:adjustRightInd w:val="0"/>
      </w:pPr>
      <w:r>
        <w:rPr>
          <w:b/>
        </w:rPr>
        <w:t>DGM</w:t>
      </w:r>
      <w:r>
        <w:t>, Departamento Nacional de Produção Mineral, Rio de Janeiro, Brazil</w:t>
      </w:r>
    </w:p>
    <w:p w14:paraId="4777B37E" w14:textId="77777777" w:rsidR="00497CE3" w:rsidRDefault="00497CE3" w:rsidP="00497CE3">
      <w:pPr>
        <w:autoSpaceDE w:val="0"/>
        <w:autoSpaceDN w:val="0"/>
        <w:adjustRightInd w:val="0"/>
      </w:pPr>
      <w:r>
        <w:rPr>
          <w:b/>
        </w:rPr>
        <w:t>FEF</w:t>
      </w:r>
      <w:r>
        <w:t>, Fundação Educacional de Fernandópolis, Fernandópolis, Brazil</w:t>
      </w:r>
    </w:p>
    <w:p w14:paraId="562DBDAB" w14:textId="77777777" w:rsidR="00497CE3" w:rsidRPr="005734BB" w:rsidRDefault="00497CE3" w:rsidP="00497CE3">
      <w:pPr>
        <w:pStyle w:val="NoSpacing"/>
        <w:rPr>
          <w:rFonts w:eastAsia="TT30o00"/>
          <w:lang w:eastAsia="es-ES"/>
        </w:rPr>
      </w:pPr>
      <w:r w:rsidRPr="005734BB">
        <w:rPr>
          <w:rFonts w:eastAsia="Times New Roman"/>
          <w:b/>
          <w:lang w:eastAsia="es-ES"/>
        </w:rPr>
        <w:t>FMNH</w:t>
      </w:r>
      <w:r w:rsidRPr="005734BB">
        <w:rPr>
          <w:rFonts w:eastAsia="TT30o00"/>
          <w:lang w:eastAsia="es-ES"/>
        </w:rPr>
        <w:t>, Field Museum of Natural History, Chicago, Illinois, USA</w:t>
      </w:r>
    </w:p>
    <w:p w14:paraId="33D21B3E" w14:textId="77777777" w:rsidR="00497CE3" w:rsidRDefault="00497CE3" w:rsidP="00497CE3">
      <w:pPr>
        <w:autoSpaceDE w:val="0"/>
        <w:autoSpaceDN w:val="0"/>
        <w:adjustRightInd w:val="0"/>
      </w:pPr>
      <w:r>
        <w:rPr>
          <w:b/>
        </w:rPr>
        <w:t>GLAHM</w:t>
      </w:r>
      <w:r>
        <w:t>, Hunterian Museum, Glasgow, Scotland, UK</w:t>
      </w:r>
    </w:p>
    <w:p w14:paraId="1E6BF65D" w14:textId="77777777" w:rsidR="00497CE3" w:rsidRPr="005734BB" w:rsidRDefault="00497CE3" w:rsidP="00497CE3">
      <w:pPr>
        <w:pStyle w:val="NoSpacing"/>
        <w:rPr>
          <w:rFonts w:eastAsia="TT30o00"/>
          <w:lang w:eastAsia="es-ES"/>
        </w:rPr>
      </w:pPr>
      <w:r w:rsidRPr="005734BB">
        <w:rPr>
          <w:rFonts w:eastAsia="Times New Roman"/>
          <w:b/>
          <w:lang w:eastAsia="es-ES"/>
        </w:rPr>
        <w:t>IGM</w:t>
      </w:r>
      <w:r w:rsidRPr="005734BB">
        <w:rPr>
          <w:rFonts w:eastAsia="TT30o00"/>
          <w:lang w:eastAsia="es-ES"/>
        </w:rPr>
        <w:t>, Mongolian Institute of Geology, Ulaan Bataar, Mongolia</w:t>
      </w:r>
    </w:p>
    <w:p w14:paraId="2ED70349" w14:textId="77777777" w:rsidR="00497CE3" w:rsidRDefault="00497CE3" w:rsidP="00497CE3">
      <w:pPr>
        <w:autoSpaceDE w:val="0"/>
        <w:autoSpaceDN w:val="0"/>
        <w:adjustRightInd w:val="0"/>
      </w:pPr>
      <w:r>
        <w:rPr>
          <w:b/>
          <w:lang w:val="en-US"/>
        </w:rPr>
        <w:t>IRSNB</w:t>
      </w:r>
      <w:r>
        <w:rPr>
          <w:lang w:val="en-US"/>
        </w:rPr>
        <w:t>, Institut Royal des Sciences Naturelles de Bruxelles, Belgium</w:t>
      </w:r>
    </w:p>
    <w:p w14:paraId="09A5D586" w14:textId="77777777" w:rsidR="00497CE3" w:rsidRPr="006473C0" w:rsidRDefault="00497CE3" w:rsidP="00497CE3">
      <w:pPr>
        <w:autoSpaceDE w:val="0"/>
        <w:autoSpaceDN w:val="0"/>
        <w:adjustRightInd w:val="0"/>
        <w:ind w:left="720" w:hanging="720"/>
        <w:rPr>
          <w:b/>
        </w:rPr>
      </w:pPr>
      <w:r>
        <w:rPr>
          <w:rStyle w:val="Strong"/>
        </w:rPr>
        <w:t xml:space="preserve">IVPP, </w:t>
      </w:r>
      <w:r w:rsidRPr="006473C0">
        <w:rPr>
          <w:rStyle w:val="Strong"/>
        </w:rPr>
        <w:t>Institute of Vertebrate Paleontology and Paleoanthropology, Beijing, China</w:t>
      </w:r>
    </w:p>
    <w:p w14:paraId="39FD2C87" w14:textId="77777777" w:rsidR="00497CE3" w:rsidRDefault="00497CE3" w:rsidP="00497CE3">
      <w:pPr>
        <w:autoSpaceDE w:val="0"/>
        <w:autoSpaceDN w:val="0"/>
        <w:adjustRightInd w:val="0"/>
        <w:ind w:left="720" w:hanging="720"/>
        <w:rPr>
          <w:lang w:val="en-US"/>
        </w:rPr>
      </w:pPr>
      <w:r>
        <w:rPr>
          <w:b/>
        </w:rPr>
        <w:t>IWCMS</w:t>
      </w:r>
      <w:r>
        <w:t xml:space="preserve">, </w:t>
      </w:r>
      <w:r>
        <w:rPr>
          <w:lang w:val="en-US"/>
        </w:rPr>
        <w:t>Isle of Wight County Museums Services (Dinosaur Isle Museum and visitor attraction) Sandown, UK</w:t>
      </w:r>
    </w:p>
    <w:p w14:paraId="40A20F62" w14:textId="77777777" w:rsidR="00497CE3" w:rsidRPr="005734BB" w:rsidRDefault="00497CE3" w:rsidP="00497CE3">
      <w:pPr>
        <w:pStyle w:val="NoSpacing"/>
        <w:rPr>
          <w:rFonts w:eastAsia="TT30o00"/>
          <w:lang w:eastAsia="es-ES"/>
        </w:rPr>
      </w:pPr>
      <w:r w:rsidRPr="005734BB">
        <w:rPr>
          <w:rFonts w:eastAsia="Times New Roman"/>
          <w:b/>
          <w:lang w:eastAsia="es-ES"/>
        </w:rPr>
        <w:t>LACM</w:t>
      </w:r>
      <w:r w:rsidRPr="005734BB">
        <w:rPr>
          <w:rFonts w:eastAsia="TT30o00"/>
          <w:lang w:eastAsia="es-ES"/>
        </w:rPr>
        <w:t>, Natural History Museum of Los Angeles County, Los Angeles, California, USA</w:t>
      </w:r>
    </w:p>
    <w:p w14:paraId="2435025D" w14:textId="77777777" w:rsidR="00497CE3" w:rsidRDefault="00497CE3" w:rsidP="00497CE3">
      <w:pPr>
        <w:autoSpaceDE w:val="0"/>
        <w:autoSpaceDN w:val="0"/>
        <w:adjustRightInd w:val="0"/>
        <w:ind w:left="720" w:hanging="720"/>
      </w:pPr>
      <w:r>
        <w:rPr>
          <w:b/>
        </w:rPr>
        <w:t>MACN</w:t>
      </w:r>
      <w:r>
        <w:t>, Museo Argentino de Ciências Naturales ‘Bernardino Rivadavia’, Buenos Aires, Argentina</w:t>
      </w:r>
    </w:p>
    <w:p w14:paraId="20A86282" w14:textId="77777777" w:rsidR="00497CE3" w:rsidRDefault="00497CE3" w:rsidP="00497CE3">
      <w:pPr>
        <w:autoSpaceDE w:val="0"/>
        <w:autoSpaceDN w:val="0"/>
        <w:adjustRightInd w:val="0"/>
        <w:ind w:left="720" w:hanging="720"/>
      </w:pPr>
      <w:r>
        <w:rPr>
          <w:b/>
        </w:rPr>
        <w:t>MANCH</w:t>
      </w:r>
      <w:r>
        <w:t xml:space="preserve">, Manchester Museum, Manchester, </w:t>
      </w:r>
      <w:r>
        <w:rPr>
          <w:lang w:val="en-US"/>
        </w:rPr>
        <w:t>United Kingdom</w:t>
      </w:r>
    </w:p>
    <w:p w14:paraId="76D7DBF5" w14:textId="77777777" w:rsidR="00497CE3" w:rsidRDefault="00497CE3" w:rsidP="00497CE3">
      <w:pPr>
        <w:autoSpaceDE w:val="0"/>
        <w:autoSpaceDN w:val="0"/>
        <w:adjustRightInd w:val="0"/>
        <w:ind w:left="720" w:hanging="720"/>
      </w:pPr>
      <w:r>
        <w:rPr>
          <w:b/>
        </w:rPr>
        <w:t>MB</w:t>
      </w:r>
      <w:r>
        <w:t>, Museum für Naturkunde der Humboldt Universität, Berlin, Germany</w:t>
      </w:r>
    </w:p>
    <w:p w14:paraId="521E31D3" w14:textId="77777777" w:rsidR="00497CE3" w:rsidRPr="005734BB" w:rsidRDefault="00497CE3" w:rsidP="00497CE3">
      <w:pPr>
        <w:pStyle w:val="NoSpacing"/>
        <w:rPr>
          <w:rFonts w:eastAsia="TT30o00"/>
          <w:lang w:eastAsia="es-ES"/>
        </w:rPr>
      </w:pPr>
      <w:r w:rsidRPr="005734BB">
        <w:rPr>
          <w:rFonts w:eastAsia="Times New Roman"/>
          <w:b/>
          <w:lang w:eastAsia="es-ES"/>
        </w:rPr>
        <w:t>MCZ</w:t>
      </w:r>
      <w:r w:rsidRPr="005734BB">
        <w:rPr>
          <w:rFonts w:eastAsia="TT30o00"/>
          <w:lang w:eastAsia="es-ES"/>
        </w:rPr>
        <w:t>, Museum of Comparative Zoology, Harvard University, Cambridge, Massachusetts, USA</w:t>
      </w:r>
    </w:p>
    <w:p w14:paraId="6B6A542D" w14:textId="77777777" w:rsidR="00497CE3" w:rsidRDefault="00497CE3" w:rsidP="00497CE3">
      <w:pPr>
        <w:autoSpaceDE w:val="0"/>
        <w:autoSpaceDN w:val="0"/>
        <w:adjustRightInd w:val="0"/>
        <w:ind w:left="720" w:hanging="720"/>
        <w:rPr>
          <w:b/>
        </w:rPr>
      </w:pPr>
      <w:r>
        <w:rPr>
          <w:b/>
        </w:rPr>
        <w:t>ME</w:t>
      </w:r>
      <w:r>
        <w:t>, Musée d’Elbeuf, Elbeuf, Normandie, France</w:t>
      </w:r>
    </w:p>
    <w:p w14:paraId="692C2B18" w14:textId="77777777" w:rsidR="00497CE3" w:rsidRDefault="00497CE3" w:rsidP="00497CE3">
      <w:pPr>
        <w:autoSpaceDE w:val="0"/>
        <w:autoSpaceDN w:val="0"/>
        <w:adjustRightInd w:val="0"/>
        <w:ind w:left="720" w:hanging="720"/>
      </w:pPr>
      <w:r>
        <w:rPr>
          <w:b/>
        </w:rPr>
        <w:t>MHNG</w:t>
      </w:r>
      <w:r>
        <w:t>, Muséum d'histoire Naturelle de la Ville de Genève, Switzerland</w:t>
      </w:r>
    </w:p>
    <w:p w14:paraId="5E7E3586" w14:textId="77777777" w:rsidR="00497CE3" w:rsidRPr="005734BB" w:rsidRDefault="00497CE3" w:rsidP="00497CE3">
      <w:pPr>
        <w:pStyle w:val="NoSpacing"/>
        <w:rPr>
          <w:rFonts w:eastAsia="TT30o00"/>
          <w:lang w:eastAsia="es-ES"/>
        </w:rPr>
      </w:pPr>
      <w:r w:rsidRPr="005734BB">
        <w:rPr>
          <w:rFonts w:eastAsia="Times New Roman"/>
          <w:b/>
          <w:lang w:eastAsia="es-ES"/>
        </w:rPr>
        <w:t>MHNSR</w:t>
      </w:r>
      <w:r w:rsidRPr="005734BB">
        <w:rPr>
          <w:rFonts w:eastAsia="TT30o00"/>
          <w:lang w:eastAsia="es-ES"/>
        </w:rPr>
        <w:t>, Museo de Historia Natural de San Rafael, San Rafael, Argentina</w:t>
      </w:r>
    </w:p>
    <w:p w14:paraId="2AD82E8C" w14:textId="77777777" w:rsidR="00497CE3" w:rsidRDefault="00497CE3" w:rsidP="00497CE3">
      <w:pPr>
        <w:pStyle w:val="Default"/>
        <w:rPr>
          <w:bCs/>
          <w:color w:val="auto"/>
        </w:rPr>
      </w:pPr>
      <w:r>
        <w:rPr>
          <w:b/>
          <w:bCs/>
          <w:color w:val="auto"/>
        </w:rPr>
        <w:t>MJML</w:t>
      </w:r>
      <w:r>
        <w:rPr>
          <w:bCs/>
          <w:color w:val="auto"/>
        </w:rPr>
        <w:t>, Museum of Jurassic Marine Life, Kimmeridge, Dorset, England, UK</w:t>
      </w:r>
    </w:p>
    <w:p w14:paraId="427E74AB" w14:textId="77777777" w:rsidR="00497CE3" w:rsidRDefault="00497CE3" w:rsidP="00497CE3">
      <w:pPr>
        <w:autoSpaceDE w:val="0"/>
        <w:autoSpaceDN w:val="0"/>
        <w:adjustRightInd w:val="0"/>
      </w:pPr>
      <w:r>
        <w:rPr>
          <w:b/>
        </w:rPr>
        <w:t>MLP</w:t>
      </w:r>
      <w:r>
        <w:t>, Museo de La Plata, La Plata, Argentina</w:t>
      </w:r>
    </w:p>
    <w:p w14:paraId="084EACBA" w14:textId="77777777" w:rsidR="00497CE3" w:rsidRDefault="00497CE3" w:rsidP="00497CE3">
      <w:pPr>
        <w:autoSpaceDE w:val="0"/>
        <w:autoSpaceDN w:val="0"/>
        <w:adjustRightInd w:val="0"/>
        <w:ind w:left="720" w:hanging="720"/>
        <w:rPr>
          <w:rFonts w:eastAsia="ArialMT"/>
        </w:rPr>
      </w:pPr>
      <w:r>
        <w:rPr>
          <w:rFonts w:eastAsia="ArialMT"/>
          <w:b/>
        </w:rPr>
        <w:t>MNHN.F</w:t>
      </w:r>
      <w:r>
        <w:rPr>
          <w:rFonts w:eastAsia="ArialMT"/>
        </w:rPr>
        <w:t>, fossil collection of the Muséum national dʼHistoire naturelle, Paris, France (ALG, Algiers locality; CNJ, Canjeurs locality; GDF, Gadoufaoua (Tegema Beds); INA, In Abangharit locality; MRS, Maroc Sud, i.e. Kem Kem localities; SAM, Gara Samani locality)</w:t>
      </w:r>
    </w:p>
    <w:p w14:paraId="4D44FE90" w14:textId="77777777" w:rsidR="00497CE3" w:rsidRDefault="00497CE3" w:rsidP="00497CE3">
      <w:pPr>
        <w:autoSpaceDE w:val="0"/>
        <w:autoSpaceDN w:val="0"/>
        <w:adjustRightInd w:val="0"/>
        <w:rPr>
          <w:rFonts w:eastAsiaTheme="minorHAnsi"/>
        </w:rPr>
      </w:pPr>
      <w:r>
        <w:rPr>
          <w:b/>
        </w:rPr>
        <w:t>MN-UFRJ</w:t>
      </w:r>
      <w:r>
        <w:t>, Museu Nacional, Universidade Federal do Rio de Janeiro, Rio de Janeiro, Brazil</w:t>
      </w:r>
    </w:p>
    <w:p w14:paraId="6AE6AD7B" w14:textId="77777777" w:rsidR="00497CE3" w:rsidRPr="005734BB" w:rsidRDefault="00497CE3" w:rsidP="00497CE3">
      <w:pPr>
        <w:pStyle w:val="NoSpacing"/>
        <w:rPr>
          <w:rFonts w:eastAsia="TT30o00"/>
          <w:lang w:eastAsia="es-ES"/>
        </w:rPr>
      </w:pPr>
      <w:r w:rsidRPr="00E30D9C">
        <w:rPr>
          <w:rFonts w:eastAsia="Times New Roman"/>
          <w:b/>
          <w:lang w:eastAsia="es-ES"/>
        </w:rPr>
        <w:t>MOZ</w:t>
      </w:r>
      <w:r w:rsidRPr="005734BB">
        <w:rPr>
          <w:rFonts w:eastAsia="TT30o00"/>
          <w:lang w:eastAsia="es-ES"/>
        </w:rPr>
        <w:t>, Museo Profesor J. Olsacher, Zapala, Argentina</w:t>
      </w:r>
    </w:p>
    <w:p w14:paraId="2E9A395A" w14:textId="77777777" w:rsidR="00497CE3" w:rsidRDefault="00497CE3" w:rsidP="00497CE3">
      <w:pPr>
        <w:autoSpaceDE w:val="0"/>
        <w:autoSpaceDN w:val="0"/>
        <w:adjustRightInd w:val="0"/>
        <w:ind w:left="720" w:hanging="720"/>
      </w:pPr>
      <w:r>
        <w:rPr>
          <w:b/>
        </w:rPr>
        <w:t>MPCA</w:t>
      </w:r>
      <w:r>
        <w:t>, Museo Provincial “Carlos Ameghino”, Cipolletti, Rio Negro, Argentina</w:t>
      </w:r>
    </w:p>
    <w:p w14:paraId="6D96FA4C" w14:textId="77777777" w:rsidR="00497CE3" w:rsidRDefault="00497CE3" w:rsidP="00497CE3">
      <w:pPr>
        <w:pStyle w:val="NoSpacing"/>
        <w:rPr>
          <w:rFonts w:eastAsia="TT30o00"/>
          <w:lang w:eastAsia="es-ES"/>
        </w:rPr>
      </w:pPr>
      <w:r w:rsidRPr="005734BB">
        <w:rPr>
          <w:rFonts w:eastAsia="Times New Roman"/>
          <w:b/>
          <w:lang w:eastAsia="es-ES"/>
        </w:rPr>
        <w:t>MPEF</w:t>
      </w:r>
      <w:r w:rsidRPr="005734BB">
        <w:rPr>
          <w:rFonts w:eastAsia="TT30o00"/>
          <w:lang w:eastAsia="es-ES"/>
        </w:rPr>
        <w:t>, Museo Paleontologico Egid</w:t>
      </w:r>
      <w:r>
        <w:rPr>
          <w:rFonts w:eastAsia="TT30o00"/>
          <w:lang w:eastAsia="es-ES"/>
        </w:rPr>
        <w:t>io Feruglio, Trelew, Argentina</w:t>
      </w:r>
    </w:p>
    <w:p w14:paraId="540D362F" w14:textId="77777777" w:rsidR="00497CE3" w:rsidRDefault="00497CE3" w:rsidP="00497CE3">
      <w:pPr>
        <w:autoSpaceDE w:val="0"/>
        <w:autoSpaceDN w:val="0"/>
        <w:adjustRightInd w:val="0"/>
      </w:pPr>
      <w:r>
        <w:rPr>
          <w:b/>
        </w:rPr>
        <w:t>MPMA</w:t>
      </w:r>
      <w:r>
        <w:t>, Museu de Paleontologia de Monte Alto, Monte Alto, Brazil</w:t>
      </w:r>
    </w:p>
    <w:p w14:paraId="19E49D97" w14:textId="77777777" w:rsidR="00497CE3" w:rsidRDefault="00497CE3" w:rsidP="00497CE3">
      <w:pPr>
        <w:pStyle w:val="Default"/>
        <w:ind w:left="720" w:hanging="720"/>
        <w:rPr>
          <w:b/>
          <w:bCs/>
          <w:color w:val="auto"/>
        </w:rPr>
      </w:pPr>
      <w:r>
        <w:rPr>
          <w:rFonts w:eastAsia="ArialMT"/>
          <w:b/>
          <w:color w:val="auto"/>
        </w:rPr>
        <w:t>MTM</w:t>
      </w:r>
      <w:r>
        <w:rPr>
          <w:rFonts w:eastAsia="ArialMT"/>
          <w:color w:val="auto"/>
        </w:rPr>
        <w:t>, Magyar Természettudományi Múzeum, Budapest, Hungary</w:t>
      </w:r>
    </w:p>
    <w:p w14:paraId="727E6EA3" w14:textId="77777777" w:rsidR="00497CE3" w:rsidRDefault="00497CE3" w:rsidP="00497CE3">
      <w:pPr>
        <w:pStyle w:val="Default"/>
        <w:rPr>
          <w:color w:val="auto"/>
        </w:rPr>
      </w:pPr>
      <w:r>
        <w:rPr>
          <w:b/>
          <w:bCs/>
          <w:color w:val="auto"/>
        </w:rPr>
        <w:t>MUCPv</w:t>
      </w:r>
      <w:r>
        <w:rPr>
          <w:color w:val="auto"/>
        </w:rPr>
        <w:t xml:space="preserve">, Museo de la Universidad Nacional del Comahue, Neuquén, Argentina </w:t>
      </w:r>
    </w:p>
    <w:p w14:paraId="776759AC" w14:textId="77777777" w:rsidR="00497CE3" w:rsidRDefault="00497CE3" w:rsidP="00497CE3">
      <w:pPr>
        <w:autoSpaceDE w:val="0"/>
        <w:autoSpaceDN w:val="0"/>
        <w:adjustRightInd w:val="0"/>
        <w:ind w:left="720" w:hanging="720"/>
      </w:pPr>
      <w:r>
        <w:rPr>
          <w:b/>
        </w:rPr>
        <w:t>NHMUK PV</w:t>
      </w:r>
      <w:r>
        <w:t xml:space="preserve">, vertebrate palaeontology collection of the Natural History Museum, London, England, </w:t>
      </w:r>
      <w:r>
        <w:rPr>
          <w:lang w:val="en-US"/>
        </w:rPr>
        <w:t xml:space="preserve">UK </w:t>
      </w:r>
      <w:r>
        <w:t>(OR, old register; R, reptiles)</w:t>
      </w:r>
    </w:p>
    <w:p w14:paraId="52E8226E" w14:textId="77777777" w:rsidR="00497CE3" w:rsidRDefault="00497CE3" w:rsidP="00497CE3">
      <w:pPr>
        <w:autoSpaceDE w:val="0"/>
        <w:autoSpaceDN w:val="0"/>
        <w:adjustRightInd w:val="0"/>
      </w:pPr>
      <w:r>
        <w:rPr>
          <w:b/>
        </w:rPr>
        <w:t>NJSM</w:t>
      </w:r>
      <w:r>
        <w:t>, New Jersey State Museum, Trenton, New Jersey, USA</w:t>
      </w:r>
    </w:p>
    <w:p w14:paraId="2E7DB50C" w14:textId="77777777" w:rsidR="00497CE3" w:rsidRDefault="00497CE3" w:rsidP="00497CE3">
      <w:pPr>
        <w:autoSpaceDE w:val="0"/>
        <w:autoSpaceDN w:val="0"/>
        <w:adjustRightInd w:val="0"/>
      </w:pPr>
      <w:r>
        <w:rPr>
          <w:b/>
        </w:rPr>
        <w:t>OUMNH</w:t>
      </w:r>
      <w:r>
        <w:t>, Oxford University Museum of Natural History, Oxford, England, UK</w:t>
      </w:r>
    </w:p>
    <w:p w14:paraId="27975418" w14:textId="77777777" w:rsidR="00497CE3" w:rsidRDefault="00497CE3" w:rsidP="00497CE3">
      <w:pPr>
        <w:autoSpaceDE w:val="0"/>
        <w:autoSpaceDN w:val="0"/>
        <w:adjustRightInd w:val="0"/>
      </w:pPr>
      <w:r>
        <w:rPr>
          <w:b/>
        </w:rPr>
        <w:t>PETMG</w:t>
      </w:r>
      <w:r>
        <w:t>, Peterborough Museum &amp; Art Gallery, Peterborough, England, UK</w:t>
      </w:r>
    </w:p>
    <w:p w14:paraId="7381E22D" w14:textId="77777777" w:rsidR="00497CE3" w:rsidRPr="005734BB" w:rsidRDefault="00497CE3" w:rsidP="00497CE3">
      <w:pPr>
        <w:pStyle w:val="NoSpacing"/>
        <w:rPr>
          <w:rFonts w:eastAsia="TT30o00"/>
          <w:lang w:eastAsia="es-ES"/>
        </w:rPr>
      </w:pPr>
      <w:r w:rsidRPr="005734BB">
        <w:rPr>
          <w:rFonts w:eastAsia="Times New Roman"/>
          <w:b/>
          <w:lang w:eastAsia="es-ES"/>
        </w:rPr>
        <w:t>PVL</w:t>
      </w:r>
      <w:r w:rsidRPr="005734BB">
        <w:rPr>
          <w:rFonts w:eastAsia="TT30o00"/>
          <w:lang w:eastAsia="es-ES"/>
        </w:rPr>
        <w:t>, Instituto Miguel Lillo, Tucuman, Argentina</w:t>
      </w:r>
    </w:p>
    <w:p w14:paraId="58CEC0CC" w14:textId="77777777" w:rsidR="00497CE3" w:rsidRDefault="00497CE3" w:rsidP="00497CE3">
      <w:pPr>
        <w:autoSpaceDE w:val="0"/>
        <w:autoSpaceDN w:val="0"/>
        <w:adjustRightInd w:val="0"/>
        <w:ind w:left="720" w:hanging="720"/>
      </w:pPr>
      <w:r>
        <w:rPr>
          <w:b/>
        </w:rPr>
        <w:t>RCL</w:t>
      </w:r>
      <w:r>
        <w:t>, Museu de Ciências Naturais da Pontifícia Universidade Católica de Minas Gerais, Belo Horizonte, Brazil</w:t>
      </w:r>
    </w:p>
    <w:p w14:paraId="0EC7340B" w14:textId="77777777" w:rsidR="00497CE3" w:rsidRDefault="00497CE3" w:rsidP="00497CE3">
      <w:pPr>
        <w:autoSpaceDE w:val="0"/>
        <w:autoSpaceDN w:val="0"/>
        <w:adjustRightInd w:val="0"/>
      </w:pPr>
      <w:r>
        <w:rPr>
          <w:b/>
        </w:rPr>
        <w:t>RMS</w:t>
      </w:r>
      <w:r>
        <w:t>, Royal Museum Scotland, Edinburgh, Scotland, UK</w:t>
      </w:r>
    </w:p>
    <w:p w14:paraId="0B244CFC" w14:textId="77777777" w:rsidR="00497CE3" w:rsidRPr="005734BB" w:rsidRDefault="00497CE3" w:rsidP="00497CE3">
      <w:pPr>
        <w:pStyle w:val="NoSpacing"/>
        <w:rPr>
          <w:rFonts w:eastAsia="TT30o00"/>
          <w:lang w:eastAsia="es-ES"/>
        </w:rPr>
      </w:pPr>
      <w:r w:rsidRPr="005734BB">
        <w:rPr>
          <w:rFonts w:eastAsia="Times New Roman"/>
          <w:b/>
          <w:lang w:eastAsia="es-ES"/>
        </w:rPr>
        <w:t>SAM</w:t>
      </w:r>
      <w:r w:rsidRPr="005734BB">
        <w:rPr>
          <w:rFonts w:eastAsia="TT30o00"/>
          <w:lang w:eastAsia="es-ES"/>
        </w:rPr>
        <w:t>, Iziko-South African Museum, Cape Town, South Africa</w:t>
      </w:r>
    </w:p>
    <w:p w14:paraId="0AAA21DD" w14:textId="77777777" w:rsidR="00497CE3" w:rsidRDefault="00497CE3" w:rsidP="00497CE3">
      <w:pPr>
        <w:pStyle w:val="Default"/>
        <w:rPr>
          <w:color w:val="auto"/>
        </w:rPr>
      </w:pPr>
      <w:r>
        <w:rPr>
          <w:b/>
          <w:bCs/>
          <w:color w:val="auto"/>
        </w:rPr>
        <w:t>SMNK</w:t>
      </w:r>
      <w:r>
        <w:rPr>
          <w:color w:val="auto"/>
        </w:rPr>
        <w:t xml:space="preserve">, Staatliches Museum für Naturkunde Karlsruhe, Germany </w:t>
      </w:r>
    </w:p>
    <w:p w14:paraId="3BE1C53F" w14:textId="77777777" w:rsidR="00497CE3" w:rsidRDefault="00497CE3" w:rsidP="00497CE3">
      <w:pPr>
        <w:autoSpaceDE w:val="0"/>
        <w:autoSpaceDN w:val="0"/>
        <w:adjustRightInd w:val="0"/>
      </w:pPr>
      <w:r>
        <w:rPr>
          <w:b/>
        </w:rPr>
        <w:t>SMNS</w:t>
      </w:r>
      <w:r>
        <w:t>, Staatliches Museum für Naturkunde Stuttgart, Germany</w:t>
      </w:r>
    </w:p>
    <w:p w14:paraId="5F58D0EF" w14:textId="77777777" w:rsidR="00497CE3" w:rsidRPr="005734BB" w:rsidRDefault="00497CE3" w:rsidP="00497CE3">
      <w:pPr>
        <w:pStyle w:val="NoSpacing"/>
        <w:rPr>
          <w:rFonts w:eastAsia="TT30o00"/>
          <w:lang w:eastAsia="es-ES"/>
        </w:rPr>
      </w:pPr>
      <w:r w:rsidRPr="005734BB">
        <w:rPr>
          <w:rFonts w:eastAsia="Times New Roman"/>
          <w:b/>
          <w:lang w:eastAsia="es-ES"/>
        </w:rPr>
        <w:t>UA</w:t>
      </w:r>
      <w:r w:rsidRPr="005734BB">
        <w:rPr>
          <w:rFonts w:eastAsia="TT30o00"/>
          <w:lang w:eastAsia="es-ES"/>
        </w:rPr>
        <w:t>, University of Antananarivo, Madagascar</w:t>
      </w:r>
    </w:p>
    <w:p w14:paraId="6D5452DD" w14:textId="77777777" w:rsidR="00497CE3" w:rsidRPr="005734BB" w:rsidRDefault="00497CE3" w:rsidP="00497CE3">
      <w:pPr>
        <w:pStyle w:val="NoSpacing"/>
        <w:rPr>
          <w:rFonts w:eastAsia="TT30o00"/>
          <w:lang w:eastAsia="es-ES"/>
        </w:rPr>
      </w:pPr>
      <w:r w:rsidRPr="005734BB">
        <w:rPr>
          <w:rFonts w:eastAsia="Times New Roman"/>
          <w:b/>
          <w:lang w:eastAsia="es-ES"/>
        </w:rPr>
        <w:t>UCMP</w:t>
      </w:r>
      <w:r w:rsidRPr="005734BB">
        <w:rPr>
          <w:rFonts w:eastAsia="TT30o00"/>
          <w:lang w:eastAsia="es-ES"/>
        </w:rPr>
        <w:t>, University of California Museum of Paleontology, Berkeley, California, USA</w:t>
      </w:r>
    </w:p>
    <w:p w14:paraId="56FBD3A8" w14:textId="77777777" w:rsidR="00497CE3" w:rsidRDefault="00497CE3" w:rsidP="00497CE3">
      <w:pPr>
        <w:pStyle w:val="Default"/>
        <w:ind w:left="720" w:hanging="720"/>
        <w:rPr>
          <w:bCs/>
          <w:color w:val="auto"/>
        </w:rPr>
      </w:pPr>
      <w:r>
        <w:rPr>
          <w:b/>
          <w:bCs/>
          <w:color w:val="auto"/>
        </w:rPr>
        <w:t>UF/IGM</w:t>
      </w:r>
      <w:r>
        <w:rPr>
          <w:bCs/>
          <w:color w:val="auto"/>
        </w:rPr>
        <w:t>, University of Florida, Florida Museum of Natural History, Gainesville, Florida, USA /</w:t>
      </w:r>
      <w:r>
        <w:rPr>
          <w:rFonts w:ascii="TimesTen-Roman" w:hAnsi="TimesTen-Roman" w:cs="TimesTen-Roman"/>
          <w:color w:val="auto"/>
        </w:rPr>
        <w:t xml:space="preserve"> </w:t>
      </w:r>
      <w:r>
        <w:rPr>
          <w:bCs/>
          <w:color w:val="auto"/>
        </w:rPr>
        <w:t>Museo Geológico, at the Instituto Nacional de Investigaciones en Geociencias, Minería y Quimica, Bogotá, Colombia</w:t>
      </w:r>
    </w:p>
    <w:p w14:paraId="15F3B91D" w14:textId="77777777" w:rsidR="00497CE3" w:rsidRDefault="00497CE3" w:rsidP="00497CE3">
      <w:pPr>
        <w:pStyle w:val="Default"/>
        <w:rPr>
          <w:b/>
          <w:bCs/>
          <w:color w:val="auto"/>
        </w:rPr>
      </w:pPr>
      <w:r>
        <w:rPr>
          <w:b/>
          <w:bCs/>
          <w:color w:val="auto"/>
        </w:rPr>
        <w:t>UFRJ-DG</w:t>
      </w:r>
      <w:r>
        <w:rPr>
          <w:color w:val="auto"/>
        </w:rPr>
        <w:t>, Departamento de Geologia, Universidade Federal do Rio de Janeiro, Brazil</w:t>
      </w:r>
      <w:r>
        <w:rPr>
          <w:b/>
          <w:bCs/>
          <w:color w:val="auto"/>
        </w:rPr>
        <w:t xml:space="preserve"> </w:t>
      </w:r>
    </w:p>
    <w:p w14:paraId="42114249" w14:textId="77777777" w:rsidR="00497CE3" w:rsidRDefault="00497CE3" w:rsidP="00497CE3">
      <w:pPr>
        <w:pStyle w:val="Default"/>
        <w:ind w:left="720" w:hanging="720"/>
        <w:rPr>
          <w:color w:val="auto"/>
        </w:rPr>
      </w:pPr>
      <w:r>
        <w:rPr>
          <w:b/>
          <w:bCs/>
          <w:color w:val="auto"/>
        </w:rPr>
        <w:t>URC, IGCE-UNESP</w:t>
      </w:r>
      <w:r>
        <w:rPr>
          <w:color w:val="auto"/>
        </w:rPr>
        <w:t xml:space="preserve">, Museu “Paulo Milton Barbosa Landim”, Instituto de Geociências e Ciências Exatas, Universidade Estadual Paulista, Rio Claro, Brazil </w:t>
      </w:r>
    </w:p>
    <w:p w14:paraId="2B28BF91" w14:textId="77777777" w:rsidR="00497CE3" w:rsidRDefault="00497CE3" w:rsidP="00497CE3">
      <w:pPr>
        <w:autoSpaceDE w:val="0"/>
        <w:autoSpaceDN w:val="0"/>
        <w:adjustRightInd w:val="0"/>
      </w:pPr>
      <w:r>
        <w:rPr>
          <w:b/>
        </w:rPr>
        <w:t>USNM</w:t>
      </w:r>
      <w:r>
        <w:t>, National Museum of Natural History, Washington DC, USA</w:t>
      </w:r>
    </w:p>
    <w:p w14:paraId="5549D75F" w14:textId="77777777" w:rsidR="00497CE3" w:rsidRPr="005734BB" w:rsidRDefault="00497CE3" w:rsidP="00497CE3">
      <w:pPr>
        <w:pStyle w:val="NoSpacing"/>
        <w:rPr>
          <w:rFonts w:eastAsia="TT30o00"/>
          <w:lang w:eastAsia="es-ES"/>
        </w:rPr>
      </w:pPr>
      <w:r w:rsidRPr="005734BB">
        <w:rPr>
          <w:rFonts w:eastAsia="Times New Roman"/>
          <w:b/>
          <w:lang w:eastAsia="es-ES"/>
        </w:rPr>
        <w:t>YPM</w:t>
      </w:r>
      <w:r w:rsidRPr="005734BB">
        <w:rPr>
          <w:rFonts w:eastAsia="TT30o00"/>
          <w:lang w:eastAsia="es-ES"/>
        </w:rPr>
        <w:t>, Peabody Museum of Natural History, Yale University, New Haven, Connecticut, USA</w:t>
      </w:r>
    </w:p>
    <w:p w14:paraId="11DFBDC7" w14:textId="4514164F" w:rsidR="00665D4D" w:rsidRPr="00497CE3" w:rsidRDefault="00497CE3" w:rsidP="00497CE3">
      <w:pPr>
        <w:pStyle w:val="NoSpacing"/>
        <w:rPr>
          <w:rFonts w:eastAsia="TT30o00"/>
          <w:lang w:eastAsia="es-ES"/>
        </w:rPr>
      </w:pPr>
      <w:r w:rsidRPr="005734BB">
        <w:rPr>
          <w:rFonts w:eastAsia="Times New Roman"/>
          <w:b/>
          <w:lang w:eastAsia="es-ES"/>
        </w:rPr>
        <w:t>ZPAL</w:t>
      </w:r>
      <w:r w:rsidRPr="005734BB">
        <w:rPr>
          <w:rFonts w:eastAsia="TT30o00"/>
          <w:lang w:eastAsia="es-ES"/>
        </w:rPr>
        <w:t>, Instytut Paleobiologii PAN, Warszawa, Poland</w:t>
      </w:r>
    </w:p>
    <w:sectPr w:rsidR="00665D4D" w:rsidRPr="00497C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Segoe U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eth">
    <w:altName w:val="Gareth"/>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yriadPro-Cond">
    <w:altName w:val="MS Mincho"/>
    <w:charset w:val="80"/>
    <w:family w:val="auto"/>
    <w:pitch w:val="default"/>
    <w:sig w:usb0="00000001" w:usb1="08070000" w:usb2="00000010" w:usb3="00000000" w:csb0="00020000" w:csb1="00000000"/>
  </w:font>
  <w:font w:name="TimesNewRomanPS-BoldMT">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P497E2">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RMT-Italic">
    <w:altName w:val="Yu Gothic"/>
    <w:panose1 w:val="00000000000000000000"/>
    <w:charset w:val="80"/>
    <w:family w:val="auto"/>
    <w:notTrueType/>
    <w:pitch w:val="default"/>
    <w:sig w:usb0="00000001" w:usb1="08070000" w:usb2="00000010" w:usb3="00000000" w:csb0="00020000" w:csb1="00000000"/>
  </w:font>
  <w:font w:name="Minion-Bold">
    <w:altName w:val="Yu Gothic"/>
    <w:panose1 w:val="00000000000000000000"/>
    <w:charset w:val="80"/>
    <w:family w:val="auto"/>
    <w:notTrueType/>
    <w:pitch w:val="default"/>
    <w:sig w:usb0="00000001" w:usb1="08070000" w:usb2="00000010" w:usb3="00000000" w:csb0="00020000" w:csb1="00000000"/>
  </w:font>
  <w:font w:name="Minion-Regular">
    <w:altName w:val="Yu Gothic"/>
    <w:panose1 w:val="00000000000000000000"/>
    <w:charset w:val="80"/>
    <w:family w:val="auto"/>
    <w:notTrueType/>
    <w:pitch w:val="default"/>
    <w:sig w:usb0="00000001" w:usb1="08070000" w:usb2="00000010" w:usb3="00000000" w:csb0="00020000" w:csb1="00000000"/>
  </w:font>
  <w:font w:name="TT30o00">
    <w:altName w:val="Arial Unicode MS"/>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00"/>
    <w:family w:val="swiss"/>
    <w:notTrueType/>
    <w:pitch w:val="default"/>
    <w:sig w:usb0="00000003" w:usb1="00000000" w:usb2="00000000" w:usb3="00000000" w:csb0="00000001" w:csb1="00000000"/>
  </w:font>
  <w:font w:name="TimesTen-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F82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829D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5C60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629B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03D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A5E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106F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229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88DE2"/>
    <w:lvl w:ilvl="0">
      <w:start w:val="1"/>
      <w:numFmt w:val="decimal"/>
      <w:pStyle w:val="ListNumber"/>
      <w:lvlText w:val="%1."/>
      <w:lvlJc w:val="left"/>
      <w:pPr>
        <w:tabs>
          <w:tab w:val="num" w:pos="720"/>
        </w:tabs>
        <w:ind w:left="720" w:hanging="360"/>
      </w:pPr>
      <w:rPr>
        <w:rFonts w:hint="default"/>
      </w:rPr>
    </w:lvl>
  </w:abstractNum>
  <w:abstractNum w:abstractNumId="9" w15:restartNumberingAfterBreak="0">
    <w:nsid w:val="FFFFFF89"/>
    <w:multiLevelType w:val="singleLevel"/>
    <w:tmpl w:val="40824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6738B"/>
    <w:multiLevelType w:val="hybridMultilevel"/>
    <w:tmpl w:val="6EC29A48"/>
    <w:lvl w:ilvl="0" w:tplc="4A865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2549F"/>
    <w:multiLevelType w:val="multilevel"/>
    <w:tmpl w:val="272A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0C62A5"/>
    <w:multiLevelType w:val="hybridMultilevel"/>
    <w:tmpl w:val="E2B2544A"/>
    <w:lvl w:ilvl="0" w:tplc="EE76B1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F4D75"/>
    <w:multiLevelType w:val="hybridMultilevel"/>
    <w:tmpl w:val="40567572"/>
    <w:lvl w:ilvl="0" w:tplc="F8B4CAF6">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E3DDB"/>
    <w:multiLevelType w:val="hybridMultilevel"/>
    <w:tmpl w:val="D778AC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467703"/>
    <w:multiLevelType w:val="hybridMultilevel"/>
    <w:tmpl w:val="020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D503C"/>
    <w:multiLevelType w:val="hybridMultilevel"/>
    <w:tmpl w:val="AAEA5B06"/>
    <w:lvl w:ilvl="0" w:tplc="0809000F">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A38A9"/>
    <w:multiLevelType w:val="hybridMultilevel"/>
    <w:tmpl w:val="7FC08BC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C59F4"/>
    <w:multiLevelType w:val="hybridMultilevel"/>
    <w:tmpl w:val="F8E4E0C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42A04"/>
    <w:multiLevelType w:val="hybridMultilevel"/>
    <w:tmpl w:val="063C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1"/>
  </w:num>
  <w:num w:numId="7">
    <w:abstractNumId w:val="15"/>
  </w:num>
  <w:num w:numId="8">
    <w:abstractNumId w:val="13"/>
  </w:num>
  <w:num w:numId="9">
    <w:abstractNumId w:val="10"/>
  </w:num>
  <w:num w:numId="10">
    <w:abstractNumId w:val="8"/>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BC"/>
    <w:rsid w:val="00007246"/>
    <w:rsid w:val="00017181"/>
    <w:rsid w:val="00042C56"/>
    <w:rsid w:val="00091544"/>
    <w:rsid w:val="000B604F"/>
    <w:rsid w:val="00102983"/>
    <w:rsid w:val="00144400"/>
    <w:rsid w:val="00154E7D"/>
    <w:rsid w:val="001629F6"/>
    <w:rsid w:val="00165980"/>
    <w:rsid w:val="00170147"/>
    <w:rsid w:val="0019696F"/>
    <w:rsid w:val="001A316D"/>
    <w:rsid w:val="001A4322"/>
    <w:rsid w:val="001B5F3E"/>
    <w:rsid w:val="001C3945"/>
    <w:rsid w:val="001D2DC8"/>
    <w:rsid w:val="001E2336"/>
    <w:rsid w:val="001F1E83"/>
    <w:rsid w:val="002254BF"/>
    <w:rsid w:val="00241080"/>
    <w:rsid w:val="00261DEB"/>
    <w:rsid w:val="002820A5"/>
    <w:rsid w:val="003749B5"/>
    <w:rsid w:val="0039743F"/>
    <w:rsid w:val="003E2E19"/>
    <w:rsid w:val="004370E7"/>
    <w:rsid w:val="00440A52"/>
    <w:rsid w:val="00497CE3"/>
    <w:rsid w:val="004A56FA"/>
    <w:rsid w:val="004C76BC"/>
    <w:rsid w:val="004E1607"/>
    <w:rsid w:val="005000E5"/>
    <w:rsid w:val="00524E0E"/>
    <w:rsid w:val="005C1EFA"/>
    <w:rsid w:val="006039EE"/>
    <w:rsid w:val="006610BA"/>
    <w:rsid w:val="00665D4D"/>
    <w:rsid w:val="006756A1"/>
    <w:rsid w:val="00696DD0"/>
    <w:rsid w:val="006B359B"/>
    <w:rsid w:val="006C28EB"/>
    <w:rsid w:val="006D0E59"/>
    <w:rsid w:val="006E44D9"/>
    <w:rsid w:val="00701430"/>
    <w:rsid w:val="0070483D"/>
    <w:rsid w:val="0072567F"/>
    <w:rsid w:val="00777E1F"/>
    <w:rsid w:val="0078630F"/>
    <w:rsid w:val="007A486C"/>
    <w:rsid w:val="007A6B86"/>
    <w:rsid w:val="007B40FA"/>
    <w:rsid w:val="007E1D07"/>
    <w:rsid w:val="008241B2"/>
    <w:rsid w:val="00872121"/>
    <w:rsid w:val="00891B92"/>
    <w:rsid w:val="008B1CC4"/>
    <w:rsid w:val="008C485C"/>
    <w:rsid w:val="008F1535"/>
    <w:rsid w:val="008F6262"/>
    <w:rsid w:val="009335E0"/>
    <w:rsid w:val="009349BB"/>
    <w:rsid w:val="009362E4"/>
    <w:rsid w:val="0098436A"/>
    <w:rsid w:val="00990626"/>
    <w:rsid w:val="009D3B80"/>
    <w:rsid w:val="009E2821"/>
    <w:rsid w:val="00A313C6"/>
    <w:rsid w:val="00A47145"/>
    <w:rsid w:val="00A966EC"/>
    <w:rsid w:val="00AA4161"/>
    <w:rsid w:val="00AD3830"/>
    <w:rsid w:val="00AF1EA1"/>
    <w:rsid w:val="00AF438E"/>
    <w:rsid w:val="00B05173"/>
    <w:rsid w:val="00B93FD1"/>
    <w:rsid w:val="00BC2ECE"/>
    <w:rsid w:val="00BC6916"/>
    <w:rsid w:val="00BF3D55"/>
    <w:rsid w:val="00C15D7C"/>
    <w:rsid w:val="00C24068"/>
    <w:rsid w:val="00C51D64"/>
    <w:rsid w:val="00C7382D"/>
    <w:rsid w:val="00CB4466"/>
    <w:rsid w:val="00D01896"/>
    <w:rsid w:val="00D37C9C"/>
    <w:rsid w:val="00D55C19"/>
    <w:rsid w:val="00D67975"/>
    <w:rsid w:val="00DB4DED"/>
    <w:rsid w:val="00DB53E6"/>
    <w:rsid w:val="00DD029B"/>
    <w:rsid w:val="00E3642E"/>
    <w:rsid w:val="00E714CE"/>
    <w:rsid w:val="00E8075A"/>
    <w:rsid w:val="00EA0330"/>
    <w:rsid w:val="00EF54BC"/>
    <w:rsid w:val="00F31B67"/>
    <w:rsid w:val="00F61B46"/>
    <w:rsid w:val="00FD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8B4A"/>
  <w15:chartTrackingRefBased/>
  <w15:docId w15:val="{2E8B3AE9-1771-4D39-A6DF-017E3BF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BC"/>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link w:val="Heading1Char"/>
    <w:uiPriority w:val="9"/>
    <w:qFormat/>
    <w:rsid w:val="004C76BC"/>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C76BC"/>
    <w:pPr>
      <w:keepNext/>
      <w:spacing w:before="240" w:after="60"/>
      <w:outlineLvl w:val="1"/>
    </w:pPr>
    <w:rPr>
      <w:rFonts w:ascii="Cambria" w:eastAsia="Times New Roman" w:hAnsi="Cambria"/>
      <w:b/>
      <w:bCs/>
      <w:i/>
      <w:iCs/>
      <w:sz w:val="28"/>
      <w:szCs w:val="28"/>
      <w:lang w:eastAsia="pt-BR"/>
    </w:rPr>
  </w:style>
  <w:style w:type="paragraph" w:styleId="Heading3">
    <w:name w:val="heading 3"/>
    <w:basedOn w:val="Heading2"/>
    <w:next w:val="Normal"/>
    <w:link w:val="Heading3Char"/>
    <w:qFormat/>
    <w:rsid w:val="004C76BC"/>
    <w:pPr>
      <w:keepLines/>
      <w:spacing w:after="0" w:line="480" w:lineRule="exact"/>
      <w:ind w:left="1440" w:right="1440"/>
      <w:jc w:val="center"/>
      <w:outlineLvl w:val="2"/>
    </w:pPr>
    <w:rPr>
      <w:rFonts w:ascii="Times New Roman" w:hAnsi="Times New Roman"/>
      <w:b w:val="0"/>
      <w:bCs w:val="0"/>
      <w:i w:val="0"/>
      <w:iCs w:val="0"/>
      <w:sz w:val="24"/>
      <w:szCs w:val="20"/>
      <w:lang w:val="en-US" w:eastAsia="en-US"/>
    </w:rPr>
  </w:style>
  <w:style w:type="paragraph" w:styleId="Heading4">
    <w:name w:val="heading 4"/>
    <w:basedOn w:val="Heading2"/>
    <w:next w:val="Normal"/>
    <w:link w:val="Heading4Char"/>
    <w:qFormat/>
    <w:rsid w:val="004C76BC"/>
    <w:pPr>
      <w:keepLines/>
      <w:spacing w:after="0" w:line="480" w:lineRule="exact"/>
      <w:ind w:right="2880"/>
      <w:outlineLvl w:val="3"/>
    </w:pPr>
    <w:rPr>
      <w:rFonts w:ascii="Times New Roman" w:hAnsi="Times New Roman"/>
      <w:b w:val="0"/>
      <w:bCs w:val="0"/>
      <w:i w:val="0"/>
      <w:iCs w:val="0"/>
      <w:sz w:val="24"/>
      <w:szCs w:val="20"/>
      <w:u w:val="single"/>
      <w:lang w:val="en-US" w:eastAsia="en-US"/>
    </w:rPr>
  </w:style>
  <w:style w:type="paragraph" w:styleId="Heading5">
    <w:name w:val="heading 5"/>
    <w:basedOn w:val="Heading3"/>
    <w:next w:val="Normal"/>
    <w:link w:val="Heading5Char"/>
    <w:qFormat/>
    <w:rsid w:val="004C76BC"/>
    <w:pPr>
      <w:ind w:left="0" w:right="2880"/>
      <w:jc w:val="left"/>
      <w:outlineLvl w:val="4"/>
    </w:pPr>
  </w:style>
  <w:style w:type="paragraph" w:styleId="Heading6">
    <w:name w:val="heading 6"/>
    <w:basedOn w:val="Heading5"/>
    <w:next w:val="Normal"/>
    <w:link w:val="Heading6Char"/>
    <w:qFormat/>
    <w:rsid w:val="004C76BC"/>
    <w:pPr>
      <w:outlineLvl w:val="5"/>
    </w:pPr>
    <w:rPr>
      <w:i/>
      <w:u w:val="single"/>
    </w:rPr>
  </w:style>
  <w:style w:type="paragraph" w:styleId="Heading7">
    <w:name w:val="heading 7"/>
    <w:basedOn w:val="Heading4"/>
    <w:next w:val="Normal"/>
    <w:link w:val="Heading7Char"/>
    <w:qFormat/>
    <w:rsid w:val="004C76BC"/>
    <w:pPr>
      <w:outlineLvl w:val="6"/>
    </w:pPr>
    <w:rPr>
      <w:i/>
      <w:u w:val="none"/>
    </w:rPr>
  </w:style>
  <w:style w:type="paragraph" w:styleId="Heading8">
    <w:name w:val="heading 8"/>
    <w:basedOn w:val="Heading7"/>
    <w:next w:val="Normal"/>
    <w:link w:val="Heading8Char"/>
    <w:qFormat/>
    <w:rsid w:val="004C76BC"/>
    <w:pPr>
      <w:ind w:left="720" w:right="2160"/>
      <w:outlineLvl w:val="7"/>
    </w:pPr>
    <w:rPr>
      <w:i w:val="0"/>
      <w:iCs/>
      <w:szCs w:val="24"/>
      <w:u w:val="single"/>
    </w:rPr>
  </w:style>
  <w:style w:type="paragraph" w:styleId="Heading9">
    <w:name w:val="heading 9"/>
    <w:basedOn w:val="Heading8"/>
    <w:next w:val="Normal"/>
    <w:link w:val="Heading9Char"/>
    <w:qFormat/>
    <w:rsid w:val="004C76BC"/>
    <w:pPr>
      <w:outlineLvl w:val="8"/>
    </w:pPr>
    <w:rPr>
      <w:rFonts w:cs="Arial"/>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6B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76BC"/>
    <w:rPr>
      <w:rFonts w:ascii="Cambria" w:eastAsia="Times New Roman" w:hAnsi="Cambria" w:cs="Times New Roman"/>
      <w:b/>
      <w:bCs/>
      <w:i/>
      <w:iCs/>
      <w:sz w:val="28"/>
      <w:szCs w:val="28"/>
      <w:lang w:eastAsia="pt-BR"/>
    </w:rPr>
  </w:style>
  <w:style w:type="character" w:customStyle="1" w:styleId="Heading3Char">
    <w:name w:val="Heading 3 Char"/>
    <w:basedOn w:val="DefaultParagraphFont"/>
    <w:link w:val="Heading3"/>
    <w:rsid w:val="004C76BC"/>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4C76BC"/>
    <w:rPr>
      <w:rFonts w:ascii="Times New Roman" w:eastAsia="Times New Roman" w:hAnsi="Times New Roman" w:cs="Times New Roman"/>
      <w:sz w:val="24"/>
      <w:szCs w:val="20"/>
      <w:u w:val="single"/>
      <w:lang w:val="en-US"/>
    </w:rPr>
  </w:style>
  <w:style w:type="character" w:customStyle="1" w:styleId="Heading5Char">
    <w:name w:val="Heading 5 Char"/>
    <w:basedOn w:val="DefaultParagraphFont"/>
    <w:link w:val="Heading5"/>
    <w:rsid w:val="004C76BC"/>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4C76BC"/>
    <w:rPr>
      <w:rFonts w:ascii="Times New Roman" w:eastAsia="Times New Roman" w:hAnsi="Times New Roman" w:cs="Times New Roman"/>
      <w:i/>
      <w:sz w:val="24"/>
      <w:szCs w:val="20"/>
      <w:u w:val="single"/>
      <w:lang w:val="en-US"/>
    </w:rPr>
  </w:style>
  <w:style w:type="character" w:customStyle="1" w:styleId="Heading7Char">
    <w:name w:val="Heading 7 Char"/>
    <w:basedOn w:val="DefaultParagraphFont"/>
    <w:link w:val="Heading7"/>
    <w:rsid w:val="004C76BC"/>
    <w:rPr>
      <w:rFonts w:ascii="Times New Roman" w:eastAsia="Times New Roman" w:hAnsi="Times New Roman" w:cs="Times New Roman"/>
      <w:i/>
      <w:sz w:val="24"/>
      <w:szCs w:val="20"/>
      <w:lang w:val="en-US"/>
    </w:rPr>
  </w:style>
  <w:style w:type="character" w:customStyle="1" w:styleId="Heading8Char">
    <w:name w:val="Heading 8 Char"/>
    <w:basedOn w:val="DefaultParagraphFont"/>
    <w:link w:val="Heading8"/>
    <w:rsid w:val="004C76BC"/>
    <w:rPr>
      <w:rFonts w:ascii="Times New Roman" w:eastAsia="Times New Roman" w:hAnsi="Times New Roman" w:cs="Times New Roman"/>
      <w:iCs/>
      <w:sz w:val="24"/>
      <w:szCs w:val="24"/>
      <w:u w:val="single"/>
      <w:lang w:val="en-US"/>
    </w:rPr>
  </w:style>
  <w:style w:type="character" w:customStyle="1" w:styleId="Heading9Char">
    <w:name w:val="Heading 9 Char"/>
    <w:basedOn w:val="DefaultParagraphFont"/>
    <w:link w:val="Heading9"/>
    <w:rsid w:val="004C76BC"/>
    <w:rPr>
      <w:rFonts w:ascii="Times New Roman" w:eastAsia="Times New Roman" w:hAnsi="Times New Roman" w:cs="Arial"/>
      <w:iCs/>
      <w:sz w:val="24"/>
      <w:lang w:val="en-US"/>
    </w:rPr>
  </w:style>
  <w:style w:type="character" w:styleId="Hyperlink">
    <w:name w:val="Hyperlink"/>
    <w:uiPriority w:val="99"/>
    <w:unhideWhenUsed/>
    <w:rsid w:val="004C76BC"/>
    <w:rPr>
      <w:color w:val="0000FF"/>
      <w:u w:val="single"/>
    </w:rPr>
  </w:style>
  <w:style w:type="paragraph" w:customStyle="1" w:styleId="msonormal0">
    <w:name w:val="msonormal"/>
    <w:basedOn w:val="Normal"/>
    <w:rsid w:val="004C76BC"/>
    <w:pPr>
      <w:spacing w:before="100" w:beforeAutospacing="1" w:after="100" w:afterAutospacing="1"/>
    </w:pPr>
    <w:rPr>
      <w:rFonts w:eastAsia="Times New Roman"/>
    </w:rPr>
  </w:style>
  <w:style w:type="paragraph" w:styleId="CommentText">
    <w:name w:val="annotation text"/>
    <w:basedOn w:val="Normal"/>
    <w:link w:val="CommentTextChar"/>
    <w:unhideWhenUsed/>
    <w:rsid w:val="004C76BC"/>
    <w:rPr>
      <w:sz w:val="20"/>
      <w:szCs w:val="20"/>
    </w:rPr>
  </w:style>
  <w:style w:type="character" w:customStyle="1" w:styleId="CommentTextChar">
    <w:name w:val="Comment Text Char"/>
    <w:basedOn w:val="DefaultParagraphFont"/>
    <w:link w:val="CommentText"/>
    <w:uiPriority w:val="99"/>
    <w:rsid w:val="004C76BC"/>
    <w:rPr>
      <w:rFonts w:ascii="Times New Roman" w:eastAsia="Calibri" w:hAnsi="Times New Roman" w:cs="Times New Roman"/>
      <w:sz w:val="20"/>
      <w:szCs w:val="20"/>
      <w:lang w:eastAsia="en-GB"/>
    </w:rPr>
  </w:style>
  <w:style w:type="character" w:customStyle="1" w:styleId="HeaderChar">
    <w:name w:val="Header Char"/>
    <w:basedOn w:val="DefaultParagraphFont"/>
    <w:link w:val="Header"/>
    <w:uiPriority w:val="99"/>
    <w:rsid w:val="004C76BC"/>
    <w:rPr>
      <w:rFonts w:ascii="Calibri" w:eastAsia="Calibri" w:hAnsi="Calibri" w:cs="Times New Roman"/>
      <w:sz w:val="24"/>
      <w:szCs w:val="24"/>
    </w:rPr>
  </w:style>
  <w:style w:type="paragraph" w:styleId="Header">
    <w:name w:val="header"/>
    <w:basedOn w:val="Normal"/>
    <w:link w:val="HeaderChar"/>
    <w:uiPriority w:val="99"/>
    <w:unhideWhenUsed/>
    <w:rsid w:val="004C76BC"/>
    <w:pPr>
      <w:tabs>
        <w:tab w:val="center" w:pos="4513"/>
        <w:tab w:val="right" w:pos="9026"/>
      </w:tabs>
    </w:pPr>
    <w:rPr>
      <w:rFonts w:ascii="Calibri" w:hAnsi="Calibri"/>
      <w:lang w:eastAsia="en-US"/>
    </w:rPr>
  </w:style>
  <w:style w:type="character" w:customStyle="1" w:styleId="HeaderChar1">
    <w:name w:val="Header Char1"/>
    <w:basedOn w:val="DefaultParagraphFont"/>
    <w:uiPriority w:val="99"/>
    <w:semiHidden/>
    <w:rsid w:val="004C76BC"/>
    <w:rPr>
      <w:rFonts w:ascii="Times New Roman" w:eastAsia="Calibri" w:hAnsi="Times New Roman" w:cs="Times New Roman"/>
      <w:sz w:val="24"/>
      <w:szCs w:val="24"/>
      <w:lang w:eastAsia="en-GB"/>
    </w:rPr>
  </w:style>
  <w:style w:type="character" w:customStyle="1" w:styleId="FooterChar">
    <w:name w:val="Footer Char"/>
    <w:basedOn w:val="DefaultParagraphFont"/>
    <w:link w:val="Footer"/>
    <w:uiPriority w:val="99"/>
    <w:rsid w:val="004C76BC"/>
    <w:rPr>
      <w:rFonts w:ascii="Calibri" w:eastAsia="Calibri" w:hAnsi="Calibri" w:cs="Times New Roman"/>
      <w:sz w:val="24"/>
      <w:szCs w:val="24"/>
    </w:rPr>
  </w:style>
  <w:style w:type="paragraph" w:styleId="Footer">
    <w:name w:val="footer"/>
    <w:basedOn w:val="Normal"/>
    <w:link w:val="FooterChar"/>
    <w:uiPriority w:val="99"/>
    <w:unhideWhenUsed/>
    <w:rsid w:val="004C76BC"/>
    <w:pPr>
      <w:tabs>
        <w:tab w:val="center" w:pos="4513"/>
        <w:tab w:val="right" w:pos="9026"/>
      </w:tabs>
    </w:pPr>
    <w:rPr>
      <w:rFonts w:ascii="Calibri" w:hAnsi="Calibri"/>
      <w:lang w:eastAsia="en-US"/>
    </w:rPr>
  </w:style>
  <w:style w:type="character" w:customStyle="1" w:styleId="FooterChar1">
    <w:name w:val="Footer Char1"/>
    <w:basedOn w:val="DefaultParagraphFont"/>
    <w:uiPriority w:val="99"/>
    <w:semiHidden/>
    <w:rsid w:val="004C76BC"/>
    <w:rPr>
      <w:rFonts w:ascii="Times New Roman" w:eastAsia="Calibri" w:hAnsi="Times New Roman" w:cs="Times New Roman"/>
      <w:sz w:val="24"/>
      <w:szCs w:val="24"/>
      <w:lang w:eastAsia="en-GB"/>
    </w:rPr>
  </w:style>
  <w:style w:type="paragraph" w:styleId="BodyText">
    <w:name w:val="Body Text"/>
    <w:basedOn w:val="Normal"/>
    <w:link w:val="BodyTextChar1"/>
    <w:unhideWhenUsed/>
    <w:rsid w:val="004C76BC"/>
    <w:pPr>
      <w:widowControl w:val="0"/>
      <w:suppressAutoHyphens/>
      <w:spacing w:after="120"/>
    </w:pPr>
    <w:rPr>
      <w:rFonts w:eastAsia="Arial Unicode MS" w:cs="Arial Unicode MS"/>
      <w:kern w:val="2"/>
      <w:sz w:val="20"/>
      <w:szCs w:val="20"/>
      <w:lang w:val="x-none" w:eastAsia="hi-IN" w:bidi="hi-IN"/>
    </w:rPr>
  </w:style>
  <w:style w:type="character" w:customStyle="1" w:styleId="BodyTextChar">
    <w:name w:val="Body Text Char"/>
    <w:basedOn w:val="DefaultParagraphFont"/>
    <w:rsid w:val="004C76BC"/>
    <w:rPr>
      <w:rFonts w:ascii="Times New Roman" w:eastAsia="Calibri" w:hAnsi="Times New Roman" w:cs="Times New Roman"/>
      <w:sz w:val="24"/>
      <w:szCs w:val="24"/>
      <w:lang w:eastAsia="en-GB"/>
    </w:rPr>
  </w:style>
  <w:style w:type="character" w:customStyle="1" w:styleId="BodyTextChar1">
    <w:name w:val="Body Text Char1"/>
    <w:basedOn w:val="DefaultParagraphFont"/>
    <w:link w:val="BodyText"/>
    <w:uiPriority w:val="99"/>
    <w:locked/>
    <w:rsid w:val="004C76BC"/>
    <w:rPr>
      <w:rFonts w:ascii="Times New Roman" w:eastAsia="Arial Unicode MS" w:hAnsi="Times New Roman" w:cs="Arial Unicode MS"/>
      <w:kern w:val="2"/>
      <w:sz w:val="20"/>
      <w:szCs w:val="20"/>
      <w:lang w:val="x-none" w:eastAsia="hi-IN" w:bidi="hi-IN"/>
    </w:rPr>
  </w:style>
  <w:style w:type="paragraph" w:styleId="List">
    <w:name w:val="List"/>
    <w:basedOn w:val="BodyText"/>
    <w:uiPriority w:val="99"/>
    <w:semiHidden/>
    <w:unhideWhenUsed/>
    <w:rsid w:val="004C76BC"/>
  </w:style>
  <w:style w:type="paragraph" w:styleId="ListBullet">
    <w:name w:val="List Bullet"/>
    <w:basedOn w:val="Normal"/>
    <w:unhideWhenUsed/>
    <w:rsid w:val="004C76BC"/>
    <w:pPr>
      <w:numPr>
        <w:numId w:val="1"/>
      </w:numPr>
      <w:suppressAutoHyphens/>
      <w:spacing w:line="480" w:lineRule="auto"/>
      <w:contextualSpacing/>
    </w:pPr>
    <w:rPr>
      <w:rFonts w:eastAsia="Times New Roman"/>
      <w:lang w:eastAsia="ar-SA"/>
    </w:rPr>
  </w:style>
  <w:style w:type="character" w:customStyle="1" w:styleId="DocumentMapChar">
    <w:name w:val="Document Map Char"/>
    <w:basedOn w:val="DefaultParagraphFont"/>
    <w:link w:val="DocumentMap"/>
    <w:uiPriority w:val="99"/>
    <w:semiHidden/>
    <w:rsid w:val="004C76BC"/>
    <w:rPr>
      <w:rFonts w:ascii="Lucida Grande" w:eastAsia="Times New Roman" w:hAnsi="Lucida Grande" w:cs="Times New Roman"/>
      <w:sz w:val="24"/>
      <w:szCs w:val="24"/>
      <w:lang w:eastAsia="ar-SA"/>
    </w:rPr>
  </w:style>
  <w:style w:type="paragraph" w:styleId="DocumentMap">
    <w:name w:val="Document Map"/>
    <w:basedOn w:val="Normal"/>
    <w:link w:val="DocumentMapChar"/>
    <w:uiPriority w:val="99"/>
    <w:semiHidden/>
    <w:unhideWhenUsed/>
    <w:rsid w:val="004C76BC"/>
    <w:pPr>
      <w:suppressAutoHyphens/>
    </w:pPr>
    <w:rPr>
      <w:rFonts w:ascii="Lucida Grande" w:eastAsia="Times New Roman" w:hAnsi="Lucida Grande"/>
      <w:lang w:eastAsia="ar-SA"/>
    </w:rPr>
  </w:style>
  <w:style w:type="character" w:customStyle="1" w:styleId="DocumentMapChar1">
    <w:name w:val="Document Map Char1"/>
    <w:basedOn w:val="DefaultParagraphFont"/>
    <w:uiPriority w:val="99"/>
    <w:semiHidden/>
    <w:rsid w:val="004C76BC"/>
    <w:rPr>
      <w:rFonts w:ascii="Segoe UI" w:eastAsia="Calibri" w:hAnsi="Segoe UI" w:cs="Segoe UI"/>
      <w:sz w:val="16"/>
      <w:szCs w:val="16"/>
      <w:lang w:eastAsia="en-GB"/>
    </w:rPr>
  </w:style>
  <w:style w:type="paragraph" w:styleId="CommentSubject">
    <w:name w:val="annotation subject"/>
    <w:basedOn w:val="CommentText"/>
    <w:next w:val="CommentText"/>
    <w:link w:val="CommentSubjectChar"/>
    <w:uiPriority w:val="99"/>
    <w:semiHidden/>
    <w:unhideWhenUsed/>
    <w:rsid w:val="004C76BC"/>
    <w:rPr>
      <w:rFonts w:ascii="Calibri" w:hAnsi="Calibri"/>
      <w:b/>
      <w:bCs/>
      <w:lang w:eastAsia="en-US"/>
    </w:rPr>
  </w:style>
  <w:style w:type="character" w:customStyle="1" w:styleId="CommentSubjectChar">
    <w:name w:val="Comment Subject Char"/>
    <w:basedOn w:val="CommentTextChar"/>
    <w:link w:val="CommentSubject"/>
    <w:uiPriority w:val="99"/>
    <w:semiHidden/>
    <w:rsid w:val="004C76BC"/>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4C76BC"/>
    <w:rPr>
      <w:rFonts w:ascii="Tahoma" w:hAnsi="Tahoma" w:cs="Tahoma"/>
      <w:sz w:val="16"/>
      <w:szCs w:val="16"/>
    </w:rPr>
  </w:style>
  <w:style w:type="character" w:customStyle="1" w:styleId="BalloonTextChar">
    <w:name w:val="Balloon Text Char"/>
    <w:basedOn w:val="DefaultParagraphFont"/>
    <w:link w:val="BalloonText"/>
    <w:uiPriority w:val="99"/>
    <w:semiHidden/>
    <w:rsid w:val="004C76BC"/>
    <w:rPr>
      <w:rFonts w:ascii="Tahoma" w:eastAsia="Calibri" w:hAnsi="Tahoma" w:cs="Tahoma"/>
      <w:sz w:val="16"/>
      <w:szCs w:val="16"/>
      <w:lang w:eastAsia="en-GB"/>
    </w:rPr>
  </w:style>
  <w:style w:type="paragraph" w:styleId="ListParagraph">
    <w:name w:val="List Paragraph"/>
    <w:basedOn w:val="Normal"/>
    <w:uiPriority w:val="34"/>
    <w:qFormat/>
    <w:rsid w:val="004C76BC"/>
    <w:pPr>
      <w:spacing w:after="200" w:line="276" w:lineRule="auto"/>
      <w:ind w:left="720"/>
      <w:contextualSpacing/>
    </w:pPr>
    <w:rPr>
      <w:rFonts w:ascii="Calibri" w:eastAsia="SimSun" w:hAnsi="Calibri"/>
      <w:sz w:val="22"/>
      <w:szCs w:val="22"/>
      <w:lang w:eastAsia="en-US"/>
    </w:rPr>
  </w:style>
  <w:style w:type="paragraph" w:customStyle="1" w:styleId="Default">
    <w:name w:val="Default"/>
    <w:uiPriority w:val="99"/>
    <w:rsid w:val="004C76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0">
    <w:name w:val="Pa0"/>
    <w:basedOn w:val="Default"/>
    <w:next w:val="Default"/>
    <w:uiPriority w:val="99"/>
    <w:rsid w:val="004C76BC"/>
    <w:pPr>
      <w:spacing w:line="201" w:lineRule="atLeast"/>
    </w:pPr>
    <w:rPr>
      <w:rFonts w:ascii="Gareth" w:hAnsi="Gareth"/>
      <w:color w:val="auto"/>
      <w:lang w:eastAsia="en-GB"/>
    </w:rPr>
  </w:style>
  <w:style w:type="paragraph" w:customStyle="1" w:styleId="Heading">
    <w:name w:val="Heading"/>
    <w:basedOn w:val="Normal"/>
    <w:next w:val="BodyText"/>
    <w:uiPriority w:val="99"/>
    <w:rsid w:val="004C76BC"/>
    <w:pPr>
      <w:keepNext/>
      <w:suppressAutoHyphens/>
      <w:spacing w:before="240" w:after="120" w:line="480" w:lineRule="auto"/>
    </w:pPr>
    <w:rPr>
      <w:rFonts w:ascii="Arial" w:eastAsia="Arial Unicode MS" w:hAnsi="Arial" w:cs="Arial Unicode MS"/>
      <w:sz w:val="28"/>
      <w:szCs w:val="28"/>
      <w:lang w:eastAsia="ar-SA"/>
    </w:rPr>
  </w:style>
  <w:style w:type="paragraph" w:customStyle="1" w:styleId="Index">
    <w:name w:val="Index"/>
    <w:basedOn w:val="Normal"/>
    <w:uiPriority w:val="99"/>
    <w:rsid w:val="004C76BC"/>
    <w:pPr>
      <w:suppressLineNumbers/>
      <w:suppressAutoHyphens/>
      <w:spacing w:line="480" w:lineRule="auto"/>
    </w:pPr>
    <w:rPr>
      <w:rFonts w:eastAsia="Times New Roman"/>
      <w:lang w:eastAsia="ar-SA"/>
    </w:rPr>
  </w:style>
  <w:style w:type="paragraph" w:customStyle="1" w:styleId="bodytext0">
    <w:name w:val="bodytext"/>
    <w:basedOn w:val="Normal"/>
    <w:uiPriority w:val="99"/>
    <w:rsid w:val="004C76BC"/>
    <w:pPr>
      <w:suppressAutoHyphens/>
      <w:spacing w:before="280" w:after="280"/>
    </w:pPr>
    <w:rPr>
      <w:rFonts w:eastAsia="Times New Roman"/>
      <w:lang w:eastAsia="ar-SA"/>
    </w:rPr>
  </w:style>
  <w:style w:type="paragraph" w:customStyle="1" w:styleId="WW-Default">
    <w:name w:val="WW-Default"/>
    <w:uiPriority w:val="99"/>
    <w:rsid w:val="004C76B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aser">
    <w:name w:val="teaser"/>
    <w:basedOn w:val="Normal"/>
    <w:uiPriority w:val="99"/>
    <w:rsid w:val="004C76BC"/>
    <w:pPr>
      <w:spacing w:before="100" w:beforeAutospacing="1" w:after="100" w:afterAutospacing="1"/>
    </w:pPr>
    <w:rPr>
      <w:rFonts w:eastAsia="Times New Roman"/>
    </w:rPr>
  </w:style>
  <w:style w:type="paragraph" w:customStyle="1" w:styleId="MediumGrid21">
    <w:name w:val="Medium Grid 21"/>
    <w:uiPriority w:val="1"/>
    <w:qFormat/>
    <w:rsid w:val="004C76BC"/>
    <w:pPr>
      <w:spacing w:after="0" w:line="240" w:lineRule="auto"/>
    </w:pPr>
    <w:rPr>
      <w:rFonts w:ascii="Times New Roman" w:eastAsia="Calibri" w:hAnsi="Times New Roman" w:cs="Times New Roman"/>
    </w:rPr>
  </w:style>
  <w:style w:type="paragraph" w:customStyle="1" w:styleId="SOMText">
    <w:name w:val="SOM Text"/>
    <w:basedOn w:val="Normal"/>
    <w:rsid w:val="004C76BC"/>
    <w:pPr>
      <w:suppressAutoHyphens/>
      <w:ind w:firstLine="480"/>
    </w:pPr>
    <w:rPr>
      <w:rFonts w:eastAsia="Times New Roman"/>
      <w:szCs w:val="20"/>
      <w:lang w:val="en-US" w:eastAsia="ar-SA"/>
    </w:rPr>
  </w:style>
  <w:style w:type="character" w:styleId="CommentReference">
    <w:name w:val="annotation reference"/>
    <w:uiPriority w:val="99"/>
    <w:unhideWhenUsed/>
    <w:rsid w:val="004C76BC"/>
    <w:rPr>
      <w:sz w:val="16"/>
      <w:szCs w:val="16"/>
    </w:rPr>
  </w:style>
  <w:style w:type="character" w:customStyle="1" w:styleId="CommentSubjectChar1">
    <w:name w:val="Comment Subject Char1"/>
    <w:basedOn w:val="CommentTextChar"/>
    <w:uiPriority w:val="99"/>
    <w:rsid w:val="004C76BC"/>
    <w:rPr>
      <w:rFonts w:ascii="Calibri" w:eastAsia="Calibri" w:hAnsi="Calibri" w:cs="Times New Roman" w:hint="default"/>
      <w:b/>
      <w:bCs/>
      <w:sz w:val="20"/>
      <w:szCs w:val="20"/>
      <w:lang w:val="en-GB" w:eastAsia="en-GB"/>
    </w:rPr>
  </w:style>
  <w:style w:type="character" w:customStyle="1" w:styleId="go">
    <w:name w:val="go"/>
    <w:basedOn w:val="DefaultParagraphFont"/>
    <w:rsid w:val="004C76BC"/>
  </w:style>
  <w:style w:type="character" w:customStyle="1" w:styleId="il">
    <w:name w:val="il"/>
    <w:basedOn w:val="DefaultParagraphFont"/>
    <w:rsid w:val="004C76BC"/>
  </w:style>
  <w:style w:type="character" w:customStyle="1" w:styleId="citation">
    <w:name w:val="citation"/>
    <w:basedOn w:val="DefaultParagraphFont"/>
    <w:rsid w:val="004C76BC"/>
  </w:style>
  <w:style w:type="character" w:customStyle="1" w:styleId="apple-converted-space">
    <w:name w:val="apple-converted-space"/>
    <w:basedOn w:val="DefaultParagraphFont"/>
    <w:rsid w:val="004C76BC"/>
  </w:style>
  <w:style w:type="character" w:customStyle="1" w:styleId="WW8Num1z0">
    <w:name w:val="WW8Num1z0"/>
    <w:rsid w:val="004C76BC"/>
  </w:style>
  <w:style w:type="character" w:customStyle="1" w:styleId="WW8Num1z1">
    <w:name w:val="WW8Num1z1"/>
    <w:rsid w:val="004C76BC"/>
  </w:style>
  <w:style w:type="character" w:customStyle="1" w:styleId="WW8Num1z2">
    <w:name w:val="WW8Num1z2"/>
    <w:rsid w:val="004C76BC"/>
  </w:style>
  <w:style w:type="character" w:customStyle="1" w:styleId="WW8Num1z3">
    <w:name w:val="WW8Num1z3"/>
    <w:rsid w:val="004C76BC"/>
  </w:style>
  <w:style w:type="character" w:customStyle="1" w:styleId="WW8Num1z4">
    <w:name w:val="WW8Num1z4"/>
    <w:rsid w:val="004C76BC"/>
  </w:style>
  <w:style w:type="character" w:customStyle="1" w:styleId="WW8Num1z5">
    <w:name w:val="WW8Num1z5"/>
    <w:rsid w:val="004C76BC"/>
  </w:style>
  <w:style w:type="character" w:customStyle="1" w:styleId="WW8Num1z6">
    <w:name w:val="WW8Num1z6"/>
    <w:rsid w:val="004C76BC"/>
  </w:style>
  <w:style w:type="character" w:customStyle="1" w:styleId="WW8Num1z7">
    <w:name w:val="WW8Num1z7"/>
    <w:rsid w:val="004C76BC"/>
  </w:style>
  <w:style w:type="character" w:customStyle="1" w:styleId="WW8Num1z8">
    <w:name w:val="WW8Num1z8"/>
    <w:rsid w:val="004C76BC"/>
  </w:style>
  <w:style w:type="character" w:customStyle="1" w:styleId="WW8Num2z0">
    <w:name w:val="WW8Num2z0"/>
    <w:rsid w:val="004C76BC"/>
  </w:style>
  <w:style w:type="character" w:customStyle="1" w:styleId="WW8Num2z1">
    <w:name w:val="WW8Num2z1"/>
    <w:rsid w:val="004C76BC"/>
  </w:style>
  <w:style w:type="character" w:customStyle="1" w:styleId="WW8Num2z2">
    <w:name w:val="WW8Num2z2"/>
    <w:rsid w:val="004C76BC"/>
  </w:style>
  <w:style w:type="character" w:customStyle="1" w:styleId="WW8Num2z3">
    <w:name w:val="WW8Num2z3"/>
    <w:rsid w:val="004C76BC"/>
  </w:style>
  <w:style w:type="character" w:customStyle="1" w:styleId="WW8Num2z4">
    <w:name w:val="WW8Num2z4"/>
    <w:rsid w:val="004C76BC"/>
  </w:style>
  <w:style w:type="character" w:customStyle="1" w:styleId="WW8Num2z5">
    <w:name w:val="WW8Num2z5"/>
    <w:rsid w:val="004C76BC"/>
  </w:style>
  <w:style w:type="character" w:customStyle="1" w:styleId="WW8Num2z6">
    <w:name w:val="WW8Num2z6"/>
    <w:rsid w:val="004C76BC"/>
  </w:style>
  <w:style w:type="character" w:customStyle="1" w:styleId="WW8Num2z7">
    <w:name w:val="WW8Num2z7"/>
    <w:rsid w:val="004C76BC"/>
  </w:style>
  <w:style w:type="character" w:customStyle="1" w:styleId="WW8Num2z8">
    <w:name w:val="WW8Num2z8"/>
    <w:rsid w:val="004C76BC"/>
  </w:style>
  <w:style w:type="character" w:customStyle="1" w:styleId="st">
    <w:name w:val="st"/>
    <w:basedOn w:val="DefaultParagraphFont"/>
    <w:rsid w:val="004C76BC"/>
  </w:style>
  <w:style w:type="character" w:customStyle="1" w:styleId="lsid">
    <w:name w:val="lsid"/>
    <w:basedOn w:val="DefaultParagraphFont"/>
    <w:rsid w:val="004C76BC"/>
  </w:style>
  <w:style w:type="character" w:customStyle="1" w:styleId="personname">
    <w:name w:val="person_name"/>
    <w:basedOn w:val="DefaultParagraphFont"/>
    <w:rsid w:val="004C76BC"/>
  </w:style>
  <w:style w:type="character" w:customStyle="1" w:styleId="CommentTextChar1">
    <w:name w:val="Comment Text Char1"/>
    <w:uiPriority w:val="99"/>
    <w:rsid w:val="004C76BC"/>
    <w:rPr>
      <w:rFonts w:ascii="Calibri" w:eastAsia="Calibri" w:hAnsi="Calibri" w:hint="default"/>
      <w:sz w:val="20"/>
      <w:szCs w:val="20"/>
      <w:lang w:val="x-none" w:eastAsia="ar-SA"/>
    </w:rPr>
  </w:style>
  <w:style w:type="character" w:customStyle="1" w:styleId="BalloonTextChar1">
    <w:name w:val="Balloon Text Char1"/>
    <w:rsid w:val="004C76BC"/>
    <w:rPr>
      <w:rFonts w:ascii="Tahoma" w:eastAsia="Times New Roman" w:hAnsi="Tahoma" w:cs="Tahoma" w:hint="default"/>
      <w:sz w:val="16"/>
      <w:szCs w:val="16"/>
      <w:lang w:val="x-none" w:eastAsia="ar-SA"/>
    </w:rPr>
  </w:style>
  <w:style w:type="character" w:customStyle="1" w:styleId="Title1">
    <w:name w:val="Title1"/>
    <w:basedOn w:val="DefaultParagraphFont"/>
    <w:rsid w:val="004C76BC"/>
  </w:style>
  <w:style w:type="character" w:customStyle="1" w:styleId="reference-text">
    <w:name w:val="reference-text"/>
    <w:basedOn w:val="DefaultParagraphFont"/>
    <w:rsid w:val="004C76BC"/>
  </w:style>
  <w:style w:type="table" w:styleId="TableGrid">
    <w:name w:val="Table Grid"/>
    <w:basedOn w:val="TableNormal"/>
    <w:uiPriority w:val="39"/>
    <w:rsid w:val="004C76BC"/>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76BC"/>
    <w:rPr>
      <w:i/>
      <w:iCs/>
    </w:rPr>
  </w:style>
  <w:style w:type="character" w:styleId="HTMLCite">
    <w:name w:val="HTML Cite"/>
    <w:basedOn w:val="DefaultParagraphFont"/>
    <w:uiPriority w:val="99"/>
    <w:semiHidden/>
    <w:unhideWhenUsed/>
    <w:rsid w:val="004C76BC"/>
    <w:rPr>
      <w:i/>
      <w:iCs/>
    </w:rPr>
  </w:style>
  <w:style w:type="paragraph" w:customStyle="1" w:styleId="m1402509145578516296default">
    <w:name w:val="m_1402509145578516296default"/>
    <w:basedOn w:val="Normal"/>
    <w:rsid w:val="004C76BC"/>
    <w:pPr>
      <w:spacing w:before="100" w:beforeAutospacing="1" w:after="100" w:afterAutospacing="1"/>
    </w:pPr>
    <w:rPr>
      <w:rFonts w:eastAsia="Times New Roman"/>
    </w:rPr>
  </w:style>
  <w:style w:type="paragraph" w:styleId="NoSpacing">
    <w:name w:val="No Spacing"/>
    <w:uiPriority w:val="1"/>
    <w:qFormat/>
    <w:rsid w:val="004C76BC"/>
    <w:pPr>
      <w:spacing w:after="0" w:line="240" w:lineRule="auto"/>
    </w:pPr>
    <w:rPr>
      <w:rFonts w:ascii="Times New Roman" w:hAnsi="Times New Roman" w:cs="Times New Roman"/>
      <w:sz w:val="24"/>
      <w:szCs w:val="24"/>
    </w:rPr>
  </w:style>
  <w:style w:type="character" w:styleId="Strong">
    <w:name w:val="Strong"/>
    <w:uiPriority w:val="22"/>
    <w:qFormat/>
    <w:rsid w:val="004C76BC"/>
    <w:rPr>
      <w:b/>
      <w:bCs/>
    </w:rPr>
  </w:style>
  <w:style w:type="character" w:customStyle="1" w:styleId="cit-auth">
    <w:name w:val="cit-auth"/>
    <w:basedOn w:val="DefaultParagraphFont"/>
    <w:rsid w:val="004C76BC"/>
  </w:style>
  <w:style w:type="character" w:customStyle="1" w:styleId="cit-name-surname">
    <w:name w:val="cit-name-surname"/>
    <w:basedOn w:val="DefaultParagraphFont"/>
    <w:rsid w:val="004C76BC"/>
  </w:style>
  <w:style w:type="character" w:customStyle="1" w:styleId="cit-name-given-names">
    <w:name w:val="cit-name-given-names"/>
    <w:basedOn w:val="DefaultParagraphFont"/>
    <w:rsid w:val="004C76BC"/>
  </w:style>
  <w:style w:type="character" w:customStyle="1" w:styleId="cit-pub-date">
    <w:name w:val="cit-pub-date"/>
    <w:basedOn w:val="DefaultParagraphFont"/>
    <w:rsid w:val="004C76BC"/>
  </w:style>
  <w:style w:type="character" w:customStyle="1" w:styleId="cit-article-title">
    <w:name w:val="cit-article-title"/>
    <w:basedOn w:val="DefaultParagraphFont"/>
    <w:rsid w:val="004C76BC"/>
  </w:style>
  <w:style w:type="character" w:customStyle="1" w:styleId="cit-vol">
    <w:name w:val="cit-vol"/>
    <w:basedOn w:val="DefaultParagraphFont"/>
    <w:rsid w:val="004C76BC"/>
  </w:style>
  <w:style w:type="character" w:customStyle="1" w:styleId="cit-fpage">
    <w:name w:val="cit-fpage"/>
    <w:basedOn w:val="DefaultParagraphFont"/>
    <w:rsid w:val="004C76BC"/>
  </w:style>
  <w:style w:type="character" w:customStyle="1" w:styleId="cit-lpage">
    <w:name w:val="cit-lpage"/>
    <w:basedOn w:val="DefaultParagraphFont"/>
    <w:rsid w:val="004C76BC"/>
  </w:style>
  <w:style w:type="paragraph" w:customStyle="1" w:styleId="Referencepara">
    <w:name w:val="Reference para"/>
    <w:basedOn w:val="Normal"/>
    <w:rsid w:val="004C76BC"/>
    <w:pPr>
      <w:keepLines/>
      <w:spacing w:before="240" w:line="240" w:lineRule="exact"/>
      <w:ind w:left="360" w:hanging="360"/>
    </w:pPr>
    <w:rPr>
      <w:rFonts w:eastAsia="Times New Roman"/>
      <w:szCs w:val="20"/>
      <w:lang w:val="en-US" w:eastAsia="en-US"/>
    </w:rPr>
  </w:style>
  <w:style w:type="character" w:styleId="FollowedHyperlink">
    <w:name w:val="FollowedHyperlink"/>
    <w:basedOn w:val="DefaultParagraphFont"/>
    <w:uiPriority w:val="99"/>
    <w:unhideWhenUsed/>
    <w:rsid w:val="004C76BC"/>
    <w:rPr>
      <w:color w:val="800080"/>
      <w:u w:val="single"/>
    </w:rPr>
  </w:style>
  <w:style w:type="paragraph" w:customStyle="1" w:styleId="font0">
    <w:name w:val="font0"/>
    <w:basedOn w:val="Normal"/>
    <w:rsid w:val="004C76BC"/>
    <w:pPr>
      <w:spacing w:before="100" w:beforeAutospacing="1" w:after="100" w:afterAutospacing="1"/>
      <w:ind w:firstLine="720"/>
    </w:pPr>
    <w:rPr>
      <w:rFonts w:ascii="Calibri" w:eastAsia="Times New Roman" w:hAnsi="Calibri" w:cs="Calibri"/>
      <w:color w:val="000000"/>
      <w:lang w:val="en-US" w:eastAsia="en-US"/>
    </w:rPr>
  </w:style>
  <w:style w:type="paragraph" w:customStyle="1" w:styleId="font5">
    <w:name w:val="font5"/>
    <w:basedOn w:val="Normal"/>
    <w:rsid w:val="004C76BC"/>
    <w:pPr>
      <w:spacing w:before="100" w:beforeAutospacing="1" w:after="100" w:afterAutospacing="1"/>
      <w:ind w:firstLine="720"/>
    </w:pPr>
    <w:rPr>
      <w:rFonts w:ascii="Calibri" w:eastAsia="Times New Roman" w:hAnsi="Calibri" w:cs="Calibri"/>
      <w:color w:val="000000"/>
      <w:lang w:val="en-US" w:eastAsia="en-US"/>
    </w:rPr>
  </w:style>
  <w:style w:type="paragraph" w:customStyle="1" w:styleId="font6">
    <w:name w:val="font6"/>
    <w:basedOn w:val="Normal"/>
    <w:rsid w:val="004C76BC"/>
    <w:pPr>
      <w:spacing w:before="100" w:beforeAutospacing="1" w:after="100" w:afterAutospacing="1"/>
      <w:ind w:firstLine="720"/>
    </w:pPr>
    <w:rPr>
      <w:rFonts w:ascii="Calibri" w:eastAsia="Times New Roman" w:hAnsi="Calibri" w:cs="Calibri"/>
      <w:color w:val="000000"/>
      <w:lang w:val="en-US" w:eastAsia="en-US"/>
    </w:rPr>
  </w:style>
  <w:style w:type="paragraph" w:customStyle="1" w:styleId="xl65">
    <w:name w:val="xl65"/>
    <w:basedOn w:val="Normal"/>
    <w:rsid w:val="004C76BC"/>
    <w:pPr>
      <w:spacing w:before="100" w:beforeAutospacing="1" w:after="100" w:afterAutospacing="1"/>
      <w:ind w:firstLine="720"/>
      <w:jc w:val="center"/>
    </w:pPr>
    <w:rPr>
      <w:rFonts w:eastAsia="Times New Roman"/>
      <w:lang w:val="en-US" w:eastAsia="en-US"/>
    </w:rPr>
  </w:style>
  <w:style w:type="paragraph" w:customStyle="1" w:styleId="xl66">
    <w:name w:val="xl66"/>
    <w:basedOn w:val="Normal"/>
    <w:rsid w:val="004C76BC"/>
    <w:pPr>
      <w:spacing w:before="100" w:beforeAutospacing="1" w:after="100" w:afterAutospacing="1"/>
      <w:ind w:firstLine="720"/>
    </w:pPr>
    <w:rPr>
      <w:rFonts w:eastAsia="Times New Roman"/>
      <w:b/>
      <w:bCs/>
      <w:color w:val="000000"/>
      <w:lang w:val="en-US" w:eastAsia="en-US"/>
    </w:rPr>
  </w:style>
  <w:style w:type="paragraph" w:customStyle="1" w:styleId="xl67">
    <w:name w:val="xl67"/>
    <w:basedOn w:val="Normal"/>
    <w:rsid w:val="004C76BC"/>
    <w:pPr>
      <w:spacing w:before="100" w:beforeAutospacing="1" w:after="100" w:afterAutospacing="1"/>
      <w:ind w:firstLine="720"/>
      <w:jc w:val="center"/>
    </w:pPr>
    <w:rPr>
      <w:rFonts w:eastAsia="Times New Roman"/>
      <w:b/>
      <w:bCs/>
      <w:color w:val="000000"/>
      <w:lang w:val="en-US" w:eastAsia="en-US"/>
    </w:rPr>
  </w:style>
  <w:style w:type="paragraph" w:customStyle="1" w:styleId="xl68">
    <w:name w:val="xl68"/>
    <w:basedOn w:val="Normal"/>
    <w:rsid w:val="004C76B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i/>
      <w:iCs/>
      <w:color w:val="000000"/>
      <w:lang w:val="en-US" w:eastAsia="en-US"/>
    </w:rPr>
  </w:style>
  <w:style w:type="paragraph" w:customStyle="1" w:styleId="xl69">
    <w:name w:val="xl69"/>
    <w:basedOn w:val="Normal"/>
    <w:rsid w:val="004C76BC"/>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eastAsia="Times New Roman"/>
      <w:lang w:val="en-US" w:eastAsia="en-US"/>
    </w:rPr>
  </w:style>
  <w:style w:type="paragraph" w:customStyle="1" w:styleId="xl70">
    <w:name w:val="xl70"/>
    <w:basedOn w:val="Normal"/>
    <w:rsid w:val="004C76B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color w:val="000000"/>
      <w:lang w:val="en-US" w:eastAsia="en-US"/>
    </w:rPr>
  </w:style>
  <w:style w:type="paragraph" w:customStyle="1" w:styleId="xl71">
    <w:name w:val="xl71"/>
    <w:basedOn w:val="Normal"/>
    <w:rsid w:val="004C76B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lang w:val="en-US" w:eastAsia="en-US"/>
    </w:rPr>
  </w:style>
  <w:style w:type="paragraph" w:customStyle="1" w:styleId="xl72">
    <w:name w:val="xl72"/>
    <w:basedOn w:val="Normal"/>
    <w:rsid w:val="004C76B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color w:val="000000"/>
      <w:lang w:val="en-US" w:eastAsia="en-US"/>
    </w:rPr>
  </w:style>
  <w:style w:type="paragraph" w:customStyle="1" w:styleId="xl73">
    <w:name w:val="xl73"/>
    <w:basedOn w:val="Normal"/>
    <w:rsid w:val="004C76BC"/>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eastAsia="Times New Roman"/>
      <w:i/>
      <w:iCs/>
      <w:color w:val="000000"/>
      <w:lang w:val="en-US" w:eastAsia="en-US"/>
    </w:rPr>
  </w:style>
  <w:style w:type="paragraph" w:styleId="Caption">
    <w:name w:val="caption"/>
    <w:basedOn w:val="Normal"/>
    <w:next w:val="Normal"/>
    <w:qFormat/>
    <w:rsid w:val="004C76BC"/>
    <w:pPr>
      <w:keepLines/>
      <w:spacing w:before="720" w:after="480" w:line="240" w:lineRule="exact"/>
      <w:ind w:left="1080" w:hanging="1080"/>
    </w:pPr>
    <w:rPr>
      <w:rFonts w:eastAsia="Times New Roman"/>
      <w:szCs w:val="20"/>
      <w:lang w:val="en-US" w:eastAsia="en-US"/>
    </w:rPr>
  </w:style>
  <w:style w:type="paragraph" w:customStyle="1" w:styleId="BlockQuote">
    <w:name w:val="Block Quote"/>
    <w:basedOn w:val="Normal"/>
    <w:rsid w:val="004C76BC"/>
    <w:pPr>
      <w:spacing w:before="240" w:line="240" w:lineRule="exact"/>
      <w:ind w:left="1080" w:right="1080" w:firstLine="720"/>
    </w:pPr>
    <w:rPr>
      <w:rFonts w:eastAsia="Times New Roman"/>
      <w:szCs w:val="20"/>
      <w:lang w:val="en-US" w:eastAsia="en-US"/>
    </w:rPr>
  </w:style>
  <w:style w:type="character" w:styleId="EndnoteReference">
    <w:name w:val="endnote reference"/>
    <w:basedOn w:val="DefaultParagraphFont"/>
    <w:rsid w:val="004C76BC"/>
    <w:rPr>
      <w:position w:val="6"/>
      <w:sz w:val="22"/>
      <w:vertAlign w:val="baseline"/>
    </w:rPr>
  </w:style>
  <w:style w:type="paragraph" w:styleId="EndnoteText">
    <w:name w:val="endnote text"/>
    <w:basedOn w:val="Normal"/>
    <w:link w:val="EndnoteTextChar"/>
    <w:rsid w:val="004C76BC"/>
    <w:pPr>
      <w:spacing w:after="240" w:line="240" w:lineRule="exact"/>
      <w:ind w:firstLine="720"/>
    </w:pPr>
    <w:rPr>
      <w:rFonts w:eastAsia="Times New Roman"/>
      <w:szCs w:val="20"/>
      <w:lang w:val="en-US" w:eastAsia="en-US"/>
    </w:rPr>
  </w:style>
  <w:style w:type="character" w:customStyle="1" w:styleId="EndnoteTextChar">
    <w:name w:val="Endnote Text Char"/>
    <w:basedOn w:val="DefaultParagraphFont"/>
    <w:link w:val="EndnoteText"/>
    <w:rsid w:val="004C76BC"/>
    <w:rPr>
      <w:rFonts w:ascii="Times New Roman" w:eastAsia="Times New Roman" w:hAnsi="Times New Roman" w:cs="Times New Roman"/>
      <w:sz w:val="24"/>
      <w:szCs w:val="20"/>
      <w:lang w:val="en-US"/>
    </w:rPr>
  </w:style>
  <w:style w:type="paragraph" w:customStyle="1" w:styleId="Equationpara">
    <w:name w:val="Equation para"/>
    <w:basedOn w:val="Normal"/>
    <w:next w:val="Normal"/>
    <w:rsid w:val="004C76BC"/>
    <w:pPr>
      <w:tabs>
        <w:tab w:val="center" w:pos="4320"/>
        <w:tab w:val="right" w:pos="8640"/>
      </w:tabs>
      <w:spacing w:before="240" w:line="240" w:lineRule="atLeast"/>
    </w:pPr>
    <w:rPr>
      <w:rFonts w:eastAsia="Times New Roman"/>
      <w:szCs w:val="20"/>
      <w:lang w:val="en-US" w:eastAsia="en-US"/>
    </w:rPr>
  </w:style>
  <w:style w:type="paragraph" w:customStyle="1" w:styleId="ExtendedQuotepara">
    <w:name w:val="Extended Quote para"/>
    <w:basedOn w:val="Normal"/>
    <w:rsid w:val="004C76BC"/>
    <w:pPr>
      <w:spacing w:before="240" w:line="240" w:lineRule="exact"/>
      <w:ind w:left="1080" w:right="1080"/>
    </w:pPr>
    <w:rPr>
      <w:rFonts w:eastAsia="Times New Roman"/>
      <w:szCs w:val="20"/>
      <w:lang w:val="en-US" w:eastAsia="en-US"/>
    </w:rPr>
  </w:style>
  <w:style w:type="paragraph" w:customStyle="1" w:styleId="FigureImagePara">
    <w:name w:val="Figure Image Para"/>
    <w:basedOn w:val="Normal"/>
    <w:next w:val="Normal"/>
    <w:rsid w:val="004C76BC"/>
    <w:pPr>
      <w:tabs>
        <w:tab w:val="center" w:pos="4320"/>
        <w:tab w:val="right" w:pos="8640"/>
      </w:tabs>
      <w:spacing w:before="720" w:line="240" w:lineRule="atLeast"/>
      <w:jc w:val="center"/>
    </w:pPr>
    <w:rPr>
      <w:rFonts w:eastAsia="Times New Roman"/>
      <w:szCs w:val="20"/>
      <w:lang w:val="en-US" w:eastAsia="en-US"/>
    </w:rPr>
  </w:style>
  <w:style w:type="paragraph" w:customStyle="1" w:styleId="FigureNote">
    <w:name w:val="Figure Note"/>
    <w:basedOn w:val="Normal"/>
    <w:rsid w:val="004C76BC"/>
    <w:pPr>
      <w:pBdr>
        <w:top w:val="single" w:sz="12" w:space="1" w:color="auto"/>
      </w:pBdr>
      <w:spacing w:after="240" w:line="480" w:lineRule="exact"/>
      <w:ind w:left="360" w:hanging="360"/>
    </w:pPr>
    <w:rPr>
      <w:rFonts w:eastAsia="Times New Roman"/>
      <w:szCs w:val="20"/>
      <w:lang w:val="en-US" w:eastAsia="en-US"/>
    </w:rPr>
  </w:style>
  <w:style w:type="character" w:styleId="FootnoteReference">
    <w:name w:val="footnote reference"/>
    <w:basedOn w:val="DefaultParagraphFont"/>
    <w:rsid w:val="004C76BC"/>
    <w:rPr>
      <w:position w:val="6"/>
      <w:sz w:val="22"/>
      <w:vertAlign w:val="baseline"/>
    </w:rPr>
  </w:style>
  <w:style w:type="paragraph" w:styleId="FootnoteText">
    <w:name w:val="footnote text"/>
    <w:basedOn w:val="Normal"/>
    <w:link w:val="FootnoteTextChar"/>
    <w:rsid w:val="004C76BC"/>
    <w:pPr>
      <w:spacing w:after="240" w:line="240" w:lineRule="exact"/>
      <w:ind w:firstLine="720"/>
    </w:pPr>
    <w:rPr>
      <w:rFonts w:eastAsia="Times New Roman"/>
      <w:sz w:val="22"/>
      <w:szCs w:val="22"/>
      <w:lang w:val="en-US" w:eastAsia="en-US"/>
    </w:rPr>
  </w:style>
  <w:style w:type="character" w:customStyle="1" w:styleId="FootnoteTextChar">
    <w:name w:val="Footnote Text Char"/>
    <w:basedOn w:val="DefaultParagraphFont"/>
    <w:link w:val="FootnoteText"/>
    <w:rsid w:val="004C76BC"/>
    <w:rPr>
      <w:rFonts w:ascii="Times New Roman" w:eastAsia="Times New Roman" w:hAnsi="Times New Roman" w:cs="Times New Roman"/>
      <w:lang w:val="en-US"/>
    </w:rPr>
  </w:style>
  <w:style w:type="paragraph" w:customStyle="1" w:styleId="Heading1beforeHeading2">
    <w:name w:val="Heading 1 before Heading2"/>
    <w:basedOn w:val="Heading1"/>
    <w:next w:val="Heading2"/>
    <w:rsid w:val="004C76BC"/>
    <w:pPr>
      <w:keepNext/>
      <w:keepLines/>
      <w:pageBreakBefore/>
      <w:spacing w:before="0" w:beforeAutospacing="0" w:after="0" w:afterAutospacing="0" w:line="480" w:lineRule="exact"/>
      <w:ind w:left="720" w:right="720"/>
      <w:jc w:val="center"/>
    </w:pPr>
    <w:rPr>
      <w:b w:val="0"/>
      <w:bCs w:val="0"/>
      <w:caps/>
      <w:kern w:val="0"/>
      <w:sz w:val="24"/>
      <w:szCs w:val="20"/>
      <w:lang w:val="en-US" w:eastAsia="en-US"/>
    </w:rPr>
  </w:style>
  <w:style w:type="paragraph" w:customStyle="1" w:styleId="Heading1nopagebreak">
    <w:name w:val="Heading 1 no page break"/>
    <w:basedOn w:val="Heading1"/>
    <w:rsid w:val="004C76BC"/>
    <w:pPr>
      <w:keepNext/>
      <w:keepLines/>
      <w:spacing w:before="0" w:beforeAutospacing="0" w:after="240" w:afterAutospacing="0" w:line="480" w:lineRule="exact"/>
      <w:ind w:left="720" w:right="720"/>
      <w:jc w:val="center"/>
    </w:pPr>
    <w:rPr>
      <w:b w:val="0"/>
      <w:bCs w:val="0"/>
      <w:caps/>
      <w:kern w:val="0"/>
      <w:sz w:val="24"/>
      <w:szCs w:val="20"/>
      <w:lang w:val="en-US" w:eastAsia="en-US"/>
    </w:rPr>
  </w:style>
  <w:style w:type="paragraph" w:customStyle="1" w:styleId="Lines-1">
    <w:name w:val="Lines - 1"/>
    <w:basedOn w:val="Normal"/>
    <w:next w:val="Normal"/>
    <w:rsid w:val="004C76BC"/>
    <w:pPr>
      <w:spacing w:line="240" w:lineRule="exact"/>
    </w:pPr>
    <w:rPr>
      <w:rFonts w:eastAsia="Times New Roman"/>
      <w:szCs w:val="20"/>
      <w:lang w:val="en-US" w:eastAsia="en-US"/>
    </w:rPr>
  </w:style>
  <w:style w:type="paragraph" w:customStyle="1" w:styleId="Lines-3">
    <w:name w:val="Lines - 3"/>
    <w:basedOn w:val="Normal"/>
    <w:next w:val="Normal"/>
    <w:rsid w:val="004C76BC"/>
    <w:pPr>
      <w:spacing w:line="720" w:lineRule="exact"/>
    </w:pPr>
    <w:rPr>
      <w:rFonts w:eastAsia="Times New Roman"/>
      <w:szCs w:val="20"/>
      <w:lang w:val="en-US" w:eastAsia="en-US"/>
    </w:rPr>
  </w:style>
  <w:style w:type="paragraph" w:styleId="TOC1">
    <w:name w:val="toc 1"/>
    <w:basedOn w:val="Normal"/>
    <w:next w:val="Normal"/>
    <w:rsid w:val="004C76BC"/>
    <w:pPr>
      <w:keepLines/>
      <w:tabs>
        <w:tab w:val="right" w:pos="720"/>
        <w:tab w:val="left" w:pos="1152"/>
        <w:tab w:val="right" w:leader="dot" w:pos="8640"/>
      </w:tabs>
      <w:spacing w:before="240" w:line="240" w:lineRule="exact"/>
      <w:ind w:left="1152" w:right="576" w:hanging="1152"/>
    </w:pPr>
    <w:rPr>
      <w:rFonts w:eastAsia="Times New Roman"/>
      <w:caps/>
      <w:noProof/>
      <w:szCs w:val="20"/>
      <w:lang w:val="en-US" w:eastAsia="en-US"/>
    </w:rPr>
  </w:style>
  <w:style w:type="paragraph" w:styleId="TOC2">
    <w:name w:val="toc 2"/>
    <w:basedOn w:val="TOC1"/>
    <w:rsid w:val="004C76BC"/>
    <w:pPr>
      <w:spacing w:before="0"/>
      <w:ind w:firstLine="0"/>
    </w:pPr>
    <w:rPr>
      <w:caps w:val="0"/>
    </w:rPr>
  </w:style>
  <w:style w:type="paragraph" w:styleId="TOC3">
    <w:name w:val="toc 3"/>
    <w:basedOn w:val="TOC2"/>
    <w:rsid w:val="004C76BC"/>
    <w:pPr>
      <w:ind w:left="1584"/>
    </w:pPr>
  </w:style>
  <w:style w:type="paragraph" w:styleId="TOC4">
    <w:name w:val="toc 4"/>
    <w:basedOn w:val="TOC2"/>
    <w:rsid w:val="004C76BC"/>
    <w:pPr>
      <w:ind w:left="2016"/>
    </w:pPr>
  </w:style>
  <w:style w:type="paragraph" w:styleId="TOC5">
    <w:name w:val="toc 5"/>
    <w:basedOn w:val="TOC2"/>
    <w:rsid w:val="004C76BC"/>
    <w:pPr>
      <w:ind w:left="2448"/>
    </w:pPr>
  </w:style>
  <w:style w:type="paragraph" w:styleId="TOC6">
    <w:name w:val="toc 6"/>
    <w:basedOn w:val="TOC2"/>
    <w:rsid w:val="004C76BC"/>
    <w:pPr>
      <w:ind w:left="2880"/>
    </w:pPr>
  </w:style>
  <w:style w:type="paragraph" w:styleId="TOC7">
    <w:name w:val="toc 7"/>
    <w:basedOn w:val="TOC2"/>
    <w:next w:val="Normal"/>
    <w:rsid w:val="004C76BC"/>
    <w:pPr>
      <w:ind w:left="3312"/>
    </w:pPr>
  </w:style>
  <w:style w:type="paragraph" w:styleId="TOC8">
    <w:name w:val="toc 8"/>
    <w:basedOn w:val="TOC2"/>
    <w:next w:val="Normal"/>
    <w:rsid w:val="004C76BC"/>
    <w:pPr>
      <w:ind w:left="3744"/>
    </w:pPr>
  </w:style>
  <w:style w:type="paragraph" w:styleId="TOC9">
    <w:name w:val="toc 9"/>
    <w:basedOn w:val="TOC2"/>
    <w:next w:val="Normal"/>
    <w:rsid w:val="004C76BC"/>
    <w:pPr>
      <w:ind w:left="4176"/>
    </w:pPr>
  </w:style>
  <w:style w:type="paragraph" w:styleId="TableofFigures">
    <w:name w:val="table of figures"/>
    <w:basedOn w:val="Normal"/>
    <w:next w:val="Normal"/>
    <w:rsid w:val="004C76BC"/>
    <w:pPr>
      <w:tabs>
        <w:tab w:val="right" w:leader="dot" w:pos="8640"/>
      </w:tabs>
      <w:spacing w:after="240" w:line="240" w:lineRule="exact"/>
      <w:ind w:left="547" w:right="576" w:hanging="547"/>
    </w:pPr>
    <w:rPr>
      <w:rFonts w:eastAsia="Times New Roman"/>
      <w:szCs w:val="20"/>
      <w:lang w:val="en-US" w:eastAsia="en-US"/>
    </w:rPr>
  </w:style>
  <w:style w:type="paragraph" w:customStyle="1" w:styleId="TablePara">
    <w:name w:val="Table Para"/>
    <w:basedOn w:val="Normal"/>
    <w:rsid w:val="004C76BC"/>
    <w:pPr>
      <w:spacing w:before="60" w:after="60" w:line="240" w:lineRule="exact"/>
    </w:pPr>
    <w:rPr>
      <w:rFonts w:eastAsia="Times New Roman"/>
      <w:sz w:val="22"/>
      <w:szCs w:val="20"/>
      <w:lang w:val="en-US" w:eastAsia="en-US"/>
    </w:rPr>
  </w:style>
  <w:style w:type="table" w:customStyle="1" w:styleId="TableThesisAllLines">
    <w:name w:val="Table Thesis All Lines"/>
    <w:basedOn w:val="TableNormal"/>
    <w:rsid w:val="004C76BC"/>
    <w:pPr>
      <w:keepLines/>
      <w:spacing w:before="60" w:after="60" w:line="240" w:lineRule="exact"/>
      <w:ind w:left="72" w:right="72"/>
    </w:pPr>
    <w:rPr>
      <w:rFonts w:ascii="Times New Roman" w:eastAsia="Times"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customStyle="1" w:styleId="TableThesisBox">
    <w:name w:val="Table Thesis Box"/>
    <w:basedOn w:val="TableNormal"/>
    <w:rsid w:val="004C76BC"/>
    <w:pPr>
      <w:keepLines/>
      <w:tabs>
        <w:tab w:val="left" w:pos="432"/>
      </w:tabs>
      <w:spacing w:before="60" w:after="60" w:line="240" w:lineRule="exact"/>
      <w:ind w:left="72" w:right="72"/>
    </w:pPr>
    <w:rPr>
      <w:rFonts w:ascii="Times New Roman" w:eastAsia="Times" w:hAnsi="Times New Roman" w:cs="Times New Roman"/>
      <w:szCs w:val="20"/>
      <w:lang w:val="en-US"/>
    </w:rPr>
    <w:tblPr>
      <w:tblBorders>
        <w:top w:val="single" w:sz="4" w:space="0" w:color="auto"/>
        <w:left w:val="single" w:sz="4" w:space="0" w:color="auto"/>
        <w:bottom w:val="single" w:sz="4" w:space="0" w:color="auto"/>
        <w:right w:val="single" w:sz="4" w:space="0" w:color="auto"/>
      </w:tblBorders>
      <w:tblCellMar>
        <w:left w:w="43" w:type="dxa"/>
        <w:right w:w="43" w:type="dxa"/>
      </w:tblCellMar>
    </w:tblPr>
  </w:style>
  <w:style w:type="table" w:customStyle="1" w:styleId="TableThesisTopBottomLines">
    <w:name w:val="Table Thesis Top Bottom Lines"/>
    <w:basedOn w:val="TableNormal"/>
    <w:rsid w:val="004C76BC"/>
    <w:pPr>
      <w:keepLines/>
      <w:tabs>
        <w:tab w:val="left" w:pos="432"/>
      </w:tabs>
      <w:spacing w:before="60" w:after="60" w:line="240" w:lineRule="exact"/>
      <w:ind w:left="72" w:right="72"/>
    </w:pPr>
    <w:rPr>
      <w:rFonts w:ascii="Times New Roman" w:eastAsia="Times" w:hAnsi="Times New Roman" w:cs="Times New Roman"/>
      <w:szCs w:val="20"/>
      <w:lang w:val="en-US"/>
    </w:rPr>
    <w:tblPr>
      <w:tblBorders>
        <w:top w:val="single" w:sz="4" w:space="0" w:color="000000"/>
        <w:bottom w:val="single" w:sz="4" w:space="0" w:color="000000"/>
      </w:tblBorders>
      <w:tblCellMar>
        <w:left w:w="43" w:type="dxa"/>
        <w:right w:w="43" w:type="dxa"/>
      </w:tblCellMar>
    </w:tblPr>
  </w:style>
  <w:style w:type="paragraph" w:customStyle="1" w:styleId="NormalIndented">
    <w:name w:val="Normal Indented"/>
    <w:basedOn w:val="Normal"/>
    <w:rsid w:val="004C76BC"/>
    <w:pPr>
      <w:spacing w:line="480" w:lineRule="exact"/>
      <w:ind w:left="720" w:right="720"/>
    </w:pPr>
    <w:rPr>
      <w:rFonts w:eastAsia="Times New Roman"/>
      <w:szCs w:val="20"/>
      <w:lang w:val="en-US" w:eastAsia="en-US"/>
    </w:rPr>
  </w:style>
  <w:style w:type="paragraph" w:customStyle="1" w:styleId="NormalNoIndent">
    <w:name w:val="Normal No Indent"/>
    <w:basedOn w:val="Normal"/>
    <w:next w:val="Normal"/>
    <w:rsid w:val="004C76BC"/>
    <w:pPr>
      <w:spacing w:line="480" w:lineRule="exact"/>
    </w:pPr>
    <w:rPr>
      <w:rFonts w:eastAsia="Times New Roman"/>
      <w:szCs w:val="20"/>
      <w:lang w:val="en-US" w:eastAsia="en-US"/>
    </w:rPr>
  </w:style>
  <w:style w:type="paragraph" w:customStyle="1" w:styleId="NoteSourceNoLine">
    <w:name w:val="Note/Source No Line"/>
    <w:basedOn w:val="NoteSourceLine"/>
    <w:rsid w:val="004C76BC"/>
    <w:pPr>
      <w:pBdr>
        <w:top w:val="none" w:sz="0" w:space="0" w:color="auto"/>
      </w:pBdr>
    </w:pPr>
  </w:style>
  <w:style w:type="paragraph" w:styleId="ListNumber">
    <w:name w:val="List Number"/>
    <w:basedOn w:val="Normal"/>
    <w:rsid w:val="004C76BC"/>
    <w:pPr>
      <w:numPr>
        <w:numId w:val="10"/>
      </w:numPr>
      <w:spacing w:line="480" w:lineRule="exact"/>
    </w:pPr>
    <w:rPr>
      <w:rFonts w:eastAsia="Times New Roman"/>
      <w:szCs w:val="20"/>
      <w:lang w:val="en-US" w:eastAsia="en-US"/>
    </w:rPr>
  </w:style>
  <w:style w:type="paragraph" w:customStyle="1" w:styleId="NoteSourceLine">
    <w:name w:val="Note/Source Line"/>
    <w:basedOn w:val="Normal"/>
    <w:rsid w:val="004C76BC"/>
    <w:pPr>
      <w:pBdr>
        <w:top w:val="single" w:sz="4" w:space="1" w:color="auto"/>
      </w:pBdr>
      <w:spacing w:before="240" w:line="240" w:lineRule="exact"/>
      <w:ind w:left="360" w:hanging="360"/>
    </w:pPr>
    <w:rPr>
      <w:rFonts w:eastAsia="Times New Roman"/>
      <w:lang w:val="en-US" w:eastAsia="en-US"/>
    </w:rPr>
  </w:style>
  <w:style w:type="paragraph" w:customStyle="1" w:styleId="NoteSource">
    <w:name w:val="Note/Source"/>
    <w:basedOn w:val="Normal"/>
    <w:rsid w:val="004C76BC"/>
    <w:pPr>
      <w:pBdr>
        <w:top w:val="single" w:sz="12" w:space="1" w:color="auto"/>
      </w:pBdr>
      <w:spacing w:before="240" w:line="240" w:lineRule="exact"/>
      <w:ind w:left="360" w:hanging="360"/>
    </w:pPr>
    <w:rPr>
      <w:rFonts w:eastAsia="Times New Roman"/>
      <w:lang w:val="en-US" w:eastAsia="en-US"/>
    </w:rPr>
  </w:style>
  <w:style w:type="character" w:customStyle="1" w:styleId="EquationInLineTextFont">
    <w:name w:val="Equation InLine Text Font"/>
    <w:basedOn w:val="DefaultParagraphFont"/>
    <w:rsid w:val="004C76BC"/>
    <w:rPr>
      <w:position w:val="-14"/>
    </w:rPr>
  </w:style>
  <w:style w:type="character" w:styleId="PageNumber">
    <w:name w:val="page number"/>
    <w:basedOn w:val="DefaultParagraphFont"/>
    <w:rsid w:val="004C76BC"/>
  </w:style>
  <w:style w:type="paragraph" w:customStyle="1" w:styleId="Heading1BeforeReferencePara">
    <w:name w:val="Heading 1 Before Reference Para"/>
    <w:basedOn w:val="Heading1"/>
    <w:next w:val="Referencepara"/>
    <w:rsid w:val="004C76BC"/>
    <w:pPr>
      <w:keepNext/>
      <w:keepLines/>
      <w:pageBreakBefore/>
      <w:spacing w:before="0" w:beforeAutospacing="0" w:after="480" w:afterAutospacing="0" w:line="480" w:lineRule="exact"/>
      <w:ind w:left="720" w:right="720"/>
      <w:jc w:val="center"/>
    </w:pPr>
    <w:rPr>
      <w:rFonts w:cs="Arial"/>
      <w:b w:val="0"/>
      <w:bCs w:val="0"/>
      <w:caps/>
      <w:kern w:val="0"/>
      <w:sz w:val="24"/>
      <w:szCs w:val="20"/>
      <w:lang w:val="en-US" w:eastAsia="en-US"/>
    </w:rPr>
  </w:style>
  <w:style w:type="paragraph" w:customStyle="1" w:styleId="FootnoteSeparator">
    <w:name w:val="Footnote Separator"/>
    <w:basedOn w:val="Normal"/>
    <w:next w:val="Normal"/>
    <w:rsid w:val="004C76BC"/>
    <w:pPr>
      <w:spacing w:line="480" w:lineRule="exact"/>
    </w:pPr>
    <w:rPr>
      <w:rFonts w:eastAsia="Times New Roman"/>
      <w:lang w:val="en-US" w:eastAsia="en-US"/>
    </w:rPr>
  </w:style>
  <w:style w:type="paragraph" w:customStyle="1" w:styleId="FootnoteContinuationLine">
    <w:name w:val="Footnote Continuation Line"/>
    <w:basedOn w:val="Normal"/>
    <w:next w:val="Normal"/>
    <w:rsid w:val="004C76BC"/>
    <w:pPr>
      <w:spacing w:line="480" w:lineRule="exact"/>
      <w:ind w:firstLine="720"/>
    </w:pPr>
    <w:rPr>
      <w:rFonts w:eastAsia="Times New Roman"/>
      <w:lang w:val="en-US" w:eastAsia="en-US"/>
    </w:rPr>
  </w:style>
  <w:style w:type="paragraph" w:customStyle="1" w:styleId="FootnoteContinuationSeparator">
    <w:name w:val="Footnote Continuation Separator"/>
    <w:basedOn w:val="Normal"/>
    <w:next w:val="Normal"/>
    <w:rsid w:val="004C76BC"/>
    <w:pPr>
      <w:spacing w:line="480" w:lineRule="exact"/>
    </w:pPr>
    <w:rPr>
      <w:rFonts w:eastAsia="Times New Roman"/>
      <w:lang w:val="en-US" w:eastAsia="en-US"/>
    </w:rPr>
  </w:style>
  <w:style w:type="paragraph" w:customStyle="1" w:styleId="EndnoteSeparator">
    <w:name w:val="Endnote Separator"/>
    <w:basedOn w:val="Normal"/>
    <w:next w:val="Normal"/>
    <w:rsid w:val="004C76BC"/>
    <w:pPr>
      <w:spacing w:line="480" w:lineRule="exact"/>
    </w:pPr>
    <w:rPr>
      <w:rFonts w:eastAsia="Times New Roman"/>
      <w:lang w:val="en-US" w:eastAsia="en-US"/>
    </w:rPr>
  </w:style>
  <w:style w:type="paragraph" w:customStyle="1" w:styleId="EndnoteContinuationSeparator">
    <w:name w:val="Endnote Continuation Separator"/>
    <w:basedOn w:val="Normal"/>
    <w:next w:val="Normal"/>
    <w:rsid w:val="004C76BC"/>
    <w:pPr>
      <w:spacing w:line="480" w:lineRule="exact"/>
    </w:pPr>
    <w:rPr>
      <w:rFonts w:eastAsia="Times New Roman"/>
      <w:lang w:val="en-US" w:eastAsia="en-US"/>
    </w:rPr>
  </w:style>
  <w:style w:type="numbering" w:customStyle="1" w:styleId="NoList1">
    <w:name w:val="No List1"/>
    <w:next w:val="NoList"/>
    <w:semiHidden/>
    <w:unhideWhenUsed/>
    <w:rsid w:val="004C76BC"/>
  </w:style>
  <w:style w:type="numbering" w:customStyle="1" w:styleId="NoList2">
    <w:name w:val="No List2"/>
    <w:next w:val="NoList"/>
    <w:semiHidden/>
    <w:unhideWhenUsed/>
    <w:rsid w:val="004C76BC"/>
  </w:style>
  <w:style w:type="character" w:customStyle="1" w:styleId="ref-overlay">
    <w:name w:val="ref-overlay"/>
    <w:basedOn w:val="DefaultParagraphFont"/>
    <w:rsid w:val="00497CE3"/>
  </w:style>
  <w:style w:type="character" w:customStyle="1" w:styleId="hlfld-contribauthor">
    <w:name w:val="hlfld-contribauthor"/>
    <w:basedOn w:val="DefaultParagraphFont"/>
    <w:rsid w:val="00497CE3"/>
  </w:style>
  <w:style w:type="character" w:customStyle="1" w:styleId="nlmgiven-names">
    <w:name w:val="nlm_given-names"/>
    <w:basedOn w:val="DefaultParagraphFont"/>
    <w:rsid w:val="00497CE3"/>
  </w:style>
  <w:style w:type="character" w:customStyle="1" w:styleId="nlmyear">
    <w:name w:val="nlm_year"/>
    <w:basedOn w:val="DefaultParagraphFont"/>
    <w:rsid w:val="00497CE3"/>
  </w:style>
  <w:style w:type="character" w:customStyle="1" w:styleId="nlmarticle-title">
    <w:name w:val="nlm_article-title"/>
    <w:basedOn w:val="DefaultParagraphFont"/>
    <w:rsid w:val="00497CE3"/>
  </w:style>
  <w:style w:type="character" w:customStyle="1" w:styleId="nlmfpage">
    <w:name w:val="nlm_fpage"/>
    <w:basedOn w:val="DefaultParagraphFont"/>
    <w:rsid w:val="00497CE3"/>
  </w:style>
  <w:style w:type="character" w:customStyle="1" w:styleId="nlmlpage">
    <w:name w:val="nlm_lpage"/>
    <w:basedOn w:val="DefaultParagraphFont"/>
    <w:rsid w:val="0049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151">
      <w:bodyDiv w:val="1"/>
      <w:marLeft w:val="0"/>
      <w:marRight w:val="0"/>
      <w:marTop w:val="0"/>
      <w:marBottom w:val="0"/>
      <w:divBdr>
        <w:top w:val="none" w:sz="0" w:space="0" w:color="auto"/>
        <w:left w:val="none" w:sz="0" w:space="0" w:color="auto"/>
        <w:bottom w:val="none" w:sz="0" w:space="0" w:color="auto"/>
        <w:right w:val="none" w:sz="0" w:space="0" w:color="auto"/>
      </w:divBdr>
    </w:div>
    <w:div w:id="393630039">
      <w:bodyDiv w:val="1"/>
      <w:marLeft w:val="0"/>
      <w:marRight w:val="0"/>
      <w:marTop w:val="0"/>
      <w:marBottom w:val="0"/>
      <w:divBdr>
        <w:top w:val="none" w:sz="0" w:space="0" w:color="auto"/>
        <w:left w:val="none" w:sz="0" w:space="0" w:color="auto"/>
        <w:bottom w:val="none" w:sz="0" w:space="0" w:color="auto"/>
        <w:right w:val="none" w:sz="0" w:space="0" w:color="auto"/>
      </w:divBdr>
    </w:div>
    <w:div w:id="1063479062">
      <w:bodyDiv w:val="1"/>
      <w:marLeft w:val="0"/>
      <w:marRight w:val="0"/>
      <w:marTop w:val="0"/>
      <w:marBottom w:val="0"/>
      <w:divBdr>
        <w:top w:val="none" w:sz="0" w:space="0" w:color="auto"/>
        <w:left w:val="none" w:sz="0" w:space="0" w:color="auto"/>
        <w:bottom w:val="none" w:sz="0" w:space="0" w:color="auto"/>
        <w:right w:val="none" w:sz="0" w:space="0" w:color="auto"/>
      </w:divBdr>
    </w:div>
    <w:div w:id="1567566420">
      <w:bodyDiv w:val="1"/>
      <w:marLeft w:val="0"/>
      <w:marRight w:val="0"/>
      <w:marTop w:val="0"/>
      <w:marBottom w:val="0"/>
      <w:divBdr>
        <w:top w:val="none" w:sz="0" w:space="0" w:color="auto"/>
        <w:left w:val="none" w:sz="0" w:space="0" w:color="auto"/>
        <w:bottom w:val="none" w:sz="0" w:space="0" w:color="auto"/>
        <w:right w:val="none" w:sz="0" w:space="0" w:color="auto"/>
      </w:divBdr>
    </w:div>
    <w:div w:id="16446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foffa@nm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efoff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12C5-5219-4B8E-85AE-D0F4794E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67723</Words>
  <Characters>386027</Characters>
  <Application>Microsoft Office Word</Application>
  <DocSecurity>0</DocSecurity>
  <Lines>3216</Lines>
  <Paragraphs>905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Mark</dc:creator>
  <cp:keywords/>
  <dc:description/>
  <cp:lastModifiedBy>Davide Foffa</cp:lastModifiedBy>
  <cp:revision>2</cp:revision>
  <dcterms:created xsi:type="dcterms:W3CDTF">2019-02-15T09:05:00Z</dcterms:created>
  <dcterms:modified xsi:type="dcterms:W3CDTF">2019-02-15T09:05:00Z</dcterms:modified>
</cp:coreProperties>
</file>