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85" w:rsidRDefault="00BD3E85" w:rsidP="00BD3E85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  <w:r w:rsidRPr="00F263B0"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  <w:t>Supplementary information</w:t>
      </w:r>
    </w:p>
    <w:p w:rsidR="00BD3E85" w:rsidRPr="00F263B0" w:rsidRDefault="00BD3E85" w:rsidP="00BD3E85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</w:p>
    <w:p w:rsidR="00BD3E85" w:rsidRDefault="00BD3E85" w:rsidP="00BD3E85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  <w:r>
        <w:rPr>
          <w:rFonts w:ascii="Calibri" w:eastAsia="MalgunGothic,Bold" w:hAnsi="Calibri" w:cs="Calibri"/>
          <w:b/>
          <w:bCs/>
          <w:kern w:val="0"/>
          <w:sz w:val="34"/>
          <w:szCs w:val="34"/>
        </w:rPr>
        <w:t>Figure S1</w:t>
      </w:r>
    </w:p>
    <w:p w:rsidR="00BD3E85" w:rsidRPr="00F263B0" w:rsidRDefault="00BD3E85" w:rsidP="00BD3E85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</w:p>
    <w:p w:rsidR="00520625" w:rsidRPr="00865A0E" w:rsidRDefault="00520625" w:rsidP="00520625">
      <w:pPr>
        <w:spacing w:before="100" w:beforeAutospacing="1" w:after="100" w:afterAutospacing="1" w:line="360" w:lineRule="auto"/>
        <w:contextualSpacing/>
        <w:rPr>
          <w:rFonts w:ascii="Calibri" w:hAnsi="Calibri"/>
          <w:b/>
          <w:color w:val="000000" w:themeColor="text1"/>
          <w:sz w:val="28"/>
          <w:lang w:val="en-GB"/>
        </w:rPr>
      </w:pP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Dose dependent </w:t>
      </w:r>
      <w:r>
        <w:rPr>
          <w:rFonts w:ascii="Calibri" w:hAnsi="Calibri"/>
          <w:b/>
          <w:color w:val="000000" w:themeColor="text1"/>
          <w:sz w:val="28"/>
          <w:lang w:val="en-GB"/>
        </w:rPr>
        <w:t xml:space="preserve">and strain-dependent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anti-obesity effect</w:t>
      </w:r>
      <w:r>
        <w:rPr>
          <w:rFonts w:ascii="Calibri" w:hAnsi="Calibri"/>
          <w:b/>
          <w:color w:val="000000" w:themeColor="text1"/>
          <w:sz w:val="28"/>
          <w:lang w:val="en-GB"/>
        </w:rPr>
        <w:t>s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of </w:t>
      </w:r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 xml:space="preserve">Lactobacillus </w:t>
      </w:r>
      <w:proofErr w:type="spellStart"/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>sakei</w:t>
      </w:r>
      <w:proofErr w:type="spellEnd"/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</w:t>
      </w:r>
      <w:r>
        <w:rPr>
          <w:rFonts w:ascii="Calibri" w:hAnsi="Calibri"/>
          <w:b/>
          <w:color w:val="000000" w:themeColor="text1"/>
          <w:sz w:val="28"/>
          <w:lang w:val="en-GB"/>
        </w:rPr>
        <w:t>in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</w:t>
      </w:r>
      <w:r>
        <w:rPr>
          <w:rFonts w:ascii="Calibri" w:hAnsi="Calibri"/>
          <w:b/>
          <w:color w:val="000000" w:themeColor="text1"/>
          <w:sz w:val="28"/>
          <w:lang w:val="en-GB"/>
        </w:rPr>
        <w:t xml:space="preserve">a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diet induced obese murine model</w:t>
      </w:r>
    </w:p>
    <w:p w:rsidR="00BD3E85" w:rsidRPr="00A9535C" w:rsidRDefault="00BD3E85" w:rsidP="00BD3E85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Yosep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Ji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1*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Young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Mee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Chung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2*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Soyoung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Park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1*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Dahye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Jeong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2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Bongjoon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Kim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2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, Wilhelm H. Holzapfel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1</w:t>
      </w:r>
    </w:p>
    <w:p w:rsidR="00BD3E85" w:rsidRPr="00F263B0" w:rsidRDefault="00BD3E85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1</w:t>
      </w:r>
      <w:r w:rsidRPr="00F263B0">
        <w:rPr>
          <w:rFonts w:ascii="Calibri" w:hAnsi="Calibri" w:cs="Calibri"/>
          <w:color w:val="000000" w:themeColor="text1"/>
          <w:lang w:val="en-GB"/>
        </w:rPr>
        <w:t xml:space="preserve">Department of Advanced Green Energy and Environment,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Handong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Global University, Pohang,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Gyungbuk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37554, </w:t>
      </w:r>
      <w:r w:rsidR="00F528AA">
        <w:rPr>
          <w:rFonts w:ascii="Calibri" w:hAnsi="Calibri" w:cs="Calibri"/>
          <w:color w:val="000000" w:themeColor="text1"/>
          <w:lang w:val="en-GB"/>
        </w:rPr>
        <w:t xml:space="preserve">South </w:t>
      </w:r>
      <w:r w:rsidRPr="00F263B0">
        <w:rPr>
          <w:rFonts w:ascii="Calibri" w:hAnsi="Calibri" w:cs="Calibri"/>
          <w:color w:val="000000" w:themeColor="text1"/>
          <w:lang w:val="en-GB"/>
        </w:rPr>
        <w:t>Korea</w:t>
      </w:r>
      <w:r>
        <w:rPr>
          <w:rFonts w:ascii="Calibri" w:hAnsi="Calibri" w:cs="Calibri"/>
          <w:color w:val="000000" w:themeColor="text1"/>
          <w:lang w:val="en-GB"/>
        </w:rPr>
        <w:t>;</w:t>
      </w:r>
    </w:p>
    <w:p w:rsidR="00BD3E85" w:rsidRDefault="00BD3E85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eastAsia="Malgun Gothic" w:hAnsi="Calibri" w:cs="Calibri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2</w:t>
      </w:r>
      <w:r w:rsidRPr="00F263B0">
        <w:rPr>
          <w:rFonts w:ascii="Calibri" w:eastAsia="Malgun Gothic" w:hAnsi="Calibri" w:cs="Calibri"/>
        </w:rPr>
        <w:t xml:space="preserve">Beneficial microbes center, CJ Foods R&amp;D, CJ </w:t>
      </w:r>
      <w:proofErr w:type="spellStart"/>
      <w:r w:rsidRPr="00F263B0">
        <w:rPr>
          <w:rFonts w:ascii="Calibri" w:eastAsia="Malgun Gothic" w:hAnsi="Calibri" w:cs="Calibri"/>
        </w:rPr>
        <w:t>CheilJedang</w:t>
      </w:r>
      <w:proofErr w:type="spellEnd"/>
      <w:r w:rsidRPr="00F263B0">
        <w:rPr>
          <w:rFonts w:ascii="Calibri" w:eastAsia="Malgun Gothic" w:hAnsi="Calibri" w:cs="Calibri"/>
        </w:rPr>
        <w:t xml:space="preserve"> Corp</w:t>
      </w:r>
      <w:r w:rsidR="00F528AA">
        <w:rPr>
          <w:rFonts w:ascii="Calibri" w:eastAsia="Malgun Gothic" w:hAnsi="Calibri" w:cs="Calibri"/>
        </w:rPr>
        <w:t>oration</w:t>
      </w:r>
      <w:r w:rsidR="00A06594">
        <w:rPr>
          <w:rFonts w:ascii="Calibri" w:eastAsia="Malgun Gothic" w:hAnsi="Calibri" w:cs="Calibri"/>
        </w:rPr>
        <w:t>,</w:t>
      </w:r>
      <w:bookmarkStart w:id="0" w:name="_GoBack"/>
      <w:bookmarkEnd w:id="0"/>
      <w:r w:rsidRPr="00F263B0">
        <w:rPr>
          <w:rFonts w:ascii="Calibri" w:eastAsia="Malgun Gothic" w:hAnsi="Calibri" w:cs="Calibri"/>
        </w:rPr>
        <w:t xml:space="preserve"> Suwon-</w:t>
      </w:r>
      <w:proofErr w:type="spellStart"/>
      <w:r w:rsidRPr="00F263B0">
        <w:rPr>
          <w:rFonts w:ascii="Calibri" w:eastAsia="Malgun Gothic" w:hAnsi="Calibri" w:cs="Calibri"/>
        </w:rPr>
        <w:t>si</w:t>
      </w:r>
      <w:proofErr w:type="spellEnd"/>
      <w:r w:rsidRPr="00F263B0">
        <w:rPr>
          <w:rFonts w:ascii="Calibri" w:eastAsia="Malgun Gothic" w:hAnsi="Calibri" w:cs="Calibri"/>
        </w:rPr>
        <w:t xml:space="preserve">, </w:t>
      </w:r>
      <w:proofErr w:type="spellStart"/>
      <w:r w:rsidR="00F528AA">
        <w:rPr>
          <w:rFonts w:ascii="Calibri" w:eastAsia="Malgun Gothic" w:hAnsi="Calibri" w:cs="Calibri"/>
        </w:rPr>
        <w:t>South</w:t>
      </w:r>
      <w:r w:rsidRPr="00F263B0">
        <w:rPr>
          <w:rFonts w:ascii="Calibri" w:eastAsia="Malgun Gothic" w:hAnsi="Calibri" w:cs="Calibri"/>
        </w:rPr>
        <w:t>Korea</w:t>
      </w:r>
      <w:proofErr w:type="spellEnd"/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A9535C" w:rsidRPr="00F263B0" w:rsidRDefault="00A9535C" w:rsidP="00BD3E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1E2821" w:rsidRDefault="001E2821"/>
    <w:p w:rsidR="001E2821" w:rsidRDefault="001E2821">
      <w:r>
        <w:rPr>
          <w:noProof/>
        </w:rPr>
        <w:lastRenderedPageBreak/>
        <w:drawing>
          <wp:inline distT="0" distB="0" distL="0" distR="0">
            <wp:extent cx="3924300" cy="28194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21" w:rsidRPr="00BD3E85" w:rsidRDefault="00BD3E85" w:rsidP="00070DCF">
      <w:pPr>
        <w:spacing w:line="276" w:lineRule="auto"/>
        <w:rPr>
          <w:rFonts w:ascii="Calibri" w:hAnsi="Calibri" w:cs="Calibri"/>
          <w:sz w:val="24"/>
        </w:rPr>
      </w:pPr>
      <w:r w:rsidRPr="00BD3E85">
        <w:rPr>
          <w:rFonts w:ascii="Calibri,Bold" w:hAnsi="Calibri,Bold" w:cs="Calibri,Bold"/>
          <w:b/>
          <w:bCs/>
          <w:kern w:val="0"/>
          <w:sz w:val="24"/>
        </w:rPr>
        <w:t>Supplementary Figure S1.</w:t>
      </w:r>
      <w:r w:rsidR="001E2821" w:rsidRPr="00BD3E85">
        <w:rPr>
          <w:rFonts w:ascii="Calibri" w:hAnsi="Calibri" w:cs="Calibri"/>
          <w:sz w:val="24"/>
        </w:rPr>
        <w:t xml:space="preserve"> Reduced weight gain effect of different microorganisms </w:t>
      </w:r>
      <w:r w:rsidR="000571B7">
        <w:rPr>
          <w:rFonts w:ascii="Calibri" w:hAnsi="Calibri" w:cs="Calibri"/>
          <w:sz w:val="24"/>
        </w:rPr>
        <w:t>administered</w:t>
      </w:r>
      <w:r w:rsidR="001E2821" w:rsidRPr="00BD3E85">
        <w:rPr>
          <w:rFonts w:ascii="Calibri" w:hAnsi="Calibri" w:cs="Calibri"/>
          <w:sz w:val="24"/>
        </w:rPr>
        <w:t xml:space="preserve"> in </w:t>
      </w:r>
      <w:r>
        <w:rPr>
          <w:rFonts w:ascii="Calibri" w:hAnsi="Calibri" w:cs="Calibri"/>
          <w:sz w:val="24"/>
        </w:rPr>
        <w:t xml:space="preserve">a </w:t>
      </w:r>
      <w:r w:rsidR="001E2821" w:rsidRPr="00BD3E85">
        <w:rPr>
          <w:rFonts w:ascii="Calibri" w:hAnsi="Calibri" w:cs="Calibri"/>
          <w:sz w:val="24"/>
        </w:rPr>
        <w:t>diet induced obesity mouse model</w:t>
      </w:r>
      <w:r w:rsidR="008F3455" w:rsidRPr="00BD3E85">
        <w:rPr>
          <w:rFonts w:ascii="Calibri" w:hAnsi="Calibri" w:cs="Calibri"/>
          <w:sz w:val="24"/>
        </w:rPr>
        <w:t xml:space="preserve"> after 8 weeks study period</w:t>
      </w:r>
      <w:r w:rsidR="001E2821" w:rsidRPr="00BD3E85">
        <w:rPr>
          <w:rFonts w:ascii="Calibri" w:hAnsi="Calibri" w:cs="Calibri"/>
          <w:sz w:val="24"/>
        </w:rPr>
        <w:t xml:space="preserve">. </w:t>
      </w:r>
      <w:r w:rsidR="00070DCF" w:rsidRPr="00BD3E85">
        <w:rPr>
          <w:rFonts w:ascii="Calibri" w:hAnsi="Calibri" w:cs="Calibri"/>
          <w:sz w:val="24"/>
        </w:rPr>
        <w:t xml:space="preserve">After 1 week of acclimatization, </w:t>
      </w:r>
      <w:r w:rsidR="001E2821" w:rsidRPr="00BD3E85">
        <w:rPr>
          <w:rFonts w:ascii="Calibri" w:hAnsi="Calibri" w:cs="Calibri"/>
          <w:sz w:val="24"/>
        </w:rPr>
        <w:t xml:space="preserve">120 </w:t>
      </w:r>
      <w:r w:rsidR="008F3455" w:rsidRPr="00BD3E85">
        <w:rPr>
          <w:rFonts w:ascii="Calibri" w:hAnsi="Calibri" w:cs="Calibri"/>
          <w:sz w:val="24"/>
        </w:rPr>
        <w:t xml:space="preserve">of </w:t>
      </w:r>
      <w:r w:rsidR="00070DCF" w:rsidRPr="00BD3E85">
        <w:rPr>
          <w:rFonts w:ascii="Calibri" w:hAnsi="Calibri" w:cs="Calibri"/>
          <w:sz w:val="24"/>
        </w:rPr>
        <w:t>6</w:t>
      </w:r>
      <w:r w:rsidR="008F3455" w:rsidRPr="00BD3E85">
        <w:rPr>
          <w:rFonts w:ascii="Calibri" w:hAnsi="Calibri" w:cs="Calibri"/>
          <w:sz w:val="24"/>
        </w:rPr>
        <w:t xml:space="preserve"> weeks old male C57/BL6 mice </w:t>
      </w:r>
      <w:r w:rsidR="001E2821" w:rsidRPr="00BD3E85">
        <w:rPr>
          <w:rFonts w:ascii="Calibri" w:hAnsi="Calibri" w:cs="Calibri"/>
          <w:sz w:val="24"/>
        </w:rPr>
        <w:t>were divided into 12 different group</w:t>
      </w:r>
      <w:r w:rsidR="008F3455" w:rsidRPr="00BD3E85">
        <w:rPr>
          <w:rFonts w:ascii="Calibri" w:hAnsi="Calibri" w:cs="Calibri"/>
          <w:sz w:val="24"/>
        </w:rPr>
        <w:t>s</w:t>
      </w:r>
      <w:r w:rsidR="001E2821" w:rsidRPr="00BD3E85">
        <w:rPr>
          <w:rFonts w:ascii="Calibri" w:hAnsi="Calibri" w:cs="Calibri"/>
          <w:sz w:val="24"/>
        </w:rPr>
        <w:t xml:space="preserve"> </w:t>
      </w:r>
      <w:r w:rsidR="000571B7">
        <w:rPr>
          <w:rFonts w:ascii="Calibri" w:hAnsi="Calibri" w:cs="Calibri"/>
          <w:sz w:val="24"/>
        </w:rPr>
        <w:t>receiving a</w:t>
      </w:r>
      <w:r w:rsidR="001E2821" w:rsidRPr="00BD3E85">
        <w:rPr>
          <w:rFonts w:ascii="Calibri" w:hAnsi="Calibri" w:cs="Calibri"/>
          <w:sz w:val="24"/>
        </w:rPr>
        <w:t xml:space="preserve"> low-fat diet with 300</w:t>
      </w:r>
      <w:r w:rsidR="000571B7">
        <w:rPr>
          <w:rFonts w:ascii="Calibri" w:hAnsi="Calibri" w:cs="Calibri"/>
          <w:sz w:val="24"/>
        </w:rPr>
        <w:t xml:space="preserve"> </w:t>
      </w:r>
      <w:r w:rsidR="000571B7">
        <w:rPr>
          <w:rFonts w:ascii="Calibri" w:hAnsi="Calibri" w:cs="Calibri"/>
          <w:sz w:val="24"/>
        </w:rPr>
        <w:sym w:font="Symbol" w:char="F06D"/>
      </w:r>
      <w:r w:rsidR="000571B7">
        <w:rPr>
          <w:rFonts w:ascii="Calibri" w:hAnsi="Calibri" w:cs="Calibri"/>
          <w:sz w:val="24"/>
        </w:rPr>
        <w:t>L</w:t>
      </w:r>
      <w:r w:rsidR="001E2821" w:rsidRPr="00BD3E85">
        <w:rPr>
          <w:rFonts w:ascii="Calibri" w:hAnsi="Calibri" w:cs="Calibri"/>
          <w:sz w:val="24"/>
        </w:rPr>
        <w:t xml:space="preserve"> PBS as carrier (LFD), high-fat diet with 300</w:t>
      </w:r>
      <w:r w:rsidR="000571B7">
        <w:rPr>
          <w:rFonts w:ascii="Calibri" w:hAnsi="Calibri" w:cs="Calibri"/>
          <w:sz w:val="24"/>
        </w:rPr>
        <w:t xml:space="preserve"> </w:t>
      </w:r>
      <w:r w:rsidR="000571B7">
        <w:rPr>
          <w:rFonts w:ascii="Calibri" w:hAnsi="Calibri" w:cs="Calibri"/>
          <w:sz w:val="24"/>
        </w:rPr>
        <w:sym w:font="Symbol" w:char="F06D"/>
      </w:r>
      <w:r w:rsidR="000571B7">
        <w:rPr>
          <w:rFonts w:ascii="Calibri" w:hAnsi="Calibri" w:cs="Calibri"/>
          <w:sz w:val="24"/>
        </w:rPr>
        <w:t>L</w:t>
      </w:r>
      <w:r w:rsidR="001E2821" w:rsidRPr="00BD3E85">
        <w:rPr>
          <w:rFonts w:ascii="Calibri" w:hAnsi="Calibri" w:cs="Calibri"/>
          <w:sz w:val="24"/>
        </w:rPr>
        <w:t xml:space="preserve"> PBS (HFD), high-fat diet with 80</w:t>
      </w:r>
      <w:r w:rsidR="000571B7">
        <w:rPr>
          <w:rFonts w:ascii="Calibri" w:hAnsi="Calibri" w:cs="Calibri"/>
          <w:sz w:val="24"/>
        </w:rPr>
        <w:t xml:space="preserve"> </w:t>
      </w:r>
      <w:proofErr w:type="spellStart"/>
      <w:r w:rsidR="001E2821" w:rsidRPr="00BD3E85">
        <w:rPr>
          <w:rFonts w:ascii="Calibri" w:hAnsi="Calibri" w:cs="Calibri"/>
          <w:sz w:val="24"/>
        </w:rPr>
        <w:t>mpk</w:t>
      </w:r>
      <w:proofErr w:type="spellEnd"/>
      <w:r w:rsidR="001E2821" w:rsidRPr="00BD3E85">
        <w:rPr>
          <w:rFonts w:ascii="Calibri" w:hAnsi="Calibri" w:cs="Calibri"/>
          <w:sz w:val="24"/>
        </w:rPr>
        <w:t xml:space="preserve"> of orlistat</w:t>
      </w:r>
      <w:r w:rsidR="0024527C">
        <w:rPr>
          <w:rFonts w:ascii="Calibri" w:hAnsi="Calibri" w:cs="Calibri"/>
          <w:sz w:val="24"/>
        </w:rPr>
        <w:t>. The other 9 groups received a</w:t>
      </w:r>
      <w:r w:rsidR="001E2821" w:rsidRPr="00BD3E85">
        <w:rPr>
          <w:rFonts w:ascii="Calibri" w:hAnsi="Calibri" w:cs="Calibri"/>
          <w:sz w:val="24"/>
        </w:rPr>
        <w:t xml:space="preserve"> high-fat diet with 1x10</w:t>
      </w:r>
      <w:r w:rsidR="001E2821" w:rsidRPr="00BD3E85">
        <w:rPr>
          <w:rFonts w:ascii="Calibri" w:hAnsi="Calibri" w:cs="Calibri"/>
          <w:sz w:val="24"/>
          <w:vertAlign w:val="superscript"/>
        </w:rPr>
        <w:t>9</w:t>
      </w:r>
      <w:r w:rsidR="001E2821" w:rsidRPr="00BD3E85">
        <w:rPr>
          <w:rFonts w:ascii="Calibri" w:hAnsi="Calibri" w:cs="Calibri"/>
          <w:sz w:val="24"/>
        </w:rPr>
        <w:t xml:space="preserve"> CFU of</w:t>
      </w:r>
      <w:r w:rsidR="0024527C">
        <w:rPr>
          <w:rFonts w:ascii="Calibri" w:hAnsi="Calibri" w:cs="Calibri"/>
          <w:sz w:val="24"/>
        </w:rPr>
        <w:t xml:space="preserve"> either</w:t>
      </w:r>
      <w:r w:rsidR="001E2821" w:rsidRPr="00BD3E85">
        <w:rPr>
          <w:rFonts w:ascii="Calibri" w:hAnsi="Calibri" w:cs="Calibri"/>
          <w:sz w:val="24"/>
        </w:rPr>
        <w:t xml:space="preserve"> </w:t>
      </w:r>
      <w:r w:rsidR="001E2821" w:rsidRPr="00BD3E85">
        <w:rPr>
          <w:rFonts w:ascii="Calibri" w:hAnsi="Calibri" w:cs="Calibri"/>
          <w:i/>
          <w:sz w:val="24"/>
        </w:rPr>
        <w:t>Lactobacillus plantarum</w:t>
      </w:r>
      <w:r w:rsidR="001E2821" w:rsidRPr="00BD3E85">
        <w:rPr>
          <w:rFonts w:ascii="Calibri" w:hAnsi="Calibri" w:cs="Calibri"/>
          <w:sz w:val="24"/>
        </w:rPr>
        <w:t xml:space="preserve"> 301 (LP 301), </w:t>
      </w:r>
      <w:r w:rsidR="001E2821" w:rsidRPr="00BD3E85">
        <w:rPr>
          <w:rFonts w:ascii="Calibri" w:hAnsi="Calibri" w:cs="Calibri"/>
          <w:i/>
          <w:sz w:val="24"/>
        </w:rPr>
        <w:t xml:space="preserve">L. </w:t>
      </w:r>
      <w:proofErr w:type="spellStart"/>
      <w:r w:rsidR="001E2821" w:rsidRPr="00BD3E85">
        <w:rPr>
          <w:rFonts w:ascii="Calibri" w:hAnsi="Calibri" w:cs="Calibri"/>
          <w:i/>
          <w:sz w:val="24"/>
        </w:rPr>
        <w:t>sakei</w:t>
      </w:r>
      <w:proofErr w:type="spellEnd"/>
      <w:r w:rsidR="001E2821" w:rsidRPr="00BD3E85">
        <w:rPr>
          <w:rFonts w:ascii="Calibri" w:hAnsi="Calibri" w:cs="Calibri"/>
          <w:sz w:val="24"/>
        </w:rPr>
        <w:t xml:space="preserve"> CJLS03 (LS</w:t>
      </w:r>
      <w:r w:rsidR="000571B7">
        <w:rPr>
          <w:rFonts w:ascii="Calibri" w:hAnsi="Calibri" w:cs="Calibri"/>
          <w:sz w:val="24"/>
        </w:rPr>
        <w:t xml:space="preserve"> </w:t>
      </w:r>
      <w:r w:rsidR="001E2821" w:rsidRPr="00BD3E85">
        <w:rPr>
          <w:rFonts w:ascii="Calibri" w:hAnsi="Calibri" w:cs="Calibri"/>
          <w:sz w:val="24"/>
        </w:rPr>
        <w:t xml:space="preserve">03), </w:t>
      </w:r>
      <w:r w:rsidR="00B95F3A" w:rsidRPr="00BD3E85">
        <w:rPr>
          <w:rFonts w:ascii="Calibri" w:hAnsi="Calibri" w:cs="Calibri"/>
          <w:i/>
          <w:sz w:val="24"/>
        </w:rPr>
        <w:t xml:space="preserve">L. </w:t>
      </w:r>
      <w:proofErr w:type="spellStart"/>
      <w:r w:rsidR="00B95F3A" w:rsidRPr="00BD3E85">
        <w:rPr>
          <w:rFonts w:ascii="Calibri" w:hAnsi="Calibri" w:cs="Calibri"/>
          <w:i/>
          <w:sz w:val="24"/>
        </w:rPr>
        <w:t>sakei</w:t>
      </w:r>
      <w:proofErr w:type="spellEnd"/>
      <w:r w:rsidR="00B95F3A" w:rsidRPr="00BD3E85">
        <w:rPr>
          <w:rFonts w:ascii="Calibri" w:hAnsi="Calibri" w:cs="Calibri"/>
          <w:sz w:val="24"/>
        </w:rPr>
        <w:t xml:space="preserve"> </w:t>
      </w:r>
      <w:r w:rsidR="008F3455" w:rsidRPr="00BD3E85">
        <w:rPr>
          <w:rFonts w:ascii="Calibri" w:hAnsi="Calibri" w:cs="Calibri"/>
          <w:sz w:val="24"/>
        </w:rPr>
        <w:t>L</w:t>
      </w:r>
      <w:r w:rsidR="000571B7">
        <w:rPr>
          <w:rFonts w:ascii="Calibri" w:hAnsi="Calibri" w:cs="Calibri"/>
          <w:sz w:val="24"/>
        </w:rPr>
        <w:t xml:space="preserve">S </w:t>
      </w:r>
      <w:r w:rsidR="008F3455" w:rsidRPr="00BD3E85">
        <w:rPr>
          <w:rFonts w:ascii="Calibri" w:hAnsi="Calibri" w:cs="Calibri"/>
          <w:sz w:val="24"/>
        </w:rPr>
        <w:t xml:space="preserve">338, </w:t>
      </w:r>
      <w:r w:rsidR="008F3455" w:rsidRPr="00BD3E85">
        <w:rPr>
          <w:rFonts w:ascii="Calibri" w:hAnsi="Calibri" w:cs="Calibri"/>
          <w:i/>
          <w:sz w:val="24"/>
        </w:rPr>
        <w:t xml:space="preserve">L. </w:t>
      </w:r>
      <w:proofErr w:type="spellStart"/>
      <w:r w:rsidR="008F3455" w:rsidRPr="00BD3E85">
        <w:rPr>
          <w:rFonts w:ascii="Calibri" w:hAnsi="Calibri" w:cs="Calibri"/>
          <w:i/>
          <w:sz w:val="24"/>
        </w:rPr>
        <w:t>sakei</w:t>
      </w:r>
      <w:proofErr w:type="spellEnd"/>
      <w:r w:rsidR="008F3455" w:rsidRPr="00BD3E85">
        <w:rPr>
          <w:rFonts w:ascii="Calibri" w:hAnsi="Calibri" w:cs="Calibri"/>
          <w:i/>
          <w:sz w:val="24"/>
        </w:rPr>
        <w:t xml:space="preserve"> </w:t>
      </w:r>
      <w:r w:rsidR="00070DCF" w:rsidRPr="00BD3E85">
        <w:rPr>
          <w:rFonts w:ascii="Calibri" w:hAnsi="Calibri" w:cs="Calibri"/>
          <w:sz w:val="24"/>
        </w:rPr>
        <w:t>L</w:t>
      </w:r>
      <w:r w:rsidR="000571B7">
        <w:rPr>
          <w:rFonts w:ascii="Calibri" w:hAnsi="Calibri" w:cs="Calibri"/>
          <w:sz w:val="24"/>
        </w:rPr>
        <w:t xml:space="preserve">S </w:t>
      </w:r>
      <w:r w:rsidR="00070DCF" w:rsidRPr="00BD3E85">
        <w:rPr>
          <w:rFonts w:ascii="Calibri" w:hAnsi="Calibri" w:cs="Calibri"/>
          <w:sz w:val="24"/>
        </w:rPr>
        <w:t xml:space="preserve">446, </w:t>
      </w:r>
      <w:r w:rsidR="00070DCF" w:rsidRPr="00BD3E85">
        <w:rPr>
          <w:rFonts w:ascii="Calibri" w:hAnsi="Calibri" w:cs="Calibri"/>
          <w:i/>
          <w:sz w:val="24"/>
        </w:rPr>
        <w:t xml:space="preserve">L. brevis </w:t>
      </w:r>
      <w:r w:rsidR="00070DCF" w:rsidRPr="00BD3E85">
        <w:rPr>
          <w:rFonts w:ascii="Calibri" w:hAnsi="Calibri" w:cs="Calibri"/>
          <w:sz w:val="24"/>
        </w:rPr>
        <w:t>L</w:t>
      </w:r>
      <w:r w:rsidR="000571B7">
        <w:rPr>
          <w:rFonts w:ascii="Calibri" w:hAnsi="Calibri" w:cs="Calibri"/>
          <w:sz w:val="24"/>
        </w:rPr>
        <w:t xml:space="preserve">B </w:t>
      </w:r>
      <w:r w:rsidR="00070DCF" w:rsidRPr="00BD3E85">
        <w:rPr>
          <w:rFonts w:ascii="Calibri" w:hAnsi="Calibri" w:cs="Calibri"/>
          <w:sz w:val="24"/>
        </w:rPr>
        <w:t xml:space="preserve">29, </w:t>
      </w:r>
      <w:r w:rsidR="00070DCF" w:rsidRPr="00BD3E85">
        <w:rPr>
          <w:rFonts w:ascii="Calibri" w:hAnsi="Calibri" w:cs="Calibri"/>
          <w:i/>
          <w:sz w:val="24"/>
        </w:rPr>
        <w:t xml:space="preserve">L. brevis </w:t>
      </w:r>
      <w:r w:rsidR="00070DCF" w:rsidRPr="00BD3E85">
        <w:rPr>
          <w:rFonts w:ascii="Calibri" w:hAnsi="Calibri" w:cs="Calibri"/>
          <w:sz w:val="24"/>
        </w:rPr>
        <w:t>L</w:t>
      </w:r>
      <w:r w:rsidR="000571B7">
        <w:rPr>
          <w:rFonts w:ascii="Calibri" w:hAnsi="Calibri" w:cs="Calibri"/>
          <w:sz w:val="24"/>
        </w:rPr>
        <w:t xml:space="preserve">B </w:t>
      </w:r>
      <w:r w:rsidR="00070DCF" w:rsidRPr="00BD3E85">
        <w:rPr>
          <w:rFonts w:ascii="Calibri" w:hAnsi="Calibri" w:cs="Calibri"/>
          <w:sz w:val="24"/>
        </w:rPr>
        <w:t xml:space="preserve">33, </w:t>
      </w:r>
      <w:r w:rsidR="00070DCF" w:rsidRPr="00BD3E85">
        <w:rPr>
          <w:rFonts w:ascii="Calibri" w:hAnsi="Calibri" w:cs="Calibri"/>
          <w:i/>
          <w:sz w:val="24"/>
        </w:rPr>
        <w:t xml:space="preserve">L. brevis </w:t>
      </w:r>
      <w:r w:rsidR="00070DCF" w:rsidRPr="00BD3E85">
        <w:rPr>
          <w:rFonts w:ascii="Calibri" w:hAnsi="Calibri" w:cs="Calibri"/>
          <w:sz w:val="24"/>
        </w:rPr>
        <w:t>L</w:t>
      </w:r>
      <w:r w:rsidR="000571B7">
        <w:rPr>
          <w:rFonts w:ascii="Calibri" w:hAnsi="Calibri" w:cs="Calibri"/>
          <w:sz w:val="24"/>
        </w:rPr>
        <w:t xml:space="preserve">B </w:t>
      </w:r>
      <w:r w:rsidR="00070DCF" w:rsidRPr="00BD3E85">
        <w:rPr>
          <w:rFonts w:ascii="Calibri" w:hAnsi="Calibri" w:cs="Calibri"/>
          <w:sz w:val="24"/>
        </w:rPr>
        <w:t xml:space="preserve">54, </w:t>
      </w:r>
      <w:r w:rsidR="00070DCF" w:rsidRPr="00BD3E85">
        <w:rPr>
          <w:rFonts w:ascii="Calibri" w:hAnsi="Calibri" w:cs="Calibri"/>
          <w:i/>
          <w:sz w:val="24"/>
        </w:rPr>
        <w:t xml:space="preserve">L. brevis </w:t>
      </w:r>
      <w:r w:rsidR="00070DCF" w:rsidRPr="00BD3E85">
        <w:rPr>
          <w:rFonts w:ascii="Calibri" w:hAnsi="Calibri" w:cs="Calibri"/>
          <w:sz w:val="24"/>
        </w:rPr>
        <w:t>L</w:t>
      </w:r>
      <w:r w:rsidR="000571B7">
        <w:rPr>
          <w:rFonts w:ascii="Calibri" w:hAnsi="Calibri" w:cs="Calibri"/>
          <w:sz w:val="24"/>
        </w:rPr>
        <w:t xml:space="preserve">B </w:t>
      </w:r>
      <w:r w:rsidR="00070DCF" w:rsidRPr="00BD3E85">
        <w:rPr>
          <w:rFonts w:ascii="Calibri" w:hAnsi="Calibri" w:cs="Calibri"/>
          <w:sz w:val="24"/>
        </w:rPr>
        <w:t xml:space="preserve">55 </w:t>
      </w:r>
      <w:r w:rsidR="0024527C">
        <w:rPr>
          <w:rFonts w:ascii="Calibri" w:hAnsi="Calibri" w:cs="Calibri"/>
          <w:sz w:val="24"/>
        </w:rPr>
        <w:t>or</w:t>
      </w:r>
      <w:r w:rsidR="00070DCF" w:rsidRPr="00BD3E85">
        <w:rPr>
          <w:rFonts w:ascii="Calibri" w:hAnsi="Calibri" w:cs="Calibri"/>
          <w:sz w:val="24"/>
        </w:rPr>
        <w:t xml:space="preserve"> </w:t>
      </w:r>
      <w:r w:rsidR="00070DCF" w:rsidRPr="00BD3E85">
        <w:rPr>
          <w:rFonts w:ascii="Calibri" w:hAnsi="Calibri" w:cs="Calibri"/>
          <w:i/>
          <w:sz w:val="24"/>
        </w:rPr>
        <w:t xml:space="preserve">B. </w:t>
      </w:r>
      <w:proofErr w:type="spellStart"/>
      <w:r w:rsidR="00070DCF" w:rsidRPr="00BD3E85">
        <w:rPr>
          <w:rFonts w:ascii="Calibri" w:hAnsi="Calibri" w:cs="Calibri"/>
          <w:i/>
          <w:sz w:val="24"/>
        </w:rPr>
        <w:t>longum</w:t>
      </w:r>
      <w:proofErr w:type="spellEnd"/>
      <w:r w:rsidR="00070DCF" w:rsidRPr="00BD3E85">
        <w:rPr>
          <w:rFonts w:ascii="Calibri" w:hAnsi="Calibri" w:cs="Calibri"/>
          <w:i/>
          <w:sz w:val="24"/>
        </w:rPr>
        <w:t xml:space="preserve"> </w:t>
      </w:r>
      <w:r w:rsidR="00070DCF" w:rsidRPr="00BD3E85">
        <w:rPr>
          <w:rFonts w:ascii="Calibri" w:hAnsi="Calibri" w:cs="Calibri"/>
          <w:sz w:val="24"/>
        </w:rPr>
        <w:t>B</w:t>
      </w:r>
      <w:r w:rsidR="000571B7">
        <w:rPr>
          <w:rFonts w:ascii="Calibri" w:hAnsi="Calibri" w:cs="Calibri"/>
          <w:sz w:val="24"/>
        </w:rPr>
        <w:t xml:space="preserve">L </w:t>
      </w:r>
      <w:r w:rsidR="00070DCF" w:rsidRPr="00BD3E85">
        <w:rPr>
          <w:rFonts w:ascii="Calibri" w:hAnsi="Calibri" w:cs="Calibri"/>
          <w:sz w:val="24"/>
        </w:rPr>
        <w:t xml:space="preserve">83. Feed and sterilized water supply </w:t>
      </w:r>
      <w:r w:rsidR="000571B7">
        <w:rPr>
          <w:rFonts w:ascii="Calibri" w:hAnsi="Calibri" w:cs="Calibri"/>
          <w:sz w:val="24"/>
        </w:rPr>
        <w:t>were provided</w:t>
      </w:r>
      <w:r w:rsidR="00070DCF" w:rsidRPr="00BD3E85">
        <w:rPr>
          <w:rFonts w:ascii="Calibri" w:hAnsi="Calibri" w:cs="Calibri"/>
          <w:sz w:val="24"/>
        </w:rPr>
        <w:t xml:space="preserve"> </w:t>
      </w:r>
      <w:r w:rsidR="00070DCF" w:rsidRPr="00BD3E85">
        <w:rPr>
          <w:rFonts w:ascii="Calibri" w:hAnsi="Calibri" w:cs="Calibri"/>
          <w:i/>
          <w:sz w:val="24"/>
        </w:rPr>
        <w:t>ad libitum</w:t>
      </w:r>
      <w:r w:rsidR="00070DCF" w:rsidRPr="00BD3E85">
        <w:rPr>
          <w:rFonts w:ascii="Calibri" w:hAnsi="Calibri" w:cs="Calibri"/>
          <w:sz w:val="24"/>
        </w:rPr>
        <w:t xml:space="preserve"> and weight gains </w:t>
      </w:r>
      <w:r w:rsidR="000571B7">
        <w:rPr>
          <w:rFonts w:ascii="Calibri" w:hAnsi="Calibri" w:cs="Calibri"/>
          <w:sz w:val="24"/>
        </w:rPr>
        <w:t>were</w:t>
      </w:r>
      <w:r w:rsidR="00070DCF" w:rsidRPr="00BD3E85">
        <w:rPr>
          <w:rFonts w:ascii="Calibri" w:hAnsi="Calibri" w:cs="Calibri"/>
          <w:sz w:val="24"/>
        </w:rPr>
        <w:t xml:space="preserve"> measured by subtracting </w:t>
      </w:r>
      <w:r w:rsidR="000571B7">
        <w:rPr>
          <w:rFonts w:ascii="Calibri" w:hAnsi="Calibri" w:cs="Calibri"/>
          <w:sz w:val="24"/>
        </w:rPr>
        <w:t xml:space="preserve">the </w:t>
      </w:r>
      <w:r w:rsidR="00070DCF" w:rsidRPr="00BD3E85">
        <w:rPr>
          <w:rFonts w:ascii="Calibri" w:hAnsi="Calibri" w:cs="Calibri"/>
          <w:sz w:val="24"/>
        </w:rPr>
        <w:t xml:space="preserve">average weight of </w:t>
      </w:r>
      <w:r w:rsidR="000571B7" w:rsidRPr="00BD3E85">
        <w:rPr>
          <w:rFonts w:ascii="Calibri" w:hAnsi="Calibri" w:cs="Calibri"/>
          <w:sz w:val="24"/>
        </w:rPr>
        <w:t>week 0</w:t>
      </w:r>
      <w:r w:rsidR="000571B7">
        <w:rPr>
          <w:rFonts w:ascii="Calibri" w:hAnsi="Calibri" w:cs="Calibri"/>
          <w:sz w:val="24"/>
        </w:rPr>
        <w:t xml:space="preserve"> from that of </w:t>
      </w:r>
      <w:r w:rsidR="00070DCF" w:rsidRPr="00BD3E85">
        <w:rPr>
          <w:rFonts w:ascii="Calibri" w:hAnsi="Calibri" w:cs="Calibri"/>
          <w:sz w:val="24"/>
        </w:rPr>
        <w:t xml:space="preserve">week 8. </w:t>
      </w:r>
      <w:r w:rsidR="00070DCF" w:rsidRPr="00BD3E85">
        <w:rPr>
          <w:rFonts w:ascii="Calibri" w:hAnsi="Calibri" w:cs="Calibri"/>
          <w:color w:val="000000" w:themeColor="text1"/>
          <w:sz w:val="24"/>
          <w:lang w:val="en-GB"/>
        </w:rPr>
        <w:t>Asterisks denote the level of significance</w:t>
      </w:r>
      <w:r w:rsidR="00B64E16" w:rsidRPr="00BD3E85">
        <w:rPr>
          <w:rFonts w:ascii="Calibri" w:hAnsi="Calibri" w:cs="Calibri"/>
          <w:color w:val="000000" w:themeColor="text1"/>
          <w:sz w:val="24"/>
          <w:lang w:val="en-GB"/>
        </w:rPr>
        <w:t xml:space="preserve"> (Dunnett’s multiple compari</w:t>
      </w:r>
      <w:r w:rsidR="000571B7">
        <w:rPr>
          <w:rFonts w:ascii="Calibri" w:hAnsi="Calibri" w:cs="Calibri"/>
          <w:color w:val="000000" w:themeColor="text1"/>
          <w:sz w:val="24"/>
          <w:lang w:val="en-GB"/>
        </w:rPr>
        <w:t>s</w:t>
      </w:r>
      <w:r w:rsidR="00B64E16" w:rsidRPr="00BD3E85">
        <w:rPr>
          <w:rFonts w:ascii="Calibri" w:hAnsi="Calibri" w:cs="Calibri"/>
          <w:color w:val="000000" w:themeColor="text1"/>
          <w:sz w:val="24"/>
          <w:lang w:val="en-GB"/>
        </w:rPr>
        <w:t xml:space="preserve">on test) </w:t>
      </w:r>
      <w:r w:rsidR="00070DCF" w:rsidRPr="00BD3E85">
        <w:rPr>
          <w:rFonts w:ascii="Calibri" w:hAnsi="Calibri" w:cs="Calibri"/>
          <w:color w:val="000000" w:themeColor="text1"/>
          <w:sz w:val="24"/>
          <w:lang w:val="en-GB"/>
        </w:rPr>
        <w:t>compared to HFD as *: p&lt;0.05, **: p&lt;0.01 and ***:</w:t>
      </w:r>
      <w:r w:rsidR="002752E0">
        <w:rPr>
          <w:rFonts w:ascii="Calibri" w:hAnsi="Calibri" w:cs="Calibri"/>
          <w:color w:val="000000" w:themeColor="text1"/>
          <w:sz w:val="24"/>
          <w:lang w:val="en-GB"/>
        </w:rPr>
        <w:t xml:space="preserve"> </w:t>
      </w:r>
      <w:r w:rsidR="00070DCF" w:rsidRPr="00BD3E85">
        <w:rPr>
          <w:rFonts w:ascii="Calibri" w:hAnsi="Calibri" w:cs="Calibri"/>
          <w:color w:val="000000" w:themeColor="text1"/>
          <w:sz w:val="24"/>
          <w:lang w:val="en-GB"/>
        </w:rPr>
        <w:t xml:space="preserve">p&lt;0.001. </w:t>
      </w:r>
    </w:p>
    <w:sectPr w:rsidR="001E2821" w:rsidRPr="00BD3E85" w:rsidSect="003744C7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Gothic,Bold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21"/>
    <w:rsid w:val="000571B7"/>
    <w:rsid w:val="00070DCF"/>
    <w:rsid w:val="001E2821"/>
    <w:rsid w:val="0024527C"/>
    <w:rsid w:val="002752E0"/>
    <w:rsid w:val="00345FED"/>
    <w:rsid w:val="003744C7"/>
    <w:rsid w:val="004C1975"/>
    <w:rsid w:val="00520625"/>
    <w:rsid w:val="008F3455"/>
    <w:rsid w:val="009231D9"/>
    <w:rsid w:val="00A06594"/>
    <w:rsid w:val="00A9535C"/>
    <w:rsid w:val="00B64E16"/>
    <w:rsid w:val="00B95F3A"/>
    <w:rsid w:val="00BD3E85"/>
    <w:rsid w:val="00E74382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A8C0FC"/>
  <w15:chartTrackingRefBased/>
  <w15:docId w15:val="{57305BD7-ED28-E34A-9753-8C14841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Handong Global University / HEM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 Ji</dc:creator>
  <cp:keywords/>
  <dc:description/>
  <cp:lastModifiedBy>GZ0710</cp:lastModifiedBy>
  <cp:revision>3</cp:revision>
  <dcterms:created xsi:type="dcterms:W3CDTF">2019-02-16T21:10:00Z</dcterms:created>
  <dcterms:modified xsi:type="dcterms:W3CDTF">2019-02-16T21:32:00Z</dcterms:modified>
</cp:coreProperties>
</file>