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53E2D" w:rsidR="00602FC9" w:rsidP="00602FC9" w:rsidRDefault="00602FC9" w14:paraId="78EDF9E7" wp14:textId="7777777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Fossil Calibrations</w:t>
      </w:r>
    </w:p>
    <w:p xmlns:wp14="http://schemas.microsoft.com/office/word/2010/wordml" w:rsidR="00602FC9" w:rsidP="00602FC9" w:rsidRDefault="00602FC9" w14:paraId="211A40C5" wp14:textId="77777777">
      <w:pPr>
        <w:spacing w:line="240" w:lineRule="auto"/>
      </w:pPr>
      <w:bookmarkStart w:name="_30j0zll" w:colFirst="0" w:colLast="0" w:id="0"/>
      <w:bookmarkEnd w:id="0"/>
      <w:r w:rsidR="596D7577">
        <w:rPr/>
        <w:t>All dates for geological time periods are based on the published dates by the International Commission on Stratigraphy (</w:t>
      </w:r>
      <w:r w:rsidR="596D7577">
        <w:rPr/>
        <w:t>Cohen et al., 2013</w:t>
      </w:r>
      <w:r w:rsidR="596D7577">
        <w:rPr/>
        <w:t>). Each fossil was assigned to the crown group for which they belonged based on shared synapomorphies as noted below. Analysis 1 was performed under a lognormal distribution and Analysis 2 was performed using a normal distribution for calibration priors, as justified below.</w:t>
      </w:r>
      <w:hyperlink w:anchor="_3znysh7"/>
    </w:p>
    <w:p w:rsidR="596D7577" w:rsidP="596D7577" w:rsidRDefault="596D7577" w14:paraId="7BC60D9A" w14:textId="2F2DC7B6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Calibration 1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96D7577" w:rsidP="596D7577" w:rsidRDefault="596D7577" w14:paraId="0C09BA8F" w14:textId="1AF1CF70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calibrate our ingroup, we chose to use the oldest known fossil confidently placed within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Peñalver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et al., 2010),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Cretevania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concordia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Rasnitsyn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Jarzembowski, &amp; Ross, 1998, known from the Upper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Hauterivian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Cretaceous, beginning at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Rasnitsyn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et al., 1998). Placement within the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based on the following synapomorphies: dorsal insertion of the metasoma; tubular petiole; 11 flagellomeres; and large head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adpressed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prothorax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Peñalver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et al., 2010; Deans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Huben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2003). For analysis 1, under a lognormal prior distribution, we set the mean at 1.2,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1, and used an offset of 134 (95% HPD: 134.5-157.6). For analysis 2, the maximum bound was set as the mid Jurassic, for which there are no known fossils within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but there are fossils within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Evanioidea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(for example,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Preaulacidae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We chose the start of the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Bethonian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Middle Jurassic (166.1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for the maximum bound, as it includes the period with the oldest known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Evanioid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fossils. Thus, the mean was set to 149.5, with a standard deviation set to 8.4 to achieve a 95% HPD of 133.0 – 166.0.</w:t>
      </w:r>
    </w:p>
    <w:p w:rsidR="596D7577" w:rsidP="596D7577" w:rsidRDefault="596D7577" w14:paraId="68E33765" w14:textId="5C9A63C3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Calibration 2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Evaniella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96D7577" w:rsidP="596D7577" w:rsidRDefault="596D7577" w14:paraId="4EBA7E7D" w14:textId="132DCE5A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Evaniella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eocenica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Sawoniewicz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Kupryjanowicz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the mid Eocene Baltic amber is the only known fossil in this genus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Sawoniewicz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Kupryjanowicz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2003). Placement within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Evaniella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based on the following synapomorphies: Loss of cross veins in the apical area of the fore wing (i.e., with at 7 closed cells proximally); linear 1RS, intersecting with SC+R near pterostigma (Deans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Huben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2003). And these diagnostic characters: hind coxa close to mid coxa (closer than twice the length of the mid coxa), and face without longitudinal striae (Deans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Huben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2003;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Sawoniewicz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Kupryjanowicz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2003). According to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Ritzkowski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(1997), Baltic amber is dated to 44.1 ± 1.1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thus placing the fossil in the Lutetian of the Eocene. Using this as the lower bound, we set the mean at 1.61,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0.8, and used an offset of 45 to achieve a 95% HPD of 46.0 – 69.0 for analysis 1. For analysis 2, we set a maximum bound at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which is the lower bound set for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calibration 1. With bounds at 44.1 –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we set the mean at 88.5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22.7 to achieve a 95% HPD of 44.0 – 133.0 for analysis 2.</w:t>
      </w:r>
    </w:p>
    <w:p xmlns:wp14="http://schemas.microsoft.com/office/word/2010/wordml" w:rsidR="00602FC9" w:rsidP="00602FC9" w:rsidRDefault="00602FC9" w14:paraId="427DB7A4" wp14:textId="77777777">
      <w:pPr>
        <w:spacing w:line="240" w:lineRule="auto"/>
      </w:pPr>
      <w:r w:rsidRPr="596D7577" w:rsidR="596D7577">
        <w:rPr>
          <w:b w:val="1"/>
          <w:bCs w:val="1"/>
        </w:rPr>
        <w:t>Calibration 3</w:t>
      </w:r>
      <w:r w:rsidR="596D7577">
        <w:rPr/>
        <w:t xml:space="preserve"> – </w:t>
      </w:r>
      <w:r w:rsidRPr="596D7577" w:rsidR="596D7577">
        <w:rPr>
          <w:i w:val="1"/>
          <w:iCs w:val="1"/>
        </w:rPr>
        <w:t>Hyptia</w:t>
      </w:r>
      <w:r w:rsidR="596D7577">
        <w:rPr/>
        <w:t xml:space="preserve">  </w:t>
      </w:r>
    </w:p>
    <w:p w:rsidR="596D7577" w:rsidP="596D7577" w:rsidRDefault="596D7577" w14:paraId="3F3C69D1" w14:textId="75151B83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hennigi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Jennings, Krogmann &amp; Priya was described from Baltic amber (Jennings et al., 2013), and thus has a minimum age of 44.1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discussed for calibration 2.  Placement within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based on the following synapomorphy: loss of nearly all longitudinal veins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crossveins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fore wing (i.e., fore wing with only one cell complete, enclosed by tubular veins); and this diagnostic character: 11 flagellomeres (distinguishing it from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Decevania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(Deans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Huben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2003; Jennings et al., 2013). We set the mean at 1.61,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0.8, and used an offset of 45 to achieve a 95% HPD of 46.0 – 69.0 for analysis 1</w:t>
      </w:r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.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analysis 2, we set a maximum bound at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which is the lower bound set for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calibration 1, similar as was done for calibration 2. Thus, with bounds at 44.1 –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we set the mean at 88.5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22.7 to achieve a 95% HPD of 44.0 – 133.0 for analysis 2. Note that if this fossil was a stem fossil, we still believe it is better suited to constrain the MRCA of the sampled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rather than the MRCA of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Decevania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given the uncertainty in this relationship, the long branch from that MRCA to the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clade, and our use of two different distributions that allow for uncertainty in the estimate. Further, using this fossil as a constraint for the MRCA of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Decevania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did not significantly change the estimate.</w:t>
      </w:r>
    </w:p>
    <w:p w:rsidR="596D7577" w:rsidP="596D7577" w:rsidRDefault="596D7577" w14:paraId="4F21C963" w14:textId="5DE9DFF0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Calibration 4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Pristaulacus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Aulacidae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596D7577" w:rsidP="596D7577" w:rsidRDefault="596D7577" w14:paraId="1FD7F2E6" w14:textId="117348DF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Pristaulacus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velteni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Jennings and Krogmann was collected from Baltic amber (Jennings and Krogmann, 2009), and thus has a minimum age of 44.1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discussed for calibration 2. Placement within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Pristaulacus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based on the following synapomorphies: hind claws pectinate and occipital carina present (Jennings and Krogmann, 2009).  We set the mean at 1.61,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0.8, and used an offset of 45 to achieve a 95% HPD of 46.0 – 69.0 for analysis 1</w:t>
      </w:r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.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For an</w:t>
      </w:r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upper bound, we chose the end of the Cretaceous (~145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as there are no known aulacid fossils known from the Jurassic. This bound seems reasonable as there are extinct members of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Aulacidae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Hyptiogastrites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electrinus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Cockerell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placed as sister to extant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Aulacidae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(Jennings et al., 2004), known from the Upper Albian of the Lower Cretaceous. For analysis 2, we set the mean at 94.6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25.8 for a 95%HDP of 44.0 – 145.2. </w:t>
      </w:r>
    </w:p>
    <w:p w:rsidR="596D7577" w:rsidP="596D7577" w:rsidRDefault="596D7577" w14:paraId="3D1E6AA7" w14:textId="602701F9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Calibration 5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Parevania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596D7577" w:rsidP="596D7577" w:rsidRDefault="596D7577" w14:paraId="31F49265" w14:textId="3105F4F6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Parevania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brevis 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Brues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) was described from Baltic amber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Brues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1933). Placement within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Parevania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based on the following synapomorphies: forewing with seven complete cells,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forweing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vein 1RS meeting Sc +R basal to the pterostigma. The calibration for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Parevania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the same as calibration 2 for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Evaniella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both analyses, as the maximum bound was also set as the lower bound for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Thus, we set the mean at 1.61,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0.8, and used an offset of 45 to achieve a 95% HPD of 46.0 – 69.0 for analysis 1 and the mean at 88.5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22.7 to achieve a 95% HPD of 44.0 – 133.0 for analysis 2.</w:t>
      </w:r>
    </w:p>
    <w:p w:rsidR="596D7577" w:rsidP="596D7577" w:rsidRDefault="596D7577" w14:paraId="3658D3E3" w14:textId="3D3D6697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Calibration 6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Semaeomyia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596D7577" w:rsidP="596D7577" w:rsidRDefault="596D7577" w14:paraId="6A2010C4" w14:textId="7BB3C9F7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Semaeomyia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dominicana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4ff9c61d15e442ae">
        <w:r w:rsidRPr="596D7577" w:rsidR="596D757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(Nel, Martinez-Delclos &amp; Azar)</w:t>
        </w:r>
      </w:hyperlink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 described from Dominican amber, although the exact age of the fossil is unknown (Nel et al., 2002). Placement within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Parevania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based on the following synapomorphies: forewing with 3 closed cells, with first marginal cell absent; tarsal claws with the subapical tooth larger and stouter than the apical tooth (Deans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Huben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2003). Dominican amber is late Early Miocene through early Middle Miocene (15-20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) (Iturralde-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Vinent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MacPhee, 1999). </w:t>
      </w:r>
      <w:proofErr w:type="gram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Similar to</w:t>
      </w:r>
      <w:proofErr w:type="gram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other calibrations we set the upper bound as the lower for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132.9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mya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Thus, we set the mean at 1.61,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0.8, and used an offset of 21 to achieve a 95% HPD of 22.0 – 45.0 for analysis 1 and the mean at 76.5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Stdev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28.8 for a 95%HDP of 20.0 – 132.9.</w:t>
      </w:r>
    </w:p>
    <w:p w:rsidR="596D7577" w:rsidP="596D7577" w:rsidRDefault="596D7577" w14:paraId="62A3E992" w14:textId="689644F7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6D7577" w:rsidP="596D7577" w:rsidRDefault="596D7577" w14:noSpellErr="1" w14:paraId="495C5B85" w14:textId="6A587C6C">
      <w:pPr>
        <w:spacing w:after="200" w:line="240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596D7577" w:rsidR="596D757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References for Calibrations</w:t>
      </w:r>
    </w:p>
    <w:p w:rsidR="596D7577" w:rsidP="596D7577" w:rsidRDefault="596D7577" w14:paraId="3F3E8BDA" w14:textId="6E03C494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Brues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C.T., 1933. The parasitic Hymenoptera of the Baltic amber. Part </w:t>
      </w:r>
      <w:proofErr w:type="gram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I. .</w:t>
      </w:r>
      <w:proofErr w:type="gram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Bernstein-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Forschungen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(Amber Studies), 3: 4-178.</w:t>
      </w:r>
    </w:p>
    <w:p w:rsidR="596D7577" w:rsidP="596D7577" w:rsidRDefault="596D7577" w14:noSpellErr="1" w14:paraId="16A8BD6C" w14:textId="112C5483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Cohen, K.M., Finney, S.C., Gibbard, P.L. and Fan, J.X., 2013. The ICS international chronostratigraphic chart. Episodes, 36(3): 199-204.</w:t>
      </w:r>
    </w:p>
    <w:p w:rsidR="596D7577" w:rsidP="596D7577" w:rsidRDefault="596D7577" w14:paraId="14D682B6" w14:textId="4EA758CC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Iturralde-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Vinent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M. and MacPhee, R.D.E., 1999. Paleogeography of the Caribbean region: Implications for Cenozoic biogeography, Bulletin of the AMNH. No. 238, pp. 95.</w:t>
      </w:r>
    </w:p>
    <w:p w:rsidR="596D7577" w:rsidP="596D7577" w:rsidRDefault="596D7577" w14:paraId="2B77A382" w14:textId="02052D4C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Jennings, J.T., Austin, A.D. and Stevens, N.B., 2004.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Hyptiogastrites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electrinus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Cockerell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1917, from Myanmar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burmese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amber: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Redescription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its placement within the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Evanioidea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Insecta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Hymenoptera). Journal of Systematic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Palaeontology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2(02): 127-132.</w:t>
      </w:r>
    </w:p>
    <w:p w:rsidR="596D7577" w:rsidP="596D7577" w:rsidRDefault="596D7577" w14:paraId="2C82D363" w14:textId="6E7C68E6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Jennings, J.T. and Krogmann, L., 2009. A new species of</w:t>
      </w:r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Pristaulacus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Kieffer (Hymenoptera: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Aulacidae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from Baltic amber. Insect Syst.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Evol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., 40(2): 201-207.</w:t>
      </w:r>
    </w:p>
    <w:p w:rsidR="596D7577" w:rsidP="596D7577" w:rsidRDefault="596D7577" w14:paraId="14754DC7" w14:textId="00E4AFA3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Jennings, J.T., Krogmann, L. and Priya, P., 2013. Happy birthday Willi Hennig!-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Hyptia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hennigi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sp.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nov.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(Hymenoptera: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a fossil ensign wasp from Eocene Baltic amber.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Zootaxa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3731: 395-398.</w:t>
      </w:r>
    </w:p>
    <w:p w:rsidR="596D7577" w:rsidP="596D7577" w:rsidRDefault="596D7577" w14:paraId="17B3A491" w14:textId="04AF3848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Nel, A., Martínez-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Delclòs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X., and Azar, D. 2002. A new ensign-fly from the Lower-Middle Miocene Dominican amber (Hymenoptera,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Bulletin de la Societe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Entomologique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France, 107(3), 217-221. </w:t>
      </w:r>
    </w:p>
    <w:p w:rsidR="596D7577" w:rsidP="596D7577" w:rsidRDefault="596D7577" w14:paraId="616C332D" w14:textId="69D9FA12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Peñalver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E., Ortega-Blanco, J., Nel, A.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Delclòs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X., 2010. Mesozoic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Insecta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Hymenoptera) in Spanish amber: Reanalysis of the phylogeny of the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Evanioidea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Acta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Geologica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Sinica, 84(4): 809-827.</w:t>
      </w:r>
    </w:p>
    <w:p w:rsidR="596D7577" w:rsidP="596D7577" w:rsidRDefault="596D7577" w14:paraId="13CBE4EA" w14:textId="0986C3BB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Rasnitsyn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A.P., Jarzembowski, E.A. and Ross, A.J., 1998. Wasps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Insecta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Vespida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=Hymenoptera) from the Purbeck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Wealden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(Lower Cretaceous) of southern England and their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biostratigraphical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palaeoenvironmental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significance. Cretaceous Res., 19(3–4): 329-391.</w:t>
      </w:r>
    </w:p>
    <w:p w:rsidR="596D7577" w:rsidP="596D7577" w:rsidRDefault="596D7577" w14:paraId="661C9B6A" w14:textId="36268092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Ritzkowski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, S., 1997. K-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Ar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Altersbestimmungen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der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bernsteinführenden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sedimente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des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samlandes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Paläogen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Bezirk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Kaliningrad).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Metalla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(Bochum), 66: 19-23.</w:t>
      </w:r>
    </w:p>
    <w:p w:rsidR="596D7577" w:rsidP="596D7577" w:rsidRDefault="596D7577" w14:paraId="4819A857" w14:textId="70EFB186">
      <w:pPr>
        <w:spacing w:after="200" w:line="240" w:lineRule="auto"/>
        <w:ind w:left="720" w:hanging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Sawoniewicz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J. and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Kupryjanowicz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J., 2003.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Evaniella</w:t>
      </w:r>
      <w:proofErr w:type="spellEnd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596D7577" w:rsidR="596D75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eocenica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sp.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nov.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the Baltic amber (Hymenoptera: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Acta Zool. </w:t>
      </w:r>
      <w:proofErr w:type="spellStart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Cracov</w:t>
      </w:r>
      <w:proofErr w:type="spellEnd"/>
      <w:r w:rsidRPr="596D7577" w:rsidR="596D7577">
        <w:rPr>
          <w:rFonts w:ascii="Calibri" w:hAnsi="Calibri" w:eastAsia="Calibri" w:cs="Calibri"/>
          <w:noProof w:val="0"/>
          <w:sz w:val="22"/>
          <w:szCs w:val="22"/>
          <w:lang w:val="en-US"/>
        </w:rPr>
        <w:t>., 46 (Suppl. - Fossil Insects): 267-270.</w:t>
      </w:r>
    </w:p>
    <w:p w:rsidR="596D7577" w:rsidP="596D7577" w:rsidRDefault="596D7577" w14:paraId="175A3A5D" w14:textId="699E045B">
      <w:pPr>
        <w:pStyle w:val="Normal"/>
        <w:ind w:left="720" w:hanging="720"/>
        <w:rPr>
          <w:color w:val="000000" w:themeColor="text1" w:themeTint="FF" w:themeShade="FF"/>
        </w:rPr>
      </w:pPr>
    </w:p>
    <w:sectPr w:rsidR="007E3EE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e814de048a74df3"/>
      <w:footerReference w:type="default" r:id="R03b027ffb15445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96D7577" w:rsidTr="596D7577" w14:paraId="45EDF08B">
      <w:tc>
        <w:tcPr>
          <w:tcW w:w="3120" w:type="dxa"/>
          <w:tcMar/>
        </w:tcPr>
        <w:p w:rsidR="596D7577" w:rsidP="596D7577" w:rsidRDefault="596D7577" w14:paraId="3D78F883" w14:textId="423C553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6D7577" w:rsidP="596D7577" w:rsidRDefault="596D7577" w14:noSpellErr="1" w14:paraId="30194272" w14:textId="302B0E55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3120" w:type="dxa"/>
          <w:tcMar/>
        </w:tcPr>
        <w:p w:rsidR="596D7577" w:rsidP="596D7577" w:rsidRDefault="596D7577" w14:paraId="2431CE2D" w14:textId="4FD03443">
          <w:pPr>
            <w:pStyle w:val="Header"/>
            <w:bidi w:val="0"/>
            <w:ind w:right="-115"/>
            <w:jc w:val="right"/>
          </w:pPr>
        </w:p>
      </w:tc>
    </w:tr>
  </w:tbl>
  <w:p w:rsidR="596D7577" w:rsidP="596D7577" w:rsidRDefault="596D7577" w14:paraId="463697AA" w14:textId="401C10B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96D7577" w:rsidTr="596D7577" w14:paraId="6183C719">
      <w:tc>
        <w:tcPr>
          <w:tcW w:w="3120" w:type="dxa"/>
          <w:tcMar/>
        </w:tcPr>
        <w:p w:rsidR="596D7577" w:rsidP="596D7577" w:rsidRDefault="596D7577" w14:paraId="0BF2EC21" w14:textId="53A12A7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6D7577" w:rsidP="596D7577" w:rsidRDefault="596D7577" w14:paraId="6D9FF6F5" w14:textId="4D14BEC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6D7577" w:rsidP="596D7577" w:rsidRDefault="596D7577" w14:paraId="00308328" w14:textId="54DAA914">
          <w:pPr>
            <w:pStyle w:val="Header"/>
            <w:bidi w:val="0"/>
            <w:ind w:right="-115"/>
            <w:jc w:val="right"/>
          </w:pPr>
        </w:p>
      </w:tc>
    </w:tr>
  </w:tbl>
  <w:p w:rsidR="596D7577" w:rsidP="596D7577" w:rsidRDefault="596D7577" w14:paraId="45149A48" w14:textId="17E4FDCF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C9"/>
    <w:rsid w:val="00602FC9"/>
    <w:rsid w:val="007E3EE7"/>
    <w:rsid w:val="596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3BE3"/>
  <w15:chartTrackingRefBased/>
  <w15:docId w15:val="{E8C3860D-4472-4761-AD8F-E8EBE05995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602FC9"/>
    <w:pPr>
      <w:spacing w:after="200" w:line="276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evanioidea.info/public/ref/show/30343" TargetMode="External" Id="R4ff9c61d15e442ae" /><Relationship Type="http://schemas.openxmlformats.org/officeDocument/2006/relationships/header" Target="/word/header.xml" Id="Rbe814de048a74df3" /><Relationship Type="http://schemas.openxmlformats.org/officeDocument/2006/relationships/footer" Target="/word/footer.xml" Id="R03b027ffb15445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Sharanowski</dc:creator>
  <keywords/>
  <dc:description/>
  <lastModifiedBy>Deans, Andrew Robert</lastModifiedBy>
  <revision>2</revision>
  <dcterms:created xsi:type="dcterms:W3CDTF">2018-10-05T20:57:00.0000000Z</dcterms:created>
  <dcterms:modified xsi:type="dcterms:W3CDTF">2019-02-14T13:41:59.7996716Z</dcterms:modified>
</coreProperties>
</file>