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48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Style w:val="5"/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Table </w:t>
      </w:r>
      <w:r>
        <w:rPr>
          <w:rStyle w:val="5"/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S2. 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t>T</w:t>
      </w:r>
      <w:bookmarkStart w:id="0" w:name="_GoBack"/>
      <w:r>
        <w:rPr>
          <w:rStyle w:val="5"/>
          <w:rFonts w:hint="default" w:ascii="Times New Roman" w:hAnsi="Times New Roman" w:cs="Times New Roman"/>
          <w:sz w:val="24"/>
          <w:szCs w:val="24"/>
        </w:rPr>
        <w:t>he Box–Behnken experimental design</w:t>
      </w:r>
      <w:r>
        <w:rPr>
          <w:rStyle w:val="5"/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of mix-acid method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t xml:space="preserve"> with </w:t>
      </w:r>
      <w:r>
        <w:rPr>
          <w:rStyle w:val="5"/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three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t xml:space="preserve"> independent variables</w:t>
      </w:r>
      <w:bookmarkEnd w:id="0"/>
    </w:p>
    <w:tbl>
      <w:tblPr>
        <w:tblStyle w:val="4"/>
        <w:tblW w:w="9318" w:type="dxa"/>
        <w:jc w:val="center"/>
        <w:tblInd w:w="-1056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563"/>
        <w:gridCol w:w="2112"/>
        <w:gridCol w:w="2000"/>
        <w:gridCol w:w="2095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No.</w:t>
            </w:r>
          </w:p>
        </w:tc>
        <w:tc>
          <w:tcPr>
            <w:tcW w:w="256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Hydrolysis temperature (℃)</w:t>
            </w:r>
          </w:p>
        </w:tc>
        <w:tc>
          <w:tcPr>
            <w:tcW w:w="211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TFA concentration (%)</w:t>
            </w:r>
          </w:p>
        </w:tc>
        <w:tc>
          <w:tcPr>
            <w:tcW w:w="20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Hydrolysis time (min) </w:t>
            </w:r>
          </w:p>
        </w:tc>
        <w:tc>
          <w:tcPr>
            <w:tcW w:w="20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Total extraction yield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5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211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(85)</w:t>
            </w:r>
          </w:p>
        </w:tc>
        <w:tc>
          <w:tcPr>
            <w:tcW w:w="200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(10)</w:t>
            </w:r>
          </w:p>
        </w:tc>
        <w:tc>
          <w:tcPr>
            <w:tcW w:w="20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104.71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(100)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(85)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(15)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100.15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(85)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(10)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104.72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(85)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(15)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100.95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(10)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101.31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(5)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100.43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(85)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(10)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103.97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(100)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(10)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103.13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(5)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103.11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(15)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102.62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(100)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(85)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(5)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101.22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(85)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(10)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103.75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(85)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(5)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99.18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(100)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(10)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99.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(85)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(10)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104.17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(15)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.04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(10)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99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.52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textAlignment w:val="auto"/>
        <w:outlineLvl w:val="9"/>
        <w:rPr>
          <w:rFonts w:ascii="Times New Roman" w:hAnsi="Times New Roman" w:eastAsia="Times-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  <w:vertAlign w:val="superscript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sz w:val="18"/>
          <w:szCs w:val="18"/>
          <w:vertAlign w:val="baseline"/>
          <w:lang w:val="en-US" w:eastAsia="zh-CN"/>
        </w:rPr>
        <w:t>Total extraction yield (%) =</w:t>
      </w:r>
      <w:r>
        <w:rPr>
          <w:rFonts w:ascii="Times New Roman" w:hAnsi="Times New Roman"/>
          <w:sz w:val="18"/>
          <w:szCs w:val="18"/>
        </w:rPr>
        <w:t xml:space="preserve"> Adenine e</w:t>
      </w:r>
      <w:r>
        <w:rPr>
          <w:rFonts w:ascii="Times New Roman" w:hAnsi="Times New Roman" w:eastAsia="Times-Roman"/>
          <w:sz w:val="18"/>
          <w:szCs w:val="18"/>
        </w:rPr>
        <w:t xml:space="preserve">xtraction yield </w:t>
      </w:r>
      <w:r>
        <w:rPr>
          <w:rFonts w:ascii="Times New Roman" w:hAnsi="Times New Roman"/>
          <w:sz w:val="18"/>
          <w:szCs w:val="18"/>
        </w:rPr>
        <w:t>+ Guanine e</w:t>
      </w:r>
      <w:r>
        <w:rPr>
          <w:rFonts w:ascii="Times New Roman" w:hAnsi="Times New Roman" w:eastAsia="Times-Roman"/>
          <w:sz w:val="18"/>
          <w:szCs w:val="18"/>
        </w:rPr>
        <w:t xml:space="preserve">xtraction yield </w:t>
      </w:r>
      <w:r>
        <w:rPr>
          <w:rFonts w:ascii="Times New Roman" w:hAnsi="Times New Roman"/>
          <w:sz w:val="18"/>
          <w:szCs w:val="18"/>
        </w:rPr>
        <w:t>+ Hypoxanthine e</w:t>
      </w:r>
      <w:r>
        <w:rPr>
          <w:rFonts w:ascii="Times New Roman" w:hAnsi="Times New Roman" w:eastAsia="Times-Roman"/>
          <w:sz w:val="18"/>
          <w:szCs w:val="18"/>
        </w:rPr>
        <w:t xml:space="preserve">xtraction yield </w:t>
      </w:r>
      <w:r>
        <w:rPr>
          <w:rFonts w:ascii="Times New Roman" w:hAnsi="Times New Roman"/>
          <w:sz w:val="18"/>
          <w:szCs w:val="18"/>
        </w:rPr>
        <w:t>+ Xanthine e</w:t>
      </w:r>
      <w:r>
        <w:rPr>
          <w:rFonts w:ascii="Times New Roman" w:hAnsi="Times New Roman" w:eastAsia="Times-Roman"/>
          <w:sz w:val="18"/>
          <w:szCs w:val="18"/>
        </w:rPr>
        <w:t>xtraction yield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textAlignment w:val="auto"/>
        <w:outlineLvl w:val="9"/>
        <w:rPr>
          <w:rFonts w:hint="eastAsia" w:ascii="Times New Roman" w:hAnsi="Times New Roman" w:eastAsia="宋体"/>
          <w:sz w:val="18"/>
          <w:szCs w:val="18"/>
          <w:vertAlign w:val="baseline"/>
          <w:lang w:val="en-US" w:eastAsia="zh-CN"/>
        </w:rPr>
      </w:pPr>
      <w:r>
        <w:rPr>
          <w:rFonts w:hint="eastAsia" w:ascii="Times New Roman" w:hAnsi="Times New Roman" w:eastAsia="宋体"/>
          <w:sz w:val="18"/>
          <w:szCs w:val="18"/>
          <w:vertAlign w:val="superscript"/>
          <w:lang w:val="en-US" w:eastAsia="zh-CN"/>
        </w:rPr>
        <w:t>b</w:t>
      </w:r>
      <w:r>
        <w:rPr>
          <w:rFonts w:hint="eastAsia" w:ascii="Times New Roman" w:hAnsi="Times New Roman" w:eastAsia="宋体"/>
          <w:sz w:val="18"/>
          <w:szCs w:val="18"/>
          <w:vertAlign w:val="baseline"/>
          <w:lang w:val="en-US" w:eastAsia="zh-CN"/>
        </w:rPr>
        <w:t>E</w:t>
      </w:r>
      <w:r>
        <w:rPr>
          <w:rFonts w:ascii="Times New Roman" w:hAnsi="Times New Roman" w:eastAsia="Times-Roman"/>
          <w:sz w:val="18"/>
          <w:szCs w:val="18"/>
        </w:rPr>
        <w:t>xtraction yield</w:t>
      </w:r>
      <w:r>
        <w:rPr>
          <w:rFonts w:hint="eastAsia" w:ascii="Times New Roman" w:hAnsi="Times New Roman" w:eastAsia="宋体"/>
          <w:sz w:val="18"/>
          <w:szCs w:val="18"/>
          <w:lang w:val="en-US" w:eastAsia="zh-CN"/>
        </w:rPr>
        <w:t xml:space="preserve"> (%) =</w:t>
      </w:r>
      <w:r>
        <w:rPr>
          <w:rFonts w:ascii="Times New Roman" w:hAnsi="Times New Roman" w:eastAsia="Times-Roman"/>
          <w:sz w:val="18"/>
          <w:szCs w:val="18"/>
        </w:rPr>
        <w:t xml:space="preserve"> (purine content in sample (mg)/sample mass (kg)) × 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48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游明朝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dvGulliv-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E2B38"/>
    <w:rsid w:val="08D61210"/>
    <w:rsid w:val="139E1D43"/>
    <w:rsid w:val="1BC6074C"/>
    <w:rsid w:val="32E86BC3"/>
    <w:rsid w:val="33C764DE"/>
    <w:rsid w:val="387E4D65"/>
    <w:rsid w:val="3C4B6792"/>
    <w:rsid w:val="3FB6301D"/>
    <w:rsid w:val="5F706A3C"/>
    <w:rsid w:val="60AE2B38"/>
    <w:rsid w:val="6A5B21D5"/>
    <w:rsid w:val="77545FA1"/>
    <w:rsid w:val="7E9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游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style01"/>
    <w:basedOn w:val="2"/>
    <w:qFormat/>
    <w:uiPriority w:val="0"/>
    <w:rPr>
      <w:rFonts w:ascii="AdvGulliv-R" w:hAnsi="AdvGulliv-R" w:eastAsia="AdvGulliv-R" w:cs="AdvGulliv-R"/>
      <w:color w:val="000000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2019-01-21T05:27:00Z</dcterms:created>
  <dc:creator>火山</dc:creator>
  <cp:lastModifiedBy>火山</cp:lastModifiedBy>
  <dcterms:modified xsi:type="dcterms:W3CDTF">2019-02-06T13:21:53Z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