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C2E53" w14:textId="77777777" w:rsidR="002E3415" w:rsidRPr="00BB0953" w:rsidRDefault="002E3415" w:rsidP="00BB0953">
      <w:pPr>
        <w:spacing w:after="200" w:line="360" w:lineRule="auto"/>
        <w:rPr>
          <w:rFonts w:ascii="Times New Roman" w:hAnsi="Times New Roman" w:cs="Times New Roman"/>
          <w:b/>
          <w:lang w:val="en-GB"/>
        </w:rPr>
      </w:pPr>
      <w:r w:rsidRPr="00BB0953">
        <w:rPr>
          <w:rFonts w:ascii="Times New Roman" w:hAnsi="Times New Roman" w:cs="Times New Roman"/>
          <w:b/>
          <w:lang w:val="en-GB"/>
        </w:rPr>
        <w:t>Genetic diversity increases with depth in red gorgonian populations of the Mediterranean Sea and the Atlantic Ocean</w:t>
      </w:r>
    </w:p>
    <w:p w14:paraId="23D35F06" w14:textId="0B243E8A" w:rsidR="002E3415" w:rsidRPr="00BB0953" w:rsidRDefault="002E3415" w:rsidP="00BB0953">
      <w:pPr>
        <w:spacing w:line="360" w:lineRule="auto"/>
        <w:rPr>
          <w:rFonts w:ascii="Times New Roman" w:hAnsi="Times New Roman" w:cs="Times New Roman"/>
          <w:lang w:val="pt-PT"/>
        </w:rPr>
      </w:pPr>
      <w:r w:rsidRPr="00BB0953">
        <w:rPr>
          <w:rFonts w:ascii="Times New Roman" w:hAnsi="Times New Roman" w:cs="Times New Roman"/>
          <w:lang w:val="pt-PT"/>
        </w:rPr>
        <w:t>Joanna Pilczynska, Silvia Cocito, Joana R. H. Boavida, Ester A. Serrão, Jorge M. Assis, Eliza Fragkopoulou, Henrique Queiroga</w:t>
      </w:r>
    </w:p>
    <w:p w14:paraId="087FEAD6" w14:textId="2E60B7C9" w:rsidR="002E3415" w:rsidRPr="00BB0953" w:rsidRDefault="002E3415" w:rsidP="00BB0953">
      <w:pPr>
        <w:spacing w:line="360" w:lineRule="auto"/>
        <w:rPr>
          <w:rFonts w:ascii="Times New Roman" w:hAnsi="Times New Roman" w:cs="Times New Roman"/>
          <w:lang w:val="pt-PT"/>
        </w:rPr>
      </w:pPr>
    </w:p>
    <w:p w14:paraId="4F775BA8" w14:textId="77777777" w:rsidR="002E3415" w:rsidRPr="00BB0953" w:rsidRDefault="002E3415" w:rsidP="00BB0953">
      <w:pPr>
        <w:spacing w:line="360" w:lineRule="auto"/>
        <w:rPr>
          <w:rFonts w:ascii="Times New Roman" w:hAnsi="Times New Roman" w:cs="Times New Roman"/>
          <w:lang w:val="pt-PT"/>
        </w:rPr>
      </w:pPr>
    </w:p>
    <w:p w14:paraId="41782135" w14:textId="4F195098" w:rsidR="002E3415" w:rsidRDefault="002E3415" w:rsidP="00BB0953">
      <w:pPr>
        <w:spacing w:line="360" w:lineRule="auto"/>
        <w:rPr>
          <w:rFonts w:ascii="Times New Roman" w:hAnsi="Times New Roman" w:cs="Times New Roman"/>
          <w:lang w:val="en-GB"/>
        </w:rPr>
      </w:pPr>
      <w:r w:rsidRPr="00BB0953">
        <w:rPr>
          <w:rFonts w:ascii="Times New Roman" w:hAnsi="Times New Roman" w:cs="Times New Roman"/>
          <w:b/>
          <w:lang w:val="en-GB"/>
        </w:rPr>
        <w:t>S</w:t>
      </w:r>
      <w:r w:rsidR="00D53503">
        <w:rPr>
          <w:rFonts w:ascii="Times New Roman" w:hAnsi="Times New Roman" w:cs="Times New Roman"/>
          <w:b/>
          <w:lang w:val="en-GB"/>
        </w:rPr>
        <w:t>4</w:t>
      </w:r>
      <w:r w:rsidR="00BB0953">
        <w:rPr>
          <w:rFonts w:ascii="Times New Roman" w:hAnsi="Times New Roman" w:cs="Times New Roman"/>
          <w:b/>
          <w:lang w:val="en-GB"/>
        </w:rPr>
        <w:t>.</w:t>
      </w:r>
      <w:r w:rsidR="005113D6" w:rsidRPr="00BB0953">
        <w:rPr>
          <w:rFonts w:ascii="Times New Roman" w:hAnsi="Times New Roman" w:cs="Times New Roman"/>
          <w:b/>
          <w:lang w:val="en-GB"/>
        </w:rPr>
        <w:t xml:space="preserve"> </w:t>
      </w:r>
      <w:r w:rsidR="00BB0953">
        <w:rPr>
          <w:rFonts w:ascii="Times New Roman" w:hAnsi="Times New Roman" w:cs="Times New Roman"/>
          <w:b/>
          <w:lang w:val="en-GB"/>
        </w:rPr>
        <w:t xml:space="preserve">Comparison of deep and shallow </w:t>
      </w:r>
      <w:r w:rsidR="00216A7B">
        <w:rPr>
          <w:rFonts w:ascii="Times New Roman" w:hAnsi="Times New Roman" w:cs="Times New Roman"/>
          <w:b/>
          <w:lang w:val="en-GB"/>
        </w:rPr>
        <w:t>bottom</w:t>
      </w:r>
      <w:r w:rsidR="00AA68BE" w:rsidRPr="00BB0953">
        <w:rPr>
          <w:rFonts w:ascii="Times New Roman" w:hAnsi="Times New Roman" w:cs="Times New Roman"/>
          <w:b/>
          <w:lang w:val="en-GB"/>
        </w:rPr>
        <w:t xml:space="preserve"> temperatures </w:t>
      </w:r>
      <w:r w:rsidR="00BB0953">
        <w:rPr>
          <w:rFonts w:ascii="Times New Roman" w:hAnsi="Times New Roman" w:cs="Times New Roman"/>
          <w:b/>
          <w:lang w:val="en-GB"/>
        </w:rPr>
        <w:t xml:space="preserve">using </w:t>
      </w:r>
      <w:r w:rsidR="00216A7B">
        <w:rPr>
          <w:rFonts w:ascii="Times New Roman" w:hAnsi="Times New Roman" w:cs="Times New Roman"/>
          <w:b/>
          <w:lang w:val="en-GB"/>
        </w:rPr>
        <w:t>high</w:t>
      </w:r>
      <w:r w:rsidR="00F4021B">
        <w:rPr>
          <w:rFonts w:ascii="Times New Roman" w:hAnsi="Times New Roman" w:cs="Times New Roman"/>
          <w:b/>
          <w:lang w:val="en-GB"/>
        </w:rPr>
        <w:t>-</w:t>
      </w:r>
      <w:r w:rsidR="00216A7B">
        <w:rPr>
          <w:rFonts w:ascii="Times New Roman" w:hAnsi="Times New Roman" w:cs="Times New Roman"/>
          <w:b/>
          <w:lang w:val="en-GB"/>
        </w:rPr>
        <w:t xml:space="preserve">resolution environmental data </w:t>
      </w:r>
      <w:r w:rsidR="00F4021B">
        <w:rPr>
          <w:rFonts w:ascii="Times New Roman" w:hAnsi="Times New Roman" w:cs="Times New Roman"/>
          <w:b/>
          <w:lang w:val="en-GB"/>
        </w:rPr>
        <w:t>on</w:t>
      </w:r>
      <w:r w:rsidR="00216A7B">
        <w:rPr>
          <w:rFonts w:ascii="Times New Roman" w:hAnsi="Times New Roman" w:cs="Times New Roman"/>
          <w:b/>
          <w:lang w:val="en-GB"/>
        </w:rPr>
        <w:t xml:space="preserve"> a </w:t>
      </w:r>
      <w:r w:rsidR="00BB0953">
        <w:rPr>
          <w:rFonts w:ascii="Times New Roman" w:hAnsi="Times New Roman" w:cs="Times New Roman"/>
          <w:b/>
          <w:lang w:val="en-GB"/>
        </w:rPr>
        <w:t xml:space="preserve">daily </w:t>
      </w:r>
      <w:r w:rsidR="00216A7B">
        <w:rPr>
          <w:rFonts w:ascii="Times New Roman" w:hAnsi="Times New Roman" w:cs="Times New Roman"/>
          <w:b/>
          <w:lang w:val="en-GB"/>
        </w:rPr>
        <w:t>basis.</w:t>
      </w:r>
    </w:p>
    <w:p w14:paraId="39DE61C7" w14:textId="1ECE7F62" w:rsidR="00BB0953" w:rsidRDefault="00BB0953" w:rsidP="00BB0953">
      <w:pPr>
        <w:spacing w:line="360" w:lineRule="auto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14:paraId="72F99057" w14:textId="0132FDCB" w:rsidR="00BB0953" w:rsidRPr="00BB0953" w:rsidRDefault="00BB0953" w:rsidP="00BB0953">
      <w:pPr>
        <w:spacing w:line="360" w:lineRule="auto"/>
        <w:rPr>
          <w:rFonts w:ascii="Times New Roman" w:hAnsi="Times New Roman" w:cs="Times New Roman"/>
          <w:b/>
          <w:lang w:val="en-GB"/>
        </w:rPr>
      </w:pPr>
      <w:r w:rsidRPr="00BB0953">
        <w:rPr>
          <w:rFonts w:ascii="Times New Roman" w:hAnsi="Times New Roman" w:cs="Times New Roman"/>
          <w:b/>
          <w:lang w:val="en-GB"/>
        </w:rPr>
        <w:t>Methods</w:t>
      </w:r>
    </w:p>
    <w:p w14:paraId="62AAC349" w14:textId="062345CA" w:rsidR="002730F9" w:rsidRDefault="002730F9" w:rsidP="00BB0953">
      <w:pPr>
        <w:spacing w:line="360" w:lineRule="auto"/>
        <w:rPr>
          <w:rFonts w:ascii="Times New Roman" w:hAnsi="Times New Roman" w:cs="Times New Roman"/>
          <w:lang w:val="en-GB"/>
        </w:rPr>
      </w:pPr>
      <w:r w:rsidRPr="002730F9">
        <w:rPr>
          <w:rFonts w:ascii="Times New Roman" w:hAnsi="Times New Roman" w:cs="Times New Roman"/>
          <w:lang w:val="en-GB"/>
        </w:rPr>
        <w:t xml:space="preserve">To characterize the thermal environment and assess differences between depth levels, information on ocean temperatures was compiled on a daily basis for a 20-year period (1993-2013). </w:t>
      </w:r>
      <w:r w:rsidR="00AA68BE" w:rsidRPr="00BB0953">
        <w:rPr>
          <w:rFonts w:ascii="Times New Roman" w:hAnsi="Times New Roman" w:cs="Times New Roman"/>
          <w:lang w:val="en-GB"/>
        </w:rPr>
        <w:t xml:space="preserve">Surface temperature data derived from </w:t>
      </w:r>
      <w:r w:rsidR="00AA68BE" w:rsidRPr="00BB0953">
        <w:rPr>
          <w:rFonts w:ascii="Times New Roman" w:hAnsi="Times New Roman" w:cs="Times New Roman"/>
        </w:rPr>
        <w:t xml:space="preserve">the Operational Sea Surface Temperature and Sea Ice Analysis, a dataset that combines microwave and infrared satellite </w:t>
      </w:r>
      <w:r w:rsidR="00AA68BE" w:rsidRPr="00BB0953">
        <w:rPr>
          <w:rFonts w:ascii="Times New Roman" w:hAnsi="Times New Roman" w:cs="Times New Roman"/>
          <w:lang w:val="en-GB"/>
        </w:rPr>
        <w:t xml:space="preserve">data with in situ measurements, on a spatial resolution of ~5km (Stark et al., 2011). Temperatures at 20, 30 and 60m depth derived from the Hybrid Coordinate Ocean Model (HYCOM), a product forced by heat flux, wind speed, wind stress and precipitation on a spatial resolution of ~7km. The HYCOM model </w:t>
      </w:r>
      <w:r w:rsidR="002E3415" w:rsidRPr="00BB0953">
        <w:rPr>
          <w:rFonts w:ascii="Times New Roman" w:hAnsi="Times New Roman" w:cs="Times New Roman"/>
          <w:lang w:val="en-GB"/>
        </w:rPr>
        <w:t>can</w:t>
      </w:r>
      <w:r w:rsidR="00AA68BE" w:rsidRPr="00BB0953">
        <w:rPr>
          <w:rFonts w:ascii="Times New Roman" w:hAnsi="Times New Roman" w:cs="Times New Roman"/>
          <w:lang w:val="en-GB"/>
        </w:rPr>
        <w:t xml:space="preserve"> resolve complex oceanic processes such as eddies, meandering currents, filaments and fronts (Chassignet et al., 2007) and accurately predict temperature temporal variation with low averaged bias ranging from 0.2°C to 0.3 °C (Kara et al., 2008; 2010). For each sampling site and depth level, temperature estimates were produced with trilinear interpolation (Assis et al., 2017).</w:t>
      </w:r>
      <w:r>
        <w:rPr>
          <w:rFonts w:ascii="Times New Roman" w:hAnsi="Times New Roman" w:cs="Times New Roman"/>
          <w:lang w:val="en-GB"/>
        </w:rPr>
        <w:t xml:space="preserve"> </w:t>
      </w:r>
    </w:p>
    <w:p w14:paraId="12391194" w14:textId="77777777" w:rsidR="002730F9" w:rsidRDefault="002730F9" w:rsidP="00BB0953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4EC0F423" w14:textId="2CF44BD4" w:rsidR="00AA68BE" w:rsidRPr="00BB0953" w:rsidRDefault="002730F9" w:rsidP="00BB0953">
      <w:pPr>
        <w:spacing w:line="360" w:lineRule="auto"/>
        <w:rPr>
          <w:rFonts w:ascii="Times New Roman" w:hAnsi="Times New Roman" w:cs="Times New Roman"/>
          <w:lang w:val="en-GB"/>
        </w:rPr>
      </w:pPr>
      <w:r w:rsidRPr="002730F9">
        <w:rPr>
          <w:rFonts w:ascii="Times New Roman" w:hAnsi="Times New Roman" w:cs="Times New Roman"/>
          <w:lang w:val="en-GB"/>
        </w:rPr>
        <w:t xml:space="preserve">The number of consecutive days with temperature above 25°C (physiological lethal temperature for </w:t>
      </w:r>
      <w:r w:rsidRPr="002730F9">
        <w:rPr>
          <w:rFonts w:ascii="Times New Roman" w:hAnsi="Times New Roman" w:cs="Times New Roman"/>
          <w:i/>
          <w:lang w:val="en-GB"/>
        </w:rPr>
        <w:t>Paramuricea clavata</w:t>
      </w:r>
      <w:r w:rsidRPr="002730F9">
        <w:rPr>
          <w:rFonts w:ascii="Times New Roman" w:hAnsi="Times New Roman" w:cs="Times New Roman"/>
          <w:lang w:val="en-GB"/>
        </w:rPr>
        <w:t>; Boavida et al., 2016) was determined for the Mediterranean Sea. For the Atlantic Ocean we estimated the number of consecutive days with temperature above 20°C, because water temperature at the Atlantic sites never reached 25°C during the studied period and depths.</w:t>
      </w:r>
    </w:p>
    <w:p w14:paraId="000BF523" w14:textId="19AC0916" w:rsidR="00AA68BE" w:rsidRPr="00BB0953" w:rsidRDefault="00AA68BE" w:rsidP="00BB0953">
      <w:pPr>
        <w:spacing w:line="360" w:lineRule="auto"/>
        <w:rPr>
          <w:rFonts w:ascii="Times New Roman" w:hAnsi="Times New Roman" w:cs="Times New Roman"/>
        </w:rPr>
      </w:pPr>
    </w:p>
    <w:p w14:paraId="363186A7" w14:textId="558EB5AC" w:rsidR="00BB0953" w:rsidRDefault="00263C76" w:rsidP="00BB0953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lang w:val="en-GB"/>
        </w:rPr>
        <w:lastRenderedPageBreak/>
        <w:drawing>
          <wp:inline distT="0" distB="0" distL="0" distR="0" wp14:anchorId="5EDC7D6C" wp14:editId="0EE3A3D6">
            <wp:extent cx="5727700" cy="67303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posite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73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1CC6" w:rsidRPr="00BB0953">
        <w:rPr>
          <w:rFonts w:ascii="Times New Roman" w:hAnsi="Times New Roman" w:cs="Times New Roman"/>
          <w:lang w:val="en-GB"/>
        </w:rPr>
        <w:t xml:space="preserve"> </w:t>
      </w:r>
    </w:p>
    <w:p w14:paraId="77E55087" w14:textId="7FFCBF63" w:rsidR="00321CC6" w:rsidRPr="00BB0953" w:rsidRDefault="00321CC6" w:rsidP="00BB0953">
      <w:pPr>
        <w:spacing w:line="360" w:lineRule="auto"/>
        <w:rPr>
          <w:rFonts w:ascii="Times New Roman" w:hAnsi="Times New Roman" w:cs="Times New Roman"/>
        </w:rPr>
      </w:pPr>
      <w:r w:rsidRPr="00BB0953">
        <w:rPr>
          <w:rFonts w:ascii="Times New Roman" w:hAnsi="Times New Roman" w:cs="Times New Roman"/>
          <w:lang w:val="en-GB"/>
        </w:rPr>
        <w:t>Fig</w:t>
      </w:r>
      <w:r w:rsidR="00BB0953">
        <w:rPr>
          <w:rFonts w:ascii="Times New Roman" w:hAnsi="Times New Roman" w:cs="Times New Roman"/>
          <w:lang w:val="en-GB"/>
        </w:rPr>
        <w:t xml:space="preserve"> </w:t>
      </w:r>
      <w:r w:rsidRPr="00BB0953">
        <w:rPr>
          <w:rFonts w:ascii="Times New Roman" w:hAnsi="Times New Roman" w:cs="Times New Roman"/>
          <w:lang w:val="en-GB"/>
        </w:rPr>
        <w:t>1</w:t>
      </w:r>
      <w:r w:rsidR="00BB0953">
        <w:rPr>
          <w:rFonts w:ascii="Times New Roman" w:hAnsi="Times New Roman" w:cs="Times New Roman"/>
          <w:lang w:val="en-GB"/>
        </w:rPr>
        <w:t>.</w:t>
      </w:r>
      <w:r w:rsidRPr="00BB0953">
        <w:rPr>
          <w:rFonts w:ascii="Times New Roman" w:hAnsi="Times New Roman" w:cs="Times New Roman"/>
          <w:lang w:val="en-GB"/>
        </w:rPr>
        <w:t xml:space="preserve"> Temperature time series at exemplar Mediterranean and Atlantic sites at different depths.</w:t>
      </w:r>
      <w:r w:rsidR="00BB0953" w:rsidRPr="00BB0953">
        <w:rPr>
          <w:rFonts w:ascii="Times New Roman" w:hAnsi="Times New Roman" w:cs="Times New Roman"/>
          <w:lang w:val="en-GB"/>
        </w:rPr>
        <w:t xml:space="preserve"> </w:t>
      </w:r>
      <w:r w:rsidR="00BB0953">
        <w:rPr>
          <w:rFonts w:ascii="Times New Roman" w:hAnsi="Times New Roman" w:cs="Times New Roman"/>
          <w:lang w:val="en-GB"/>
        </w:rPr>
        <w:t>S</w:t>
      </w:r>
      <w:r w:rsidR="00BB0953" w:rsidRPr="00BB0953">
        <w:rPr>
          <w:rFonts w:ascii="Times New Roman" w:hAnsi="Times New Roman" w:cs="Times New Roman"/>
          <w:lang w:val="en-GB"/>
        </w:rPr>
        <w:t xml:space="preserve">urface waters </w:t>
      </w:r>
      <w:r w:rsidR="00BB0953">
        <w:rPr>
          <w:rFonts w:ascii="Times New Roman" w:hAnsi="Times New Roman" w:cs="Times New Roman"/>
          <w:lang w:val="en-GB"/>
        </w:rPr>
        <w:t>are</w:t>
      </w:r>
      <w:r w:rsidR="00BB0953" w:rsidRPr="00BB0953">
        <w:rPr>
          <w:rFonts w:ascii="Times New Roman" w:hAnsi="Times New Roman" w:cs="Times New Roman"/>
          <w:lang w:val="en-GB"/>
        </w:rPr>
        <w:t xml:space="preserve"> warmer </w:t>
      </w:r>
      <w:r w:rsidR="00BB0953">
        <w:rPr>
          <w:rFonts w:ascii="Times New Roman" w:hAnsi="Times New Roman" w:cs="Times New Roman"/>
          <w:lang w:val="en-GB"/>
        </w:rPr>
        <w:t xml:space="preserve">when compared </w:t>
      </w:r>
      <w:r w:rsidR="00BB0953" w:rsidRPr="00BB0953">
        <w:rPr>
          <w:rFonts w:ascii="Times New Roman" w:hAnsi="Times New Roman" w:cs="Times New Roman"/>
          <w:lang w:val="en-GB"/>
        </w:rPr>
        <w:t xml:space="preserve">to deeper </w:t>
      </w:r>
      <w:r w:rsidR="00BB0953">
        <w:rPr>
          <w:rFonts w:ascii="Times New Roman" w:hAnsi="Times New Roman" w:cs="Times New Roman"/>
          <w:lang w:val="en-GB"/>
        </w:rPr>
        <w:t xml:space="preserve">ones, </w:t>
      </w:r>
      <w:r w:rsidR="00BB0953" w:rsidRPr="00BB0953">
        <w:rPr>
          <w:rFonts w:ascii="Times New Roman" w:hAnsi="Times New Roman" w:cs="Times New Roman"/>
          <w:lang w:val="en-GB"/>
        </w:rPr>
        <w:t>and with a wider amplitude of observed temperatures</w:t>
      </w:r>
      <w:r w:rsidR="00BB0953">
        <w:rPr>
          <w:rFonts w:ascii="Times New Roman" w:hAnsi="Times New Roman" w:cs="Times New Roman"/>
          <w:lang w:val="en-GB"/>
        </w:rPr>
        <w:t xml:space="preserve"> (</w:t>
      </w:r>
      <w:r w:rsidR="00BB0953" w:rsidRPr="00BB0953">
        <w:rPr>
          <w:rFonts w:ascii="Times New Roman" w:hAnsi="Times New Roman" w:cs="Times New Roman"/>
          <w:lang w:val="en-GB"/>
        </w:rPr>
        <w:t>deeper waters tend to be more stable</w:t>
      </w:r>
      <w:r w:rsidR="00BB0953">
        <w:rPr>
          <w:rFonts w:ascii="Times New Roman" w:hAnsi="Times New Roman" w:cs="Times New Roman"/>
          <w:lang w:val="en-GB"/>
        </w:rPr>
        <w:t>)</w:t>
      </w:r>
      <w:r w:rsidR="00BB0953" w:rsidRPr="00BB0953">
        <w:rPr>
          <w:rFonts w:ascii="Times New Roman" w:hAnsi="Times New Roman" w:cs="Times New Roman"/>
          <w:lang w:val="en-GB"/>
        </w:rPr>
        <w:t>. The Mediterranean Sea has higher maximum values both in shallow and deep</w:t>
      </w:r>
      <w:r w:rsidR="00BB0953">
        <w:rPr>
          <w:rFonts w:ascii="Times New Roman" w:hAnsi="Times New Roman" w:cs="Times New Roman"/>
          <w:lang w:val="en-GB"/>
        </w:rPr>
        <w:t>er</w:t>
      </w:r>
      <w:r w:rsidR="00BB0953" w:rsidRPr="00BB0953">
        <w:rPr>
          <w:rFonts w:ascii="Times New Roman" w:hAnsi="Times New Roman" w:cs="Times New Roman"/>
          <w:lang w:val="en-GB"/>
        </w:rPr>
        <w:t xml:space="preserve"> waters when compared to the Atlantic</w:t>
      </w:r>
      <w:r w:rsidR="00BB0953">
        <w:rPr>
          <w:rFonts w:ascii="Times New Roman" w:hAnsi="Times New Roman" w:cs="Times New Roman"/>
          <w:lang w:val="en-GB"/>
        </w:rPr>
        <w:t>.</w:t>
      </w:r>
    </w:p>
    <w:p w14:paraId="433F4B2C" w14:textId="68585EF6" w:rsidR="00AA68BE" w:rsidRPr="00BB0953" w:rsidRDefault="00AA68BE">
      <w:pPr>
        <w:rPr>
          <w:rFonts w:ascii="Times New Roman" w:hAnsi="Times New Roman" w:cs="Times New Roman"/>
        </w:rPr>
      </w:pPr>
    </w:p>
    <w:p w14:paraId="630F9D50" w14:textId="7325248F" w:rsidR="00AA68BE" w:rsidRPr="00BB0953" w:rsidRDefault="00263C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2F870D7" wp14:editId="5B01BF64">
            <wp:extent cx="5727700" cy="72821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osit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28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66708" w14:textId="4F0437DD" w:rsidR="00AA68BE" w:rsidRPr="00BB0953" w:rsidRDefault="002E3415" w:rsidP="00BB0953">
      <w:pPr>
        <w:spacing w:line="360" w:lineRule="auto"/>
        <w:rPr>
          <w:rFonts w:ascii="Times New Roman" w:hAnsi="Times New Roman" w:cs="Times New Roman"/>
          <w:lang w:val="en-GB"/>
        </w:rPr>
      </w:pPr>
      <w:r w:rsidRPr="00BB0953">
        <w:rPr>
          <w:rFonts w:ascii="Times New Roman" w:hAnsi="Times New Roman" w:cs="Times New Roman"/>
          <w:lang w:val="en-GB"/>
        </w:rPr>
        <w:t>Fig</w:t>
      </w:r>
      <w:r w:rsidR="003D2658">
        <w:rPr>
          <w:rFonts w:ascii="Times New Roman" w:hAnsi="Times New Roman" w:cs="Times New Roman"/>
          <w:lang w:val="en-GB"/>
        </w:rPr>
        <w:t xml:space="preserve"> </w:t>
      </w:r>
      <w:r w:rsidR="00824BB1">
        <w:rPr>
          <w:rFonts w:ascii="Times New Roman" w:hAnsi="Times New Roman" w:cs="Times New Roman"/>
          <w:lang w:val="en-GB"/>
        </w:rPr>
        <w:t>2</w:t>
      </w:r>
      <w:r w:rsidR="00AA68BE" w:rsidRPr="00BB0953">
        <w:rPr>
          <w:rFonts w:ascii="Times New Roman" w:hAnsi="Times New Roman" w:cs="Times New Roman"/>
          <w:lang w:val="en-GB"/>
        </w:rPr>
        <w:t>. Number of consecutive days with temperatures above 25</w:t>
      </w:r>
      <w:r w:rsidR="00AA68BE" w:rsidRPr="00BB0953">
        <w:rPr>
          <w:rFonts w:ascii="Times New Roman" w:hAnsi="Times New Roman" w:cs="Times New Roman"/>
          <w:lang w:val="en-GB"/>
        </w:rPr>
        <w:sym w:font="Symbol" w:char="F0B0"/>
      </w:r>
      <w:r w:rsidR="00AA68BE" w:rsidRPr="00BB0953">
        <w:rPr>
          <w:rFonts w:ascii="Times New Roman" w:hAnsi="Times New Roman" w:cs="Times New Roman"/>
          <w:lang w:val="en-GB"/>
        </w:rPr>
        <w:t xml:space="preserve">C in </w:t>
      </w:r>
      <w:r w:rsidR="005113D6" w:rsidRPr="00BB0953">
        <w:rPr>
          <w:rFonts w:ascii="Times New Roman" w:hAnsi="Times New Roman" w:cs="Times New Roman"/>
          <w:lang w:val="en-GB"/>
        </w:rPr>
        <w:t>exemplar</w:t>
      </w:r>
      <w:r w:rsidR="00AA68BE" w:rsidRPr="00BB0953">
        <w:rPr>
          <w:rFonts w:ascii="Times New Roman" w:hAnsi="Times New Roman" w:cs="Times New Roman"/>
          <w:lang w:val="en-GB"/>
        </w:rPr>
        <w:t xml:space="preserve"> Mediterranean sites (top panel) and above 20</w:t>
      </w:r>
      <w:r w:rsidR="00AA68BE" w:rsidRPr="00BB0953">
        <w:rPr>
          <w:rFonts w:ascii="Times New Roman" w:hAnsi="Times New Roman" w:cs="Times New Roman"/>
          <w:lang w:val="en-GB"/>
        </w:rPr>
        <w:sym w:font="Symbol" w:char="F0B0"/>
      </w:r>
      <w:r w:rsidR="00AA68BE" w:rsidRPr="00BB0953">
        <w:rPr>
          <w:rFonts w:ascii="Times New Roman" w:hAnsi="Times New Roman" w:cs="Times New Roman"/>
          <w:lang w:val="en-GB"/>
        </w:rPr>
        <w:t>C in Atlantic sites (lower panel).</w:t>
      </w:r>
      <w:r w:rsidR="00455AD2">
        <w:rPr>
          <w:rFonts w:ascii="Times New Roman" w:hAnsi="Times New Roman" w:cs="Times New Roman"/>
          <w:lang w:val="en-GB"/>
        </w:rPr>
        <w:t xml:space="preserve"> Surface and 30m deep temperatures are depicted by a continuous and </w:t>
      </w:r>
      <w:r w:rsidR="007A0F12">
        <w:rPr>
          <w:rFonts w:ascii="Times New Roman" w:hAnsi="Times New Roman" w:cs="Times New Roman"/>
          <w:lang w:val="en-GB"/>
        </w:rPr>
        <w:t xml:space="preserve">a </w:t>
      </w:r>
      <w:r w:rsidR="00455AD2">
        <w:rPr>
          <w:rFonts w:ascii="Times New Roman" w:hAnsi="Times New Roman" w:cs="Times New Roman"/>
          <w:lang w:val="en-GB"/>
        </w:rPr>
        <w:t xml:space="preserve">dashed line, respectively. </w:t>
      </w:r>
    </w:p>
    <w:p w14:paraId="670DF9F8" w14:textId="0D7F93B7" w:rsidR="00AA68BE" w:rsidRPr="00BB0953" w:rsidRDefault="00AA68BE">
      <w:pPr>
        <w:rPr>
          <w:rFonts w:ascii="Times New Roman" w:hAnsi="Times New Roman" w:cs="Times New Roman"/>
        </w:rPr>
      </w:pPr>
    </w:p>
    <w:p w14:paraId="72527D5D" w14:textId="1E472CE2" w:rsidR="00627FFA" w:rsidRDefault="00627FFA">
      <w:pPr>
        <w:rPr>
          <w:rFonts w:ascii="Times New Roman" w:hAnsi="Times New Roman" w:cs="Times New Roman"/>
        </w:rPr>
      </w:pPr>
    </w:p>
    <w:p w14:paraId="2B918D94" w14:textId="09F13871" w:rsidR="00BB0953" w:rsidRDefault="00BB0953">
      <w:pPr>
        <w:rPr>
          <w:rFonts w:ascii="Times New Roman" w:hAnsi="Times New Roman" w:cs="Times New Roman"/>
        </w:rPr>
      </w:pPr>
    </w:p>
    <w:p w14:paraId="060EFA15" w14:textId="079C9F7F" w:rsidR="00BB0953" w:rsidRDefault="00BB0953">
      <w:pPr>
        <w:rPr>
          <w:rFonts w:ascii="Times New Roman" w:hAnsi="Times New Roman" w:cs="Times New Roman"/>
        </w:rPr>
      </w:pPr>
    </w:p>
    <w:p w14:paraId="1E9F7087" w14:textId="77777777" w:rsidR="00BB0953" w:rsidRPr="00BB0953" w:rsidRDefault="00BB0953">
      <w:pPr>
        <w:rPr>
          <w:rFonts w:ascii="Times New Roman" w:hAnsi="Times New Roman" w:cs="Times New Roman"/>
        </w:rPr>
      </w:pPr>
    </w:p>
    <w:p w14:paraId="5C69DE8D" w14:textId="65ACB705" w:rsidR="002804D1" w:rsidRPr="00BB0953" w:rsidRDefault="002804D1" w:rsidP="00BB0953">
      <w:pPr>
        <w:spacing w:line="360" w:lineRule="auto"/>
        <w:jc w:val="both"/>
        <w:rPr>
          <w:rFonts w:ascii="Times New Roman" w:hAnsi="Times New Roman" w:cs="Times New Roman"/>
        </w:rPr>
      </w:pPr>
      <w:r w:rsidRPr="00BB0953">
        <w:rPr>
          <w:rFonts w:ascii="Times New Roman" w:hAnsi="Times New Roman" w:cs="Times New Roman"/>
        </w:rPr>
        <w:t xml:space="preserve">Table 1. Mean and range of temperatures for </w:t>
      </w:r>
      <w:r w:rsidR="00220AD4" w:rsidRPr="00BB0953">
        <w:rPr>
          <w:rFonts w:ascii="Times New Roman" w:hAnsi="Times New Roman" w:cs="Times New Roman"/>
        </w:rPr>
        <w:t>exemplar</w:t>
      </w:r>
      <w:r w:rsidRPr="00BB0953">
        <w:rPr>
          <w:rFonts w:ascii="Times New Roman" w:hAnsi="Times New Roman" w:cs="Times New Roman"/>
        </w:rPr>
        <w:t xml:space="preserve"> site</w:t>
      </w:r>
      <w:r w:rsidR="00220AD4" w:rsidRPr="00BB0953">
        <w:rPr>
          <w:rFonts w:ascii="Times New Roman" w:hAnsi="Times New Roman" w:cs="Times New Roman"/>
        </w:rPr>
        <w:t>s</w:t>
      </w:r>
      <w:r w:rsidRPr="00BB0953">
        <w:rPr>
          <w:rFonts w:ascii="Times New Roman" w:hAnsi="Times New Roman" w:cs="Times New Roman"/>
        </w:rPr>
        <w:t xml:space="preserve"> and depth level</w:t>
      </w:r>
      <w:r w:rsidR="00220AD4" w:rsidRPr="00BB0953">
        <w:rPr>
          <w:rFonts w:ascii="Times New Roman" w:hAnsi="Times New Roman" w:cs="Times New Roman"/>
        </w:rPr>
        <w:t>s</w:t>
      </w:r>
      <w:r w:rsidRPr="00BB0953">
        <w:rPr>
          <w:rFonts w:ascii="Times New Roman" w:hAnsi="Times New Roman" w:cs="Times New Roman"/>
        </w:rPr>
        <w:t xml:space="preserve"> (period 1993-2003). 60m and 30m represent the maximum sampling depth in the Atlantic and Mediterranean, respectively.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250"/>
        <w:gridCol w:w="684"/>
        <w:gridCol w:w="685"/>
        <w:gridCol w:w="684"/>
        <w:gridCol w:w="685"/>
        <w:gridCol w:w="684"/>
        <w:gridCol w:w="685"/>
        <w:gridCol w:w="684"/>
        <w:gridCol w:w="685"/>
        <w:gridCol w:w="684"/>
        <w:gridCol w:w="685"/>
        <w:gridCol w:w="684"/>
        <w:gridCol w:w="685"/>
      </w:tblGrid>
      <w:tr w:rsidR="002804D1" w:rsidRPr="00BB0953" w14:paraId="790F4977" w14:textId="77777777" w:rsidTr="00566CD4">
        <w:trPr>
          <w:trHeight w:val="298"/>
        </w:trPr>
        <w:tc>
          <w:tcPr>
            <w:tcW w:w="125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48BAAF3" w14:textId="77777777" w:rsidR="002804D1" w:rsidRPr="00BB0953" w:rsidRDefault="002804D1" w:rsidP="00566CD4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Site</w:t>
            </w:r>
          </w:p>
        </w:tc>
        <w:tc>
          <w:tcPr>
            <w:tcW w:w="2738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D2A2369" w14:textId="77777777" w:rsidR="002804D1" w:rsidRPr="00BB0953" w:rsidRDefault="002804D1" w:rsidP="00566CD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surface</w:t>
            </w:r>
          </w:p>
        </w:tc>
        <w:tc>
          <w:tcPr>
            <w:tcW w:w="2738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349D6C01" w14:textId="77777777" w:rsidR="002804D1" w:rsidRPr="00BB0953" w:rsidRDefault="002804D1" w:rsidP="00566CD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20m</w:t>
            </w:r>
          </w:p>
        </w:tc>
        <w:tc>
          <w:tcPr>
            <w:tcW w:w="2738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16453BAE" w14:textId="77777777" w:rsidR="002804D1" w:rsidRPr="00BB0953" w:rsidRDefault="002804D1" w:rsidP="00566CD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60m; 30m</w:t>
            </w:r>
          </w:p>
        </w:tc>
      </w:tr>
      <w:tr w:rsidR="002804D1" w:rsidRPr="00BB0953" w14:paraId="45FF4050" w14:textId="77777777" w:rsidTr="00566CD4">
        <w:trPr>
          <w:trHeight w:val="321"/>
        </w:trPr>
        <w:tc>
          <w:tcPr>
            <w:tcW w:w="1250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825077" w14:textId="77777777" w:rsidR="002804D1" w:rsidRPr="00BB0953" w:rsidRDefault="002804D1" w:rsidP="00566CD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455D758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min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C333D4E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max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4C3E095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mean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8B88B8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SD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08FDD1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min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FE283E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max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5AD352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mean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69FA36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SD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8B0A22F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min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4AEA99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max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16BD6E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mean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6E1A9A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SD</w:t>
            </w:r>
          </w:p>
        </w:tc>
      </w:tr>
      <w:tr w:rsidR="002804D1" w:rsidRPr="00BB0953" w14:paraId="000A8A38" w14:textId="77777777" w:rsidTr="00566CD4">
        <w:trPr>
          <w:trHeight w:val="414"/>
        </w:trPr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2A01" w14:textId="77777777" w:rsidR="002804D1" w:rsidRPr="00BB0953" w:rsidRDefault="002804D1" w:rsidP="00566CD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Berlengas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6C9C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12.78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8D71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21.66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E9B0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16.39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E345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1.91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C236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12.56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33B5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19.98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9964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15.74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8E16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1.38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A608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11.89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31B0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19.18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E9EE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14.82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23C1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1.17</w:t>
            </w:r>
          </w:p>
        </w:tc>
      </w:tr>
      <w:tr w:rsidR="002804D1" w:rsidRPr="00BB0953" w14:paraId="3DAB663E" w14:textId="77777777" w:rsidTr="00566CD4">
        <w:trPr>
          <w:trHeight w:val="414"/>
        </w:trPr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2F65376C" w14:textId="46B1FF4B" w:rsidR="002804D1" w:rsidRPr="00BB0953" w:rsidRDefault="00336B58" w:rsidP="00566CD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Espichel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590C0319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13.17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3CDFCDE5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21.74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70EA8EAC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16.72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71705D6F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1.72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7EBD5C63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13.46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418E45EA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20.51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0A1CF6E8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16.08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1438CE0B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1.29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62453278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12.51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13AE0175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19.79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157AB382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15.33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1F453914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1.15</w:t>
            </w:r>
          </w:p>
        </w:tc>
      </w:tr>
      <w:tr w:rsidR="002804D1" w:rsidRPr="00BB0953" w14:paraId="706CAA5A" w14:textId="77777777" w:rsidTr="00566CD4">
        <w:trPr>
          <w:trHeight w:val="414"/>
        </w:trPr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737E3847" w14:textId="77777777" w:rsidR="002804D1" w:rsidRPr="00BB0953" w:rsidRDefault="002804D1" w:rsidP="00566CD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Sines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4C42013D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13.26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1B366E55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21.87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12337F4F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16.86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5CA7B7AA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1.76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293DD6EA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12.89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446AA6E6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20.29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4A91A1DE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15.92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4FFB9318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1.26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0146EA92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12.35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18A19744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19.94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0A34D656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15.47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280F5CED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1.17</w:t>
            </w:r>
          </w:p>
        </w:tc>
      </w:tr>
      <w:tr w:rsidR="002804D1" w:rsidRPr="00BB0953" w14:paraId="1E31713C" w14:textId="77777777" w:rsidTr="00566CD4">
        <w:trPr>
          <w:trHeight w:val="414"/>
        </w:trPr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13D03460" w14:textId="77777777" w:rsidR="002804D1" w:rsidRPr="00BB0953" w:rsidRDefault="002804D1" w:rsidP="00566CD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Sagres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3575F183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13.55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08BEEFA2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22.89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1FFBC071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17.46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1812776F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1.91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177CA2A3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13.05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2377FB5E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21.76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4CF308CF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16.47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22A5C7DD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1.50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4CF13AE2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12.91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5D6CC285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20.59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306F6107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15.64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3BEA14EC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1.17</w:t>
            </w:r>
          </w:p>
        </w:tc>
      </w:tr>
      <w:tr w:rsidR="002804D1" w:rsidRPr="00BB0953" w14:paraId="6DF864C4" w14:textId="77777777" w:rsidTr="00566CD4">
        <w:trPr>
          <w:trHeight w:val="414"/>
        </w:trPr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69D1D9EB" w14:textId="77777777" w:rsidR="002804D1" w:rsidRPr="00BB0953" w:rsidRDefault="002804D1" w:rsidP="00566CD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Punta Mesco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32A20562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11.83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0CB5417E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28.03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209E3DCA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18.41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71B53F01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4.38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513EF449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12.28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772E7626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24.85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4C7783A5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17.23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200223E4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3.13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0D27983B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12.27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4307BDF7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22.51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1B0F7EDB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16.50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3C824E08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2.45</w:t>
            </w:r>
          </w:p>
        </w:tc>
      </w:tr>
      <w:tr w:rsidR="002804D1" w:rsidRPr="00BB0953" w14:paraId="5F03BBA3" w14:textId="77777777" w:rsidTr="00566CD4">
        <w:trPr>
          <w:trHeight w:val="414"/>
        </w:trPr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6D3EA790" w14:textId="77777777" w:rsidR="002804D1" w:rsidRPr="00BB0953" w:rsidRDefault="002804D1" w:rsidP="00566CD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La Spezia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17AF42F7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11.51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39A8B6C0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27.89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1877C65C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18.40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46016C65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4.42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3FA848A4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10.93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35F78F46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26.50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75404625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17.70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3DCFF1DA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3.83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6D7E0E23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10.90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17F13BAB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23.44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1C8AD8C7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16.72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15AB12FA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2.84</w:t>
            </w:r>
          </w:p>
        </w:tc>
      </w:tr>
      <w:tr w:rsidR="002804D1" w:rsidRPr="00BB0953" w14:paraId="596C9428" w14:textId="77777777" w:rsidTr="00566CD4">
        <w:trPr>
          <w:trHeight w:val="414"/>
        </w:trPr>
        <w:tc>
          <w:tcPr>
            <w:tcW w:w="12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424C9C" w14:textId="77777777" w:rsidR="002804D1" w:rsidRPr="00BB0953" w:rsidRDefault="002804D1" w:rsidP="00566CD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Livorno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81C1D4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11.82</w:t>
            </w:r>
          </w:p>
        </w:tc>
        <w:tc>
          <w:tcPr>
            <w:tcW w:w="68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F5D4F6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27.84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F786E9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18.45</w:t>
            </w:r>
          </w:p>
        </w:tc>
        <w:tc>
          <w:tcPr>
            <w:tcW w:w="68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FF4C33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4.36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1AF2CE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11.12</w:t>
            </w:r>
          </w:p>
        </w:tc>
        <w:tc>
          <w:tcPr>
            <w:tcW w:w="68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19E1A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26.79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7B406A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17.55</w:t>
            </w:r>
          </w:p>
        </w:tc>
        <w:tc>
          <w:tcPr>
            <w:tcW w:w="68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62C460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3.52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14749C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11.18</w:t>
            </w:r>
          </w:p>
        </w:tc>
        <w:tc>
          <w:tcPr>
            <w:tcW w:w="68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CA676D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25.46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EEA9E0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17.32</w:t>
            </w:r>
          </w:p>
        </w:tc>
        <w:tc>
          <w:tcPr>
            <w:tcW w:w="68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F7B1CC" w14:textId="77777777" w:rsidR="002804D1" w:rsidRPr="00BB0953" w:rsidRDefault="002804D1" w:rsidP="00566C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B095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3.32</w:t>
            </w:r>
          </w:p>
        </w:tc>
      </w:tr>
    </w:tbl>
    <w:p w14:paraId="77DBD151" w14:textId="46FA1619" w:rsidR="00BB0953" w:rsidRPr="00BB0953" w:rsidRDefault="00BB0953" w:rsidP="002804D1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2E98B9" w14:textId="026F1517" w:rsidR="00BB0953" w:rsidRPr="00BB0953" w:rsidRDefault="00BB0953" w:rsidP="007D189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0953">
        <w:rPr>
          <w:rFonts w:ascii="Times New Roman" w:hAnsi="Times New Roman" w:cs="Times New Roman"/>
          <w:sz w:val="20"/>
          <w:szCs w:val="20"/>
        </w:rPr>
        <w:t>For two decades (1993-2013), temperatures were higher in the Mediterranean Sea compared to the Atlantic Ocean. Mediterranean Sea temperature ranged from 12 to 28</w:t>
      </w:r>
      <w:r>
        <w:rPr>
          <w:rFonts w:ascii="Times New Roman" w:hAnsi="Times New Roman" w:cs="Times New Roman"/>
          <w:sz w:val="20"/>
          <w:szCs w:val="20"/>
        </w:rPr>
        <w:t>º</w:t>
      </w:r>
      <w:r w:rsidRPr="00BB0953">
        <w:rPr>
          <w:rFonts w:ascii="Times New Roman" w:hAnsi="Times New Roman" w:cs="Times New Roman"/>
          <w:sz w:val="20"/>
          <w:szCs w:val="20"/>
        </w:rPr>
        <w:t>C in shallow and from 11 to 25</w:t>
      </w:r>
      <w:r>
        <w:rPr>
          <w:rFonts w:ascii="Times New Roman" w:hAnsi="Times New Roman" w:cs="Times New Roman"/>
          <w:sz w:val="20"/>
          <w:szCs w:val="20"/>
        </w:rPr>
        <w:t>º</w:t>
      </w:r>
      <w:r w:rsidRPr="00BB0953">
        <w:rPr>
          <w:rFonts w:ascii="Times New Roman" w:hAnsi="Times New Roman" w:cs="Times New Roman"/>
          <w:sz w:val="20"/>
          <w:szCs w:val="20"/>
        </w:rPr>
        <w:t>C in deep sites, frequently reaching over 25</w:t>
      </w:r>
      <w:r>
        <w:rPr>
          <w:rFonts w:ascii="Times New Roman" w:hAnsi="Times New Roman" w:cs="Times New Roman"/>
          <w:sz w:val="20"/>
          <w:szCs w:val="20"/>
        </w:rPr>
        <w:t>º</w:t>
      </w:r>
      <w:r w:rsidRPr="00BB0953">
        <w:rPr>
          <w:rFonts w:ascii="Times New Roman" w:hAnsi="Times New Roman" w:cs="Times New Roman"/>
          <w:sz w:val="20"/>
          <w:szCs w:val="20"/>
        </w:rPr>
        <w:t>C for approximately 25 days per year in the shallow waters (Fig. 3; Table S1; Fig. S2). In the Atlantic Ocean, sea temperature ranged from 13 to 23</w:t>
      </w:r>
      <w:r>
        <w:rPr>
          <w:rFonts w:ascii="Times New Roman" w:hAnsi="Times New Roman" w:cs="Times New Roman"/>
          <w:sz w:val="20"/>
          <w:szCs w:val="20"/>
        </w:rPr>
        <w:t>º</w:t>
      </w:r>
      <w:r w:rsidRPr="00BB0953">
        <w:rPr>
          <w:rFonts w:ascii="Times New Roman" w:hAnsi="Times New Roman" w:cs="Times New Roman"/>
          <w:sz w:val="20"/>
          <w:szCs w:val="20"/>
        </w:rPr>
        <w:t>C in shallow and 12 to 21</w:t>
      </w:r>
      <w:r>
        <w:rPr>
          <w:rFonts w:ascii="Times New Roman" w:hAnsi="Times New Roman" w:cs="Times New Roman"/>
          <w:sz w:val="20"/>
          <w:szCs w:val="20"/>
        </w:rPr>
        <w:t>º</w:t>
      </w:r>
      <w:r w:rsidRPr="00BB0953">
        <w:rPr>
          <w:rFonts w:ascii="Times New Roman" w:hAnsi="Times New Roman" w:cs="Times New Roman"/>
          <w:sz w:val="20"/>
          <w:szCs w:val="20"/>
        </w:rPr>
        <w:t>C in deep sites, reaching over 20</w:t>
      </w:r>
      <w:r>
        <w:rPr>
          <w:rFonts w:ascii="Times New Roman" w:hAnsi="Times New Roman" w:cs="Times New Roman"/>
          <w:sz w:val="20"/>
          <w:szCs w:val="20"/>
        </w:rPr>
        <w:t>º</w:t>
      </w:r>
      <w:r w:rsidRPr="00BB0953">
        <w:rPr>
          <w:rFonts w:ascii="Times New Roman" w:hAnsi="Times New Roman" w:cs="Times New Roman"/>
          <w:sz w:val="20"/>
          <w:szCs w:val="20"/>
        </w:rPr>
        <w:t>C for approximately 25 to 50 consecutive days in shallow waters, during especially warm summers (Fig. 3; Table S1; Fig. S2).</w:t>
      </w:r>
    </w:p>
    <w:p w14:paraId="3DABFA57" w14:textId="77777777" w:rsidR="002804D1" w:rsidRPr="00BB0953" w:rsidRDefault="002804D1" w:rsidP="007D189C">
      <w:pPr>
        <w:spacing w:line="360" w:lineRule="auto"/>
        <w:rPr>
          <w:rFonts w:ascii="Times New Roman" w:hAnsi="Times New Roman" w:cs="Times New Roman"/>
        </w:rPr>
      </w:pPr>
    </w:p>
    <w:p w14:paraId="691505BD" w14:textId="0CC7EA53" w:rsidR="007D189C" w:rsidRPr="007D189C" w:rsidRDefault="00AA68BE" w:rsidP="007D189C">
      <w:pPr>
        <w:spacing w:line="360" w:lineRule="auto"/>
        <w:rPr>
          <w:rFonts w:ascii="Times New Roman" w:hAnsi="Times New Roman" w:cs="Times New Roman"/>
          <w:b/>
        </w:rPr>
      </w:pPr>
      <w:r w:rsidRPr="007D189C">
        <w:rPr>
          <w:rFonts w:ascii="Times New Roman" w:hAnsi="Times New Roman" w:cs="Times New Roman"/>
          <w:b/>
        </w:rPr>
        <w:t>References</w:t>
      </w:r>
    </w:p>
    <w:p w14:paraId="454D6367" w14:textId="06D4B337" w:rsidR="00AA68BE" w:rsidRPr="00336B58" w:rsidRDefault="00AA68BE" w:rsidP="007D189C">
      <w:pPr>
        <w:spacing w:after="200" w:line="360" w:lineRule="auto"/>
        <w:rPr>
          <w:rFonts w:ascii="Times New Roman" w:hAnsi="Times New Roman" w:cs="Times New Roman"/>
          <w:shd w:val="clear" w:color="auto" w:fill="FFFFFF"/>
          <w:lang w:val="pt-PT"/>
        </w:rPr>
      </w:pPr>
      <w:r w:rsidRPr="00BB0953">
        <w:rPr>
          <w:rFonts w:ascii="Times New Roman" w:hAnsi="Times New Roman" w:cs="Times New Roman"/>
          <w:shd w:val="clear" w:color="auto" w:fill="FFFFFF"/>
          <w:lang w:val="en-GB"/>
        </w:rPr>
        <w:t xml:space="preserve">Assis J, Tyberghein L, Bosch S, Verbruggen H, Serrão EA, De Clerck O. (2017). Bio-ORACLE v2.0: Extending marine data layers for bioclimatic modelling. </w:t>
      </w:r>
      <w:r w:rsidRPr="00336B58">
        <w:rPr>
          <w:rFonts w:ascii="Times New Roman" w:hAnsi="Times New Roman" w:cs="Times New Roman"/>
          <w:i/>
          <w:shd w:val="clear" w:color="auto" w:fill="FFFFFF"/>
          <w:lang w:val="pt-PT"/>
        </w:rPr>
        <w:t>Global Ecology and Biogeography</w:t>
      </w:r>
      <w:r w:rsidRPr="00336B58">
        <w:rPr>
          <w:rFonts w:ascii="Times New Roman" w:hAnsi="Times New Roman" w:cs="Times New Roman"/>
          <w:shd w:val="clear" w:color="auto" w:fill="FFFFFF"/>
          <w:lang w:val="pt-PT"/>
        </w:rPr>
        <w:t>, 27, 277–284.</w:t>
      </w:r>
    </w:p>
    <w:p w14:paraId="28EBED4B" w14:textId="79D873E8" w:rsidR="004F07DB" w:rsidRPr="00BB0953" w:rsidRDefault="004F07DB" w:rsidP="007D189C">
      <w:pPr>
        <w:spacing w:after="200" w:line="360" w:lineRule="auto"/>
        <w:rPr>
          <w:rFonts w:ascii="Times New Roman" w:hAnsi="Times New Roman" w:cs="Times New Roman"/>
          <w:shd w:val="clear" w:color="auto" w:fill="FFFFFF"/>
          <w:lang w:val="en-GB"/>
        </w:rPr>
      </w:pPr>
      <w:r w:rsidRPr="004F07DB">
        <w:rPr>
          <w:rFonts w:ascii="Courier New" w:hAnsi="Courier New" w:cs="Courier New"/>
          <w:shd w:val="clear" w:color="auto" w:fill="FFFFFF"/>
          <w:lang w:val="en-GB"/>
        </w:rPr>
        <w:t>﻿</w:t>
      </w:r>
      <w:r w:rsidRPr="00336B58">
        <w:rPr>
          <w:rFonts w:ascii="Times New Roman" w:hAnsi="Times New Roman" w:cs="Times New Roman"/>
          <w:shd w:val="clear" w:color="auto" w:fill="FFFFFF"/>
          <w:lang w:val="pt-PT"/>
        </w:rPr>
        <w:t xml:space="preserve">Boavida, J., Assis, J., Silva, I., &amp; Serrão, E. A. (2016). </w:t>
      </w:r>
      <w:r w:rsidRPr="004F07DB">
        <w:rPr>
          <w:rFonts w:ascii="Times New Roman" w:hAnsi="Times New Roman" w:cs="Times New Roman"/>
          <w:shd w:val="clear" w:color="auto" w:fill="FFFFFF"/>
          <w:lang w:val="en-GB"/>
        </w:rPr>
        <w:t>Overlooked habitat of a vulnerable gorgonian revealed in the Mediterranean and Eastern Atlantic by ecological niche modelling. Scientific Reports, 6(October), 36460.</w:t>
      </w:r>
    </w:p>
    <w:p w14:paraId="3B6AAF3B" w14:textId="77777777" w:rsidR="00AA68BE" w:rsidRPr="00BB0953" w:rsidRDefault="00AA68BE" w:rsidP="007D189C">
      <w:pPr>
        <w:spacing w:after="200" w:line="360" w:lineRule="auto"/>
        <w:rPr>
          <w:rFonts w:ascii="Times New Roman" w:hAnsi="Times New Roman" w:cs="Times New Roman"/>
          <w:shd w:val="clear" w:color="auto" w:fill="FFFFFF"/>
          <w:lang w:val="en-GB"/>
        </w:rPr>
      </w:pPr>
      <w:r w:rsidRPr="00BB0953">
        <w:rPr>
          <w:rFonts w:ascii="Times New Roman" w:hAnsi="Times New Roman" w:cs="Times New Roman"/>
          <w:shd w:val="clear" w:color="auto" w:fill="FFFFFF"/>
          <w:lang w:val="en-GB"/>
        </w:rPr>
        <w:t>Chassignet EP, Hurlburt HE, Smedstad OM, Halliwell GR, Hogan PJ, Wallcraft AJ, Baraille R, Bleck R. (2007). The HYCOM (hybrid coordinate ocean model) data assimilative system.</w:t>
      </w:r>
      <w:r w:rsidRPr="00BB0953">
        <w:rPr>
          <w:rStyle w:val="apple-converted-space"/>
          <w:rFonts w:ascii="Times New Roman" w:hAnsi="Times New Roman" w:cs="Times New Roman"/>
          <w:shd w:val="clear" w:color="auto" w:fill="FFFFFF"/>
          <w:lang w:val="en-GB"/>
        </w:rPr>
        <w:t> </w:t>
      </w:r>
      <w:r w:rsidRPr="00BB0953">
        <w:rPr>
          <w:rFonts w:ascii="Times New Roman" w:hAnsi="Times New Roman" w:cs="Times New Roman"/>
          <w:i/>
          <w:iCs/>
          <w:shd w:val="clear" w:color="auto" w:fill="FFFFFF"/>
          <w:lang w:val="en-GB"/>
        </w:rPr>
        <w:t>Journal of Marine Systems</w:t>
      </w:r>
      <w:r w:rsidRPr="00BB0953">
        <w:rPr>
          <w:rFonts w:ascii="Times New Roman" w:hAnsi="Times New Roman" w:cs="Times New Roman"/>
          <w:iCs/>
          <w:shd w:val="clear" w:color="auto" w:fill="FFFFFF"/>
          <w:lang w:val="en-GB"/>
        </w:rPr>
        <w:t>,</w:t>
      </w:r>
      <w:r w:rsidRPr="00BB0953">
        <w:rPr>
          <w:rStyle w:val="apple-converted-space"/>
          <w:rFonts w:ascii="Times New Roman" w:hAnsi="Times New Roman" w:cs="Times New Roman"/>
          <w:shd w:val="clear" w:color="auto" w:fill="FFFFFF"/>
          <w:lang w:val="en-GB"/>
        </w:rPr>
        <w:t> </w:t>
      </w:r>
      <w:r w:rsidRPr="00BB0953">
        <w:rPr>
          <w:rFonts w:ascii="Times New Roman" w:hAnsi="Times New Roman" w:cs="Times New Roman"/>
          <w:iCs/>
          <w:shd w:val="clear" w:color="auto" w:fill="FFFFFF"/>
          <w:lang w:val="en-GB"/>
        </w:rPr>
        <w:t>65</w:t>
      </w:r>
      <w:r w:rsidRPr="00BB0953">
        <w:rPr>
          <w:rFonts w:ascii="Times New Roman" w:hAnsi="Times New Roman" w:cs="Times New Roman"/>
          <w:shd w:val="clear" w:color="auto" w:fill="FFFFFF"/>
          <w:lang w:val="en-GB"/>
        </w:rPr>
        <w:t>, 60-83.</w:t>
      </w:r>
    </w:p>
    <w:p w14:paraId="3B718D59" w14:textId="77777777" w:rsidR="00AA68BE" w:rsidRPr="00BB0953" w:rsidRDefault="00AA68BE" w:rsidP="007D189C">
      <w:pPr>
        <w:spacing w:after="200" w:line="360" w:lineRule="auto"/>
        <w:rPr>
          <w:rFonts w:ascii="Times New Roman" w:hAnsi="Times New Roman" w:cs="Times New Roman"/>
          <w:shd w:val="clear" w:color="auto" w:fill="FFFFFF"/>
          <w:lang w:val="en-GB"/>
        </w:rPr>
      </w:pPr>
      <w:r w:rsidRPr="00BB0953">
        <w:rPr>
          <w:rFonts w:ascii="Times New Roman" w:hAnsi="Times New Roman" w:cs="Times New Roman"/>
          <w:shd w:val="clear" w:color="auto" w:fill="FFFFFF"/>
          <w:lang w:val="en-GB"/>
        </w:rPr>
        <w:t xml:space="preserve">Kara AB, Metzger EJ, Hurlburt HE, Wallcraft AJ, Chassignet EP. (2008). Multistatistics metric evaluation of ocean general circulation model sea surface temperature: Application to </w:t>
      </w:r>
      <w:r w:rsidRPr="00BB0953">
        <w:rPr>
          <w:rFonts w:ascii="Times New Roman" w:hAnsi="Times New Roman" w:cs="Times New Roman"/>
          <w:shd w:val="clear" w:color="auto" w:fill="FFFFFF"/>
          <w:lang w:val="en-GB"/>
        </w:rPr>
        <w:lastRenderedPageBreak/>
        <w:t>0.08 Pacific Hybrid Coordinate Ocean Model simulations.</w:t>
      </w:r>
      <w:r w:rsidRPr="00BB0953">
        <w:rPr>
          <w:rStyle w:val="apple-converted-space"/>
          <w:rFonts w:ascii="Times New Roman" w:hAnsi="Times New Roman" w:cs="Times New Roman"/>
          <w:shd w:val="clear" w:color="auto" w:fill="FFFFFF"/>
          <w:lang w:val="en-GB"/>
        </w:rPr>
        <w:t> </w:t>
      </w:r>
      <w:r w:rsidRPr="00BB0953">
        <w:rPr>
          <w:rFonts w:ascii="Times New Roman" w:hAnsi="Times New Roman" w:cs="Times New Roman"/>
          <w:i/>
          <w:iCs/>
          <w:shd w:val="clear" w:color="auto" w:fill="FFFFFF"/>
          <w:lang w:val="en-GB"/>
        </w:rPr>
        <w:t>Journal of Geophysical  Research: Oceans</w:t>
      </w:r>
      <w:r w:rsidRPr="00BB0953">
        <w:rPr>
          <w:rFonts w:ascii="Times New Roman" w:hAnsi="Times New Roman" w:cs="Times New Roman"/>
          <w:iCs/>
          <w:shd w:val="clear" w:color="auto" w:fill="FFFFFF"/>
          <w:lang w:val="en-GB"/>
        </w:rPr>
        <w:t>,</w:t>
      </w:r>
      <w:r w:rsidRPr="00BB0953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r w:rsidRPr="00BB0953">
        <w:rPr>
          <w:rFonts w:ascii="Times New Roman" w:hAnsi="Times New Roman" w:cs="Times New Roman"/>
          <w:iCs/>
          <w:shd w:val="clear" w:color="auto" w:fill="FFFFFF"/>
          <w:lang w:val="en-GB"/>
        </w:rPr>
        <w:t>113</w:t>
      </w:r>
      <w:r w:rsidRPr="00BB0953">
        <w:rPr>
          <w:rFonts w:ascii="Times New Roman" w:hAnsi="Times New Roman" w:cs="Times New Roman"/>
          <w:shd w:val="clear" w:color="auto" w:fill="FFFFFF"/>
          <w:lang w:val="en-GB"/>
        </w:rPr>
        <w:t>.</w:t>
      </w:r>
    </w:p>
    <w:p w14:paraId="0E4852B2" w14:textId="77777777" w:rsidR="00AA68BE" w:rsidRPr="00BB0953" w:rsidRDefault="00AA68BE" w:rsidP="007D189C">
      <w:pPr>
        <w:spacing w:after="200" w:line="360" w:lineRule="auto"/>
        <w:rPr>
          <w:rFonts w:ascii="Times New Roman" w:hAnsi="Times New Roman" w:cs="Times New Roman"/>
          <w:lang w:val="en-GB"/>
        </w:rPr>
      </w:pPr>
      <w:r w:rsidRPr="00BB0953">
        <w:rPr>
          <w:rFonts w:ascii="Times New Roman" w:hAnsi="Times New Roman" w:cs="Times New Roman"/>
          <w:shd w:val="clear" w:color="auto" w:fill="FFFFFF"/>
          <w:lang w:val="en-GB"/>
        </w:rPr>
        <w:t>Kara AB, Hurlburt HE, Barron CN, Wallcraft AJ, Metzger EJ. (2010). Can an atmospherically forced ocean model accurately simulate sea surface temperature during ENSO events?</w:t>
      </w:r>
      <w:r w:rsidRPr="00BB0953">
        <w:rPr>
          <w:rStyle w:val="apple-converted-space"/>
          <w:rFonts w:ascii="Times New Roman" w:hAnsi="Times New Roman" w:cs="Times New Roman"/>
          <w:shd w:val="clear" w:color="auto" w:fill="FFFFFF"/>
          <w:lang w:val="en-GB"/>
        </w:rPr>
        <w:t> </w:t>
      </w:r>
      <w:r w:rsidRPr="00BB0953">
        <w:rPr>
          <w:rFonts w:ascii="Times New Roman" w:hAnsi="Times New Roman" w:cs="Times New Roman"/>
          <w:i/>
          <w:iCs/>
          <w:shd w:val="clear" w:color="auto" w:fill="FFFFFF"/>
          <w:lang w:val="en-GB"/>
        </w:rPr>
        <w:t>Tellus A</w:t>
      </w:r>
      <w:r w:rsidRPr="00BB0953">
        <w:rPr>
          <w:rFonts w:ascii="Times New Roman" w:hAnsi="Times New Roman" w:cs="Times New Roman"/>
          <w:iCs/>
          <w:shd w:val="clear" w:color="auto" w:fill="FFFFFF"/>
          <w:lang w:val="en-GB"/>
        </w:rPr>
        <w:t>,</w:t>
      </w:r>
      <w:r w:rsidRPr="00BB0953">
        <w:rPr>
          <w:rStyle w:val="apple-converted-space"/>
          <w:rFonts w:ascii="Times New Roman" w:hAnsi="Times New Roman" w:cs="Times New Roman"/>
          <w:shd w:val="clear" w:color="auto" w:fill="FFFFFF"/>
          <w:lang w:val="en-GB"/>
        </w:rPr>
        <w:t> </w:t>
      </w:r>
      <w:r w:rsidRPr="00BB0953">
        <w:rPr>
          <w:rFonts w:ascii="Times New Roman" w:hAnsi="Times New Roman" w:cs="Times New Roman"/>
          <w:iCs/>
          <w:shd w:val="clear" w:color="auto" w:fill="FFFFFF"/>
          <w:lang w:val="en-GB"/>
        </w:rPr>
        <w:t>62</w:t>
      </w:r>
      <w:r w:rsidRPr="00BB0953">
        <w:rPr>
          <w:rFonts w:ascii="Times New Roman" w:hAnsi="Times New Roman" w:cs="Times New Roman"/>
          <w:shd w:val="clear" w:color="auto" w:fill="FFFFFF"/>
          <w:lang w:val="en-GB"/>
        </w:rPr>
        <w:t>, 48-61.</w:t>
      </w:r>
    </w:p>
    <w:p w14:paraId="220F7021" w14:textId="39B09FFD" w:rsidR="00AA68BE" w:rsidRPr="007C0A32" w:rsidRDefault="00AA68BE" w:rsidP="007C0A32">
      <w:pPr>
        <w:spacing w:after="200" w:line="360" w:lineRule="auto"/>
        <w:rPr>
          <w:rFonts w:ascii="Times New Roman" w:hAnsi="Times New Roman" w:cs="Times New Roman"/>
          <w:lang w:val="en-GB"/>
        </w:rPr>
      </w:pPr>
      <w:r w:rsidRPr="00BB0953">
        <w:rPr>
          <w:rFonts w:ascii="Times New Roman" w:hAnsi="Times New Roman" w:cs="Times New Roman"/>
          <w:shd w:val="clear" w:color="auto" w:fill="FFFFFF"/>
          <w:lang w:val="en-GB"/>
        </w:rPr>
        <w:t>Stark C, Breitkreutz BJ, Chatr-Aryamontri A, Boucher L, Oughtred R, Livstone MS, et al. (2011). The BioGRID interaction database: 2011 update.</w:t>
      </w:r>
      <w:r w:rsidRPr="00BB0953">
        <w:rPr>
          <w:rStyle w:val="apple-converted-space"/>
          <w:rFonts w:ascii="Times New Roman" w:hAnsi="Times New Roman" w:cs="Times New Roman"/>
          <w:shd w:val="clear" w:color="auto" w:fill="FFFFFF"/>
          <w:lang w:val="en-GB"/>
        </w:rPr>
        <w:t> </w:t>
      </w:r>
      <w:r w:rsidRPr="00BB0953">
        <w:rPr>
          <w:rFonts w:ascii="Times New Roman" w:hAnsi="Times New Roman" w:cs="Times New Roman"/>
          <w:i/>
          <w:iCs/>
          <w:shd w:val="clear" w:color="auto" w:fill="FFFFFF"/>
          <w:lang w:val="en-GB"/>
        </w:rPr>
        <w:t>Nucleic Acids Research</w:t>
      </w:r>
      <w:r w:rsidRPr="00BB0953">
        <w:rPr>
          <w:rFonts w:ascii="Times New Roman" w:hAnsi="Times New Roman" w:cs="Times New Roman"/>
          <w:iCs/>
          <w:shd w:val="clear" w:color="auto" w:fill="FFFFFF"/>
          <w:lang w:val="en-GB"/>
        </w:rPr>
        <w:t>,</w:t>
      </w:r>
      <w:r w:rsidRPr="00BB0953">
        <w:rPr>
          <w:rStyle w:val="apple-converted-space"/>
          <w:rFonts w:ascii="Times New Roman" w:hAnsi="Times New Roman" w:cs="Times New Roman"/>
          <w:shd w:val="clear" w:color="auto" w:fill="FFFFFF"/>
          <w:lang w:val="en-GB"/>
        </w:rPr>
        <w:t> </w:t>
      </w:r>
      <w:r w:rsidRPr="00BB0953">
        <w:rPr>
          <w:rFonts w:ascii="Times New Roman" w:hAnsi="Times New Roman" w:cs="Times New Roman"/>
          <w:iCs/>
          <w:shd w:val="clear" w:color="auto" w:fill="FFFFFF"/>
          <w:lang w:val="en-GB"/>
        </w:rPr>
        <w:t>39</w:t>
      </w:r>
      <w:r w:rsidRPr="00BB0953">
        <w:rPr>
          <w:rFonts w:ascii="Times New Roman" w:hAnsi="Times New Roman" w:cs="Times New Roman"/>
          <w:shd w:val="clear" w:color="auto" w:fill="FFFFFF"/>
          <w:lang w:val="en-GB"/>
        </w:rPr>
        <w:t>, 698-704.</w:t>
      </w:r>
    </w:p>
    <w:sectPr w:rsidR="00AA68BE" w:rsidRPr="007C0A32" w:rsidSect="006520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B1"/>
    <w:rsid w:val="000A6AC8"/>
    <w:rsid w:val="00216A7B"/>
    <w:rsid w:val="00220AD4"/>
    <w:rsid w:val="00225119"/>
    <w:rsid w:val="00263C76"/>
    <w:rsid w:val="002730F9"/>
    <w:rsid w:val="002804D1"/>
    <w:rsid w:val="002E3415"/>
    <w:rsid w:val="00321CC6"/>
    <w:rsid w:val="00336B58"/>
    <w:rsid w:val="003D2658"/>
    <w:rsid w:val="00455AD2"/>
    <w:rsid w:val="004F07DB"/>
    <w:rsid w:val="005113D6"/>
    <w:rsid w:val="00627FFA"/>
    <w:rsid w:val="00652030"/>
    <w:rsid w:val="0067103A"/>
    <w:rsid w:val="007A0F12"/>
    <w:rsid w:val="007B0121"/>
    <w:rsid w:val="007C0A32"/>
    <w:rsid w:val="007D189C"/>
    <w:rsid w:val="00824BB1"/>
    <w:rsid w:val="009A4DB1"/>
    <w:rsid w:val="00AA68BE"/>
    <w:rsid w:val="00BB0953"/>
    <w:rsid w:val="00BF2F76"/>
    <w:rsid w:val="00D53503"/>
    <w:rsid w:val="00F4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F11342"/>
  <w15:chartTrackingRefBased/>
  <w15:docId w15:val="{36C62E10-60CC-6C47-9CBD-C95D49D4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6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Fragkopoulou</dc:creator>
  <cp:keywords/>
  <dc:description/>
  <cp:lastModifiedBy>Eliza Fragkopoulou</cp:lastModifiedBy>
  <cp:revision>22</cp:revision>
  <dcterms:created xsi:type="dcterms:W3CDTF">2019-01-10T11:47:00Z</dcterms:created>
  <dcterms:modified xsi:type="dcterms:W3CDTF">2019-02-04T15:51:00Z</dcterms:modified>
</cp:coreProperties>
</file>