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E4" w:rsidRPr="0057354C" w:rsidRDefault="00D30DE4" w:rsidP="00770CAE">
      <w:pPr>
        <w:widowControl/>
        <w:adjustRightInd w:val="0"/>
        <w:snapToGrid w:val="0"/>
        <w:jc w:val="left"/>
        <w:rPr>
          <w:rFonts w:ascii="Times" w:hAnsi="Times" w:cs="Times"/>
          <w:b/>
          <w:sz w:val="22"/>
          <w:szCs w:val="24"/>
        </w:rPr>
      </w:pPr>
      <w:bookmarkStart w:id="0" w:name="_GoBack"/>
      <w:bookmarkEnd w:id="0"/>
    </w:p>
    <w:tbl>
      <w:tblPr>
        <w:tblW w:w="4943" w:type="pct"/>
        <w:tblLayout w:type="fixed"/>
        <w:tblLook w:val="04A0" w:firstRow="1" w:lastRow="0" w:firstColumn="1" w:lastColumn="0" w:noHBand="0" w:noVBand="1"/>
      </w:tblPr>
      <w:tblGrid>
        <w:gridCol w:w="1413"/>
        <w:gridCol w:w="1062"/>
        <w:gridCol w:w="743"/>
        <w:gridCol w:w="1278"/>
        <w:gridCol w:w="1496"/>
        <w:gridCol w:w="1883"/>
        <w:gridCol w:w="1656"/>
        <w:gridCol w:w="4481"/>
      </w:tblGrid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30DE4" w:rsidRPr="0057354C" w:rsidRDefault="00D30DE4" w:rsidP="00FD28FB">
            <w:pPr>
              <w:adjustRightInd w:val="0"/>
              <w:snapToGrid w:val="0"/>
              <w:rPr>
                <w:rFonts w:ascii="Times" w:eastAsia="宋体" w:hAnsi="Times" w:cs="Times"/>
                <w:b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b/>
                <w:iCs/>
                <w:kern w:val="0"/>
                <w:sz w:val="20"/>
                <w:szCs w:val="20"/>
              </w:rPr>
              <w:t>Category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0DE4" w:rsidRPr="0057354C" w:rsidRDefault="00D30DE4" w:rsidP="00FD28FB">
            <w:pPr>
              <w:widowControl/>
              <w:adjustRightInd w:val="0"/>
              <w:snapToGrid w:val="0"/>
              <w:rPr>
                <w:rFonts w:ascii="Times" w:eastAsia="宋体" w:hAnsi="Times" w:cs="Times"/>
                <w:b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b/>
                <w:iCs/>
                <w:kern w:val="0"/>
                <w:sz w:val="20"/>
                <w:szCs w:val="20"/>
              </w:rPr>
              <w:t>Gene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0DE4" w:rsidRPr="0057354C" w:rsidRDefault="00D30DE4" w:rsidP="00FD28FB">
            <w:pPr>
              <w:widowControl/>
              <w:adjustRightInd w:val="0"/>
              <w:snapToGrid w:val="0"/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  <w:t>Sites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30DE4" w:rsidRPr="0057354C" w:rsidRDefault="00D30DE4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  <w:t>Site models (M8)</w:t>
            </w:r>
            <w:r w:rsidRPr="0057354C">
              <w:rPr>
                <w:rFonts w:ascii="Times" w:eastAsia="宋体" w:hAnsi="Times" w:cs="Times"/>
                <w:b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DE4" w:rsidRPr="0057354C" w:rsidRDefault="00D30DE4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  <w:t>Datamonkey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DE4" w:rsidRPr="0057354C" w:rsidRDefault="00D30DE4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  <w:t>TreeSAAP properties</w:t>
            </w:r>
            <w:r w:rsidRPr="0057354C">
              <w:rPr>
                <w:rFonts w:ascii="Times" w:eastAsia="宋体" w:hAnsi="Times" w:cs="Times"/>
                <w:b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30DE4" w:rsidRPr="0057354C" w:rsidRDefault="00D30DE4" w:rsidP="00FD28FB">
            <w:pPr>
              <w:widowControl/>
              <w:adjustRightInd w:val="0"/>
              <w:snapToGrid w:val="0"/>
              <w:rPr>
                <w:rFonts w:ascii="Times" w:eastAsia="宋体" w:hAnsi="Times" w:cs="Times"/>
                <w:b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D30DE4" w:rsidRPr="0057354C" w:rsidRDefault="00D30DE4" w:rsidP="00FD28FB">
            <w:pPr>
              <w:widowControl/>
              <w:adjustRightInd w:val="0"/>
              <w:snapToGrid w:val="0"/>
              <w:rPr>
                <w:rFonts w:ascii="Times" w:eastAsia="宋体" w:hAnsi="Times" w:cs="Times"/>
                <w:b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D30DE4" w:rsidRPr="0057354C" w:rsidRDefault="00D30DE4" w:rsidP="00FD28FB">
            <w:pPr>
              <w:widowControl/>
              <w:adjustRightInd w:val="0"/>
              <w:snapToGrid w:val="0"/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0DE4" w:rsidRPr="0057354C" w:rsidRDefault="00D30DE4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0DE4" w:rsidRPr="0057354C" w:rsidRDefault="00D30DE4" w:rsidP="00FD28FB">
            <w:pPr>
              <w:widowControl/>
              <w:adjustRightInd w:val="0"/>
              <w:snapToGrid w:val="0"/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  <w:t>FEL (</w:t>
            </w:r>
            <w:r w:rsidRPr="0057354C">
              <w:rPr>
                <w:rFonts w:ascii="Times" w:eastAsia="宋体" w:hAnsi="Times" w:cs="Times"/>
                <w:b/>
                <w:i/>
                <w:kern w:val="0"/>
                <w:sz w:val="20"/>
                <w:szCs w:val="20"/>
              </w:rPr>
              <w:t>P</w:t>
            </w:r>
            <w:r w:rsidRPr="0057354C"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  <w:t xml:space="preserve"> &lt; 0.2)</w:t>
            </w:r>
            <w:r w:rsidRPr="0057354C">
              <w:rPr>
                <w:rFonts w:ascii="Times" w:eastAsia="宋体" w:hAnsi="Times" w:cs="Times"/>
                <w:b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0DE4" w:rsidRPr="0057354C" w:rsidRDefault="00D30DE4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  <w:t>FUBAR (</w:t>
            </w:r>
            <w:r w:rsidRPr="0057354C">
              <w:rPr>
                <w:rFonts w:ascii="Times" w:eastAsia="宋体" w:hAnsi="Times" w:cs="Times"/>
                <w:b/>
                <w:i/>
                <w:kern w:val="0"/>
                <w:sz w:val="20"/>
                <w:szCs w:val="20"/>
              </w:rPr>
              <w:t>PP</w:t>
            </w:r>
            <w:r w:rsidRPr="0057354C"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  <w:t xml:space="preserve"> &gt; 0.8)</w:t>
            </w:r>
            <w:r w:rsidRPr="0057354C">
              <w:rPr>
                <w:rFonts w:ascii="Times" w:eastAsia="宋体" w:hAnsi="Times" w:cs="Times"/>
                <w:b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0DE4" w:rsidRPr="0057354C" w:rsidRDefault="00D30DE4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  <w:t>REL (BF &gt; 50)</w:t>
            </w:r>
            <w:r w:rsidRPr="0057354C">
              <w:rPr>
                <w:rFonts w:ascii="Times" w:eastAsia="宋体" w:hAnsi="Times" w:cs="Times"/>
                <w:b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0DE4" w:rsidRPr="0057354C" w:rsidRDefault="00D30DE4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b/>
                <w:kern w:val="0"/>
                <w:sz w:val="20"/>
                <w:szCs w:val="20"/>
              </w:rPr>
              <w:t>Radical changes in AA properties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  <w:t>Carbohydrases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  <w:t>hepatic</w:t>
            </w: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 xml:space="preserve"> amy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436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222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162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70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µ Br El F Ns RF Ra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148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91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Bl F Pβ P Ra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162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174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224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281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74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367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αm Br El F RF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369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113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477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El Esm F Ht Ns RF Ra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481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Bl Br El F Hp Ns Pβ P Pc Pr RF Ra p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174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508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77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Pβ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  <w:t>pancreatic</w:t>
            </w: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 xml:space="preserve"> amy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70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201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Br F Ht P RF p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117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92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91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239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281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Pc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362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124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RF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367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280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µ Bl Ca Esm F Hnc Mv Mw Pβ P Pc Ra V0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454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209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F p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455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583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Pβ Pr RF p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325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281" w:rsidRPr="0057354C" w:rsidRDefault="00982281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 w:val="restart"/>
            <w:tcBorders>
              <w:top w:val="nil"/>
              <w:left w:val="nil"/>
              <w:right w:val="nil"/>
            </w:tcBorders>
          </w:tcPr>
          <w:p w:rsidR="00B553A3" w:rsidRPr="0057354C" w:rsidRDefault="00B553A3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  <w:t>Lipases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cyp7a1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8616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F Hp P RF Ra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553A3" w:rsidRPr="0057354C" w:rsidRDefault="00B553A3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552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6128F6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Pα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204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F RF h p pHi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40071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αm Pc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128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62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162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89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Br F Pα P Pc RF Ra h p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318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726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Et Hnc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321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146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Pα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327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60492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F Hp P RF Ra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335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264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337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121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F Pα P Pc RF Ra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358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265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392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119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Et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424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58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Pr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468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1382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Pα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559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Pα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pnlip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301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Ht Ns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233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383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F Hnc Ht RF V0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377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K0 p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1112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El Ht K0 Ns P Pc Ra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147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P RF Ra h p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604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K0 Ns p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2e+05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Bl Br El Et F Hp Ht Ns Pβ P Pc Pr RF Ra h p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73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99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Ns Pβ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75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7543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Ht K0 Pβ Pc p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76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602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Bl Ca Esm F Pβ Pc V0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79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17644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αm El Esm F Ht K0 Mv Mw Ns Pβ Pr RF V0 p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124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140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300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155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166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El F RF p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184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Et Hnc Ns h p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359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El Ht Ns P Pc Ra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224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72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Bl Br Ht Ns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237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544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αm αn F Hp Ht K0 Ns P Pc Ra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250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4679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Br El F Hnc Hp Ns Pβ Pr RF Ra h p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256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89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Pc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308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El Ns Pβ P Pc h p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231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312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141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Bl Ca Esm F Ns RF V0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318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140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αm Br Ca F Hnc K0 RF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335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431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Ht Ns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336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1310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340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125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Et F Ns h p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353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Ht K0 Pc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366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187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370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55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381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22261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Pc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390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1884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Ns Pβ Ra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391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1800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408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65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Ns Pβ h p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158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424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97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µ Br Ca El Esm Et F Hnc Ht Pβ RF Ra V0 p pHi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425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67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bottom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454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134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 w:val="restart"/>
            <w:tcBorders>
              <w:top w:val="nil"/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  <w:t>Proteases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pgb1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280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Br El Et F Hp Ns Pr RF Ra c h p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101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53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µ αc Bl Ca F Ht P Pc RF Ra V0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143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791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Ca Esm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213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510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Et F Ns h p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216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7179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F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220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F Ns Pc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234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31322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259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1061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αn Bl Br El Et F Hp K0 Ns P Pc Pr RF Ra h p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269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96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Et K0 Pc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279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Ns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284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105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αm Ca Esm RF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296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0.02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0.94</w:t>
            </w: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342</w:t>
            </w:r>
          </w:p>
        </w:tc>
        <w:tc>
          <w:tcPr>
            <w:tcW w:w="15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Et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pgb2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0.12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100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>Bl F P Ra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31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91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>µ Bl Br Et F Ns P Ra h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37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120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>Bl Br El F Hp Ns P RF Ra p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86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132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>Pα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183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>αc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57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>αc Ns Pα RF p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>F p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116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99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>µ Mw V0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160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152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174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4534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>Pα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179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129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212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0.20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>αc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222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119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>Br Ht Ns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231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251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232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426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>Ns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262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668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>Pα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284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0.16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50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293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0.13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103</w:t>
            </w:r>
          </w:p>
        </w:tc>
        <w:tc>
          <w:tcPr>
            <w:tcW w:w="15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>Pα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312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0.01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0.97</w:t>
            </w: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sz w:val="20"/>
                <w:szCs w:val="20"/>
              </w:rPr>
            </w:pPr>
            <w:r w:rsidRPr="0057354C">
              <w:rPr>
                <w:rFonts w:ascii="Times" w:hAnsi="Times" w:cs="Times"/>
                <w:sz w:val="20"/>
                <w:szCs w:val="20"/>
              </w:rPr>
              <w:t>66</w:t>
            </w:r>
          </w:p>
        </w:tc>
        <w:tc>
          <w:tcPr>
            <w:tcW w:w="15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53A3" w:rsidRPr="0057354C" w:rsidRDefault="00B553A3" w:rsidP="00FD28FB">
            <w:pPr>
              <w:adjustRightInd w:val="0"/>
              <w:snapToGrid w:val="0"/>
              <w:jc w:val="left"/>
              <w:rPr>
                <w:rFonts w:ascii="Times" w:eastAsia="宋体" w:hAnsi="Times" w:cs="Times"/>
                <w:i/>
                <w:sz w:val="20"/>
                <w:szCs w:val="20"/>
              </w:rPr>
            </w:pPr>
            <w:r w:rsidRPr="0057354C">
              <w:rPr>
                <w:rFonts w:ascii="Times" w:hAnsi="Times" w:cs="Times"/>
                <w:i/>
                <w:sz w:val="20"/>
                <w:szCs w:val="20"/>
              </w:rPr>
              <w:t xml:space="preserve">Br Ht Ns pK' 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 w:val="restart"/>
            <w:tcBorders>
              <w:top w:val="nil"/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  <w:t>Chitinase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chia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220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397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Ns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3608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439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0.05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0.98</w:t>
            </w: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Br F RF p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 w:val="restart"/>
            <w:tcBorders>
              <w:top w:val="nil"/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  <w:t>Lysozymes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lyz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0.20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211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Et F RF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313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Et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673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Et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60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µ Esm Et F Hnc Mv V0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206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Esm RF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109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128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94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137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670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lygA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Pα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85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Pα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865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F K0 Pα Ra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538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Ht Pα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837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F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1e+26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 Bl F Hp Pα P Ra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Esm Et RF h p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125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114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Ca Esm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131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3e+07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Br Esm Et RF h p pHi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137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260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Pα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lygB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208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F Pβ Pr RF Ra h p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1779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116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αc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67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86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El F Hp Pβ RF Ra p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12404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El Et F Hp Ns RF Ra h p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Et F Ns p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9189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Pα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110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242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128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93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Pα Pβ P Pc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129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86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Pα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132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451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lygC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1.00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c 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F Ht Ns RF Ra h pK'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0.19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pHi</w:t>
            </w:r>
          </w:p>
        </w:tc>
      </w:tr>
      <w:tr w:rsidR="0057354C" w:rsidRPr="0057354C" w:rsidTr="00F703F4">
        <w:trPr>
          <w:cantSplit/>
          <w:trHeight w:hRule="exact" w:val="227"/>
        </w:trPr>
        <w:tc>
          <w:tcPr>
            <w:tcW w:w="50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Cs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103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kern w:val="0"/>
                <w:sz w:val="20"/>
                <w:szCs w:val="20"/>
              </w:rPr>
              <w:t>0.91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3A3" w:rsidRPr="0057354C" w:rsidRDefault="00B553A3" w:rsidP="00FD28FB">
            <w:pPr>
              <w:widowControl/>
              <w:adjustRightInd w:val="0"/>
              <w:snapToGrid w:val="0"/>
              <w:jc w:val="left"/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</w:pPr>
            <w:r w:rsidRPr="0057354C">
              <w:rPr>
                <w:rFonts w:ascii="Times" w:eastAsia="宋体" w:hAnsi="Times" w:cs="Times"/>
                <w:i/>
                <w:iCs/>
                <w:kern w:val="0"/>
                <w:sz w:val="20"/>
                <w:szCs w:val="20"/>
              </w:rPr>
              <w:t>pHi</w:t>
            </w:r>
          </w:p>
        </w:tc>
      </w:tr>
    </w:tbl>
    <w:p w:rsidR="00D30DE4" w:rsidRPr="0057354C" w:rsidRDefault="00D30DE4" w:rsidP="00770CAE">
      <w:pPr>
        <w:adjustRightInd w:val="0"/>
        <w:snapToGrid w:val="0"/>
        <w:jc w:val="left"/>
        <w:rPr>
          <w:rFonts w:ascii="Times" w:hAnsi="Times" w:cs="Times"/>
          <w:sz w:val="20"/>
        </w:rPr>
      </w:pPr>
      <w:proofErr w:type="gramStart"/>
      <w:r w:rsidRPr="0057354C">
        <w:rPr>
          <w:rFonts w:ascii="Times" w:hAnsi="Times" w:cs="Times"/>
          <w:sz w:val="20"/>
          <w:vertAlign w:val="superscript"/>
        </w:rPr>
        <w:t>a</w:t>
      </w:r>
      <w:proofErr w:type="gramEnd"/>
      <w:r w:rsidRPr="0057354C">
        <w:rPr>
          <w:rFonts w:ascii="Times" w:hAnsi="Times" w:cs="Times"/>
          <w:sz w:val="20"/>
        </w:rPr>
        <w:t xml:space="preserve"> Codons identified as under positive selection, along with Bayesian (BEB) analysis PPs &gt; 0.9 under M8 models.</w:t>
      </w:r>
    </w:p>
    <w:p w:rsidR="00D30DE4" w:rsidRPr="0057354C" w:rsidRDefault="00D30DE4" w:rsidP="00770CAE">
      <w:pPr>
        <w:adjustRightInd w:val="0"/>
        <w:snapToGrid w:val="0"/>
        <w:ind w:left="100" w:hangingChars="50" w:hanging="100"/>
        <w:jc w:val="left"/>
        <w:rPr>
          <w:rFonts w:ascii="Times" w:hAnsi="Times" w:cs="Times"/>
          <w:sz w:val="20"/>
        </w:rPr>
      </w:pPr>
      <w:proofErr w:type="gramStart"/>
      <w:r w:rsidRPr="0057354C">
        <w:rPr>
          <w:rFonts w:ascii="Times" w:hAnsi="Times" w:cs="Times"/>
          <w:sz w:val="20"/>
          <w:vertAlign w:val="superscript"/>
        </w:rPr>
        <w:t>b</w:t>
      </w:r>
      <w:proofErr w:type="gramEnd"/>
      <w:r w:rsidRPr="0057354C">
        <w:rPr>
          <w:rFonts w:ascii="Times" w:hAnsi="Times" w:cs="Times"/>
          <w:sz w:val="20"/>
        </w:rPr>
        <w:t xml:space="preserve"> Codons estimated by three methods in Datamonkey. Sites were filtered with a significance level &lt; 0.2 for fixed-effect likelihood (FEL), posterior probability &gt; 0.8 for fast unconstrained Bayesian approximation (FUBAR), or Bayes factor &gt; 50 for random-effect likelihood (REL).</w:t>
      </w:r>
    </w:p>
    <w:p w:rsidR="00D30DE4" w:rsidRPr="0057354C" w:rsidRDefault="00D30DE4" w:rsidP="00770CAE">
      <w:pPr>
        <w:adjustRightInd w:val="0"/>
        <w:snapToGrid w:val="0"/>
        <w:ind w:left="100" w:hangingChars="50" w:hanging="100"/>
        <w:jc w:val="left"/>
        <w:rPr>
          <w:rFonts w:ascii="Times" w:hAnsi="Times" w:cs="Times"/>
          <w:sz w:val="20"/>
        </w:rPr>
      </w:pPr>
      <w:proofErr w:type="gramStart"/>
      <w:r w:rsidRPr="0057354C">
        <w:rPr>
          <w:rFonts w:ascii="Times" w:hAnsi="Times" w:cs="Times"/>
          <w:sz w:val="20"/>
          <w:vertAlign w:val="superscript"/>
        </w:rPr>
        <w:t>c</w:t>
      </w:r>
      <w:proofErr w:type="gramEnd"/>
      <w:r w:rsidRPr="0057354C">
        <w:rPr>
          <w:rFonts w:ascii="Times" w:hAnsi="Times" w:cs="Times"/>
          <w:sz w:val="20"/>
        </w:rPr>
        <w:t xml:space="preserve"> Codons with radical changes in amino acid properties under categories 6-8 estimated by TreeSAAP. Thirty-one physicochemical amino acid properties were as follows: α-helical tendencies (</w:t>
      </w:r>
      <w:r w:rsidRPr="0057354C">
        <w:rPr>
          <w:rFonts w:ascii="Times" w:hAnsi="Times" w:cs="Times"/>
          <w:b/>
          <w:i/>
          <w:sz w:val="20"/>
        </w:rPr>
        <w:t>Pα</w:t>
      </w:r>
      <w:r w:rsidRPr="0057354C">
        <w:rPr>
          <w:rFonts w:ascii="Times" w:hAnsi="Times" w:cs="Times"/>
          <w:sz w:val="20"/>
        </w:rPr>
        <w:t>); average number of surrounding residues (</w:t>
      </w:r>
      <w:r w:rsidRPr="0057354C">
        <w:rPr>
          <w:rFonts w:ascii="Times" w:hAnsi="Times" w:cs="Times"/>
          <w:b/>
          <w:i/>
          <w:sz w:val="20"/>
        </w:rPr>
        <w:t>Ns</w:t>
      </w:r>
      <w:r w:rsidRPr="0057354C">
        <w:rPr>
          <w:rFonts w:ascii="Times" w:hAnsi="Times" w:cs="Times"/>
          <w:sz w:val="20"/>
        </w:rPr>
        <w:t>); β-structure tendencies (</w:t>
      </w:r>
      <w:r w:rsidRPr="0057354C">
        <w:rPr>
          <w:rFonts w:ascii="Times" w:hAnsi="Times" w:cs="Times"/>
          <w:b/>
          <w:i/>
          <w:sz w:val="20"/>
        </w:rPr>
        <w:t>Pβ</w:t>
      </w:r>
      <w:r w:rsidRPr="0057354C">
        <w:rPr>
          <w:rFonts w:ascii="Times" w:hAnsi="Times" w:cs="Times"/>
          <w:sz w:val="20"/>
        </w:rPr>
        <w:t>); bulkiness (</w:t>
      </w:r>
      <w:r w:rsidRPr="0057354C">
        <w:rPr>
          <w:rFonts w:ascii="Times" w:hAnsi="Times" w:cs="Times"/>
          <w:b/>
          <w:i/>
          <w:sz w:val="20"/>
        </w:rPr>
        <w:t>Bl</w:t>
      </w:r>
      <w:r w:rsidRPr="0057354C">
        <w:rPr>
          <w:rFonts w:ascii="Times" w:hAnsi="Times" w:cs="Times"/>
          <w:sz w:val="20"/>
        </w:rPr>
        <w:t>); buriedness (</w:t>
      </w:r>
      <w:r w:rsidRPr="0057354C">
        <w:rPr>
          <w:rFonts w:ascii="Times" w:hAnsi="Times" w:cs="Times"/>
          <w:b/>
          <w:i/>
          <w:sz w:val="20"/>
        </w:rPr>
        <w:t>Br</w:t>
      </w:r>
      <w:r w:rsidRPr="0057354C">
        <w:rPr>
          <w:rFonts w:ascii="Times" w:hAnsi="Times" w:cs="Times"/>
          <w:sz w:val="20"/>
        </w:rPr>
        <w:t>); chromatographic index (</w:t>
      </w:r>
      <w:r w:rsidRPr="0057354C">
        <w:rPr>
          <w:rFonts w:ascii="Times" w:hAnsi="Times" w:cs="Times"/>
          <w:b/>
          <w:i/>
          <w:sz w:val="20"/>
        </w:rPr>
        <w:t>RF</w:t>
      </w:r>
      <w:r w:rsidRPr="0057354C">
        <w:rPr>
          <w:rFonts w:ascii="Times" w:hAnsi="Times" w:cs="Times"/>
          <w:sz w:val="20"/>
        </w:rPr>
        <w:t>); coil tendencies (</w:t>
      </w:r>
      <w:r w:rsidRPr="0057354C">
        <w:rPr>
          <w:rFonts w:ascii="Times" w:hAnsi="Times" w:cs="Times"/>
          <w:b/>
          <w:i/>
          <w:sz w:val="20"/>
        </w:rPr>
        <w:t>Pc</w:t>
      </w:r>
      <w:r w:rsidRPr="0057354C">
        <w:rPr>
          <w:rFonts w:ascii="Times" w:hAnsi="Times" w:cs="Times"/>
          <w:sz w:val="20"/>
        </w:rPr>
        <w:t>); composition (</w:t>
      </w:r>
      <w:r w:rsidRPr="0057354C">
        <w:rPr>
          <w:rFonts w:ascii="Times" w:hAnsi="Times" w:cs="Times"/>
          <w:b/>
          <w:i/>
          <w:sz w:val="20"/>
        </w:rPr>
        <w:t>c</w:t>
      </w:r>
      <w:r w:rsidRPr="0057354C">
        <w:rPr>
          <w:rFonts w:ascii="Times" w:hAnsi="Times" w:cs="Times"/>
          <w:sz w:val="20"/>
        </w:rPr>
        <w:t>); compressibility (</w:t>
      </w:r>
      <w:r w:rsidRPr="0057354C">
        <w:rPr>
          <w:rFonts w:ascii="Times" w:hAnsi="Times" w:cs="Times"/>
          <w:b/>
          <w:i/>
          <w:sz w:val="20"/>
        </w:rPr>
        <w:t>K0</w:t>
      </w:r>
      <w:r w:rsidRPr="0057354C">
        <w:rPr>
          <w:rFonts w:ascii="Times" w:hAnsi="Times" w:cs="Times"/>
          <w:sz w:val="20"/>
        </w:rPr>
        <w:t>); equilibrium Constant of ionization for COOH (</w:t>
      </w:r>
      <w:r w:rsidRPr="0057354C">
        <w:rPr>
          <w:rFonts w:ascii="Times" w:hAnsi="Times" w:cs="Times"/>
          <w:b/>
          <w:i/>
          <w:sz w:val="20"/>
        </w:rPr>
        <w:t>pK'</w:t>
      </w:r>
      <w:r w:rsidRPr="0057354C">
        <w:rPr>
          <w:rFonts w:ascii="Times" w:hAnsi="Times" w:cs="Times"/>
          <w:sz w:val="20"/>
        </w:rPr>
        <w:t>); helical contact area (</w:t>
      </w:r>
      <w:r w:rsidRPr="0057354C">
        <w:rPr>
          <w:rFonts w:ascii="Times" w:hAnsi="Times" w:cs="Times"/>
          <w:b/>
          <w:i/>
          <w:sz w:val="20"/>
        </w:rPr>
        <w:t>Ca</w:t>
      </w:r>
      <w:r w:rsidRPr="0057354C">
        <w:rPr>
          <w:rFonts w:ascii="Times" w:hAnsi="Times" w:cs="Times"/>
          <w:sz w:val="20"/>
        </w:rPr>
        <w:t>); hydropathy (</w:t>
      </w:r>
      <w:r w:rsidRPr="0057354C">
        <w:rPr>
          <w:rFonts w:ascii="Times" w:hAnsi="Times" w:cs="Times"/>
          <w:b/>
          <w:i/>
          <w:sz w:val="20"/>
        </w:rPr>
        <w:t>h</w:t>
      </w:r>
      <w:r w:rsidRPr="0057354C">
        <w:rPr>
          <w:rFonts w:ascii="Times" w:hAnsi="Times" w:cs="Times"/>
          <w:sz w:val="20"/>
        </w:rPr>
        <w:t>); isoelectric point (</w:t>
      </w:r>
      <w:r w:rsidRPr="0057354C">
        <w:rPr>
          <w:rFonts w:ascii="Times" w:hAnsi="Times" w:cs="Times"/>
          <w:b/>
          <w:i/>
          <w:sz w:val="20"/>
        </w:rPr>
        <w:t>pHi</w:t>
      </w:r>
      <w:r w:rsidRPr="0057354C">
        <w:rPr>
          <w:rFonts w:ascii="Times" w:hAnsi="Times" w:cs="Times"/>
          <w:sz w:val="20"/>
        </w:rPr>
        <w:t>); long-range nonbonded energy (</w:t>
      </w:r>
      <w:r w:rsidRPr="0057354C">
        <w:rPr>
          <w:rFonts w:ascii="Times" w:hAnsi="Times" w:cs="Times"/>
          <w:b/>
          <w:i/>
          <w:sz w:val="20"/>
        </w:rPr>
        <w:t>El</w:t>
      </w:r>
      <w:r w:rsidRPr="0057354C">
        <w:rPr>
          <w:rFonts w:ascii="Times" w:hAnsi="Times" w:cs="Times"/>
          <w:sz w:val="20"/>
        </w:rPr>
        <w:t>); mean r.m.s. fluctuation displacement (</w:t>
      </w:r>
      <w:r w:rsidRPr="0057354C">
        <w:rPr>
          <w:rFonts w:ascii="Times" w:hAnsi="Times" w:cs="Times"/>
          <w:b/>
          <w:i/>
          <w:sz w:val="20"/>
        </w:rPr>
        <w:t>F</w:t>
      </w:r>
      <w:r w:rsidRPr="0057354C">
        <w:rPr>
          <w:rFonts w:ascii="Times" w:hAnsi="Times" w:cs="Times"/>
          <w:sz w:val="20"/>
        </w:rPr>
        <w:t>); molecular volume (</w:t>
      </w:r>
      <w:r w:rsidRPr="0057354C">
        <w:rPr>
          <w:rFonts w:ascii="Times" w:hAnsi="Times" w:cs="Times"/>
          <w:b/>
          <w:i/>
          <w:sz w:val="20"/>
        </w:rPr>
        <w:t>Mv</w:t>
      </w:r>
      <w:r w:rsidRPr="0057354C">
        <w:rPr>
          <w:rFonts w:ascii="Times" w:hAnsi="Times" w:cs="Times"/>
          <w:sz w:val="20"/>
        </w:rPr>
        <w:t>); molecular weight (</w:t>
      </w:r>
      <w:r w:rsidRPr="0057354C">
        <w:rPr>
          <w:rFonts w:ascii="Times" w:hAnsi="Times" w:cs="Times"/>
          <w:b/>
          <w:i/>
          <w:sz w:val="20"/>
        </w:rPr>
        <w:t>Mw</w:t>
      </w:r>
      <w:r w:rsidRPr="0057354C">
        <w:rPr>
          <w:rFonts w:ascii="Times" w:hAnsi="Times" w:cs="Times"/>
          <w:sz w:val="20"/>
        </w:rPr>
        <w:t>); normal consensus hydrophobicity (</w:t>
      </w:r>
      <w:r w:rsidRPr="0057354C">
        <w:rPr>
          <w:rFonts w:ascii="Times" w:hAnsi="Times" w:cs="Times"/>
          <w:b/>
          <w:i/>
          <w:sz w:val="20"/>
        </w:rPr>
        <w:t>Hnc</w:t>
      </w:r>
      <w:r w:rsidRPr="0057354C">
        <w:rPr>
          <w:rFonts w:ascii="Times" w:hAnsi="Times" w:cs="Times"/>
          <w:sz w:val="20"/>
        </w:rPr>
        <w:t>); partial specific volume (</w:t>
      </w:r>
      <w:r w:rsidRPr="0057354C">
        <w:rPr>
          <w:rFonts w:ascii="Times" w:hAnsi="Times" w:cs="Times"/>
          <w:b/>
          <w:i/>
          <w:sz w:val="20"/>
        </w:rPr>
        <w:t>V0</w:t>
      </w:r>
      <w:r w:rsidRPr="0057354C">
        <w:rPr>
          <w:rFonts w:ascii="Times" w:hAnsi="Times" w:cs="Times"/>
          <w:sz w:val="20"/>
        </w:rPr>
        <w:t>); polar requirement (</w:t>
      </w:r>
      <w:r w:rsidRPr="0057354C">
        <w:rPr>
          <w:rFonts w:ascii="Times" w:hAnsi="Times" w:cs="Times"/>
          <w:b/>
          <w:i/>
          <w:sz w:val="20"/>
        </w:rPr>
        <w:t>Pr</w:t>
      </w:r>
      <w:r w:rsidRPr="0057354C">
        <w:rPr>
          <w:rFonts w:ascii="Times" w:hAnsi="Times" w:cs="Times"/>
          <w:sz w:val="20"/>
        </w:rPr>
        <w:t>); polarity (</w:t>
      </w:r>
      <w:r w:rsidRPr="0057354C">
        <w:rPr>
          <w:rFonts w:ascii="Times" w:hAnsi="Times" w:cs="Times"/>
          <w:b/>
          <w:i/>
          <w:sz w:val="20"/>
        </w:rPr>
        <w:t>p</w:t>
      </w:r>
      <w:r w:rsidRPr="0057354C">
        <w:rPr>
          <w:rFonts w:ascii="Times" w:hAnsi="Times" w:cs="Times"/>
          <w:sz w:val="20"/>
        </w:rPr>
        <w:t>); power to be the C-terminal of α-helix (</w:t>
      </w:r>
      <w:r w:rsidRPr="0057354C">
        <w:rPr>
          <w:rFonts w:ascii="Times" w:hAnsi="Times" w:cs="Times"/>
          <w:b/>
          <w:i/>
          <w:sz w:val="20"/>
        </w:rPr>
        <w:t>αc</w:t>
      </w:r>
      <w:r w:rsidRPr="0057354C">
        <w:rPr>
          <w:rFonts w:ascii="Times" w:hAnsi="Times" w:cs="Times"/>
          <w:sz w:val="20"/>
        </w:rPr>
        <w:t>); power to be the middle of α-helix (</w:t>
      </w:r>
      <w:r w:rsidRPr="0057354C">
        <w:rPr>
          <w:rFonts w:ascii="Times" w:hAnsi="Times" w:cs="Times"/>
          <w:b/>
          <w:i/>
          <w:sz w:val="20"/>
        </w:rPr>
        <w:t>αm</w:t>
      </w:r>
      <w:r w:rsidRPr="0057354C">
        <w:rPr>
          <w:rFonts w:ascii="Times" w:hAnsi="Times" w:cs="Times"/>
          <w:sz w:val="20"/>
        </w:rPr>
        <w:t>); power to be the N-terminal of α-helix (</w:t>
      </w:r>
      <w:r w:rsidRPr="0057354C">
        <w:rPr>
          <w:rFonts w:ascii="Times" w:hAnsi="Times" w:cs="Times"/>
          <w:b/>
          <w:i/>
          <w:sz w:val="20"/>
        </w:rPr>
        <w:t>αn</w:t>
      </w:r>
      <w:r w:rsidRPr="0057354C">
        <w:rPr>
          <w:rFonts w:ascii="Times" w:hAnsi="Times" w:cs="Times"/>
          <w:sz w:val="20"/>
        </w:rPr>
        <w:t>); refractive index (</w:t>
      </w:r>
      <w:r w:rsidRPr="0057354C">
        <w:rPr>
          <w:rFonts w:ascii="Times" w:hAnsi="Times" w:cs="Times"/>
          <w:b/>
          <w:i/>
          <w:sz w:val="20"/>
        </w:rPr>
        <w:t>µ</w:t>
      </w:r>
      <w:r w:rsidRPr="0057354C">
        <w:rPr>
          <w:rFonts w:ascii="Times" w:hAnsi="Times" w:cs="Times"/>
          <w:sz w:val="20"/>
        </w:rPr>
        <w:t>); short- and medium- range nonbonded energy (</w:t>
      </w:r>
      <w:r w:rsidRPr="0057354C">
        <w:rPr>
          <w:rFonts w:ascii="Times" w:hAnsi="Times" w:cs="Times"/>
          <w:b/>
          <w:i/>
          <w:sz w:val="20"/>
        </w:rPr>
        <w:t>Esm</w:t>
      </w:r>
      <w:r w:rsidRPr="0057354C">
        <w:rPr>
          <w:rFonts w:ascii="Times" w:hAnsi="Times" w:cs="Times"/>
          <w:sz w:val="20"/>
        </w:rPr>
        <w:t>); solvent accessible reduction ratio (</w:t>
      </w:r>
      <w:r w:rsidRPr="0057354C">
        <w:rPr>
          <w:rFonts w:ascii="Times" w:hAnsi="Times" w:cs="Times"/>
          <w:b/>
          <w:i/>
          <w:sz w:val="20"/>
        </w:rPr>
        <w:t>Ra</w:t>
      </w:r>
      <w:r w:rsidRPr="0057354C">
        <w:rPr>
          <w:rFonts w:ascii="Times" w:hAnsi="Times" w:cs="Times"/>
          <w:sz w:val="20"/>
        </w:rPr>
        <w:t>); surrounding hydrophobicity (</w:t>
      </w:r>
      <w:r w:rsidRPr="0057354C">
        <w:rPr>
          <w:rFonts w:ascii="Times" w:hAnsi="Times" w:cs="Times"/>
          <w:b/>
          <w:i/>
          <w:sz w:val="20"/>
        </w:rPr>
        <w:t>Hp</w:t>
      </w:r>
      <w:r w:rsidRPr="0057354C">
        <w:rPr>
          <w:rFonts w:ascii="Times" w:hAnsi="Times" w:cs="Times"/>
          <w:sz w:val="20"/>
        </w:rPr>
        <w:t>); thermodynamic transfer hydrophobicity (</w:t>
      </w:r>
      <w:r w:rsidRPr="0057354C">
        <w:rPr>
          <w:rFonts w:ascii="Times" w:hAnsi="Times" w:cs="Times"/>
          <w:b/>
          <w:i/>
          <w:sz w:val="20"/>
        </w:rPr>
        <w:t>Ht</w:t>
      </w:r>
      <w:r w:rsidRPr="0057354C">
        <w:rPr>
          <w:rFonts w:ascii="Times" w:hAnsi="Times" w:cs="Times"/>
          <w:sz w:val="20"/>
        </w:rPr>
        <w:t>); total nonbonded energy (</w:t>
      </w:r>
      <w:r w:rsidRPr="0057354C">
        <w:rPr>
          <w:rFonts w:ascii="Times" w:hAnsi="Times" w:cs="Times"/>
          <w:b/>
          <w:i/>
          <w:sz w:val="20"/>
        </w:rPr>
        <w:t>Et</w:t>
      </w:r>
      <w:r w:rsidRPr="0057354C">
        <w:rPr>
          <w:rFonts w:ascii="Times" w:hAnsi="Times" w:cs="Times"/>
          <w:sz w:val="20"/>
        </w:rPr>
        <w:t>); turn tendencies (</w:t>
      </w:r>
      <w:r w:rsidRPr="0057354C">
        <w:rPr>
          <w:rFonts w:ascii="Times" w:hAnsi="Times" w:cs="Times"/>
          <w:b/>
          <w:i/>
          <w:sz w:val="20"/>
        </w:rPr>
        <w:t>P</w:t>
      </w:r>
      <w:r w:rsidRPr="0057354C">
        <w:rPr>
          <w:rFonts w:ascii="Times" w:hAnsi="Times" w:cs="Times"/>
          <w:sz w:val="20"/>
        </w:rPr>
        <w:t>).</w:t>
      </w:r>
    </w:p>
    <w:p w:rsidR="00F07139" w:rsidRPr="0057354C" w:rsidRDefault="00F07139"/>
    <w:sectPr w:rsidR="00F07139" w:rsidRPr="0057354C" w:rsidSect="00D30D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49" w:rsidRDefault="00AC3E49" w:rsidP="00D30DE4">
      <w:r>
        <w:separator/>
      </w:r>
    </w:p>
  </w:endnote>
  <w:endnote w:type="continuationSeparator" w:id="0">
    <w:p w:rsidR="00AC3E49" w:rsidRDefault="00AC3E49" w:rsidP="00D3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49" w:rsidRDefault="00AC3E49" w:rsidP="00D30DE4">
      <w:r>
        <w:separator/>
      </w:r>
    </w:p>
  </w:footnote>
  <w:footnote w:type="continuationSeparator" w:id="0">
    <w:p w:rsidR="00AC3E49" w:rsidRDefault="00AC3E49" w:rsidP="00D30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63"/>
    <w:rsid w:val="000D68F9"/>
    <w:rsid w:val="00107A0C"/>
    <w:rsid w:val="001302D8"/>
    <w:rsid w:val="00174956"/>
    <w:rsid w:val="001F1D4F"/>
    <w:rsid w:val="00251313"/>
    <w:rsid w:val="00282D04"/>
    <w:rsid w:val="002D6363"/>
    <w:rsid w:val="00303BD0"/>
    <w:rsid w:val="00310F6A"/>
    <w:rsid w:val="0031280F"/>
    <w:rsid w:val="003710EE"/>
    <w:rsid w:val="004C5803"/>
    <w:rsid w:val="004C6C11"/>
    <w:rsid w:val="005179EF"/>
    <w:rsid w:val="00551307"/>
    <w:rsid w:val="0057354C"/>
    <w:rsid w:val="00611772"/>
    <w:rsid w:val="006128F6"/>
    <w:rsid w:val="00677168"/>
    <w:rsid w:val="006B1AA0"/>
    <w:rsid w:val="006C43EE"/>
    <w:rsid w:val="00770CAE"/>
    <w:rsid w:val="007D3AFB"/>
    <w:rsid w:val="00861D47"/>
    <w:rsid w:val="00982281"/>
    <w:rsid w:val="00991BD9"/>
    <w:rsid w:val="009D3B0F"/>
    <w:rsid w:val="00AC3E49"/>
    <w:rsid w:val="00B553A3"/>
    <w:rsid w:val="00B5675A"/>
    <w:rsid w:val="00BF5E35"/>
    <w:rsid w:val="00C371E1"/>
    <w:rsid w:val="00C740BA"/>
    <w:rsid w:val="00CF7918"/>
    <w:rsid w:val="00D11F11"/>
    <w:rsid w:val="00D30DE4"/>
    <w:rsid w:val="00E3780A"/>
    <w:rsid w:val="00ED0783"/>
    <w:rsid w:val="00F07139"/>
    <w:rsid w:val="00F703F4"/>
    <w:rsid w:val="00FD28FB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D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DE4"/>
    <w:rPr>
      <w:sz w:val="18"/>
      <w:szCs w:val="18"/>
    </w:rPr>
  </w:style>
  <w:style w:type="table" w:styleId="a5">
    <w:name w:val="Table Grid"/>
    <w:basedOn w:val="a1"/>
    <w:uiPriority w:val="59"/>
    <w:rsid w:val="00D30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30D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0DE4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D30DE4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30DE4"/>
    <w:rPr>
      <w:rFonts w:ascii="Calibri" w:hAnsi="Calibri" w:cs="Calibri"/>
      <w:noProof/>
      <w:sz w:val="20"/>
    </w:rPr>
  </w:style>
  <w:style w:type="paragraph" w:styleId="a7">
    <w:name w:val="List Paragraph"/>
    <w:basedOn w:val="a"/>
    <w:uiPriority w:val="34"/>
    <w:qFormat/>
    <w:rsid w:val="00D30DE4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D30DE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30DE4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30DE4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30DE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30DE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30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D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DE4"/>
    <w:rPr>
      <w:sz w:val="18"/>
      <w:szCs w:val="18"/>
    </w:rPr>
  </w:style>
  <w:style w:type="table" w:styleId="a5">
    <w:name w:val="Table Grid"/>
    <w:basedOn w:val="a1"/>
    <w:uiPriority w:val="59"/>
    <w:rsid w:val="00D30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30D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0DE4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D30DE4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30DE4"/>
    <w:rPr>
      <w:rFonts w:ascii="Calibri" w:hAnsi="Calibri" w:cs="Calibri"/>
      <w:noProof/>
      <w:sz w:val="20"/>
    </w:rPr>
  </w:style>
  <w:style w:type="paragraph" w:styleId="a7">
    <w:name w:val="List Paragraph"/>
    <w:basedOn w:val="a"/>
    <w:uiPriority w:val="34"/>
    <w:qFormat/>
    <w:rsid w:val="00D30DE4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D30DE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30DE4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30DE4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30DE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30DE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30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chenyanhong</dc:creator>
  <cp:keywords/>
  <dc:description/>
  <cp:lastModifiedBy>chenyanhong</cp:lastModifiedBy>
  <cp:revision>30</cp:revision>
  <dcterms:created xsi:type="dcterms:W3CDTF">2018-12-01T04:30:00Z</dcterms:created>
  <dcterms:modified xsi:type="dcterms:W3CDTF">2019-02-22T07:42:00Z</dcterms:modified>
</cp:coreProperties>
</file>