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F484" w14:textId="77777777" w:rsidR="004E2834" w:rsidRPr="004E2834" w:rsidRDefault="004E2834" w:rsidP="004E2834">
      <w:pPr>
        <w:keepNext/>
        <w:keepLines/>
        <w:spacing w:before="120" w:after="0" w:line="360" w:lineRule="auto"/>
        <w:jc w:val="both"/>
        <w:outlineLvl w:val="1"/>
        <w:rPr>
          <w:rFonts w:ascii="Arial" w:eastAsia="MS PGothic" w:hAnsi="Arial" w:cs="Arial"/>
          <w:sz w:val="28"/>
          <w:szCs w:val="28"/>
        </w:rPr>
      </w:pPr>
      <w:r w:rsidRPr="004E2834">
        <w:rPr>
          <w:rFonts w:ascii="Arial" w:eastAsia="MS PGothic" w:hAnsi="Arial" w:cs="Arial"/>
          <w:sz w:val="28"/>
          <w:szCs w:val="28"/>
        </w:rPr>
        <w:t>Microbiological analysis</w:t>
      </w:r>
    </w:p>
    <w:p w14:paraId="08BA31F1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b/>
          <w:bCs/>
          <w:snapToGrid w:val="0"/>
          <w:sz w:val="20"/>
          <w:lang w:eastAsia="de-DE" w:bidi="en-US"/>
        </w:rPr>
        <w:t>Total viable counts at 22 and 37 °C</w:t>
      </w:r>
    </w:p>
    <w:p w14:paraId="6A1A90B0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Enumeration of heterotrophic bacteria in water was performed by the pour plate method with yeast extract agar (YEA;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Oxoid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, CM0019, Basingstoke, UK) (Suthar et al. 2009). Briefly, 1 ml of water sample was transferred onto sterile 90-mm Petri dishes, followed by the addition of 15 ml of YEA (previously autoclaved and cooled to 45–50 °C). The contents were mixed by a combination of rapid end-to end shaking and circular movements lasting over a period of 5–10 s. The agar was then allowed to solidify, and incubation of duplicate sets of plates for 3 days at 37 and at 22 °C was practiced.</w:t>
      </w:r>
    </w:p>
    <w:p w14:paraId="182D9B3D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b/>
          <w:bCs/>
          <w:snapToGrid w:val="0"/>
          <w:sz w:val="20"/>
          <w:lang w:eastAsia="de-DE" w:bidi="en-US"/>
        </w:rPr>
        <w:t xml:space="preserve">Membrane filtration analysis for </w:t>
      </w:r>
      <w:r w:rsidRPr="004E2834">
        <w:rPr>
          <w:rFonts w:ascii="Arial" w:eastAsia="Times New Roman" w:hAnsi="Arial" w:cs="Arial"/>
          <w:b/>
          <w:bCs/>
          <w:i/>
          <w:iCs/>
          <w:snapToGrid w:val="0"/>
          <w:sz w:val="20"/>
          <w:lang w:eastAsia="de-DE" w:bidi="en-US"/>
        </w:rPr>
        <w:t>E. coli</w:t>
      </w:r>
      <w:r w:rsidRPr="004E2834">
        <w:rPr>
          <w:rFonts w:ascii="Arial" w:eastAsia="Times New Roman" w:hAnsi="Arial" w:cs="Arial"/>
          <w:b/>
          <w:bCs/>
          <w:snapToGrid w:val="0"/>
          <w:sz w:val="20"/>
          <w:lang w:eastAsia="de-DE" w:bidi="en-US"/>
        </w:rPr>
        <w:t xml:space="preserve">, coliforms, </w:t>
      </w:r>
      <w:r w:rsidRPr="004E2834">
        <w:rPr>
          <w:rFonts w:ascii="Arial" w:eastAsia="Times New Roman" w:hAnsi="Arial" w:cs="Arial"/>
          <w:b/>
          <w:bCs/>
          <w:i/>
          <w:iCs/>
          <w:snapToGrid w:val="0"/>
          <w:sz w:val="20"/>
          <w:lang w:eastAsia="de-DE" w:bidi="en-US"/>
        </w:rPr>
        <w:t>Pseudomonas aeruginosa</w:t>
      </w:r>
      <w:r w:rsidRPr="004E2834">
        <w:rPr>
          <w:rFonts w:ascii="Arial" w:eastAsia="Times New Roman" w:hAnsi="Arial" w:cs="Arial"/>
          <w:b/>
          <w:bCs/>
          <w:snapToGrid w:val="0"/>
          <w:sz w:val="20"/>
          <w:lang w:eastAsia="de-DE" w:bidi="en-US"/>
        </w:rPr>
        <w:t xml:space="preserve">, and </w:t>
      </w:r>
      <w:proofErr w:type="spellStart"/>
      <w:r w:rsidRPr="004E2834">
        <w:rPr>
          <w:rFonts w:ascii="Arial" w:eastAsia="Times New Roman" w:hAnsi="Arial" w:cs="Arial"/>
          <w:b/>
          <w:bCs/>
          <w:i/>
          <w:iCs/>
          <w:snapToGrid w:val="0"/>
          <w:sz w:val="20"/>
          <w:lang w:eastAsia="de-DE" w:bidi="en-US"/>
        </w:rPr>
        <w:t>Enterococus</w:t>
      </w:r>
      <w:proofErr w:type="spellEnd"/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 xml:space="preserve"> </w:t>
      </w:r>
      <w:r w:rsidRPr="004E2834">
        <w:rPr>
          <w:rFonts w:ascii="Arial" w:eastAsia="Times New Roman" w:hAnsi="Arial" w:cs="Arial"/>
          <w:b/>
          <w:bCs/>
          <w:snapToGrid w:val="0"/>
          <w:sz w:val="20"/>
          <w:lang w:eastAsia="de-DE" w:bidi="en-US"/>
        </w:rPr>
        <w:t>spp.</w:t>
      </w:r>
    </w:p>
    <w:p w14:paraId="28A92AD5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The membrane filtration technique was applied for the detection and enumeration of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>E. coli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, coliforms,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>Pseudomonas aeruginosa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, and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 xml:space="preserve">Enterococcus 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spp., followed by incubation onto selective media. A volume of 250 ml of the sample was filtered through a 0.45-mm, gridded, sterile membrane, and the filter was then aseptically transferred onto the appropriate agar medium in Petri dish, avoiding air bubbles beneath the membrane. For the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>E. coli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 and coliform analysis, a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cromogenic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 medium was used (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ChromoCult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® Coliform Agar, Merck, Darmstadt, Germany), which was able to differentiate between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 xml:space="preserve">E. coli 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and other coliform bacteria. Plates were incubated inverted at 37 °C for 24 h with red color colonies, indicating the presence of coliform bacteria, whereas the presence of blue colonies indicated the presence of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 xml:space="preserve">E. coli 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(see Ouattara et al. 2011).</w:t>
      </w:r>
    </w:p>
    <w:p w14:paraId="7CDD05A4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The analysis for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>Pseudomonas aeruginosa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 was performed onto Pseudomonas Agar (OXOID CM0559, plus Pseudomonas CN selective agar supplement SR0102, Basingstoke, UK). Incubation was set at 25 °C for 2 days with positive colonies of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>Pseudomonas aeruginosa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 coming up with light green color and fluoresced under UV light at 365 nm. Finally, for enumerating enterococci from the water samples, the membrane filters were incubated onto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Slanetz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 and Bartley medium (OXOID CM0377, Basingstoke, UK) at 44 °C for 4 h and at 37 °C for 2 days. Colonies with red-brown color were enumerated as </w:t>
      </w:r>
      <w:r w:rsidRPr="004E2834">
        <w:rPr>
          <w:rFonts w:ascii="Arial" w:eastAsia="Times New Roman" w:hAnsi="Arial" w:cs="Arial"/>
          <w:i/>
          <w:iCs/>
          <w:snapToGrid w:val="0"/>
          <w:sz w:val="20"/>
          <w:lang w:eastAsia="de-DE" w:bidi="en-US"/>
        </w:rPr>
        <w:t xml:space="preserve">Enterococcus </w:t>
      </w: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spp. All suspicious colonies were confirmed molecularly via 16S rRNA sequencing as previously described by Botsaris et al. (2015).</w:t>
      </w:r>
    </w:p>
    <w:p w14:paraId="462E63BB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Calibri" w:hAnsi="Arial" w:cs="Arial"/>
          <w:b/>
          <w:bCs/>
          <w:snapToGrid w:val="0"/>
          <w:sz w:val="20"/>
          <w:lang w:eastAsia="de-DE" w:bidi="en-US"/>
        </w:rPr>
        <w:t> </w:t>
      </w:r>
    </w:p>
    <w:p w14:paraId="7CB4E036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b/>
          <w:bCs/>
          <w:snapToGrid w:val="0"/>
          <w:sz w:val="20"/>
          <w:lang w:eastAsia="de-DE" w:bidi="en-US"/>
        </w:rPr>
        <w:t>References</w:t>
      </w:r>
    </w:p>
    <w:p w14:paraId="420A6B4F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Botsaris, G.,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Kanetis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, L.,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Slaný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, M. et al. Environ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Monit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 Assess (2015) 187: 739.</w:t>
      </w:r>
    </w:p>
    <w:p w14:paraId="24C37A8F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Ouattara, K. N.,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Passerat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, J., &amp; Servais, P. (2011).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Faecal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 contamination of the water and sediment in the rivers of the Scheldt drainage network. Environmental Monitoring and Assessment, 183(1–4), 243–257.</w:t>
      </w:r>
    </w:p>
    <w:p w14:paraId="7A419703" w14:textId="77777777" w:rsidR="004E2834" w:rsidRPr="004E2834" w:rsidRDefault="004E2834" w:rsidP="004E2834">
      <w:pPr>
        <w:adjustRightInd w:val="0"/>
        <w:snapToGrid w:val="0"/>
        <w:spacing w:after="0" w:line="260" w:lineRule="atLeast"/>
        <w:ind w:firstLine="425"/>
        <w:jc w:val="both"/>
        <w:rPr>
          <w:rFonts w:ascii="Arial" w:eastAsia="Times New Roman" w:hAnsi="Arial" w:cs="Arial"/>
          <w:snapToGrid w:val="0"/>
          <w:sz w:val="20"/>
          <w:lang w:eastAsia="de-DE" w:bidi="en-US"/>
        </w:rPr>
      </w:pPr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 xml:space="preserve">Suthar, S., </w:t>
      </w:r>
      <w:proofErr w:type="spellStart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Chhimpa</w:t>
      </w:r>
      <w:proofErr w:type="spellEnd"/>
      <w:r w:rsidRPr="004E2834">
        <w:rPr>
          <w:rFonts w:ascii="Arial" w:eastAsia="Times New Roman" w:hAnsi="Arial" w:cs="Arial"/>
          <w:snapToGrid w:val="0"/>
          <w:sz w:val="20"/>
          <w:lang w:eastAsia="de-DE" w:bidi="en-US"/>
        </w:rPr>
        <w:t>, V., &amp; Singh, S. (2009). Bacterial contamination in drinking water: a case study in rural areas of northern Rajasthan, India. Environmental Monitoring and Assessment, 159(1–4), 43–50.</w:t>
      </w:r>
    </w:p>
    <w:p w14:paraId="0AB07C97" w14:textId="77777777" w:rsidR="004E2834" w:rsidRDefault="004E2834">
      <w:bookmarkStart w:id="0" w:name="_GoBack"/>
      <w:bookmarkEnd w:id="0"/>
    </w:p>
    <w:sectPr w:rsidR="004E2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34"/>
    <w:rsid w:val="004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39BA"/>
  <w15:chartTrackingRefBased/>
  <w15:docId w15:val="{D3229557-0A91-4F95-A462-A17B2B4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B9635A4CB7B45A583CEFA77E11C24" ma:contentTypeVersion="2" ma:contentTypeDescription="Create a new document." ma:contentTypeScope="" ma:versionID="7f5610cc0f8b6ad40091e7a79d4f2284">
  <xsd:schema xmlns:xsd="http://www.w3.org/2001/XMLSchema" xmlns:xs="http://www.w3.org/2001/XMLSchema" xmlns:p="http://schemas.microsoft.com/office/2006/metadata/properties" xmlns:ns2="c724b46b-4ab4-4b53-afb6-6cccdfd3ac33" targetNamespace="http://schemas.microsoft.com/office/2006/metadata/properties" ma:root="true" ma:fieldsID="b795fff0c4aa61dda06421138a9e2577" ns2:_="">
    <xsd:import namespace="c724b46b-4ab4-4b53-afb6-6cccdfd3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b46b-4ab4-4b53-afb6-6cccdfd3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ADDC0-93AA-457F-9B07-D526A6C2B6F9}"/>
</file>

<file path=customXml/itemProps2.xml><?xml version="1.0" encoding="utf-8"?>
<ds:datastoreItem xmlns:ds="http://schemas.openxmlformats.org/officeDocument/2006/customXml" ds:itemID="{18AE9D7A-CD3E-4350-BC9B-49E8A05BF175}"/>
</file>

<file path=customXml/itemProps3.xml><?xml version="1.0" encoding="utf-8"?>
<ds:datastoreItem xmlns:ds="http://schemas.openxmlformats.org/officeDocument/2006/customXml" ds:itemID="{4E987EAF-9F55-419E-9B0F-782365AA2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Andrianou</dc:creator>
  <cp:keywords/>
  <dc:description/>
  <cp:lastModifiedBy>Xanthi Andrianou</cp:lastModifiedBy>
  <cp:revision>1</cp:revision>
  <dcterms:created xsi:type="dcterms:W3CDTF">2018-11-13T16:50:00Z</dcterms:created>
  <dcterms:modified xsi:type="dcterms:W3CDTF">2018-11-13T16:50:00Z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0x01010052EB9635A4CB7B45A583CEFA77E11C24</vt:lpwstr>
  </property>
  <property fmtid="{D5CDD505-2E9C-101B-9397-08002B2CF9AE}" pid="3" name="Order">
    <vt:r8>4023000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