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352" w:rsidRPr="0084351B" w:rsidRDefault="00745352" w:rsidP="00745352">
      <w:pPr>
        <w:widowControl w:val="0"/>
        <w:autoSpaceDE w:val="0"/>
        <w:autoSpaceDN w:val="0"/>
        <w:adjustRightInd w:val="0"/>
        <w:spacing w:after="120" w:line="360" w:lineRule="auto"/>
        <w:ind w:left="640" w:hanging="640"/>
        <w:rPr>
          <w:rFonts w:ascii="Arial" w:hAnsi="Arial" w:cs="Arial"/>
          <w:color w:val="154188"/>
          <w:sz w:val="18"/>
          <w:lang w:val="en-GB"/>
        </w:rPr>
      </w:pPr>
      <w:r>
        <w:rPr>
          <w:rFonts w:ascii="Arial" w:hAnsi="Arial" w:cs="Arial"/>
          <w:b/>
          <w:lang w:val="en-GB"/>
        </w:rPr>
        <w:t xml:space="preserve">Supplementary </w:t>
      </w:r>
      <w:r w:rsidRPr="000C71F0">
        <w:rPr>
          <w:rFonts w:ascii="Arial" w:hAnsi="Arial" w:cs="Arial"/>
          <w:b/>
          <w:lang w:val="en-GB"/>
        </w:rPr>
        <w:t xml:space="preserve">Table </w:t>
      </w:r>
      <w:r w:rsidR="006C5A53">
        <w:rPr>
          <w:rFonts w:ascii="Arial" w:hAnsi="Arial" w:cs="Arial"/>
          <w:b/>
          <w:lang w:val="en-GB"/>
        </w:rPr>
        <w:t>S</w:t>
      </w:r>
      <w:r w:rsidRPr="000C71F0">
        <w:rPr>
          <w:rFonts w:ascii="Arial" w:hAnsi="Arial" w:cs="Arial"/>
          <w:b/>
          <w:lang w:val="en-GB"/>
        </w:rPr>
        <w:t>1</w:t>
      </w:r>
      <w:r>
        <w:rPr>
          <w:rFonts w:ascii="Arial" w:hAnsi="Arial" w:cs="Arial"/>
          <w:b/>
          <w:lang w:val="en-GB"/>
        </w:rPr>
        <w:t>.</w:t>
      </w:r>
      <w:r w:rsidRPr="000C71F0">
        <w:rPr>
          <w:rFonts w:ascii="Arial" w:hAnsi="Arial" w:cs="Arial"/>
          <w:b/>
          <w:lang w:val="en-GB"/>
        </w:rPr>
        <w:t xml:space="preserve"> </w:t>
      </w:r>
      <w:r w:rsidRPr="000C71F0">
        <w:rPr>
          <w:rFonts w:ascii="Arial" w:hAnsi="Arial" w:cs="Arial"/>
          <w:lang w:val="en-GB"/>
        </w:rPr>
        <w:t>Mechanisms of action and peak serum concent</w:t>
      </w:r>
      <w:r>
        <w:rPr>
          <w:rFonts w:ascii="Arial" w:hAnsi="Arial" w:cs="Arial"/>
          <w:lang w:val="en-GB"/>
        </w:rPr>
        <w:t>rations (PSC) in mg/L of the 9</w:t>
      </w:r>
      <w:r w:rsidRPr="000C71F0">
        <w:rPr>
          <w:rFonts w:ascii="Arial" w:hAnsi="Arial" w:cs="Arial"/>
          <w:lang w:val="en-GB"/>
        </w:rPr>
        <w:t xml:space="preserve"> antibiotics used in this study </w:t>
      </w:r>
    </w:p>
    <w:tbl>
      <w:tblPr>
        <w:tblStyle w:val="TabelaSimples31"/>
        <w:tblW w:w="8505" w:type="dxa"/>
        <w:jc w:val="center"/>
        <w:tblLook w:val="04A0" w:firstRow="1" w:lastRow="0" w:firstColumn="1" w:lastColumn="0" w:noHBand="0" w:noVBand="1"/>
      </w:tblPr>
      <w:tblGrid>
        <w:gridCol w:w="1560"/>
        <w:gridCol w:w="1417"/>
        <w:gridCol w:w="5528"/>
      </w:tblGrid>
      <w:tr w:rsidR="00901D6D" w:rsidRPr="00693C3E" w:rsidTr="009B17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  <w:vAlign w:val="center"/>
          </w:tcPr>
          <w:p w:rsidR="00901D6D" w:rsidRPr="00451B1B" w:rsidRDefault="00901D6D" w:rsidP="00BA6789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</w:pPr>
            <w:r>
              <w:rPr>
                <w:rFonts w:ascii="Arial" w:hAnsi="Arial" w:cs="Arial"/>
                <w:caps w:val="0"/>
                <w:sz w:val="20"/>
                <w:szCs w:val="20"/>
                <w:lang w:val="en-GB"/>
              </w:rPr>
              <w:t xml:space="preserve">Mechanism of action </w:t>
            </w:r>
            <w:r>
              <w:rPr>
                <w:rFonts w:ascii="Arial" w:hAnsi="Arial" w:cs="Arial"/>
                <w:caps w:val="0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1417" w:type="dxa"/>
            <w:vAlign w:val="center"/>
          </w:tcPr>
          <w:p w:rsidR="00901D6D" w:rsidRPr="00483CDA" w:rsidRDefault="00901D6D" w:rsidP="00BA6789">
            <w:pPr>
              <w:spacing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aps w:val="0"/>
                <w:sz w:val="20"/>
                <w:szCs w:val="20"/>
                <w:lang w:val="en-GB"/>
              </w:rPr>
              <w:t>Antibiotic</w:t>
            </w:r>
          </w:p>
        </w:tc>
        <w:tc>
          <w:tcPr>
            <w:tcW w:w="5528" w:type="dxa"/>
            <w:vAlign w:val="center"/>
          </w:tcPr>
          <w:p w:rsidR="00901D6D" w:rsidRPr="00483CDA" w:rsidRDefault="00901D6D" w:rsidP="00BA6789">
            <w:pPr>
              <w:spacing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aps w:val="0"/>
                <w:sz w:val="20"/>
                <w:szCs w:val="20"/>
                <w:lang w:val="en-GB"/>
              </w:rPr>
              <w:t>PSC (mg/L)</w:t>
            </w:r>
          </w:p>
        </w:tc>
      </w:tr>
      <w:tr w:rsidR="00901D6D" w:rsidRPr="00693C3E" w:rsidTr="009B1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901D6D" w:rsidRPr="00443BC7" w:rsidRDefault="00901D6D" w:rsidP="00BA6789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aps w:val="0"/>
                <w:sz w:val="20"/>
                <w:szCs w:val="20"/>
                <w:lang w:val="en-GB"/>
              </w:rPr>
              <w:t>Cell wall synthesis inhibitor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01D6D" w:rsidRPr="00483CDA" w:rsidRDefault="00901D6D" w:rsidP="00BA678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Dicloxacillin 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901D6D" w:rsidRPr="00393F97" w:rsidRDefault="00901D6D" w:rsidP="009B176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93F97">
              <w:rPr>
                <w:rFonts w:ascii="Arial" w:hAnsi="Arial" w:cs="Arial"/>
                <w:b/>
                <w:sz w:val="20"/>
                <w:szCs w:val="20"/>
                <w:lang w:val="en-GB"/>
              </w:rPr>
              <w:t>59</w:t>
            </w:r>
          </w:p>
          <w:p w:rsidR="00901D6D" w:rsidRPr="009B1767" w:rsidRDefault="00393F97" w:rsidP="009B1767">
            <w:pPr>
              <w:pStyle w:val="Normal1"/>
              <w:spacing w:before="12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393F97">
              <w:rPr>
                <w:sz w:val="18"/>
                <w:szCs w:val="20"/>
              </w:rPr>
              <w:t>(</w:t>
            </w:r>
            <w:r w:rsidRPr="00393F97">
              <w:rPr>
                <w:sz w:val="18"/>
                <w:szCs w:val="20"/>
              </w:rPr>
              <w:t xml:space="preserve">Friberg, O.; Jones, I.; </w:t>
            </w:r>
            <w:proofErr w:type="spellStart"/>
            <w:r w:rsidRPr="00393F97">
              <w:rPr>
                <w:sz w:val="18"/>
                <w:szCs w:val="20"/>
              </w:rPr>
              <w:t>Sjöberg</w:t>
            </w:r>
            <w:proofErr w:type="spellEnd"/>
            <w:r w:rsidRPr="00393F97">
              <w:rPr>
                <w:sz w:val="18"/>
                <w:szCs w:val="20"/>
              </w:rPr>
              <w:t xml:space="preserve">, L.; </w:t>
            </w:r>
            <w:proofErr w:type="spellStart"/>
            <w:r w:rsidRPr="00393F97">
              <w:rPr>
                <w:sz w:val="18"/>
                <w:szCs w:val="20"/>
              </w:rPr>
              <w:t>Söderquist</w:t>
            </w:r>
            <w:proofErr w:type="spellEnd"/>
            <w:r w:rsidRPr="00393F97">
              <w:rPr>
                <w:sz w:val="18"/>
                <w:szCs w:val="20"/>
              </w:rPr>
              <w:t xml:space="preserve">, B.; </w:t>
            </w:r>
            <w:proofErr w:type="spellStart"/>
            <w:r w:rsidRPr="00393F97">
              <w:rPr>
                <w:sz w:val="18"/>
                <w:szCs w:val="20"/>
              </w:rPr>
              <w:t>Vikerfors</w:t>
            </w:r>
            <w:proofErr w:type="spellEnd"/>
            <w:r w:rsidRPr="00393F97">
              <w:rPr>
                <w:sz w:val="18"/>
                <w:szCs w:val="20"/>
              </w:rPr>
              <w:t xml:space="preserve">, T. &amp; </w:t>
            </w:r>
            <w:proofErr w:type="spellStart"/>
            <w:r w:rsidRPr="00393F97">
              <w:rPr>
                <w:sz w:val="18"/>
                <w:szCs w:val="20"/>
              </w:rPr>
              <w:t>Källman</w:t>
            </w:r>
            <w:proofErr w:type="spellEnd"/>
            <w:r w:rsidRPr="00393F97">
              <w:rPr>
                <w:sz w:val="18"/>
                <w:szCs w:val="20"/>
              </w:rPr>
              <w:t xml:space="preserve">, J., 2004. Antibiotic concentrations in serum and wound fluid after local gentamicin or intravenous dicloxacillin prophylaxis in cardiac surgery. </w:t>
            </w:r>
            <w:proofErr w:type="spellStart"/>
            <w:r w:rsidRPr="00393F97">
              <w:rPr>
                <w:i/>
                <w:iCs/>
                <w:sz w:val="18"/>
                <w:szCs w:val="20"/>
              </w:rPr>
              <w:t>Scand</w:t>
            </w:r>
            <w:proofErr w:type="spellEnd"/>
            <w:r w:rsidRPr="00393F97">
              <w:rPr>
                <w:i/>
                <w:iCs/>
                <w:sz w:val="18"/>
                <w:szCs w:val="20"/>
              </w:rPr>
              <w:t xml:space="preserve"> J Infect Dis.</w:t>
            </w:r>
            <w:r w:rsidRPr="00393F97">
              <w:rPr>
                <w:sz w:val="18"/>
                <w:szCs w:val="20"/>
              </w:rPr>
              <w:t>, 35(4):251</w:t>
            </w:r>
            <w:r w:rsidR="009B1767">
              <w:rPr>
                <w:sz w:val="18"/>
                <w:szCs w:val="20"/>
              </w:rPr>
              <w:t>-254</w:t>
            </w:r>
            <w:r w:rsidRPr="00393F97">
              <w:rPr>
                <w:sz w:val="18"/>
                <w:szCs w:val="20"/>
              </w:rPr>
              <w:t>)</w:t>
            </w:r>
          </w:p>
        </w:tc>
      </w:tr>
      <w:tr w:rsidR="00901D6D" w:rsidRPr="00483CDA" w:rsidTr="009B1767">
        <w:trPr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shd w:val="clear" w:color="auto" w:fill="D9D9D9" w:themeFill="background1" w:themeFillShade="D9"/>
            <w:vAlign w:val="center"/>
          </w:tcPr>
          <w:p w:rsidR="00901D6D" w:rsidRPr="00483CDA" w:rsidRDefault="00901D6D" w:rsidP="00BA678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901D6D" w:rsidRPr="00483CDA" w:rsidRDefault="00901D6D" w:rsidP="00BA678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Teicoplanin</w:t>
            </w:r>
          </w:p>
        </w:tc>
        <w:tc>
          <w:tcPr>
            <w:tcW w:w="5528" w:type="dxa"/>
          </w:tcPr>
          <w:p w:rsidR="00901D6D" w:rsidRPr="00393F97" w:rsidRDefault="00901D6D" w:rsidP="009B176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93F97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  <w:p w:rsidR="00901D6D" w:rsidRPr="009B1767" w:rsidRDefault="00393F97" w:rsidP="009B1767">
            <w:pPr>
              <w:pStyle w:val="Normal1"/>
              <w:spacing w:before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pt-PT"/>
              </w:rPr>
            </w:pPr>
            <w:r w:rsidRPr="00393F97">
              <w:rPr>
                <w:sz w:val="18"/>
                <w:szCs w:val="18"/>
                <w:lang w:val="pt-PT"/>
              </w:rPr>
              <w:t>(</w:t>
            </w:r>
            <w:proofErr w:type="spellStart"/>
            <w:r w:rsidRPr="00393F97">
              <w:rPr>
                <w:sz w:val="18"/>
                <w:szCs w:val="18"/>
                <w:lang w:val="pt-PT"/>
              </w:rPr>
              <w:t>Mensa</w:t>
            </w:r>
            <w:proofErr w:type="spellEnd"/>
            <w:r w:rsidRPr="00393F97">
              <w:rPr>
                <w:sz w:val="18"/>
                <w:szCs w:val="18"/>
                <w:lang w:val="pt-PT"/>
              </w:rPr>
              <w:t xml:space="preserve">, J., 1998. </w:t>
            </w:r>
            <w:proofErr w:type="spellStart"/>
            <w:r w:rsidRPr="00393F97">
              <w:rPr>
                <w:i/>
                <w:iCs/>
                <w:sz w:val="18"/>
                <w:szCs w:val="18"/>
                <w:lang w:val="pt-PT"/>
              </w:rPr>
              <w:t>Guía</w:t>
            </w:r>
            <w:proofErr w:type="spellEnd"/>
            <w:r w:rsidRPr="00393F97">
              <w:rPr>
                <w:i/>
                <w:iCs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393F97">
              <w:rPr>
                <w:i/>
                <w:iCs/>
                <w:sz w:val="18"/>
                <w:szCs w:val="18"/>
                <w:lang w:val="pt-PT"/>
              </w:rPr>
              <w:t>terapéutica</w:t>
            </w:r>
            <w:proofErr w:type="spellEnd"/>
            <w:r w:rsidRPr="00393F97">
              <w:rPr>
                <w:i/>
                <w:iCs/>
                <w:sz w:val="18"/>
                <w:szCs w:val="18"/>
                <w:lang w:val="pt-PT"/>
              </w:rPr>
              <w:t xml:space="preserve"> antimicrobiana</w:t>
            </w:r>
            <w:r w:rsidRPr="00393F97">
              <w:rPr>
                <w:sz w:val="18"/>
                <w:szCs w:val="18"/>
                <w:lang w:val="pt-PT"/>
              </w:rPr>
              <w:t xml:space="preserve"> 8th ed., </w:t>
            </w:r>
            <w:proofErr w:type="spellStart"/>
            <w:r w:rsidRPr="00393F97">
              <w:rPr>
                <w:sz w:val="18"/>
                <w:szCs w:val="18"/>
                <w:lang w:val="pt-PT"/>
              </w:rPr>
              <w:t>Masson</w:t>
            </w:r>
            <w:proofErr w:type="spellEnd"/>
            <w:r w:rsidRPr="00393F97">
              <w:rPr>
                <w:sz w:val="18"/>
                <w:szCs w:val="18"/>
                <w:lang w:val="pt-PT"/>
              </w:rPr>
              <w:t>)</w:t>
            </w:r>
          </w:p>
        </w:tc>
      </w:tr>
      <w:tr w:rsidR="00901D6D" w:rsidRPr="000A2AA0" w:rsidTr="009B1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shd w:val="clear" w:color="auto" w:fill="D9D9D9" w:themeFill="background1" w:themeFillShade="D9"/>
            <w:vAlign w:val="center"/>
          </w:tcPr>
          <w:p w:rsidR="00901D6D" w:rsidRPr="00393F97" w:rsidRDefault="00901D6D" w:rsidP="00BA678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01D6D" w:rsidRPr="00483CDA" w:rsidRDefault="00901D6D" w:rsidP="00BA678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Vancomycin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901D6D" w:rsidRPr="00393F97" w:rsidRDefault="00901D6D" w:rsidP="009B176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93F97">
              <w:rPr>
                <w:rFonts w:ascii="Arial" w:hAnsi="Arial" w:cs="Arial"/>
                <w:b/>
                <w:sz w:val="20"/>
                <w:szCs w:val="20"/>
                <w:lang w:val="en-GB"/>
              </w:rPr>
              <w:t>40</w:t>
            </w:r>
          </w:p>
          <w:p w:rsidR="00901D6D" w:rsidRPr="009B1767" w:rsidRDefault="00393F97" w:rsidP="009B1767">
            <w:pPr>
              <w:pStyle w:val="Normal1"/>
              <w:spacing w:before="12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393F97">
              <w:rPr>
                <w:sz w:val="18"/>
                <w:szCs w:val="18"/>
              </w:rPr>
              <w:t xml:space="preserve">National Committee for Clinical Laboratory Standards, 1997. </w:t>
            </w:r>
            <w:r w:rsidRPr="00393F97">
              <w:rPr>
                <w:i/>
                <w:iCs/>
                <w:sz w:val="18"/>
                <w:szCs w:val="18"/>
              </w:rPr>
              <w:t>Methods for dilution: antimicrobial susceptibility tests for bacteria that grow aerobically - Fifth Edition: Approved Standard M7-A5</w:t>
            </w:r>
            <w:r w:rsidRPr="00393F97">
              <w:rPr>
                <w:sz w:val="18"/>
                <w:szCs w:val="18"/>
              </w:rPr>
              <w:t>, Wayne, PA, USA: NCCLS</w:t>
            </w:r>
            <w:r>
              <w:rPr>
                <w:sz w:val="18"/>
                <w:szCs w:val="18"/>
              </w:rPr>
              <w:t>)</w:t>
            </w:r>
          </w:p>
        </w:tc>
      </w:tr>
      <w:tr w:rsidR="00901D6D" w:rsidRPr="000A2AA0" w:rsidTr="009B1767">
        <w:trPr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shd w:val="clear" w:color="auto" w:fill="FFFFFF" w:themeFill="background1"/>
            <w:vAlign w:val="center"/>
          </w:tcPr>
          <w:p w:rsidR="00901D6D" w:rsidRPr="00483CDA" w:rsidRDefault="00901D6D" w:rsidP="00BA678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aps w:val="0"/>
                <w:sz w:val="20"/>
                <w:szCs w:val="20"/>
                <w:lang w:val="en-GB"/>
              </w:rPr>
              <w:t>Nucleic acids synthesis inhibitor</w:t>
            </w:r>
          </w:p>
        </w:tc>
        <w:tc>
          <w:tcPr>
            <w:tcW w:w="1417" w:type="dxa"/>
            <w:vAlign w:val="center"/>
          </w:tcPr>
          <w:p w:rsidR="00901D6D" w:rsidRPr="00483CDA" w:rsidRDefault="00901D6D" w:rsidP="00BA678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Ciprofloxacin</w:t>
            </w:r>
          </w:p>
        </w:tc>
        <w:tc>
          <w:tcPr>
            <w:tcW w:w="5528" w:type="dxa"/>
          </w:tcPr>
          <w:p w:rsidR="00901D6D" w:rsidRPr="00393F97" w:rsidRDefault="00901D6D" w:rsidP="009B176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93F97">
              <w:rPr>
                <w:rFonts w:ascii="Arial" w:hAnsi="Arial" w:cs="Arial"/>
                <w:b/>
                <w:sz w:val="20"/>
                <w:szCs w:val="20"/>
                <w:lang w:val="en-US"/>
              </w:rPr>
              <w:t>4.5</w:t>
            </w:r>
          </w:p>
          <w:p w:rsidR="00901D6D" w:rsidRPr="009B1767" w:rsidRDefault="00393F97" w:rsidP="009B1767">
            <w:pPr>
              <w:pStyle w:val="Normal1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393F97">
              <w:rPr>
                <w:sz w:val="18"/>
                <w:szCs w:val="20"/>
              </w:rPr>
              <w:t>(</w:t>
            </w:r>
            <w:r w:rsidR="000A2AA0" w:rsidRPr="00393F97">
              <w:rPr>
                <w:sz w:val="18"/>
                <w:szCs w:val="20"/>
              </w:rPr>
              <w:t>Bayer HealthCare Pharmaceuticals Inc., 2004.</w:t>
            </w:r>
            <w:r w:rsidRPr="00393F97">
              <w:rPr>
                <w:sz w:val="18"/>
                <w:szCs w:val="20"/>
              </w:rPr>
              <w:t xml:space="preserve"> </w:t>
            </w:r>
            <w:r w:rsidR="000A2AA0" w:rsidRPr="00393F97">
              <w:rPr>
                <w:sz w:val="18"/>
                <w:szCs w:val="20"/>
              </w:rPr>
              <w:t>CIPRO</w:t>
            </w:r>
            <w:r w:rsidRPr="00393F97">
              <w:rPr>
                <w:sz w:val="18"/>
                <w:szCs w:val="20"/>
              </w:rPr>
              <w:t xml:space="preserve"> </w:t>
            </w:r>
            <w:r w:rsidR="000A2AA0" w:rsidRPr="00393F97">
              <w:rPr>
                <w:sz w:val="18"/>
                <w:szCs w:val="20"/>
              </w:rPr>
              <w:t>(R)</w:t>
            </w:r>
            <w:r w:rsidRPr="00393F97">
              <w:rPr>
                <w:sz w:val="18"/>
                <w:szCs w:val="20"/>
              </w:rPr>
              <w:t xml:space="preserve"> </w:t>
            </w:r>
            <w:r w:rsidR="000A2AA0" w:rsidRPr="00393F97">
              <w:rPr>
                <w:sz w:val="18"/>
                <w:szCs w:val="20"/>
              </w:rPr>
              <w:t>(ciprofloxacin hydrochloride) Tablets, pp.1–31</w:t>
            </w:r>
            <w:r w:rsidRPr="00393F97">
              <w:rPr>
                <w:sz w:val="18"/>
                <w:szCs w:val="20"/>
              </w:rPr>
              <w:t xml:space="preserve"> )</w:t>
            </w:r>
          </w:p>
        </w:tc>
      </w:tr>
      <w:tr w:rsidR="00901D6D" w:rsidRPr="000A2AA0" w:rsidTr="009B1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shd w:val="clear" w:color="auto" w:fill="FFFFFF" w:themeFill="background1"/>
            <w:vAlign w:val="center"/>
          </w:tcPr>
          <w:p w:rsidR="00901D6D" w:rsidRPr="000A2AA0" w:rsidRDefault="00901D6D" w:rsidP="00BA678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01D6D" w:rsidRPr="00483CDA" w:rsidRDefault="00901D6D" w:rsidP="00BA678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Rifampicin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901D6D" w:rsidRPr="00393F97" w:rsidRDefault="00901D6D" w:rsidP="009B176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93F97">
              <w:rPr>
                <w:rFonts w:ascii="Arial" w:hAnsi="Arial" w:cs="Arial"/>
                <w:b/>
                <w:sz w:val="20"/>
                <w:szCs w:val="20"/>
                <w:lang w:val="en-GB"/>
              </w:rPr>
              <w:t>10</w:t>
            </w:r>
          </w:p>
          <w:p w:rsidR="00901D6D" w:rsidRPr="009B1767" w:rsidRDefault="00393F97" w:rsidP="009B1767">
            <w:pPr>
              <w:pStyle w:val="Normal1"/>
              <w:spacing w:before="12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393F97">
              <w:rPr>
                <w:sz w:val="18"/>
                <w:szCs w:val="18"/>
              </w:rPr>
              <w:t xml:space="preserve">National Committee for Clinical Laboratory Standards, 1997. </w:t>
            </w:r>
            <w:r w:rsidRPr="00393F97">
              <w:rPr>
                <w:i/>
                <w:iCs/>
                <w:sz w:val="18"/>
                <w:szCs w:val="18"/>
              </w:rPr>
              <w:t>Methods for dilution: antimicrobial susceptibility tests for bacteria that grow aerobically - Fifth Edition: Approved Standard M7-A5</w:t>
            </w:r>
            <w:r w:rsidRPr="00393F97">
              <w:rPr>
                <w:sz w:val="18"/>
                <w:szCs w:val="18"/>
              </w:rPr>
              <w:t>, Wayne, PA, USA: NCCLS</w:t>
            </w:r>
            <w:r>
              <w:rPr>
                <w:sz w:val="18"/>
                <w:szCs w:val="18"/>
              </w:rPr>
              <w:t>)</w:t>
            </w:r>
          </w:p>
        </w:tc>
      </w:tr>
      <w:tr w:rsidR="00901D6D" w:rsidRPr="009B1767" w:rsidTr="009B1767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901D6D" w:rsidRPr="00483CDA" w:rsidRDefault="00901D6D" w:rsidP="00BA678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aps w:val="0"/>
                <w:sz w:val="20"/>
                <w:szCs w:val="20"/>
                <w:lang w:val="en-GB"/>
              </w:rPr>
              <w:t>Protein synthesis inhibitor</w:t>
            </w:r>
          </w:p>
        </w:tc>
        <w:tc>
          <w:tcPr>
            <w:tcW w:w="1417" w:type="dxa"/>
            <w:vAlign w:val="center"/>
          </w:tcPr>
          <w:p w:rsidR="00901D6D" w:rsidRPr="00483CDA" w:rsidRDefault="00901D6D" w:rsidP="00BA678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Erythromycin</w:t>
            </w:r>
          </w:p>
        </w:tc>
        <w:tc>
          <w:tcPr>
            <w:tcW w:w="5528" w:type="dxa"/>
          </w:tcPr>
          <w:p w:rsidR="00901D6D" w:rsidRPr="00393F97" w:rsidRDefault="00901D6D" w:rsidP="009B176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93F97">
              <w:rPr>
                <w:rFonts w:ascii="Arial" w:hAnsi="Arial" w:cs="Arial"/>
                <w:b/>
                <w:sz w:val="20"/>
                <w:szCs w:val="20"/>
                <w:lang w:val="en-GB"/>
              </w:rPr>
              <w:t>10</w:t>
            </w:r>
          </w:p>
          <w:p w:rsidR="00901D6D" w:rsidRPr="009B1767" w:rsidRDefault="00393F97" w:rsidP="009B1767">
            <w:pPr>
              <w:pStyle w:val="Normal1"/>
              <w:spacing w:before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93F97">
              <w:rPr>
                <w:sz w:val="18"/>
                <w:szCs w:val="18"/>
                <w:lang w:val="en-GB"/>
              </w:rPr>
              <w:t>(</w:t>
            </w:r>
            <w:r w:rsidRPr="00393F97">
              <w:rPr>
                <w:sz w:val="18"/>
                <w:szCs w:val="18"/>
              </w:rPr>
              <w:t xml:space="preserve">Bennett, J.E.; Dolin, R. &amp; Blaser, M.J., 2014. Basic principles in the diagnosis and management of infectious diseases. In </w:t>
            </w:r>
            <w:r w:rsidRPr="00393F97">
              <w:rPr>
                <w:i/>
                <w:iCs/>
                <w:sz w:val="18"/>
                <w:szCs w:val="18"/>
              </w:rPr>
              <w:t>Principles and Practice of Infectious Diseases</w:t>
            </w:r>
            <w:r w:rsidR="009B1767">
              <w:rPr>
                <w:i/>
                <w:iCs/>
                <w:sz w:val="18"/>
                <w:szCs w:val="18"/>
              </w:rPr>
              <w:t>,</w:t>
            </w:r>
            <w:r w:rsidRPr="00393F97">
              <w:rPr>
                <w:sz w:val="18"/>
                <w:szCs w:val="18"/>
              </w:rPr>
              <w:t xml:space="preserve"> pp. 358–376</w:t>
            </w:r>
            <w:r w:rsidR="009B1767">
              <w:rPr>
                <w:sz w:val="18"/>
                <w:szCs w:val="18"/>
              </w:rPr>
              <w:t xml:space="preserve">, </w:t>
            </w:r>
            <w:bookmarkStart w:id="0" w:name="_GoBack"/>
            <w:r w:rsidR="009B1767" w:rsidRPr="009B1767">
              <w:rPr>
                <w:sz w:val="18"/>
                <w:szCs w:val="18"/>
              </w:rPr>
              <w:t>Philadelphia, PA</w:t>
            </w:r>
            <w:r w:rsidR="009B1767">
              <w:rPr>
                <w:sz w:val="18"/>
                <w:szCs w:val="18"/>
              </w:rPr>
              <w:t>, Elsevier Saunders</w:t>
            </w:r>
            <w:r w:rsidRPr="00393F97">
              <w:rPr>
                <w:sz w:val="18"/>
                <w:szCs w:val="18"/>
              </w:rPr>
              <w:t>)</w:t>
            </w:r>
            <w:bookmarkEnd w:id="0"/>
          </w:p>
        </w:tc>
      </w:tr>
      <w:tr w:rsidR="00901D6D" w:rsidRPr="00483CDA" w:rsidTr="009B1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shd w:val="clear" w:color="auto" w:fill="D9D9D9" w:themeFill="background1" w:themeFillShade="D9"/>
            <w:vAlign w:val="center"/>
          </w:tcPr>
          <w:p w:rsidR="00901D6D" w:rsidRPr="00483CDA" w:rsidRDefault="00901D6D" w:rsidP="00BA678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01D6D" w:rsidRPr="00483CDA" w:rsidRDefault="00901D6D" w:rsidP="00BA678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Gentamicin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901D6D" w:rsidRPr="00393F97" w:rsidRDefault="00901D6D" w:rsidP="009B176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93F9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:rsidR="00901D6D" w:rsidRPr="009B1767" w:rsidRDefault="00393F97" w:rsidP="009B1767">
            <w:pPr>
              <w:pStyle w:val="Normal1"/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PT"/>
              </w:rPr>
              <w:t>(</w:t>
            </w:r>
            <w:proofErr w:type="spellStart"/>
            <w:r w:rsidRPr="00393F97">
              <w:rPr>
                <w:sz w:val="18"/>
                <w:szCs w:val="18"/>
                <w:lang w:val="pt-PT"/>
              </w:rPr>
              <w:t>Demczar</w:t>
            </w:r>
            <w:proofErr w:type="spellEnd"/>
            <w:r w:rsidRPr="00393F97">
              <w:rPr>
                <w:sz w:val="18"/>
                <w:szCs w:val="18"/>
                <w:lang w:val="pt-PT"/>
              </w:rPr>
              <w:t xml:space="preserve">, D.J.; </w:t>
            </w:r>
            <w:proofErr w:type="spellStart"/>
            <w:r w:rsidRPr="00393F97">
              <w:rPr>
                <w:sz w:val="18"/>
                <w:szCs w:val="18"/>
                <w:lang w:val="pt-PT"/>
              </w:rPr>
              <w:t>Nafziger</w:t>
            </w:r>
            <w:proofErr w:type="spellEnd"/>
            <w:r w:rsidRPr="00393F97">
              <w:rPr>
                <w:sz w:val="18"/>
                <w:szCs w:val="18"/>
                <w:lang w:val="pt-PT"/>
              </w:rPr>
              <w:t xml:space="preserve">, A.N. &amp; Bertino, J.S., 1997. </w:t>
            </w:r>
            <w:r w:rsidRPr="00393F97">
              <w:rPr>
                <w:sz w:val="18"/>
                <w:szCs w:val="18"/>
              </w:rPr>
              <w:t xml:space="preserve">Pharmacokinetics of gentamicin at traditional versus high doses: Implications for once-daily aminoglycoside dosing. </w:t>
            </w:r>
            <w:r w:rsidRPr="00393F97">
              <w:rPr>
                <w:i/>
                <w:iCs/>
                <w:sz w:val="18"/>
                <w:szCs w:val="18"/>
              </w:rPr>
              <w:t>Antimicrobial Agents and Chemotherapy</w:t>
            </w:r>
            <w:r w:rsidRPr="00393F97">
              <w:rPr>
                <w:sz w:val="18"/>
                <w:szCs w:val="18"/>
              </w:rPr>
              <w:t>, 41(5), pp.1115–1119</w:t>
            </w:r>
            <w:r>
              <w:rPr>
                <w:sz w:val="18"/>
                <w:szCs w:val="18"/>
              </w:rPr>
              <w:t>)</w:t>
            </w:r>
          </w:p>
        </w:tc>
      </w:tr>
      <w:tr w:rsidR="00901D6D" w:rsidRPr="00483CDA" w:rsidTr="009B1767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shd w:val="clear" w:color="auto" w:fill="D9D9D9" w:themeFill="background1" w:themeFillShade="D9"/>
            <w:vAlign w:val="center"/>
          </w:tcPr>
          <w:p w:rsidR="00901D6D" w:rsidRPr="00483CDA" w:rsidRDefault="00901D6D" w:rsidP="00BA678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901D6D" w:rsidRPr="00483CDA" w:rsidRDefault="00901D6D" w:rsidP="00BA678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Linezolid</w:t>
            </w:r>
          </w:p>
        </w:tc>
        <w:tc>
          <w:tcPr>
            <w:tcW w:w="5528" w:type="dxa"/>
          </w:tcPr>
          <w:p w:rsidR="00901D6D" w:rsidRPr="00393F97" w:rsidRDefault="00901D6D" w:rsidP="009B176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93F97">
              <w:rPr>
                <w:rFonts w:ascii="Arial" w:hAnsi="Arial" w:cs="Arial"/>
                <w:b/>
                <w:sz w:val="20"/>
                <w:szCs w:val="20"/>
                <w:lang w:val="en-GB"/>
              </w:rPr>
              <w:t>18</w:t>
            </w:r>
          </w:p>
          <w:p w:rsidR="00901D6D" w:rsidRPr="009B1767" w:rsidRDefault="00393F97" w:rsidP="009B1767">
            <w:pPr>
              <w:pStyle w:val="Normal1"/>
              <w:spacing w:before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 w:rsidRPr="00393F97">
              <w:rPr>
                <w:sz w:val="18"/>
                <w:szCs w:val="18"/>
              </w:rPr>
              <w:t>Prydal</w:t>
            </w:r>
            <w:proofErr w:type="spellEnd"/>
            <w:r w:rsidRPr="00393F97">
              <w:rPr>
                <w:sz w:val="18"/>
                <w:szCs w:val="18"/>
              </w:rPr>
              <w:t xml:space="preserve">, J.I.; Jenkins, D.R.; </w:t>
            </w:r>
            <w:proofErr w:type="spellStart"/>
            <w:r w:rsidRPr="00393F97">
              <w:rPr>
                <w:sz w:val="18"/>
                <w:szCs w:val="18"/>
              </w:rPr>
              <w:t>Lovering</w:t>
            </w:r>
            <w:proofErr w:type="spellEnd"/>
            <w:r w:rsidRPr="00393F97">
              <w:rPr>
                <w:sz w:val="18"/>
                <w:szCs w:val="18"/>
              </w:rPr>
              <w:t xml:space="preserve">, A. &amp; Watts, A., 2005. The pharmacokinetics of linezolid in the non-inflamed human eye. </w:t>
            </w:r>
            <w:r w:rsidRPr="00393F97">
              <w:rPr>
                <w:i/>
                <w:iCs/>
                <w:sz w:val="18"/>
                <w:szCs w:val="18"/>
              </w:rPr>
              <w:t>The British journal of ophthalmology</w:t>
            </w:r>
            <w:r w:rsidRPr="00393F97">
              <w:rPr>
                <w:sz w:val="18"/>
                <w:szCs w:val="18"/>
              </w:rPr>
              <w:t>, 89(11), pp.1418–9</w:t>
            </w:r>
            <w:r>
              <w:rPr>
                <w:sz w:val="18"/>
                <w:szCs w:val="18"/>
              </w:rPr>
              <w:t>)</w:t>
            </w:r>
          </w:p>
        </w:tc>
      </w:tr>
      <w:tr w:rsidR="00901D6D" w:rsidRPr="000A2AA0" w:rsidTr="009B1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shd w:val="clear" w:color="auto" w:fill="D9D9D9" w:themeFill="background1" w:themeFillShade="D9"/>
            <w:vAlign w:val="center"/>
          </w:tcPr>
          <w:p w:rsidR="00901D6D" w:rsidRPr="00483CDA" w:rsidRDefault="00901D6D" w:rsidP="00BA678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01D6D" w:rsidRPr="00483CDA" w:rsidRDefault="00901D6D" w:rsidP="00BA678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Tetracycline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901D6D" w:rsidRPr="00393F97" w:rsidRDefault="00901D6D" w:rsidP="009B176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93F97">
              <w:rPr>
                <w:rFonts w:ascii="Arial" w:hAnsi="Arial" w:cs="Arial"/>
                <w:b/>
                <w:sz w:val="20"/>
                <w:szCs w:val="20"/>
                <w:lang w:val="en-GB"/>
              </w:rPr>
              <w:t>16</w:t>
            </w:r>
          </w:p>
          <w:p w:rsidR="00901D6D" w:rsidRPr="009B1767" w:rsidRDefault="00393F97" w:rsidP="009B1767">
            <w:pPr>
              <w:pStyle w:val="Normal1"/>
              <w:spacing w:before="12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393F97">
              <w:rPr>
                <w:sz w:val="18"/>
                <w:szCs w:val="18"/>
              </w:rPr>
              <w:t xml:space="preserve">National Committee for Clinical Laboratory Standards, 1997. </w:t>
            </w:r>
            <w:r w:rsidRPr="00393F97">
              <w:rPr>
                <w:i/>
                <w:iCs/>
                <w:sz w:val="18"/>
                <w:szCs w:val="18"/>
              </w:rPr>
              <w:t>Methods for dilution: antimicrobial susceptibility tests for bacteria that grow aerobically - Fifth Edition: Approved Standard M7-A5</w:t>
            </w:r>
            <w:r w:rsidRPr="00393F97">
              <w:rPr>
                <w:sz w:val="18"/>
                <w:szCs w:val="18"/>
              </w:rPr>
              <w:t>, Wayne, PA, USA: NCCLS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745352" w:rsidRPr="00901D6D" w:rsidRDefault="00745352" w:rsidP="0074535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154188"/>
          <w:sz w:val="18"/>
          <w:lang w:val="en-US"/>
        </w:rPr>
      </w:pPr>
    </w:p>
    <w:p w:rsidR="00745352" w:rsidRDefault="00745352" w:rsidP="00745352">
      <w:pPr>
        <w:spacing w:line="360" w:lineRule="auto"/>
        <w:jc w:val="both"/>
        <w:rPr>
          <w:rFonts w:ascii="Arial" w:hAnsi="Arial" w:cs="Arial"/>
          <w:color w:val="154188"/>
          <w:sz w:val="18"/>
          <w:lang w:val="en-GB"/>
        </w:rPr>
      </w:pPr>
      <w:proofErr w:type="spellStart"/>
      <w:r w:rsidRPr="000C71F0">
        <w:rPr>
          <w:rFonts w:ascii="Arial" w:hAnsi="Arial" w:cs="Arial"/>
          <w:sz w:val="18"/>
          <w:vertAlign w:val="superscript"/>
          <w:lang w:val="en-GB"/>
        </w:rPr>
        <w:t>a</w:t>
      </w:r>
      <w:proofErr w:type="spellEnd"/>
      <w:r w:rsidRPr="000C71F0">
        <w:rPr>
          <w:rFonts w:ascii="Arial" w:hAnsi="Arial" w:cs="Arial"/>
          <w:sz w:val="18"/>
          <w:lang w:val="en-GB"/>
        </w:rPr>
        <w:t xml:space="preserve"> The mechanism of action of the antibiotics was determined by the information sheet provided by the antibiotics manufacturer. </w:t>
      </w:r>
    </w:p>
    <w:p w:rsidR="00745352" w:rsidRDefault="00745352" w:rsidP="00745352">
      <w:pPr>
        <w:spacing w:line="360" w:lineRule="auto"/>
        <w:jc w:val="both"/>
        <w:rPr>
          <w:rFonts w:ascii="Arial" w:hAnsi="Arial" w:cs="Arial"/>
          <w:color w:val="154188"/>
          <w:sz w:val="18"/>
          <w:lang w:val="en-GB"/>
        </w:rPr>
      </w:pPr>
    </w:p>
    <w:sectPr w:rsidR="00745352" w:rsidSect="009563F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40"/>
    <w:rsid w:val="000A2AA0"/>
    <w:rsid w:val="00393F97"/>
    <w:rsid w:val="006C5A53"/>
    <w:rsid w:val="00745352"/>
    <w:rsid w:val="008F4700"/>
    <w:rsid w:val="00901D6D"/>
    <w:rsid w:val="009563FB"/>
    <w:rsid w:val="009B1767"/>
    <w:rsid w:val="00A23876"/>
    <w:rsid w:val="00A25D40"/>
    <w:rsid w:val="00D6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E6BCA"/>
  <w15:chartTrackingRefBased/>
  <w15:docId w15:val="{9B5EDC67-84CA-FC4A-AAB8-CA5BD205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D40"/>
    <w:rPr>
      <w:rFonts w:ascii="Cambria" w:eastAsia="Cambria" w:hAnsi="Cambria" w:cs="Times New Roman"/>
      <w:sz w:val="22"/>
      <w:szCs w:val="22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Simples31">
    <w:name w:val="Tabela Simples 31"/>
    <w:basedOn w:val="Tabelanormal"/>
    <w:uiPriority w:val="43"/>
    <w:rsid w:val="00A25D4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ps">
    <w:name w:val="hps"/>
    <w:rsid w:val="00A25D40"/>
    <w:rPr>
      <w:rFonts w:cs="Times New Roman"/>
    </w:rPr>
  </w:style>
  <w:style w:type="table" w:customStyle="1" w:styleId="TabelaSimples41">
    <w:name w:val="Tabela Simples 41"/>
    <w:basedOn w:val="Tabelanormal"/>
    <w:uiPriority w:val="44"/>
    <w:rsid w:val="00745352"/>
    <w:rPr>
      <w:rFonts w:ascii="Cambria" w:eastAsia="Cambria" w:hAnsi="Cambria" w:cs="Times New Roman"/>
      <w:lang w:eastAsia="pt-PT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Normal1">
    <w:name w:val="Normal1"/>
    <w:rsid w:val="000A2AA0"/>
    <w:pPr>
      <w:spacing w:line="276" w:lineRule="auto"/>
      <w:contextualSpacing/>
    </w:pPr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Vânia Gaio</dc:creator>
  <cp:keywords/>
  <dc:description/>
  <cp:lastModifiedBy>Vânia Gaio</cp:lastModifiedBy>
  <cp:revision>2</cp:revision>
  <dcterms:created xsi:type="dcterms:W3CDTF">2019-05-08T09:47:00Z</dcterms:created>
  <dcterms:modified xsi:type="dcterms:W3CDTF">2019-05-08T09:47:00Z</dcterms:modified>
</cp:coreProperties>
</file>