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5750" w14:textId="26EE5FD6" w:rsidR="00877947" w:rsidRPr="00ED5560" w:rsidRDefault="0092458D" w:rsidP="00877947">
      <w:pPr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ED5560">
        <w:rPr>
          <w:rFonts w:ascii="Times" w:hAnsi="Times" w:cs="Times"/>
          <w:b/>
          <w:bCs/>
          <w:sz w:val="24"/>
          <w:szCs w:val="24"/>
        </w:rPr>
        <w:t>Supplemental</w:t>
      </w:r>
      <w:r w:rsidR="005D12B5" w:rsidRPr="00ED5560">
        <w:rPr>
          <w:rFonts w:ascii="Times" w:hAnsi="Times" w:cs="Times"/>
          <w:b/>
          <w:bCs/>
          <w:sz w:val="24"/>
          <w:szCs w:val="24"/>
        </w:rPr>
        <w:t xml:space="preserve"> Table </w:t>
      </w:r>
      <w:r w:rsidR="00200D59">
        <w:rPr>
          <w:rFonts w:ascii="Times" w:hAnsi="Times" w:cs="Times"/>
          <w:b/>
          <w:bCs/>
          <w:sz w:val="24"/>
          <w:szCs w:val="24"/>
        </w:rPr>
        <w:t>2</w:t>
      </w:r>
      <w:bookmarkStart w:id="0" w:name="_GoBack"/>
      <w:bookmarkEnd w:id="0"/>
      <w:r w:rsidR="00877947" w:rsidRPr="00ED5560">
        <w:rPr>
          <w:rFonts w:ascii="Times" w:hAnsi="Times" w:cs="Times"/>
          <w:b/>
          <w:bCs/>
          <w:sz w:val="24"/>
          <w:szCs w:val="24"/>
        </w:rPr>
        <w:t xml:space="preserve">: </w:t>
      </w:r>
    </w:p>
    <w:p w14:paraId="0B6C7F51" w14:textId="145F778D" w:rsidR="00877947" w:rsidRPr="00ED5560" w:rsidRDefault="00430A3C" w:rsidP="00877947">
      <w:pPr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ED5560">
        <w:rPr>
          <w:rFonts w:ascii="Times" w:hAnsi="Times" w:cs="Times"/>
          <w:sz w:val="24"/>
          <w:szCs w:val="24"/>
        </w:rPr>
        <w:t>The i</w:t>
      </w:r>
      <w:r w:rsidR="00877947" w:rsidRPr="00ED5560">
        <w:rPr>
          <w:rFonts w:ascii="Times" w:hAnsi="Times" w:cs="Times"/>
          <w:sz w:val="24"/>
          <w:szCs w:val="24"/>
        </w:rPr>
        <w:t>nhibition zone diameters (mm)</w:t>
      </w:r>
      <w:r w:rsidR="00877947" w:rsidRPr="00ED5560">
        <w:rPr>
          <w:rFonts w:ascii="Times" w:hAnsi="Times" w:cs="Times"/>
          <w:sz w:val="24"/>
          <w:szCs w:val="24"/>
          <w:cs/>
        </w:rPr>
        <w:t xml:space="preserve"> </w:t>
      </w:r>
      <w:r w:rsidR="00877947" w:rsidRPr="00ED5560">
        <w:rPr>
          <w:rFonts w:ascii="Times" w:hAnsi="Times" w:cs="Times"/>
          <w:sz w:val="24"/>
          <w:szCs w:val="24"/>
        </w:rPr>
        <w:t xml:space="preserve">of </w:t>
      </w:r>
      <w:r w:rsidR="00D54C6A" w:rsidRPr="00ED5560">
        <w:rPr>
          <w:rFonts w:ascii="Times" w:hAnsi="Times" w:cs="Times"/>
          <w:sz w:val="24"/>
          <w:szCs w:val="24"/>
        </w:rPr>
        <w:t>standard antibiotics</w:t>
      </w:r>
      <w:r w:rsidR="00B27F91" w:rsidRPr="00ED5560">
        <w:rPr>
          <w:rFonts w:ascii="Times" w:hAnsi="Times" w:cs="Times"/>
          <w:sz w:val="24"/>
          <w:szCs w:val="24"/>
          <w:lang w:bidi="en-US"/>
        </w:rPr>
        <w:t xml:space="preserve"> with control species</w:t>
      </w:r>
      <w:r w:rsidRPr="00ED5560">
        <w:rPr>
          <w:rFonts w:ascii="Times" w:hAnsi="Times" w:cs="Times"/>
          <w:sz w:val="24"/>
          <w:szCs w:val="24"/>
        </w:rPr>
        <w:t>.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834"/>
        <w:gridCol w:w="841"/>
        <w:gridCol w:w="841"/>
        <w:gridCol w:w="816"/>
        <w:gridCol w:w="813"/>
      </w:tblGrid>
      <w:tr w:rsidR="00223AF2" w:rsidRPr="00ED5560" w14:paraId="321CF765" w14:textId="77777777" w:rsidTr="00E55B17">
        <w:trPr>
          <w:jc w:val="center"/>
        </w:trPr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0570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Cs w:val="24"/>
              </w:rPr>
            </w:pPr>
            <w:bookmarkStart w:id="1" w:name="_Hlk524017110"/>
            <w:r w:rsidRPr="00ED5560">
              <w:rPr>
                <w:rFonts w:ascii="Times" w:eastAsia="Calibri" w:hAnsi="Times" w:cs="Times"/>
                <w:b/>
                <w:bCs/>
                <w:szCs w:val="24"/>
              </w:rPr>
              <w:t>Samples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90AC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 xml:space="preserve">KP </w:t>
            </w:r>
          </w:p>
          <w:p w14:paraId="4C090168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>BAA 1705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7D46B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</w:rPr>
              <w:t>SA</w:t>
            </w:r>
          </w:p>
          <w:p w14:paraId="45ECB3FC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 xml:space="preserve">ATCC </w:t>
            </w: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cs/>
                <w:lang w:val="en-GB"/>
              </w:rPr>
              <w:t>43300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19D58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>SC</w:t>
            </w:r>
          </w:p>
          <w:p w14:paraId="32BE07CB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 xml:space="preserve">ATCC </w:t>
            </w: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cs/>
                <w:lang w:val="en-GB"/>
              </w:rPr>
              <w:t>10708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DD3E2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>KP</w:t>
            </w: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cs/>
                <w:lang w:val="en-GB"/>
              </w:rPr>
              <w:t>*</w:t>
            </w:r>
          </w:p>
          <w:p w14:paraId="41F65679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>ATCC 700603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043D7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>PA</w:t>
            </w: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cs/>
                <w:lang w:val="en-GB"/>
              </w:rPr>
              <w:t>*</w:t>
            </w:r>
          </w:p>
          <w:p w14:paraId="62174773" w14:textId="77777777" w:rsidR="00877947" w:rsidRPr="00ED5560" w:rsidRDefault="00877947" w:rsidP="00E55B17">
            <w:pPr>
              <w:spacing w:after="0" w:line="276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 xml:space="preserve">ATCC </w:t>
            </w:r>
            <w:r w:rsidRPr="00ED5560">
              <w:rPr>
                <w:rFonts w:ascii="Times" w:eastAsia="Calibri" w:hAnsi="Times" w:cs="Times"/>
                <w:b/>
                <w:bCs/>
                <w:sz w:val="20"/>
                <w:szCs w:val="20"/>
                <w:cs/>
                <w:lang w:val="en-GB"/>
              </w:rPr>
              <w:t>27853</w:t>
            </w:r>
          </w:p>
        </w:tc>
      </w:tr>
      <w:tr w:rsidR="00223AF2" w:rsidRPr="00ED5560" w14:paraId="1F3CB4FE" w14:textId="77777777" w:rsidTr="00E55B1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BB7C2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Piperacillin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/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tazobactam 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(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100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/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10 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g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4DB1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24C53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01DE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62D6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86A1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28</w:t>
            </w:r>
          </w:p>
        </w:tc>
      </w:tr>
      <w:tr w:rsidR="00223AF2" w:rsidRPr="00ED5560" w14:paraId="5A799EE9" w14:textId="77777777" w:rsidTr="00E55B1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3A54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Amikacin 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(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30 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g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BE2A25A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B17A9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D477460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79BE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C733309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23</w:t>
            </w:r>
          </w:p>
        </w:tc>
      </w:tr>
      <w:tr w:rsidR="00223AF2" w:rsidRPr="00ED5560" w14:paraId="7120F9B1" w14:textId="77777777" w:rsidTr="00E55B1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24CB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bookmarkStart w:id="2" w:name="_Hlk534217288"/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Ceftriaxone (30 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g)</w:t>
            </w:r>
            <w:bookmarkEnd w:id="2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6DA328C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2048B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305209E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0F1E3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30C7CEA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</w:tr>
      <w:tr w:rsidR="00223AF2" w:rsidRPr="00ED5560" w14:paraId="0DEB792E" w14:textId="77777777" w:rsidTr="00E55B1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EF98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Cefotaxime 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(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30 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g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64F4A19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A7D8B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B0F1CE1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C66B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06FD92D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</w:tr>
      <w:tr w:rsidR="00223AF2" w:rsidRPr="00ED5560" w14:paraId="51D2C632" w14:textId="77777777" w:rsidTr="00E55B1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4877F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bookmarkStart w:id="3" w:name="_Hlk534217313"/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Ceftazidime (30 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g) </w:t>
            </w:r>
            <w:bookmarkEnd w:id="3"/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61EC5F0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67DF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C49AE21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F2D7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FD60D8D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26</w:t>
            </w:r>
          </w:p>
        </w:tc>
      </w:tr>
      <w:tr w:rsidR="00223AF2" w:rsidRPr="00ED5560" w14:paraId="1DB01A44" w14:textId="77777777" w:rsidTr="00E55B1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3C44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Ciprofloxacin 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(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5 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g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9B6B6DA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7ADF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523A744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7E8B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A078618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30</w:t>
            </w:r>
          </w:p>
        </w:tc>
      </w:tr>
      <w:tr w:rsidR="00223AF2" w:rsidRPr="00ED5560" w14:paraId="1F10A67D" w14:textId="77777777" w:rsidTr="00E55B1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C6A7D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bookmarkStart w:id="4" w:name="_Hlk534217348"/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Nalidixic (30 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g)</w:t>
            </w:r>
            <w:bookmarkEnd w:id="4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3BDF157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455C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ED1C173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72953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7F9391C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</w:tr>
      <w:tr w:rsidR="00223AF2" w:rsidRPr="00ED5560" w14:paraId="42B2D0E0" w14:textId="77777777" w:rsidTr="00E55B1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CF8B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bookmarkStart w:id="5" w:name="_Hlk534217365"/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Imipenem (10 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g)</w:t>
            </w:r>
            <w:bookmarkEnd w:id="5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B59E1F0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70E1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A204685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E53E7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9259ADC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22</w:t>
            </w:r>
          </w:p>
        </w:tc>
      </w:tr>
      <w:tr w:rsidR="00223AF2" w:rsidRPr="00ED5560" w14:paraId="6C86EF38" w14:textId="77777777" w:rsidTr="00E55B1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EAE1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Trimethoprim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/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sulfamethoxazole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 xml:space="preserve"> (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1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.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25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/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23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.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75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g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E569AD8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F39E5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ADCCF8C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0107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81B5B36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</w:tr>
      <w:tr w:rsidR="00223AF2" w:rsidRPr="00ED5560" w14:paraId="7191F5C3" w14:textId="77777777" w:rsidTr="00E55B17">
        <w:trPr>
          <w:trHeight w:val="64"/>
          <w:jc w:val="center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437ED" w14:textId="77777777" w:rsidR="00877947" w:rsidRPr="00ED5560" w:rsidRDefault="00877947" w:rsidP="00E55B17">
            <w:pPr>
              <w:spacing w:after="0" w:line="360" w:lineRule="auto"/>
              <w:jc w:val="both"/>
              <w:rPr>
                <w:rFonts w:ascii="Times" w:eastAsia="Calibri" w:hAnsi="Times" w:cs="Times"/>
                <w:sz w:val="20"/>
                <w:szCs w:val="20"/>
                <w:lang w:val="en-GB"/>
              </w:rPr>
            </w:pP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Vancomycin 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(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 xml:space="preserve">30 </w:t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sym w:font="Symbol" w:char="F06D"/>
            </w:r>
            <w:r w:rsidRPr="00ED5560">
              <w:rPr>
                <w:rFonts w:ascii="Times" w:eastAsia="Calibri" w:hAnsi="Times" w:cs="Times"/>
                <w:sz w:val="20"/>
                <w:szCs w:val="20"/>
                <w:lang w:val="en-GB"/>
              </w:rPr>
              <w:t>g</w:t>
            </w:r>
            <w:r w:rsidRPr="00ED5560">
              <w:rPr>
                <w:rFonts w:ascii="Times" w:eastAsia="Calibri" w:hAnsi="Times" w:cs="Times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226E2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A9740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94259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330D6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58025" w14:textId="77777777" w:rsidR="00877947" w:rsidRPr="00ED5560" w:rsidRDefault="00877947" w:rsidP="00E55B1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  <w:lang w:eastAsia="zh-CN"/>
              </w:rPr>
            </w:pPr>
            <w:r w:rsidRPr="00ED5560">
              <w:rPr>
                <w:rFonts w:ascii="Times" w:hAnsi="Times" w:cs="Times"/>
                <w:sz w:val="20"/>
                <w:szCs w:val="20"/>
                <w:lang w:eastAsia="zh-CN"/>
              </w:rPr>
              <w:t>NT</w:t>
            </w:r>
          </w:p>
        </w:tc>
      </w:tr>
    </w:tbl>
    <w:bookmarkEnd w:id="1"/>
    <w:p w14:paraId="078E3061" w14:textId="2FB3EE88" w:rsidR="00877947" w:rsidRPr="00ED5560" w:rsidRDefault="00877947" w:rsidP="005D12B5">
      <w:pPr>
        <w:spacing w:before="240" w:after="0" w:line="360" w:lineRule="auto"/>
        <w:rPr>
          <w:rFonts w:ascii="Times" w:hAnsi="Times" w:cs="Times"/>
          <w:sz w:val="20"/>
          <w:szCs w:val="20"/>
        </w:rPr>
      </w:pPr>
      <w:r w:rsidRPr="00ED5560">
        <w:rPr>
          <w:rFonts w:ascii="Times" w:hAnsi="Times" w:cs="Times"/>
          <w:sz w:val="20"/>
          <w:szCs w:val="20"/>
        </w:rPr>
        <w:t xml:space="preserve">NT: not tested, </w:t>
      </w:r>
      <w:r w:rsidRPr="00ED5560">
        <w:rPr>
          <w:rFonts w:ascii="Times" w:hAnsi="Times" w:cs="Times"/>
          <w:b/>
          <w:bCs/>
          <w:sz w:val="20"/>
          <w:szCs w:val="20"/>
        </w:rPr>
        <w:t>KP BAA 1705</w:t>
      </w:r>
      <w:r w:rsidRPr="00ED5560">
        <w:rPr>
          <w:rFonts w:ascii="Times" w:hAnsi="Times" w:cs="Times"/>
          <w:sz w:val="20"/>
          <w:szCs w:val="20"/>
        </w:rPr>
        <w:t xml:space="preserve">: </w:t>
      </w:r>
      <w:r w:rsidRPr="00ED5560">
        <w:rPr>
          <w:rFonts w:ascii="Times" w:hAnsi="Times" w:cs="Times"/>
          <w:i/>
          <w:iCs/>
          <w:sz w:val="20"/>
          <w:szCs w:val="20"/>
          <w:lang w:val="en-GB"/>
        </w:rPr>
        <w:t xml:space="preserve">Klebsiella pneumoniae </w:t>
      </w:r>
      <w:r w:rsidRPr="00ED5560">
        <w:rPr>
          <w:rFonts w:ascii="Times" w:hAnsi="Times" w:cs="Times"/>
          <w:sz w:val="20"/>
          <w:szCs w:val="20"/>
          <w:lang w:val="en-GB"/>
        </w:rPr>
        <w:t>ATCC–BAA 1705</w:t>
      </w:r>
      <w:r w:rsidRPr="00ED5560">
        <w:rPr>
          <w:rFonts w:ascii="Times" w:hAnsi="Times" w:cs="Times"/>
          <w:i/>
          <w:iCs/>
          <w:sz w:val="20"/>
          <w:szCs w:val="20"/>
          <w:lang w:val="en-GB"/>
        </w:rPr>
        <w:t xml:space="preserve"> </w:t>
      </w:r>
      <w:r w:rsidRPr="00ED5560">
        <w:rPr>
          <w:rFonts w:ascii="Times" w:hAnsi="Times" w:cs="Times"/>
          <w:sz w:val="20"/>
          <w:szCs w:val="20"/>
          <w:lang w:val="en-GB"/>
        </w:rPr>
        <w:t>(KPC-producing; carbapenem resistant strain),</w:t>
      </w:r>
      <w:r w:rsidRPr="00ED5560">
        <w:rPr>
          <w:rFonts w:ascii="Times" w:hAnsi="Times" w:cs="Times"/>
          <w:b/>
          <w:bCs/>
          <w:sz w:val="20"/>
          <w:szCs w:val="20"/>
          <w:lang w:val="en-GB"/>
        </w:rPr>
        <w:t xml:space="preserve"> SA</w:t>
      </w:r>
      <w:r w:rsidRPr="00ED5560">
        <w:rPr>
          <w:rFonts w:ascii="Times" w:hAnsi="Times" w:cs="Times"/>
          <w:b/>
          <w:bCs/>
          <w:sz w:val="20"/>
          <w:szCs w:val="20"/>
          <w:cs/>
        </w:rPr>
        <w:t xml:space="preserve"> </w:t>
      </w:r>
      <w:r w:rsidRPr="00ED5560">
        <w:rPr>
          <w:rFonts w:ascii="Times" w:hAnsi="Times" w:cs="Times"/>
          <w:b/>
          <w:bCs/>
          <w:sz w:val="20"/>
          <w:szCs w:val="20"/>
          <w:lang w:val="en-GB"/>
        </w:rPr>
        <w:t>ATCC 43300</w:t>
      </w:r>
      <w:r w:rsidRPr="00ED5560">
        <w:rPr>
          <w:rFonts w:ascii="Times" w:hAnsi="Times" w:cs="Times"/>
          <w:sz w:val="20"/>
          <w:szCs w:val="20"/>
          <w:lang w:val="en-GB"/>
        </w:rPr>
        <w:t xml:space="preserve">: </w:t>
      </w:r>
      <w:r w:rsidRPr="00ED5560">
        <w:rPr>
          <w:rFonts w:ascii="Times" w:hAnsi="Times" w:cs="Times"/>
          <w:i/>
          <w:iCs/>
          <w:sz w:val="20"/>
          <w:szCs w:val="20"/>
          <w:lang w:val="en-GB"/>
        </w:rPr>
        <w:t>Staphylococcus aureus</w:t>
      </w:r>
      <w:r w:rsidRPr="00ED5560">
        <w:rPr>
          <w:rFonts w:ascii="Times" w:hAnsi="Times" w:cs="Times"/>
          <w:sz w:val="20"/>
          <w:szCs w:val="20"/>
          <w:lang w:val="en-GB"/>
        </w:rPr>
        <w:t xml:space="preserve"> ATCC </w:t>
      </w:r>
      <w:r w:rsidRPr="00ED5560">
        <w:rPr>
          <w:rFonts w:ascii="Times" w:hAnsi="Times" w:cs="Times"/>
          <w:sz w:val="20"/>
          <w:szCs w:val="20"/>
        </w:rPr>
        <w:t>43300</w:t>
      </w:r>
      <w:r w:rsidRPr="00ED5560">
        <w:rPr>
          <w:rFonts w:ascii="Times" w:hAnsi="Times" w:cs="Times"/>
          <w:sz w:val="20"/>
          <w:szCs w:val="20"/>
          <w:lang w:val="en-GB"/>
        </w:rPr>
        <w:t>,</w:t>
      </w:r>
      <w:r w:rsidRPr="00ED5560">
        <w:rPr>
          <w:rFonts w:ascii="Times" w:hAnsi="Times" w:cs="Times"/>
          <w:b/>
          <w:bCs/>
          <w:sz w:val="20"/>
          <w:szCs w:val="20"/>
          <w:lang w:val="en-GB"/>
        </w:rPr>
        <w:t xml:space="preserve"> </w:t>
      </w:r>
      <w:r w:rsidRPr="00ED5560">
        <w:rPr>
          <w:rFonts w:ascii="Times" w:hAnsi="Times" w:cs="Times"/>
          <w:sz w:val="20"/>
          <w:szCs w:val="20"/>
        </w:rPr>
        <w:t xml:space="preserve">and </w:t>
      </w:r>
      <w:r w:rsidRPr="00ED5560">
        <w:rPr>
          <w:rFonts w:ascii="Times" w:hAnsi="Times" w:cs="Times"/>
          <w:b/>
          <w:bCs/>
          <w:sz w:val="20"/>
          <w:szCs w:val="20"/>
        </w:rPr>
        <w:t>SC ATCC 10708</w:t>
      </w:r>
      <w:r w:rsidRPr="00ED5560">
        <w:rPr>
          <w:rFonts w:ascii="Times" w:hAnsi="Times" w:cs="Times"/>
          <w:sz w:val="20"/>
          <w:szCs w:val="20"/>
        </w:rPr>
        <w:t xml:space="preserve">: </w:t>
      </w:r>
      <w:r w:rsidRPr="00ED5560">
        <w:rPr>
          <w:rFonts w:ascii="Times" w:hAnsi="Times" w:cs="Times"/>
          <w:i/>
          <w:iCs/>
          <w:sz w:val="20"/>
          <w:szCs w:val="20"/>
        </w:rPr>
        <w:t xml:space="preserve">Salmonella </w:t>
      </w:r>
      <w:proofErr w:type="spellStart"/>
      <w:r w:rsidRPr="00ED5560">
        <w:rPr>
          <w:rFonts w:ascii="Times" w:hAnsi="Times" w:cs="Times"/>
          <w:i/>
          <w:iCs/>
          <w:sz w:val="20"/>
          <w:szCs w:val="20"/>
        </w:rPr>
        <w:t>choleraesuis</w:t>
      </w:r>
      <w:proofErr w:type="spellEnd"/>
      <w:r w:rsidRPr="00ED5560">
        <w:rPr>
          <w:rFonts w:ascii="Times" w:hAnsi="Times" w:cs="Times"/>
          <w:sz w:val="20"/>
          <w:szCs w:val="20"/>
        </w:rPr>
        <w:t xml:space="preserve"> ATCC 10708.</w:t>
      </w:r>
      <w:r w:rsidRPr="00ED5560">
        <w:rPr>
          <w:rFonts w:ascii="Times" w:hAnsi="Times" w:cs="Times"/>
          <w:b/>
          <w:bCs/>
          <w:sz w:val="20"/>
          <w:szCs w:val="20"/>
          <w:lang w:val="en-GB"/>
        </w:rPr>
        <w:t xml:space="preserve"> KP</w:t>
      </w:r>
      <w:r w:rsidRPr="00ED5560">
        <w:rPr>
          <w:rFonts w:ascii="Times" w:hAnsi="Times" w:cs="Times"/>
          <w:b/>
          <w:bCs/>
          <w:sz w:val="20"/>
          <w:szCs w:val="20"/>
          <w:vertAlign w:val="superscript"/>
          <w:cs/>
        </w:rPr>
        <w:t>*</w:t>
      </w:r>
      <w:r w:rsidRPr="00ED5560">
        <w:rPr>
          <w:rFonts w:ascii="Times" w:hAnsi="Times" w:cs="Times"/>
          <w:b/>
          <w:bCs/>
          <w:sz w:val="20"/>
          <w:szCs w:val="20"/>
          <w:lang w:val="en-GB"/>
        </w:rPr>
        <w:t xml:space="preserve"> ATCC 700603</w:t>
      </w:r>
      <w:r w:rsidRPr="00ED5560">
        <w:rPr>
          <w:rFonts w:ascii="Times" w:hAnsi="Times" w:cs="Times"/>
          <w:sz w:val="20"/>
          <w:szCs w:val="20"/>
          <w:lang w:val="en-GB"/>
        </w:rPr>
        <w:t xml:space="preserve">: </w:t>
      </w:r>
      <w:r w:rsidRPr="00ED5560">
        <w:rPr>
          <w:rFonts w:ascii="Times" w:hAnsi="Times" w:cs="Times"/>
          <w:i/>
          <w:iCs/>
          <w:sz w:val="20"/>
          <w:szCs w:val="20"/>
          <w:lang w:val="en-GB"/>
        </w:rPr>
        <w:t>K</w:t>
      </w:r>
      <w:r w:rsidR="00D92FC1" w:rsidRPr="00ED5560">
        <w:rPr>
          <w:rFonts w:ascii="Times" w:hAnsi="Times" w:cs="Times"/>
          <w:i/>
          <w:iCs/>
          <w:sz w:val="20"/>
          <w:szCs w:val="20"/>
          <w:lang w:val="en-GB"/>
        </w:rPr>
        <w:t xml:space="preserve">. </w:t>
      </w:r>
      <w:r w:rsidRPr="00ED5560">
        <w:rPr>
          <w:rFonts w:ascii="Times" w:hAnsi="Times" w:cs="Times"/>
          <w:i/>
          <w:iCs/>
          <w:sz w:val="20"/>
          <w:szCs w:val="20"/>
          <w:lang w:val="en-GB"/>
        </w:rPr>
        <w:t xml:space="preserve">pneumoniae </w:t>
      </w:r>
      <w:r w:rsidRPr="00ED5560">
        <w:rPr>
          <w:rFonts w:ascii="Times" w:hAnsi="Times" w:cs="Times"/>
          <w:sz w:val="20"/>
          <w:szCs w:val="20"/>
          <w:lang w:val="en-GB"/>
        </w:rPr>
        <w:t>ATCC 700603 and</w:t>
      </w:r>
      <w:r w:rsidRPr="00ED5560">
        <w:rPr>
          <w:rFonts w:ascii="Times" w:hAnsi="Times" w:cs="Times"/>
          <w:b/>
          <w:bCs/>
          <w:sz w:val="20"/>
          <w:szCs w:val="20"/>
          <w:lang w:val="en-GB"/>
        </w:rPr>
        <w:t xml:space="preserve"> PA</w:t>
      </w:r>
      <w:r w:rsidRPr="00ED5560">
        <w:rPr>
          <w:rFonts w:ascii="Times" w:hAnsi="Times" w:cs="Times"/>
          <w:b/>
          <w:bCs/>
          <w:sz w:val="20"/>
          <w:szCs w:val="20"/>
          <w:vertAlign w:val="superscript"/>
          <w:cs/>
        </w:rPr>
        <w:t>*</w:t>
      </w:r>
      <w:r w:rsidRPr="00ED5560">
        <w:rPr>
          <w:rFonts w:ascii="Times" w:hAnsi="Times" w:cs="Times"/>
          <w:b/>
          <w:bCs/>
          <w:sz w:val="20"/>
          <w:szCs w:val="20"/>
          <w:lang w:val="en-GB"/>
        </w:rPr>
        <w:t xml:space="preserve"> ATCC 27853</w:t>
      </w:r>
      <w:r w:rsidRPr="00ED5560">
        <w:rPr>
          <w:rFonts w:ascii="Times" w:hAnsi="Times" w:cs="Times"/>
          <w:sz w:val="20"/>
          <w:szCs w:val="20"/>
        </w:rPr>
        <w:t xml:space="preserve">: </w:t>
      </w:r>
      <w:r w:rsidRPr="00ED5560">
        <w:rPr>
          <w:rFonts w:ascii="Times" w:hAnsi="Times" w:cs="Times"/>
          <w:i/>
          <w:iCs/>
          <w:sz w:val="20"/>
          <w:szCs w:val="20"/>
        </w:rPr>
        <w:t>Pseudomonas</w:t>
      </w:r>
      <w:r w:rsidRPr="00ED5560">
        <w:rPr>
          <w:rFonts w:ascii="Times" w:hAnsi="Times" w:cs="Times"/>
          <w:i/>
          <w:iCs/>
          <w:sz w:val="20"/>
          <w:szCs w:val="20"/>
          <w:lang w:val="en-GB"/>
        </w:rPr>
        <w:t xml:space="preserve"> aeruginosa</w:t>
      </w:r>
      <w:r w:rsidRPr="00ED5560">
        <w:rPr>
          <w:rFonts w:ascii="Times" w:hAnsi="Times" w:cs="Times"/>
          <w:sz w:val="20"/>
          <w:szCs w:val="20"/>
          <w:cs/>
        </w:rPr>
        <w:t xml:space="preserve"> </w:t>
      </w:r>
      <w:r w:rsidRPr="00ED5560">
        <w:rPr>
          <w:rFonts w:ascii="Times" w:hAnsi="Times" w:cs="Times"/>
          <w:sz w:val="20"/>
          <w:szCs w:val="20"/>
        </w:rPr>
        <w:t>strains were used as control species; the clear zone diameter for each control antibiotic was within the quality control ranges set by the CLSI (</w:t>
      </w:r>
      <w:r w:rsidR="00223AF2" w:rsidRPr="00ED5560">
        <w:rPr>
          <w:rFonts w:ascii="Times" w:hAnsi="Times" w:cs="Times"/>
          <w:sz w:val="20"/>
          <w:szCs w:val="20"/>
        </w:rPr>
        <w:t>2017)*</w:t>
      </w:r>
      <w:r w:rsidRPr="00ED5560">
        <w:rPr>
          <w:rFonts w:ascii="Times" w:hAnsi="Times" w:cs="Times"/>
          <w:sz w:val="20"/>
          <w:szCs w:val="20"/>
        </w:rPr>
        <w:t>.</w:t>
      </w:r>
    </w:p>
    <w:p w14:paraId="520EA586" w14:textId="77777777" w:rsidR="00877947" w:rsidRPr="00ED5560" w:rsidRDefault="00877947" w:rsidP="00877947">
      <w:pPr>
        <w:spacing w:after="0" w:line="360" w:lineRule="auto"/>
        <w:rPr>
          <w:rFonts w:ascii="Times" w:hAnsi="Times" w:cs="Times"/>
          <w:sz w:val="20"/>
          <w:szCs w:val="20"/>
        </w:rPr>
      </w:pPr>
    </w:p>
    <w:p w14:paraId="3919A25B" w14:textId="0D212ADA" w:rsidR="00877947" w:rsidRPr="00ED5560" w:rsidRDefault="00223AF2" w:rsidP="00877947">
      <w:pPr>
        <w:spacing w:after="0" w:line="360" w:lineRule="auto"/>
        <w:rPr>
          <w:rFonts w:ascii="Times" w:hAnsi="Times" w:cs="Times"/>
          <w:i/>
          <w:iCs/>
          <w:sz w:val="20"/>
          <w:szCs w:val="20"/>
          <w:lang w:val="en-GB"/>
        </w:rPr>
      </w:pPr>
      <w:r w:rsidRPr="00ED5560">
        <w:rPr>
          <w:rFonts w:ascii="Times" w:hAnsi="Times" w:cs="Times"/>
          <w:sz w:val="20"/>
          <w:szCs w:val="20"/>
        </w:rPr>
        <w:t>*</w:t>
      </w:r>
      <w:r w:rsidR="00877947" w:rsidRPr="00ED5560">
        <w:rPr>
          <w:rFonts w:ascii="Times" w:hAnsi="Times" w:cs="Times"/>
          <w:sz w:val="20"/>
          <w:szCs w:val="20"/>
        </w:rPr>
        <w:t xml:space="preserve">The quality control ranges set by the CLSI (2017): </w:t>
      </w:r>
      <w:r w:rsidR="00877947" w:rsidRPr="00ED5560">
        <w:rPr>
          <w:rFonts w:ascii="Times" w:hAnsi="Times" w:cs="Times"/>
          <w:sz w:val="20"/>
          <w:szCs w:val="20"/>
          <w:lang w:val="en-GB"/>
        </w:rPr>
        <w:t xml:space="preserve">For </w:t>
      </w:r>
      <w:r w:rsidR="00877947" w:rsidRPr="00ED5560">
        <w:rPr>
          <w:rFonts w:ascii="Times" w:hAnsi="Times" w:cs="Times"/>
          <w:i/>
          <w:iCs/>
          <w:sz w:val="20"/>
          <w:szCs w:val="20"/>
          <w:lang w:val="en-GB"/>
        </w:rPr>
        <w:t>K. pneumoniae</w:t>
      </w:r>
      <w:r w:rsidR="00877947" w:rsidRPr="00ED5560">
        <w:rPr>
          <w:rFonts w:ascii="Times" w:hAnsi="Times" w:cs="Times"/>
          <w:sz w:val="20"/>
          <w:szCs w:val="20"/>
          <w:lang w:val="en-GB"/>
        </w:rPr>
        <w:t xml:space="preserve"> strain ATCC 700603</w:t>
      </w:r>
      <w:r w:rsidR="00877947" w:rsidRPr="00ED5560">
        <w:rPr>
          <w:rFonts w:ascii="Times" w:hAnsi="Times" w:cs="Times"/>
          <w:sz w:val="20"/>
          <w:szCs w:val="20"/>
        </w:rPr>
        <w:t xml:space="preserve">, </w:t>
      </w:r>
      <w:bookmarkStart w:id="6" w:name="_Hlk534216148"/>
      <w:r w:rsidR="00877947" w:rsidRPr="00ED5560">
        <w:rPr>
          <w:rFonts w:ascii="Times" w:hAnsi="Times" w:cs="Times"/>
          <w:sz w:val="20"/>
          <w:szCs w:val="20"/>
          <w:lang w:val="en-GB"/>
        </w:rPr>
        <w:t>the clear zone</w:t>
      </w:r>
      <w:r w:rsidR="00877947" w:rsidRPr="00ED5560">
        <w:rPr>
          <w:rFonts w:ascii="Times" w:hAnsi="Times" w:cs="Times"/>
          <w:sz w:val="20"/>
          <w:szCs w:val="20"/>
          <w:cs/>
        </w:rPr>
        <w:t xml:space="preserve"> </w:t>
      </w:r>
      <w:r w:rsidR="00877947" w:rsidRPr="00ED5560">
        <w:rPr>
          <w:rFonts w:ascii="Times" w:hAnsi="Times" w:cs="Times"/>
          <w:sz w:val="20"/>
          <w:szCs w:val="20"/>
        </w:rPr>
        <w:t xml:space="preserve">diameter of </w:t>
      </w:r>
      <w:bookmarkEnd w:id="6"/>
      <w:r w:rsidR="00877947" w:rsidRPr="00ED5560">
        <w:rPr>
          <w:rFonts w:ascii="Times" w:hAnsi="Times" w:cs="Times"/>
          <w:sz w:val="20"/>
          <w:szCs w:val="20"/>
          <w:lang w:val="en-GB"/>
        </w:rPr>
        <w:t>ceftazidime, cefotaxime</w:t>
      </w:r>
      <w:r w:rsidR="00877947" w:rsidRPr="00ED5560">
        <w:rPr>
          <w:rFonts w:ascii="Times" w:hAnsi="Times" w:cs="Times"/>
          <w:sz w:val="20"/>
          <w:szCs w:val="20"/>
        </w:rPr>
        <w:t>, and</w:t>
      </w:r>
      <w:r w:rsidR="00877947" w:rsidRPr="00ED5560">
        <w:rPr>
          <w:rFonts w:ascii="Times" w:hAnsi="Times" w:cs="Times"/>
          <w:sz w:val="20"/>
          <w:szCs w:val="20"/>
          <w:cs/>
        </w:rPr>
        <w:t xml:space="preserve"> </w:t>
      </w:r>
      <w:r w:rsidR="00877947" w:rsidRPr="00ED5560">
        <w:rPr>
          <w:rFonts w:ascii="Times" w:hAnsi="Times" w:cs="Times"/>
          <w:sz w:val="20"/>
          <w:szCs w:val="20"/>
          <w:lang w:val="en-GB"/>
        </w:rPr>
        <w:t xml:space="preserve">ceftriaxone </w:t>
      </w:r>
      <w:r w:rsidR="00877947" w:rsidRPr="00ED5560">
        <w:rPr>
          <w:rFonts w:ascii="Times" w:hAnsi="Times" w:cs="Times"/>
          <w:sz w:val="20"/>
          <w:szCs w:val="20"/>
        </w:rPr>
        <w:t xml:space="preserve">is </w:t>
      </w:r>
      <w:r w:rsidR="00877947" w:rsidRPr="00ED5560">
        <w:rPr>
          <w:rFonts w:ascii="Times" w:hAnsi="Times" w:cs="Times"/>
          <w:sz w:val="20"/>
          <w:szCs w:val="20"/>
          <w:lang w:val="en-GB"/>
        </w:rPr>
        <w:t>10-18 mm, 17-25 mm, and16-24 mm</w:t>
      </w:r>
      <w:r w:rsidR="00877947" w:rsidRPr="00ED5560">
        <w:rPr>
          <w:rFonts w:ascii="Times" w:hAnsi="Times" w:cs="Times"/>
          <w:sz w:val="20"/>
          <w:szCs w:val="20"/>
        </w:rPr>
        <w:t>, respectively.</w:t>
      </w:r>
      <w:r w:rsidR="00877947" w:rsidRPr="00ED5560">
        <w:rPr>
          <w:rFonts w:ascii="Times" w:hAnsi="Times" w:cs="Times"/>
          <w:sz w:val="20"/>
          <w:szCs w:val="20"/>
          <w:lang w:val="en-GB"/>
        </w:rPr>
        <w:t xml:space="preserve"> </w:t>
      </w:r>
    </w:p>
    <w:p w14:paraId="27765F97" w14:textId="77777777" w:rsidR="00877947" w:rsidRPr="00ED5560" w:rsidRDefault="00877947" w:rsidP="00877947">
      <w:pPr>
        <w:spacing w:after="0" w:line="360" w:lineRule="auto"/>
        <w:rPr>
          <w:rFonts w:ascii="Times" w:hAnsi="Times" w:cs="Times"/>
          <w:sz w:val="20"/>
          <w:szCs w:val="20"/>
        </w:rPr>
      </w:pPr>
      <w:r w:rsidRPr="00ED5560">
        <w:rPr>
          <w:rFonts w:ascii="Times" w:hAnsi="Times" w:cs="Times"/>
          <w:sz w:val="20"/>
          <w:szCs w:val="20"/>
          <w:lang w:val="en-GB"/>
        </w:rPr>
        <w:t xml:space="preserve">For </w:t>
      </w:r>
      <w:r w:rsidRPr="00ED5560">
        <w:rPr>
          <w:rFonts w:ascii="Times" w:hAnsi="Times" w:cs="Times"/>
          <w:i/>
          <w:iCs/>
          <w:sz w:val="20"/>
          <w:szCs w:val="20"/>
          <w:lang w:val="en-GB"/>
        </w:rPr>
        <w:t>P. aeruginosa</w:t>
      </w:r>
      <w:r w:rsidRPr="00ED5560">
        <w:rPr>
          <w:rFonts w:ascii="Times" w:hAnsi="Times" w:cs="Times"/>
          <w:sz w:val="20"/>
          <w:szCs w:val="20"/>
          <w:lang w:val="en-GB"/>
        </w:rPr>
        <w:t xml:space="preserve"> strain ATCC </w:t>
      </w:r>
      <w:r w:rsidRPr="00ED5560">
        <w:rPr>
          <w:rFonts w:ascii="Times" w:hAnsi="Times" w:cs="Times"/>
          <w:sz w:val="20"/>
          <w:szCs w:val="20"/>
          <w:cs/>
        </w:rPr>
        <w:t>27853</w:t>
      </w:r>
      <w:r w:rsidRPr="00ED5560">
        <w:rPr>
          <w:rFonts w:ascii="Times" w:hAnsi="Times" w:cs="Times"/>
          <w:sz w:val="20"/>
          <w:szCs w:val="20"/>
        </w:rPr>
        <w:t>,</w:t>
      </w:r>
      <w:r w:rsidRPr="00ED5560">
        <w:rPr>
          <w:rFonts w:ascii="Times" w:hAnsi="Times" w:cs="Times"/>
          <w:sz w:val="20"/>
          <w:szCs w:val="20"/>
          <w:lang w:val="en-GB"/>
        </w:rPr>
        <w:t xml:space="preserve"> the clear zone</w:t>
      </w:r>
      <w:r w:rsidRPr="00ED5560">
        <w:rPr>
          <w:rFonts w:ascii="Times" w:hAnsi="Times" w:cs="Times"/>
          <w:sz w:val="20"/>
          <w:szCs w:val="20"/>
          <w:cs/>
        </w:rPr>
        <w:t xml:space="preserve"> </w:t>
      </w:r>
      <w:r w:rsidRPr="00ED5560">
        <w:rPr>
          <w:rFonts w:ascii="Times" w:hAnsi="Times" w:cs="Times"/>
          <w:sz w:val="20"/>
          <w:szCs w:val="20"/>
        </w:rPr>
        <w:t>diameter of</w:t>
      </w:r>
      <w:r w:rsidRPr="00ED5560">
        <w:rPr>
          <w:rFonts w:ascii="Times" w:hAnsi="Times" w:cs="Times"/>
          <w:sz w:val="20"/>
          <w:szCs w:val="20"/>
          <w:cs/>
        </w:rPr>
        <w:t xml:space="preserve"> </w:t>
      </w:r>
      <w:r w:rsidRPr="00ED5560">
        <w:rPr>
          <w:rFonts w:ascii="Times" w:hAnsi="Times" w:cs="Times"/>
          <w:sz w:val="20"/>
          <w:szCs w:val="20"/>
          <w:lang w:val="en-GB"/>
        </w:rPr>
        <w:t xml:space="preserve">piperacillin/tazobactam, amikacin, and ciprofloxacin </w:t>
      </w:r>
      <w:r w:rsidRPr="00ED5560">
        <w:rPr>
          <w:rFonts w:ascii="Times" w:hAnsi="Times" w:cs="Times"/>
          <w:sz w:val="20"/>
          <w:szCs w:val="20"/>
        </w:rPr>
        <w:t xml:space="preserve">is </w:t>
      </w:r>
      <w:r w:rsidRPr="00ED5560">
        <w:rPr>
          <w:rFonts w:ascii="Times" w:hAnsi="Times" w:cs="Times"/>
          <w:sz w:val="20"/>
          <w:szCs w:val="20"/>
          <w:lang w:val="en-GB"/>
        </w:rPr>
        <w:t>25-33 mm, 18-26 mm</w:t>
      </w:r>
      <w:r w:rsidRPr="00ED5560">
        <w:rPr>
          <w:rFonts w:ascii="Times" w:hAnsi="Times" w:cs="Times"/>
          <w:sz w:val="20"/>
          <w:szCs w:val="20"/>
        </w:rPr>
        <w:t xml:space="preserve">, and </w:t>
      </w:r>
      <w:r w:rsidRPr="00ED5560">
        <w:rPr>
          <w:rFonts w:ascii="Times" w:hAnsi="Times" w:cs="Times"/>
          <w:sz w:val="20"/>
          <w:szCs w:val="20"/>
          <w:lang w:val="en-GB"/>
        </w:rPr>
        <w:t>25-33 mm</w:t>
      </w:r>
      <w:r w:rsidRPr="00ED5560">
        <w:rPr>
          <w:rFonts w:ascii="Times" w:hAnsi="Times" w:cs="Times"/>
          <w:sz w:val="20"/>
          <w:szCs w:val="20"/>
        </w:rPr>
        <w:t>, respectively.</w:t>
      </w:r>
    </w:p>
    <w:p w14:paraId="033DF83B" w14:textId="77777777" w:rsidR="00877947" w:rsidRPr="00373BFF" w:rsidRDefault="00877947" w:rsidP="00877947">
      <w:pPr>
        <w:spacing w:after="0" w:line="360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p w14:paraId="7B6890C6" w14:textId="77777777" w:rsidR="00877947" w:rsidRPr="00EB4725" w:rsidRDefault="00877947" w:rsidP="00877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86F59D" w14:textId="77777777" w:rsidR="00877947" w:rsidRPr="00EB4725" w:rsidRDefault="00877947" w:rsidP="0087794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5589785A" w14:textId="77777777" w:rsidR="00877947" w:rsidRDefault="00877947" w:rsidP="00877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DAF954" w14:textId="77777777" w:rsidR="00C911F6" w:rsidRPr="00877947" w:rsidRDefault="00C911F6">
      <w:pPr>
        <w:rPr>
          <w:lang w:val="en-GB"/>
        </w:rPr>
      </w:pPr>
    </w:p>
    <w:sectPr w:rsidR="00C911F6" w:rsidRPr="00877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47"/>
    <w:rsid w:val="00200D59"/>
    <w:rsid w:val="00223AF2"/>
    <w:rsid w:val="003D0606"/>
    <w:rsid w:val="00430A3C"/>
    <w:rsid w:val="00446932"/>
    <w:rsid w:val="005139EF"/>
    <w:rsid w:val="005D12B5"/>
    <w:rsid w:val="00817A62"/>
    <w:rsid w:val="00877947"/>
    <w:rsid w:val="00922BF8"/>
    <w:rsid w:val="0092458D"/>
    <w:rsid w:val="00B27F91"/>
    <w:rsid w:val="00C911F6"/>
    <w:rsid w:val="00D54C6A"/>
    <w:rsid w:val="00D92FC1"/>
    <w:rsid w:val="00E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0E5F"/>
  <w15:chartTrackingRefBased/>
  <w15:docId w15:val="{E165B9B3-8E83-4AC3-801A-B193055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Raveevatoo Buathong</dc:creator>
  <cp:keywords/>
  <dc:description/>
  <cp:lastModifiedBy>Raveevatoo Buathong</cp:lastModifiedBy>
  <cp:revision>2</cp:revision>
  <dcterms:created xsi:type="dcterms:W3CDTF">2019-03-13T10:46:00Z</dcterms:created>
  <dcterms:modified xsi:type="dcterms:W3CDTF">2019-03-13T10:46:00Z</dcterms:modified>
</cp:coreProperties>
</file>