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440680"/>
            <wp:effectExtent l="0" t="0" r="13970" b="0"/>
            <wp:docPr id="1" name="图片 1" descr="Fig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Fig. S2 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Multiple sequence alignment of deduced amino acids of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sz w:val="24"/>
          <w:szCs w:val="24"/>
          <w:lang w:eastAsia="zh-CN"/>
        </w:rPr>
        <w:t>PoPDS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 with other homologies, including Vitis vinifera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sz w:val="24"/>
          <w:szCs w:val="24"/>
          <w:lang w:eastAsia="zh-CN"/>
        </w:rPr>
        <w:t>VvPDS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, Nicotiana tabacum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sz w:val="24"/>
          <w:szCs w:val="24"/>
          <w:lang w:eastAsia="zh-CN"/>
        </w:rPr>
        <w:t>NtPDS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, Arabidopsis thaliana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sz w:val="24"/>
          <w:szCs w:val="24"/>
          <w:lang w:eastAsia="zh-CN"/>
        </w:rPr>
        <w:t>AtPDS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, and Petunia hybrida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sz w:val="24"/>
          <w:szCs w:val="24"/>
          <w:lang w:eastAsia="zh-CN"/>
        </w:rPr>
        <w:t>PhPDS</w:t>
      </w:r>
    </w:p>
    <w:p>
      <w:pP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333333"/>
          <w:spacing w:val="0"/>
          <w:sz w:val="24"/>
          <w:szCs w:val="24"/>
          <w:shd w:val="clear" w:fill="FDFDFD"/>
        </w:rPr>
        <w:t>Sequences were aligned using ClustalW program. The N-terminus and transient sequence and putative dinucleotide-binding domain are underlined. Red box denotes a conserved region in PDS protein sequences for VIGS. Black background represents identical amino acid residues.</w:t>
      </w:r>
      <w:r>
        <w:rPr>
          <w:rFonts w:hint="eastAsia" w:ascii="Times New Roman" w:hAnsi="Times New Roman" w:eastAsia="宋体" w:cs="Times New Roman"/>
          <w:i w:val="0"/>
          <w:caps w:val="0"/>
          <w:color w:val="333333"/>
          <w:spacing w:val="0"/>
          <w:sz w:val="24"/>
          <w:szCs w:val="24"/>
          <w:highlight w:val="none"/>
          <w:shd w:val="clear" w:fill="FDFDFD"/>
          <w:lang w:val="en-US" w:eastAsia="zh-CN"/>
        </w:rPr>
        <w:t xml:space="preserve"> </w:t>
      </w:r>
      <w:bookmarkStart w:id="0" w:name="_GoBack"/>
      <w:r>
        <w:rPr>
          <w:rFonts w:hint="eastAsia" w:ascii="Times New Roman" w:hAnsi="Times New Roman" w:eastAsia="宋体" w:cs="Times New Roman"/>
          <w:i w:val="0"/>
          <w:color w:val="333333"/>
          <w:spacing w:val="0"/>
          <w:sz w:val="24"/>
          <w:szCs w:val="24"/>
          <w:highlight w:val="none"/>
          <w:shd w:val="clear" w:fill="FDFDFD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i w:val="0"/>
          <w:caps w:val="0"/>
          <w:color w:val="333333"/>
          <w:spacing w:val="0"/>
          <w:sz w:val="24"/>
          <w:szCs w:val="24"/>
          <w:highlight w:val="none"/>
          <w:shd w:val="clear" w:fill="FDFDFD"/>
          <w:lang w:val="en-US" w:eastAsia="zh-CN"/>
        </w:rPr>
        <w:t xml:space="preserve">he 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en-US" w:eastAsia="zh-CN" w:bidi="ar"/>
        </w:rPr>
        <w:t>GenBank accession number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en-US" w:eastAsia="zh-CN" w:bidi="ar"/>
        </w:rPr>
        <w:t xml:space="preserve"> of </w:t>
      </w:r>
      <w:r>
        <w:rPr>
          <w:rFonts w:hint="default" w:ascii="Times New Roman" w:hAnsi="Times New Roman" w:eastAsia="宋体" w:cs="Times New Roman"/>
          <w:i/>
          <w:iCs w:val="0"/>
          <w:color w:val="000000"/>
          <w:kern w:val="2"/>
          <w:sz w:val="24"/>
          <w:szCs w:val="24"/>
          <w:highlight w:val="none"/>
          <w:lang w:val="en-US" w:eastAsia="zh-CN" w:bidi="ar"/>
        </w:rPr>
        <w:t>PoPDS</w:t>
      </w:r>
      <w:r>
        <w:rPr>
          <w:rFonts w:hint="eastAsia" w:ascii="Times New Roman" w:hAnsi="Times New Roman" w:eastAsia="宋体" w:cs="Times New Roman"/>
          <w:i/>
          <w:iCs w:val="0"/>
          <w:color w:val="000000"/>
          <w:kern w:val="2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i w:val="0"/>
          <w:iCs/>
          <w:color w:val="000000"/>
          <w:kern w:val="2"/>
          <w:sz w:val="24"/>
          <w:szCs w:val="24"/>
          <w:highlight w:val="none"/>
          <w:lang w:val="en-US" w:eastAsia="zh-CN" w:bidi="ar"/>
        </w:rPr>
        <w:t xml:space="preserve">is 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en-US" w:eastAsia="zh-CN" w:bidi="ar"/>
        </w:rPr>
        <w:t>MK733916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en-US" w:eastAsia="zh-CN" w:bidi="ar"/>
        </w:rPr>
        <w:t>.</w:t>
      </w:r>
    </w:p>
    <w:bookmarkEnd w:id="0"/>
    <w:p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highlight w:val="none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B801B9"/>
    <w:rsid w:val="33901C6D"/>
    <w:rsid w:val="5FB801B9"/>
    <w:rsid w:val="7C9D64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2019-04-02T01:35:00Z</dcterms:created>
  <dc:creator>谢</dc:creator>
  <cp:lastModifiedBy>谢</cp:lastModifiedBy>
  <dcterms:modified xsi:type="dcterms:W3CDTF">2019-04-03T02:01:24Z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