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FEF2" w14:textId="77777777" w:rsidR="00DC2365" w:rsidRPr="00DC2365" w:rsidRDefault="00DC2365" w:rsidP="00DC2365">
      <w:pPr>
        <w:jc w:val="center"/>
        <w:rPr>
          <w:rFonts w:ascii="Times New Roman" w:hAnsi="Times New Roman" w:cs="Times New Roman"/>
          <w:b/>
          <w:color w:val="0070C0"/>
          <w:sz w:val="36"/>
          <w:szCs w:val="36"/>
          <w:lang w:val="en-US"/>
        </w:rPr>
      </w:pPr>
    </w:p>
    <w:p w14:paraId="0AE760C2" w14:textId="77777777" w:rsidR="00DC2365" w:rsidRPr="00DC2365" w:rsidRDefault="00DC2365" w:rsidP="00DC2365">
      <w:pPr>
        <w:jc w:val="center"/>
        <w:rPr>
          <w:rFonts w:ascii="Times New Roman" w:hAnsi="Times New Roman" w:cs="Times New Roman"/>
          <w:b/>
          <w:color w:val="0070C0"/>
          <w:sz w:val="36"/>
          <w:szCs w:val="36"/>
          <w:lang w:val="en-US"/>
        </w:rPr>
      </w:pPr>
    </w:p>
    <w:p w14:paraId="6977B9F5" w14:textId="167435CB" w:rsidR="00585A01" w:rsidRPr="00DC2365" w:rsidRDefault="00585A01" w:rsidP="00585A01">
      <w:pPr>
        <w:jc w:val="center"/>
        <w:rPr>
          <w:rFonts w:ascii="Times New Roman" w:hAnsi="Times New Roman" w:cs="Times New Roman"/>
          <w:b/>
          <w:color w:val="0070C0"/>
          <w:sz w:val="36"/>
          <w:szCs w:val="36"/>
          <w:lang w:val="en-US"/>
        </w:rPr>
      </w:pPr>
      <w:r w:rsidRPr="00DC2365">
        <w:rPr>
          <w:rFonts w:ascii="Times New Roman" w:hAnsi="Times New Roman" w:cs="Times New Roman"/>
          <w:b/>
          <w:color w:val="0070C0"/>
          <w:sz w:val="36"/>
          <w:szCs w:val="36"/>
          <w:lang w:val="en-US"/>
        </w:rPr>
        <w:t>SUPPLEMENTARY TEXT</w:t>
      </w:r>
      <w:r w:rsidR="004A5563">
        <w:rPr>
          <w:rFonts w:ascii="Times New Roman" w:hAnsi="Times New Roman" w:cs="Times New Roman"/>
          <w:b/>
          <w:color w:val="0070C0"/>
          <w:sz w:val="36"/>
          <w:szCs w:val="36"/>
          <w:lang w:val="en-US"/>
        </w:rPr>
        <w:t xml:space="preserve"> S1</w:t>
      </w:r>
    </w:p>
    <w:p w14:paraId="3125D0C9" w14:textId="77777777" w:rsidR="00585A01" w:rsidRPr="00DC2365" w:rsidRDefault="00585A01" w:rsidP="00585A01">
      <w:pPr>
        <w:rPr>
          <w:rFonts w:ascii="Times New Roman" w:hAnsi="Times New Roman" w:cs="Times New Roman"/>
          <w:b/>
          <w:color w:val="0070C0"/>
          <w:szCs w:val="24"/>
          <w:lang w:val="en-US"/>
        </w:rPr>
      </w:pPr>
      <w:r w:rsidRPr="00DC2365">
        <w:rPr>
          <w:rFonts w:ascii="Times New Roman" w:hAnsi="Times New Roman" w:cs="Times New Roman"/>
          <w:b/>
          <w:color w:val="0070C0"/>
          <w:szCs w:val="24"/>
          <w:lang w:val="en-US"/>
        </w:rPr>
        <w:br w:type="page"/>
      </w:r>
    </w:p>
    <w:p w14:paraId="12C76E43" w14:textId="29A7164E" w:rsidR="00585A01" w:rsidRPr="005A2B62" w:rsidRDefault="00585A01" w:rsidP="00585A01">
      <w:pPr>
        <w:spacing w:after="0" w:line="240" w:lineRule="auto"/>
        <w:jc w:val="center"/>
        <w:rPr>
          <w:rFonts w:ascii="Times New Roman" w:hAnsi="Times New Roman" w:cs="Times New Roman"/>
          <w:b/>
          <w:color w:val="0070C0"/>
          <w:sz w:val="28"/>
          <w:szCs w:val="20"/>
          <w:lang w:val="en-US"/>
        </w:rPr>
      </w:pPr>
      <w:r w:rsidRPr="005A2B62">
        <w:rPr>
          <w:rFonts w:ascii="Times New Roman" w:hAnsi="Times New Roman" w:cs="Times New Roman"/>
          <w:b/>
          <w:color w:val="0070C0"/>
          <w:sz w:val="28"/>
          <w:szCs w:val="20"/>
          <w:lang w:val="en-US"/>
        </w:rPr>
        <w:lastRenderedPageBreak/>
        <w:t>Supplementary text</w:t>
      </w:r>
      <w:r w:rsidR="004A5563">
        <w:rPr>
          <w:rFonts w:ascii="Times New Roman" w:hAnsi="Times New Roman" w:cs="Times New Roman"/>
          <w:b/>
          <w:color w:val="0070C0"/>
          <w:sz w:val="28"/>
          <w:szCs w:val="20"/>
          <w:lang w:val="en-US"/>
        </w:rPr>
        <w:t xml:space="preserve"> S1</w:t>
      </w:r>
    </w:p>
    <w:p w14:paraId="07DDBF82" w14:textId="77777777" w:rsidR="00585A01" w:rsidRPr="00DC2365" w:rsidRDefault="00585A01" w:rsidP="00585A01">
      <w:pPr>
        <w:spacing w:after="0" w:line="240" w:lineRule="auto"/>
        <w:jc w:val="center"/>
        <w:rPr>
          <w:rFonts w:cstheme="minorHAnsi"/>
          <w:b/>
          <w:color w:val="0070C0"/>
          <w:sz w:val="24"/>
          <w:szCs w:val="20"/>
          <w:lang w:val="en-US"/>
        </w:rPr>
      </w:pPr>
    </w:p>
    <w:p w14:paraId="35C0E651" w14:textId="77777777" w:rsidR="00585A01" w:rsidRPr="00DC2365" w:rsidRDefault="00585A01" w:rsidP="00585A01">
      <w:pPr>
        <w:spacing w:after="0" w:line="240" w:lineRule="auto"/>
        <w:rPr>
          <w:rFonts w:ascii="Times New Roman" w:hAnsi="Times New Roman" w:cs="Times New Roman"/>
          <w:b/>
          <w:color w:val="C00000"/>
          <w:sz w:val="24"/>
          <w:lang w:val="en-US"/>
        </w:rPr>
      </w:pPr>
      <w:r w:rsidRPr="00DC2365">
        <w:rPr>
          <w:rFonts w:ascii="Times New Roman" w:hAnsi="Times New Roman" w:cs="Times New Roman"/>
          <w:b/>
          <w:color w:val="C00000"/>
          <w:sz w:val="24"/>
          <w:lang w:val="en-US"/>
        </w:rPr>
        <w:t xml:space="preserve">List of commodity groups (bold lettering) and their components. </w:t>
      </w:r>
    </w:p>
    <w:p w14:paraId="445070E4" w14:textId="77777777" w:rsidR="00585A01" w:rsidRPr="00DC2365" w:rsidRDefault="00585A01" w:rsidP="00585A01">
      <w:pPr>
        <w:spacing w:after="0" w:line="240" w:lineRule="auto"/>
        <w:rPr>
          <w:rFonts w:cstheme="minorHAnsi"/>
          <w:b/>
          <w:sz w:val="24"/>
          <w:szCs w:val="20"/>
          <w:lang w:val="en-US"/>
        </w:rPr>
      </w:pPr>
      <w:r w:rsidRPr="00DC2365">
        <w:rPr>
          <w:rFonts w:ascii="Times New Roman" w:hAnsi="Times New Roman" w:cs="Times New Roman"/>
          <w:sz w:val="24"/>
          <w:lang w:val="en-US"/>
        </w:rPr>
        <w:t xml:space="preserve">Source: </w:t>
      </w:r>
      <w:proofErr w:type="spellStart"/>
      <w:proofErr w:type="gramStart"/>
      <w:r w:rsidRPr="00DC2365">
        <w:rPr>
          <w:rFonts w:ascii="Times New Roman" w:hAnsi="Times New Roman" w:cs="Times New Roman"/>
          <w:sz w:val="24"/>
          <w:lang w:val="en-US"/>
        </w:rPr>
        <w:t>researchtrade.Earth</w:t>
      </w:r>
      <w:proofErr w:type="spellEnd"/>
      <w:proofErr w:type="gramEnd"/>
      <w:r w:rsidRPr="00DC2365">
        <w:rPr>
          <w:rFonts w:ascii="Times New Roman" w:hAnsi="Times New Roman" w:cs="Times New Roman"/>
          <w:sz w:val="24"/>
          <w:lang w:val="en-US"/>
        </w:rPr>
        <w:t xml:space="preserve"> of Chatham House 2018</w:t>
      </w:r>
      <w:r w:rsidRPr="00DC2365">
        <w:rPr>
          <w:rFonts w:ascii="Times New Roman" w:hAnsi="Times New Roman" w:cs="Times New Roman"/>
          <w:color w:val="0070C0"/>
          <w:sz w:val="24"/>
          <w:lang w:val="en-US"/>
        </w:rPr>
        <w:t xml:space="preserve">; </w:t>
      </w:r>
      <w:hyperlink r:id="rId8" w:history="1">
        <w:r w:rsidRPr="00DC2365">
          <w:rPr>
            <w:rFonts w:ascii="Times New Roman" w:hAnsi="Times New Roman" w:cs="Times New Roman"/>
            <w:color w:val="0070C0"/>
            <w:sz w:val="24"/>
            <w:lang w:val="en-US"/>
          </w:rPr>
          <w:t>https://resourcetrade.earth/</w:t>
        </w:r>
      </w:hyperlink>
      <w:r w:rsidRPr="00DC2365">
        <w:rPr>
          <w:rFonts w:ascii="Times New Roman" w:hAnsi="Times New Roman" w:cs="Times New Roman"/>
          <w:sz w:val="24"/>
          <w:lang w:val="en-US"/>
        </w:rPr>
        <w:t>. Note that each subgroup is further divided in other groups (see the above website for details).</w:t>
      </w:r>
    </w:p>
    <w:p w14:paraId="5D07AEE5" w14:textId="77777777" w:rsidR="00585A01" w:rsidRPr="00DC2365" w:rsidRDefault="00585A01" w:rsidP="00585A01">
      <w:pPr>
        <w:spacing w:after="0" w:line="240" w:lineRule="auto"/>
        <w:rPr>
          <w:rFonts w:ascii="Times New Roman" w:hAnsi="Times New Roman" w:cs="Times New Roman"/>
          <w:b/>
          <w:lang w:val="en-US"/>
        </w:rPr>
      </w:pPr>
    </w:p>
    <w:p w14:paraId="0ACD7FC1" w14:textId="77777777" w:rsidR="00585A01" w:rsidRPr="00DC2365" w:rsidRDefault="00585A01" w:rsidP="00585A01">
      <w:pPr>
        <w:spacing w:after="0" w:line="240" w:lineRule="auto"/>
        <w:rPr>
          <w:rFonts w:ascii="Times New Roman" w:hAnsi="Times New Roman" w:cs="Times New Roman"/>
          <w:b/>
          <w:lang w:val="en-US"/>
        </w:rPr>
      </w:pPr>
      <w:r w:rsidRPr="00DC2365">
        <w:rPr>
          <w:rFonts w:ascii="Times New Roman" w:hAnsi="Times New Roman" w:cs="Times New Roman"/>
          <w:b/>
          <w:lang w:val="en-US"/>
        </w:rPr>
        <w:t>Agricultural Products</w:t>
      </w:r>
    </w:p>
    <w:p w14:paraId="08AACC8F" w14:textId="77777777" w:rsidR="00585A01" w:rsidRPr="00DC2365" w:rsidRDefault="00585A01" w:rsidP="00585A01">
      <w:pPr>
        <w:numPr>
          <w:ilvl w:val="0"/>
          <w:numId w:val="27"/>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Cereals, dairy, eggs and honey</w:t>
      </w:r>
    </w:p>
    <w:p w14:paraId="1B763B54" w14:textId="77777777" w:rsidR="00585A01" w:rsidRPr="00DC2365" w:rsidRDefault="00585A01" w:rsidP="00585A01">
      <w:pPr>
        <w:numPr>
          <w:ilvl w:val="0"/>
          <w:numId w:val="27"/>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Fish and aquatic resources</w:t>
      </w:r>
    </w:p>
    <w:p w14:paraId="21CED3E5" w14:textId="77777777" w:rsidR="00585A01" w:rsidRPr="00DC2365" w:rsidRDefault="00585A01" w:rsidP="00585A01">
      <w:pPr>
        <w:numPr>
          <w:ilvl w:val="0"/>
          <w:numId w:val="27"/>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Horticulture</w:t>
      </w:r>
    </w:p>
    <w:p w14:paraId="16A3AB85" w14:textId="77777777" w:rsidR="00585A01" w:rsidRPr="00DC2365" w:rsidRDefault="00585A01" w:rsidP="00585A01">
      <w:pPr>
        <w:numPr>
          <w:ilvl w:val="0"/>
          <w:numId w:val="27"/>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Live animals</w:t>
      </w:r>
    </w:p>
    <w:p w14:paraId="1FF7D10E" w14:textId="77777777" w:rsidR="00585A01" w:rsidRPr="00DC2365" w:rsidRDefault="00585A01" w:rsidP="00585A01">
      <w:pPr>
        <w:numPr>
          <w:ilvl w:val="0"/>
          <w:numId w:val="27"/>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Meat</w:t>
      </w:r>
    </w:p>
    <w:p w14:paraId="011BC15C" w14:textId="77777777" w:rsidR="00585A01" w:rsidRPr="00DC2365" w:rsidRDefault="00585A01" w:rsidP="00585A01">
      <w:pPr>
        <w:numPr>
          <w:ilvl w:val="0"/>
          <w:numId w:val="27"/>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Oil seeds</w:t>
      </w:r>
    </w:p>
    <w:p w14:paraId="20D58D89" w14:textId="77777777" w:rsidR="00585A01" w:rsidRPr="00DC2365" w:rsidRDefault="00585A01" w:rsidP="00585A01">
      <w:pPr>
        <w:numPr>
          <w:ilvl w:val="0"/>
          <w:numId w:val="27"/>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Other agricultural products</w:t>
      </w:r>
    </w:p>
    <w:p w14:paraId="3BA39391" w14:textId="77777777" w:rsidR="00585A01" w:rsidRPr="00DC2365" w:rsidRDefault="00585A01" w:rsidP="00585A01">
      <w:pPr>
        <w:numPr>
          <w:ilvl w:val="0"/>
          <w:numId w:val="27"/>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Pulses</w:t>
      </w:r>
    </w:p>
    <w:p w14:paraId="0D60FC01" w14:textId="77777777" w:rsidR="00585A01" w:rsidRPr="00DC2365" w:rsidRDefault="00585A01" w:rsidP="00585A01">
      <w:pPr>
        <w:numPr>
          <w:ilvl w:val="0"/>
          <w:numId w:val="27"/>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Roots and tubers</w:t>
      </w:r>
    </w:p>
    <w:p w14:paraId="5CB077BF" w14:textId="77777777" w:rsidR="00585A01" w:rsidRPr="00DC2365" w:rsidRDefault="00585A01" w:rsidP="00585A01">
      <w:pPr>
        <w:numPr>
          <w:ilvl w:val="0"/>
          <w:numId w:val="27"/>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Rubber and gums</w:t>
      </w:r>
    </w:p>
    <w:p w14:paraId="78EEBBDE" w14:textId="77777777" w:rsidR="00585A01" w:rsidRPr="00DC2365" w:rsidRDefault="00585A01" w:rsidP="00585A01">
      <w:pPr>
        <w:numPr>
          <w:ilvl w:val="0"/>
          <w:numId w:val="27"/>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Stimulants, tobacco, spices</w:t>
      </w:r>
    </w:p>
    <w:p w14:paraId="79AA198C" w14:textId="77777777" w:rsidR="00585A01" w:rsidRPr="00DC2365" w:rsidRDefault="00585A01" w:rsidP="00585A01">
      <w:pPr>
        <w:spacing w:after="0" w:line="240" w:lineRule="auto"/>
        <w:rPr>
          <w:rFonts w:ascii="Times New Roman" w:hAnsi="Times New Roman" w:cs="Times New Roman"/>
          <w:b/>
          <w:lang w:val="en-US"/>
        </w:rPr>
      </w:pPr>
      <w:r w:rsidRPr="00DC2365">
        <w:rPr>
          <w:rFonts w:ascii="Times New Roman" w:hAnsi="Times New Roman" w:cs="Times New Roman"/>
          <w:b/>
          <w:lang w:val="en-US"/>
        </w:rPr>
        <w:t>Fertilizers</w:t>
      </w:r>
    </w:p>
    <w:p w14:paraId="0DA31144" w14:textId="77777777" w:rsidR="00585A01" w:rsidRPr="00DC2365" w:rsidRDefault="00585A01" w:rsidP="00585A01">
      <w:pPr>
        <w:numPr>
          <w:ilvl w:val="0"/>
          <w:numId w:val="28"/>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Mixed fertilizers</w:t>
      </w:r>
    </w:p>
    <w:p w14:paraId="43DA057D" w14:textId="77777777" w:rsidR="00585A01" w:rsidRPr="00DC2365" w:rsidRDefault="00585A01" w:rsidP="00585A01">
      <w:pPr>
        <w:numPr>
          <w:ilvl w:val="0"/>
          <w:numId w:val="28"/>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Nitrogenous fertilizers</w:t>
      </w:r>
    </w:p>
    <w:p w14:paraId="1E11778F" w14:textId="77777777" w:rsidR="00585A01" w:rsidRPr="00DC2365" w:rsidRDefault="00585A01" w:rsidP="00585A01">
      <w:pPr>
        <w:numPr>
          <w:ilvl w:val="0"/>
          <w:numId w:val="28"/>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Organic Fertilizers</w:t>
      </w:r>
    </w:p>
    <w:p w14:paraId="1F24790D" w14:textId="77777777" w:rsidR="00585A01" w:rsidRPr="00DC2365" w:rsidRDefault="00585A01" w:rsidP="00585A01">
      <w:pPr>
        <w:numPr>
          <w:ilvl w:val="0"/>
          <w:numId w:val="28"/>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Phosphatic fertilizers</w:t>
      </w:r>
    </w:p>
    <w:p w14:paraId="5544A1DE" w14:textId="77777777" w:rsidR="00585A01" w:rsidRPr="00DC2365" w:rsidRDefault="00585A01" w:rsidP="00585A01">
      <w:pPr>
        <w:numPr>
          <w:ilvl w:val="0"/>
          <w:numId w:val="28"/>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Potassic fertilizers</w:t>
      </w:r>
    </w:p>
    <w:p w14:paraId="450299B0" w14:textId="77777777" w:rsidR="00585A01" w:rsidRPr="00DC2365" w:rsidRDefault="00585A01" w:rsidP="00585A01">
      <w:pPr>
        <w:spacing w:after="0" w:line="240" w:lineRule="auto"/>
        <w:rPr>
          <w:rFonts w:ascii="Times New Roman" w:hAnsi="Times New Roman" w:cs="Times New Roman"/>
          <w:b/>
          <w:lang w:val="en-US"/>
        </w:rPr>
      </w:pPr>
      <w:r w:rsidRPr="00DC2365">
        <w:rPr>
          <w:rFonts w:ascii="Times New Roman" w:hAnsi="Times New Roman" w:cs="Times New Roman"/>
          <w:b/>
          <w:lang w:val="en-US"/>
        </w:rPr>
        <w:t>Forestry products</w:t>
      </w:r>
    </w:p>
    <w:p w14:paraId="0FCEDF30" w14:textId="77777777" w:rsidR="00585A01" w:rsidRPr="00DC2365" w:rsidRDefault="00585A01" w:rsidP="00585A01">
      <w:pPr>
        <w:numPr>
          <w:ilvl w:val="0"/>
          <w:numId w:val="29"/>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Board and plywood</w:t>
      </w:r>
    </w:p>
    <w:p w14:paraId="0E54FDA5" w14:textId="77777777" w:rsidR="00585A01" w:rsidRPr="00DC2365" w:rsidRDefault="00585A01" w:rsidP="00585A01">
      <w:pPr>
        <w:numPr>
          <w:ilvl w:val="0"/>
          <w:numId w:val="29"/>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Fuel wood and charcoal</w:t>
      </w:r>
    </w:p>
    <w:p w14:paraId="6D93682C" w14:textId="77777777" w:rsidR="00585A01" w:rsidRPr="00DC2365" w:rsidRDefault="00585A01" w:rsidP="00585A01">
      <w:pPr>
        <w:numPr>
          <w:ilvl w:val="0"/>
          <w:numId w:val="29"/>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Lumber and sawn wood</w:t>
      </w:r>
    </w:p>
    <w:p w14:paraId="4B1059E4" w14:textId="77777777" w:rsidR="00585A01" w:rsidRPr="00DC2365" w:rsidRDefault="00585A01" w:rsidP="00585A01">
      <w:pPr>
        <w:numPr>
          <w:ilvl w:val="0"/>
          <w:numId w:val="29"/>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Wood pulp, chips and waste products</w:t>
      </w:r>
    </w:p>
    <w:p w14:paraId="4D556E0C" w14:textId="77777777" w:rsidR="00585A01" w:rsidRPr="00DC2365" w:rsidRDefault="00585A01" w:rsidP="00585A01">
      <w:pPr>
        <w:spacing w:after="0" w:line="240" w:lineRule="auto"/>
        <w:rPr>
          <w:rFonts w:ascii="Times New Roman" w:hAnsi="Times New Roman" w:cs="Times New Roman"/>
          <w:b/>
          <w:lang w:val="en-US"/>
        </w:rPr>
      </w:pPr>
      <w:r w:rsidRPr="00DC2365">
        <w:rPr>
          <w:rFonts w:ascii="Times New Roman" w:hAnsi="Times New Roman" w:cs="Times New Roman"/>
          <w:b/>
          <w:lang w:val="en-US"/>
        </w:rPr>
        <w:t>Fossil fuels</w:t>
      </w:r>
    </w:p>
    <w:p w14:paraId="616BA39D" w14:textId="77777777" w:rsidR="00585A01" w:rsidRPr="00DC2365" w:rsidRDefault="00585A01" w:rsidP="00585A01">
      <w:pPr>
        <w:numPr>
          <w:ilvl w:val="0"/>
          <w:numId w:val="30"/>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Coal</w:t>
      </w:r>
    </w:p>
    <w:p w14:paraId="7970B565" w14:textId="77777777" w:rsidR="00585A01" w:rsidRPr="00DC2365" w:rsidRDefault="00585A01" w:rsidP="00585A01">
      <w:pPr>
        <w:numPr>
          <w:ilvl w:val="0"/>
          <w:numId w:val="30"/>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Gas</w:t>
      </w:r>
    </w:p>
    <w:p w14:paraId="73EBCB17" w14:textId="77777777" w:rsidR="00585A01" w:rsidRPr="00DC2365" w:rsidRDefault="00585A01" w:rsidP="00585A01">
      <w:pPr>
        <w:numPr>
          <w:ilvl w:val="0"/>
          <w:numId w:val="30"/>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Oil</w:t>
      </w:r>
    </w:p>
    <w:p w14:paraId="37DB24AC" w14:textId="77777777" w:rsidR="00585A01" w:rsidRPr="00DC2365" w:rsidRDefault="00585A01" w:rsidP="00585A01">
      <w:pPr>
        <w:numPr>
          <w:ilvl w:val="0"/>
          <w:numId w:val="30"/>
        </w:numPr>
        <w:spacing w:after="0" w:line="240" w:lineRule="auto"/>
        <w:contextualSpacing/>
        <w:rPr>
          <w:rFonts w:ascii="Times New Roman" w:hAnsi="Times New Roman" w:cs="Times New Roman"/>
          <w:lang w:val="en-US"/>
        </w:rPr>
      </w:pPr>
      <w:r w:rsidRPr="00DC2365">
        <w:rPr>
          <w:rFonts w:ascii="Times New Roman" w:hAnsi="Times New Roman" w:cs="Times New Roman"/>
          <w:lang w:val="en-US"/>
        </w:rPr>
        <w:t>Other fossil fuel products</w:t>
      </w:r>
    </w:p>
    <w:p w14:paraId="6D1AA2F0" w14:textId="77777777" w:rsidR="00585A01" w:rsidRPr="00DC2365" w:rsidRDefault="00585A01" w:rsidP="00585A01">
      <w:pPr>
        <w:spacing w:after="0" w:line="240" w:lineRule="auto"/>
        <w:rPr>
          <w:rFonts w:ascii="Times New Roman" w:hAnsi="Times New Roman" w:cs="Times New Roman"/>
          <w:b/>
          <w:lang w:val="en-US"/>
        </w:rPr>
      </w:pPr>
      <w:r w:rsidRPr="00DC2365">
        <w:rPr>
          <w:rFonts w:ascii="Times New Roman" w:hAnsi="Times New Roman" w:cs="Times New Roman"/>
          <w:b/>
          <w:lang w:val="en-US"/>
        </w:rPr>
        <w:t>Metal and minerals</w:t>
      </w:r>
    </w:p>
    <w:p w14:paraId="31E9C3D4" w14:textId="77777777" w:rsidR="00585A01" w:rsidRPr="00DC2365" w:rsidRDefault="00585A01" w:rsidP="00585A01">
      <w:pPr>
        <w:numPr>
          <w:ilvl w:val="0"/>
          <w:numId w:val="31"/>
        </w:numPr>
        <w:spacing w:after="0" w:line="240" w:lineRule="auto"/>
        <w:contextualSpacing/>
        <w:rPr>
          <w:rFonts w:ascii="Times New Roman" w:hAnsi="Times New Roman" w:cs="Times New Roman"/>
          <w:sz w:val="24"/>
          <w:lang w:val="en-US"/>
        </w:rPr>
      </w:pPr>
      <w:r w:rsidRPr="00DC2365">
        <w:rPr>
          <w:rFonts w:ascii="Times New Roman" w:hAnsi="Times New Roman" w:cs="Times New Roman"/>
          <w:sz w:val="24"/>
          <w:lang w:val="en-US"/>
        </w:rPr>
        <w:t>Industrial minerals</w:t>
      </w:r>
    </w:p>
    <w:p w14:paraId="700A728E" w14:textId="77777777" w:rsidR="00585A01" w:rsidRPr="00DC2365" w:rsidRDefault="00585A01" w:rsidP="00585A01">
      <w:pPr>
        <w:numPr>
          <w:ilvl w:val="0"/>
          <w:numId w:val="31"/>
        </w:numPr>
        <w:spacing w:after="0" w:line="240" w:lineRule="auto"/>
        <w:contextualSpacing/>
        <w:rPr>
          <w:rFonts w:ascii="Times New Roman" w:hAnsi="Times New Roman" w:cs="Times New Roman"/>
          <w:sz w:val="24"/>
          <w:lang w:val="en-US"/>
        </w:rPr>
      </w:pPr>
      <w:r w:rsidRPr="00DC2365">
        <w:rPr>
          <w:rFonts w:ascii="Times New Roman" w:hAnsi="Times New Roman" w:cs="Times New Roman"/>
          <w:sz w:val="24"/>
          <w:lang w:val="en-US"/>
        </w:rPr>
        <w:t>Iron and steel</w:t>
      </w:r>
    </w:p>
    <w:p w14:paraId="5BD9A9EB" w14:textId="77777777" w:rsidR="00585A01" w:rsidRPr="00DC2365" w:rsidRDefault="00585A01" w:rsidP="00585A01">
      <w:pPr>
        <w:numPr>
          <w:ilvl w:val="0"/>
          <w:numId w:val="31"/>
        </w:numPr>
        <w:spacing w:after="0" w:line="240" w:lineRule="auto"/>
        <w:contextualSpacing/>
        <w:rPr>
          <w:rFonts w:ascii="Times New Roman" w:hAnsi="Times New Roman" w:cs="Times New Roman"/>
          <w:sz w:val="24"/>
          <w:lang w:val="en-US"/>
        </w:rPr>
      </w:pPr>
      <w:r w:rsidRPr="00DC2365">
        <w:rPr>
          <w:rFonts w:ascii="Times New Roman" w:hAnsi="Times New Roman" w:cs="Times New Roman"/>
          <w:sz w:val="24"/>
          <w:lang w:val="en-US"/>
        </w:rPr>
        <w:t>Metals not specified</w:t>
      </w:r>
    </w:p>
    <w:p w14:paraId="485891C9" w14:textId="77777777" w:rsidR="00585A01" w:rsidRPr="00DC2365" w:rsidRDefault="00585A01" w:rsidP="00585A01">
      <w:pPr>
        <w:numPr>
          <w:ilvl w:val="0"/>
          <w:numId w:val="31"/>
        </w:numPr>
        <w:spacing w:after="0" w:line="240" w:lineRule="auto"/>
        <w:contextualSpacing/>
        <w:rPr>
          <w:rFonts w:ascii="Times New Roman" w:hAnsi="Times New Roman" w:cs="Times New Roman"/>
          <w:sz w:val="24"/>
          <w:lang w:val="en-US"/>
        </w:rPr>
      </w:pPr>
      <w:r w:rsidRPr="00DC2365">
        <w:rPr>
          <w:rFonts w:ascii="Times New Roman" w:hAnsi="Times New Roman" w:cs="Times New Roman"/>
          <w:sz w:val="24"/>
          <w:lang w:val="en-US"/>
        </w:rPr>
        <w:t>Nonferrous metals</w:t>
      </w:r>
    </w:p>
    <w:p w14:paraId="08DD97B3" w14:textId="77777777" w:rsidR="00585A01" w:rsidRPr="00DC2365" w:rsidRDefault="00585A01" w:rsidP="00585A01">
      <w:pPr>
        <w:numPr>
          <w:ilvl w:val="0"/>
          <w:numId w:val="31"/>
        </w:numPr>
        <w:spacing w:after="0" w:line="240" w:lineRule="auto"/>
        <w:contextualSpacing/>
        <w:rPr>
          <w:rFonts w:ascii="Times New Roman" w:hAnsi="Times New Roman" w:cs="Times New Roman"/>
          <w:sz w:val="24"/>
          <w:lang w:val="en-US"/>
        </w:rPr>
      </w:pPr>
      <w:r w:rsidRPr="00DC2365">
        <w:rPr>
          <w:rFonts w:ascii="Times New Roman" w:hAnsi="Times New Roman" w:cs="Times New Roman"/>
          <w:sz w:val="24"/>
          <w:lang w:val="en-US"/>
        </w:rPr>
        <w:t>Precious metals</w:t>
      </w:r>
    </w:p>
    <w:p w14:paraId="3811730A" w14:textId="77777777" w:rsidR="00585A01" w:rsidRPr="00DC2365" w:rsidRDefault="00585A01" w:rsidP="00585A01">
      <w:pPr>
        <w:numPr>
          <w:ilvl w:val="0"/>
          <w:numId w:val="31"/>
        </w:numPr>
        <w:spacing w:after="0" w:line="240" w:lineRule="auto"/>
        <w:contextualSpacing/>
        <w:rPr>
          <w:rFonts w:ascii="Times New Roman" w:hAnsi="Times New Roman" w:cs="Times New Roman"/>
          <w:sz w:val="24"/>
          <w:lang w:val="en-US"/>
        </w:rPr>
      </w:pPr>
      <w:r w:rsidRPr="00DC2365">
        <w:rPr>
          <w:rFonts w:ascii="Times New Roman" w:hAnsi="Times New Roman" w:cs="Times New Roman"/>
          <w:sz w:val="24"/>
          <w:lang w:val="en-US"/>
        </w:rPr>
        <w:t>Specialty metals</w:t>
      </w:r>
    </w:p>
    <w:p w14:paraId="10770547" w14:textId="77777777" w:rsidR="00585A01" w:rsidRPr="00DC2365" w:rsidRDefault="00585A01" w:rsidP="00585A01">
      <w:pPr>
        <w:spacing w:after="0" w:line="240" w:lineRule="auto"/>
        <w:rPr>
          <w:rFonts w:ascii="Times New Roman" w:hAnsi="Times New Roman" w:cs="Times New Roman"/>
          <w:b/>
          <w:sz w:val="24"/>
          <w:lang w:val="en-US"/>
        </w:rPr>
      </w:pPr>
      <w:r w:rsidRPr="00DC2365">
        <w:rPr>
          <w:rFonts w:ascii="Times New Roman" w:hAnsi="Times New Roman" w:cs="Times New Roman"/>
          <w:b/>
          <w:sz w:val="24"/>
          <w:lang w:val="en-US"/>
        </w:rPr>
        <w:t>Pearls and gemstones</w:t>
      </w:r>
    </w:p>
    <w:p w14:paraId="41122293" w14:textId="77777777" w:rsidR="00585A01" w:rsidRPr="00DC2365" w:rsidRDefault="00585A01" w:rsidP="00585A01">
      <w:pPr>
        <w:numPr>
          <w:ilvl w:val="0"/>
          <w:numId w:val="32"/>
        </w:numPr>
        <w:spacing w:after="0" w:line="240" w:lineRule="auto"/>
        <w:contextualSpacing/>
        <w:rPr>
          <w:rFonts w:ascii="Times New Roman" w:hAnsi="Times New Roman" w:cs="Times New Roman"/>
          <w:sz w:val="24"/>
          <w:lang w:val="en-US"/>
        </w:rPr>
      </w:pPr>
      <w:r w:rsidRPr="00DC2365">
        <w:rPr>
          <w:rFonts w:ascii="Times New Roman" w:hAnsi="Times New Roman" w:cs="Times New Roman"/>
          <w:sz w:val="24"/>
          <w:lang w:val="en-US"/>
        </w:rPr>
        <w:t>Diamonds</w:t>
      </w:r>
    </w:p>
    <w:p w14:paraId="6FC53A90" w14:textId="77777777" w:rsidR="00585A01" w:rsidRPr="00DC2365" w:rsidRDefault="00585A01" w:rsidP="00585A01">
      <w:pPr>
        <w:numPr>
          <w:ilvl w:val="0"/>
          <w:numId w:val="32"/>
        </w:numPr>
        <w:spacing w:after="0" w:line="240" w:lineRule="auto"/>
        <w:contextualSpacing/>
        <w:rPr>
          <w:rFonts w:ascii="Times New Roman" w:hAnsi="Times New Roman" w:cs="Times New Roman"/>
          <w:sz w:val="24"/>
          <w:lang w:val="en-US"/>
        </w:rPr>
      </w:pPr>
      <w:r w:rsidRPr="00DC2365">
        <w:rPr>
          <w:rFonts w:ascii="Times New Roman" w:hAnsi="Times New Roman" w:cs="Times New Roman"/>
          <w:sz w:val="24"/>
          <w:lang w:val="en-US"/>
        </w:rPr>
        <w:t>Pearls</w:t>
      </w:r>
    </w:p>
    <w:p w14:paraId="7C64AC5B" w14:textId="77777777" w:rsidR="00585A01" w:rsidRPr="00DC2365" w:rsidRDefault="00585A01" w:rsidP="00585A01">
      <w:pPr>
        <w:numPr>
          <w:ilvl w:val="0"/>
          <w:numId w:val="32"/>
        </w:numPr>
        <w:spacing w:after="0" w:line="240" w:lineRule="auto"/>
        <w:contextualSpacing/>
        <w:rPr>
          <w:rFonts w:ascii="Times New Roman" w:hAnsi="Times New Roman" w:cs="Times New Roman"/>
          <w:sz w:val="24"/>
          <w:lang w:val="en-US"/>
        </w:rPr>
      </w:pPr>
      <w:r w:rsidRPr="00DC2365">
        <w:rPr>
          <w:rFonts w:ascii="Times New Roman" w:hAnsi="Times New Roman" w:cs="Times New Roman"/>
          <w:sz w:val="24"/>
          <w:lang w:val="en-US"/>
        </w:rPr>
        <w:t>Precious and semiprecious stones</w:t>
      </w:r>
    </w:p>
    <w:p w14:paraId="39BDE1EF" w14:textId="6D2F3F2C" w:rsidR="00585A01" w:rsidRDefault="00585A01" w:rsidP="00585A01">
      <w:pPr>
        <w:autoSpaceDE w:val="0"/>
        <w:autoSpaceDN w:val="0"/>
        <w:adjustRightInd w:val="0"/>
        <w:spacing w:after="0" w:line="240" w:lineRule="auto"/>
        <w:rPr>
          <w:rFonts w:ascii="Times New Roman" w:hAnsi="Times New Roman" w:cs="Times New Roman"/>
          <w:b/>
          <w:color w:val="0070C0"/>
          <w:sz w:val="24"/>
          <w:szCs w:val="24"/>
          <w:lang w:val="en-US"/>
        </w:rPr>
      </w:pPr>
    </w:p>
    <w:p w14:paraId="489768D4" w14:textId="77777777" w:rsidR="004A5563" w:rsidRPr="00DC2365" w:rsidRDefault="004A5563" w:rsidP="00585A01">
      <w:pPr>
        <w:autoSpaceDE w:val="0"/>
        <w:autoSpaceDN w:val="0"/>
        <w:adjustRightInd w:val="0"/>
        <w:spacing w:after="0" w:line="240" w:lineRule="auto"/>
        <w:rPr>
          <w:rFonts w:ascii="Times New Roman" w:hAnsi="Times New Roman" w:cs="Times New Roman"/>
          <w:b/>
          <w:color w:val="0070C0"/>
          <w:sz w:val="24"/>
          <w:szCs w:val="24"/>
          <w:lang w:val="en-US"/>
        </w:rPr>
      </w:pPr>
    </w:p>
    <w:p w14:paraId="449155C1" w14:textId="77777777" w:rsidR="00585A01" w:rsidRPr="00DC2365" w:rsidRDefault="00585A01" w:rsidP="00585A01">
      <w:pPr>
        <w:autoSpaceDE w:val="0"/>
        <w:autoSpaceDN w:val="0"/>
        <w:adjustRightInd w:val="0"/>
        <w:spacing w:after="0" w:line="240" w:lineRule="auto"/>
        <w:rPr>
          <w:rFonts w:ascii="Times New Roman" w:hAnsi="Times New Roman" w:cs="Times New Roman"/>
          <w:b/>
          <w:color w:val="C00000"/>
          <w:sz w:val="24"/>
          <w:szCs w:val="24"/>
          <w:lang w:val="en-US"/>
        </w:rPr>
      </w:pPr>
      <w:r w:rsidRPr="00DC2365">
        <w:rPr>
          <w:rFonts w:ascii="Times New Roman" w:hAnsi="Times New Roman" w:cs="Times New Roman"/>
          <w:b/>
          <w:color w:val="C00000"/>
          <w:sz w:val="24"/>
          <w:szCs w:val="24"/>
          <w:lang w:val="en-US"/>
        </w:rPr>
        <w:lastRenderedPageBreak/>
        <w:t>Global Food Security Index (FSI)</w:t>
      </w:r>
    </w:p>
    <w:p w14:paraId="1693B557" w14:textId="77777777" w:rsidR="00585A01" w:rsidRPr="00DC2365" w:rsidRDefault="00585A01" w:rsidP="00585A01">
      <w:pPr>
        <w:autoSpaceDE w:val="0"/>
        <w:autoSpaceDN w:val="0"/>
        <w:adjustRightInd w:val="0"/>
        <w:spacing w:after="0" w:line="240" w:lineRule="auto"/>
        <w:rPr>
          <w:rFonts w:ascii="Times New Roman" w:hAnsi="Times New Roman" w:cs="Times New Roman"/>
          <w:sz w:val="24"/>
          <w:szCs w:val="24"/>
          <w:lang w:val="en-US"/>
        </w:rPr>
      </w:pPr>
      <w:r w:rsidRPr="00DC2365">
        <w:rPr>
          <w:rFonts w:ascii="Times New Roman" w:hAnsi="Times New Roman" w:cs="Times New Roman"/>
          <w:color w:val="000000"/>
          <w:sz w:val="24"/>
          <w:szCs w:val="24"/>
          <w:lang w:val="en-US"/>
        </w:rPr>
        <w:t xml:space="preserve">The Global Food Security Index, developed by the Economist Intelligence Unit and sponsored by </w:t>
      </w:r>
      <w:proofErr w:type="spellStart"/>
      <w:r w:rsidRPr="00DC2365">
        <w:rPr>
          <w:rFonts w:ascii="Times New Roman" w:hAnsi="Times New Roman" w:cs="Times New Roman"/>
          <w:color w:val="000000"/>
          <w:sz w:val="24"/>
          <w:szCs w:val="24"/>
          <w:lang w:val="en-US"/>
        </w:rPr>
        <w:t>Corteva</w:t>
      </w:r>
      <w:proofErr w:type="spellEnd"/>
      <w:r w:rsidRPr="00DC2365">
        <w:rPr>
          <w:rFonts w:ascii="Times New Roman" w:hAnsi="Times New Roman" w:cs="Times New Roman"/>
          <w:color w:val="000000"/>
          <w:sz w:val="24"/>
          <w:szCs w:val="24"/>
          <w:lang w:val="en-US"/>
        </w:rPr>
        <w:t xml:space="preserve"> </w:t>
      </w:r>
      <w:proofErr w:type="spellStart"/>
      <w:r w:rsidRPr="00DC2365">
        <w:rPr>
          <w:rFonts w:ascii="Times New Roman" w:hAnsi="Times New Roman" w:cs="Times New Roman"/>
          <w:color w:val="000000"/>
          <w:sz w:val="24"/>
          <w:szCs w:val="24"/>
          <w:lang w:val="en-US"/>
        </w:rPr>
        <w:t>Agriscience</w:t>
      </w:r>
      <w:proofErr w:type="spellEnd"/>
      <w:r w:rsidRPr="00DC2365">
        <w:rPr>
          <w:rFonts w:ascii="Times New Roman" w:hAnsi="Times New Roman" w:cs="Times New Roman"/>
          <w:color w:val="000000"/>
          <w:sz w:val="24"/>
          <w:szCs w:val="24"/>
          <w:lang w:val="en-US"/>
        </w:rPr>
        <w:t>, the Agriculture Division of DowDuPont, considers three core pillars of food security— Affordability, Availability, and Quality &amp; Safety—across 113 countries. The index is a dynamic</w:t>
      </w:r>
      <w:r>
        <w:rPr>
          <w:rFonts w:ascii="Times New Roman" w:hAnsi="Times New Roman" w:cs="Times New Roman"/>
          <w:color w:val="000000"/>
          <w:sz w:val="24"/>
          <w:szCs w:val="24"/>
          <w:lang w:val="en-US"/>
        </w:rPr>
        <w:t>,</w:t>
      </w:r>
      <w:r w:rsidRPr="00DC2365">
        <w:rPr>
          <w:rFonts w:ascii="Times New Roman" w:hAnsi="Times New Roman" w:cs="Times New Roman"/>
          <w:color w:val="000000"/>
          <w:sz w:val="24"/>
          <w:szCs w:val="24"/>
          <w:lang w:val="en-US"/>
        </w:rPr>
        <w:t xml:space="preserve"> quantitative</w:t>
      </w:r>
      <w:r>
        <w:rPr>
          <w:rFonts w:ascii="Times New Roman" w:hAnsi="Times New Roman" w:cs="Times New Roman"/>
          <w:color w:val="000000"/>
          <w:sz w:val="24"/>
          <w:szCs w:val="24"/>
          <w:lang w:val="en-US"/>
        </w:rPr>
        <w:t>,</w:t>
      </w:r>
      <w:r w:rsidRPr="00DC2365">
        <w:rPr>
          <w:rFonts w:ascii="Times New Roman" w:hAnsi="Times New Roman" w:cs="Times New Roman"/>
          <w:color w:val="000000"/>
          <w:sz w:val="24"/>
          <w:szCs w:val="24"/>
          <w:lang w:val="en-US"/>
        </w:rPr>
        <w:t xml:space="preserve"> and qualitative benchmarking model, constructed from 28 unique indicators, that provides an objective framework for evaluating food security across a wide range of countries worldwide. By creating a standardized metric around food security, </w:t>
      </w:r>
      <w:r>
        <w:rPr>
          <w:rFonts w:ascii="Times New Roman" w:hAnsi="Times New Roman" w:cs="Times New Roman"/>
          <w:color w:val="000000"/>
          <w:sz w:val="24"/>
          <w:szCs w:val="24"/>
          <w:lang w:val="en-US"/>
        </w:rPr>
        <w:t xml:space="preserve">the </w:t>
      </w:r>
      <w:proofErr w:type="gramStart"/>
      <w:r>
        <w:rPr>
          <w:rFonts w:ascii="Times New Roman" w:hAnsi="Times New Roman" w:cs="Times New Roman"/>
          <w:color w:val="000000"/>
          <w:sz w:val="24"/>
          <w:szCs w:val="24"/>
          <w:lang w:val="en-US"/>
        </w:rPr>
        <w:t xml:space="preserve">FSI </w:t>
      </w:r>
      <w:r w:rsidRPr="00DC2365">
        <w:rPr>
          <w:rFonts w:ascii="Times New Roman" w:hAnsi="Times New Roman" w:cs="Times New Roman"/>
          <w:color w:val="000000"/>
          <w:sz w:val="24"/>
          <w:szCs w:val="24"/>
          <w:lang w:val="en-US"/>
        </w:rPr>
        <w:t xml:space="preserve"> empower</w:t>
      </w:r>
      <w:r>
        <w:rPr>
          <w:rFonts w:ascii="Times New Roman" w:hAnsi="Times New Roman" w:cs="Times New Roman"/>
          <w:color w:val="000000"/>
          <w:sz w:val="24"/>
          <w:szCs w:val="24"/>
          <w:lang w:val="en-US"/>
        </w:rPr>
        <w:t>s</w:t>
      </w:r>
      <w:proofErr w:type="gramEnd"/>
      <w:r w:rsidRPr="00DC2365">
        <w:rPr>
          <w:rFonts w:ascii="Times New Roman" w:hAnsi="Times New Roman" w:cs="Times New Roman"/>
          <w:color w:val="000000"/>
          <w:sz w:val="24"/>
          <w:szCs w:val="24"/>
          <w:lang w:val="en-US"/>
        </w:rPr>
        <w:t xml:space="preserve"> users to explore issues surrounding food security—including the rankings and results—and draw conclusions for policy, business operations and future research. </w:t>
      </w:r>
    </w:p>
    <w:p w14:paraId="3BA0977C" w14:textId="77777777" w:rsidR="00585A01" w:rsidRPr="00DC2365" w:rsidRDefault="00585A01" w:rsidP="00585A01">
      <w:pPr>
        <w:autoSpaceDE w:val="0"/>
        <w:autoSpaceDN w:val="0"/>
        <w:adjustRightInd w:val="0"/>
        <w:spacing w:after="0" w:line="240" w:lineRule="auto"/>
        <w:rPr>
          <w:rFonts w:ascii="Times New Roman" w:hAnsi="Times New Roman" w:cs="Times New Roman"/>
          <w:sz w:val="24"/>
          <w:szCs w:val="24"/>
          <w:lang w:val="en-US"/>
        </w:rPr>
      </w:pPr>
      <w:r w:rsidRPr="00DC2365">
        <w:rPr>
          <w:rFonts w:ascii="Times New Roman" w:hAnsi="Times New Roman" w:cs="Times New Roman"/>
          <w:color w:val="000000"/>
          <w:sz w:val="24"/>
          <w:szCs w:val="24"/>
          <w:lang w:val="en-US"/>
        </w:rPr>
        <w:t xml:space="preserve">  </w:t>
      </w:r>
    </w:p>
    <w:p w14:paraId="1AE03176" w14:textId="77777777" w:rsidR="00585A01" w:rsidRPr="00DC2365" w:rsidRDefault="00585A01" w:rsidP="00585A01">
      <w:pPr>
        <w:autoSpaceDE w:val="0"/>
        <w:autoSpaceDN w:val="0"/>
        <w:adjustRightInd w:val="0"/>
        <w:spacing w:after="0" w:line="240" w:lineRule="auto"/>
        <w:rPr>
          <w:rFonts w:ascii="Times New Roman" w:hAnsi="Times New Roman" w:cs="Times New Roman"/>
          <w:sz w:val="24"/>
          <w:szCs w:val="24"/>
          <w:lang w:val="en-US"/>
        </w:rPr>
      </w:pPr>
      <w:r w:rsidRPr="00DC2365">
        <w:rPr>
          <w:rFonts w:ascii="Times New Roman" w:hAnsi="Times New Roman" w:cs="Times New Roman"/>
          <w:color w:val="000000"/>
          <w:sz w:val="24"/>
          <w:szCs w:val="24"/>
          <w:lang w:val="en-US"/>
        </w:rPr>
        <w:t xml:space="preserve">The model, in addition to assessing food affordability, availability and quality, includes a category on natural resources and resilience. The Natural Resources &amp; Resilience category measures a country’s exposure to the impacts of a changing climate; its susceptibility to natural resource risks; and how a country is adapting to these risks. When applied, it acts as an adjustment factor on countries’ food security scores. </w:t>
      </w:r>
    </w:p>
    <w:p w14:paraId="25D6454D" w14:textId="77777777" w:rsidR="00585A01" w:rsidRPr="00DC2365" w:rsidRDefault="00585A01" w:rsidP="00585A01">
      <w:pPr>
        <w:autoSpaceDE w:val="0"/>
        <w:autoSpaceDN w:val="0"/>
        <w:adjustRightInd w:val="0"/>
        <w:spacing w:after="0" w:line="240" w:lineRule="auto"/>
        <w:rPr>
          <w:rFonts w:ascii="Times New Roman" w:hAnsi="Times New Roman" w:cs="Times New Roman"/>
          <w:sz w:val="24"/>
          <w:szCs w:val="24"/>
          <w:lang w:val="en-US"/>
        </w:rPr>
      </w:pPr>
      <w:r w:rsidRPr="00DC2365">
        <w:rPr>
          <w:rFonts w:ascii="Times New Roman" w:hAnsi="Times New Roman" w:cs="Times New Roman"/>
          <w:color w:val="000000"/>
          <w:sz w:val="24"/>
          <w:szCs w:val="24"/>
          <w:lang w:val="en-US"/>
        </w:rPr>
        <w:t xml:space="preserve">  </w:t>
      </w:r>
    </w:p>
    <w:p w14:paraId="282D4EC0" w14:textId="77777777" w:rsidR="00585A01" w:rsidRPr="00DC2365" w:rsidRDefault="00585A01" w:rsidP="00585A01">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C2365">
        <w:rPr>
          <w:rFonts w:ascii="Times New Roman" w:hAnsi="Times New Roman" w:cs="Times New Roman"/>
          <w:color w:val="000000"/>
          <w:sz w:val="24"/>
          <w:szCs w:val="24"/>
          <w:lang w:val="en-US"/>
        </w:rPr>
        <w:t xml:space="preserve">Food security is defined as the state in which people always have physical, social and economic access to </w:t>
      </w:r>
      <w:proofErr w:type="gramStart"/>
      <w:r w:rsidRPr="00DC2365">
        <w:rPr>
          <w:rFonts w:ascii="Times New Roman" w:hAnsi="Times New Roman" w:cs="Times New Roman"/>
          <w:color w:val="000000"/>
          <w:sz w:val="24"/>
          <w:szCs w:val="24"/>
          <w:lang w:val="en-US"/>
        </w:rPr>
        <w:t>sufficient</w:t>
      </w:r>
      <w:proofErr w:type="gramEnd"/>
      <w:r w:rsidRPr="00DC2365">
        <w:rPr>
          <w:rFonts w:ascii="Times New Roman" w:hAnsi="Times New Roman" w:cs="Times New Roman"/>
          <w:color w:val="000000"/>
          <w:sz w:val="24"/>
          <w:szCs w:val="24"/>
          <w:lang w:val="en-US"/>
        </w:rPr>
        <w:t xml:space="preserve"> and nutritious food that meets their dietary needs for a healthy and active life. This framework is based on the internationally accepted definition established at the 1996 World Food Summit </w:t>
      </w:r>
      <w:r w:rsidRPr="00DC2365">
        <w:rPr>
          <w:rFonts w:ascii="Times New Roman" w:hAnsi="Times New Roman" w:cs="Times New Roman"/>
          <w:color w:val="0070C0"/>
          <w:sz w:val="24"/>
          <w:szCs w:val="24"/>
          <w:lang w:val="en-US"/>
        </w:rPr>
        <w:t>(</w:t>
      </w:r>
      <w:hyperlink r:id="rId9" w:history="1">
        <w:r w:rsidRPr="00DC2365">
          <w:rPr>
            <w:rFonts w:ascii="Times New Roman" w:hAnsi="Times New Roman" w:cs="Times New Roman"/>
            <w:color w:val="0000FF"/>
            <w:sz w:val="24"/>
            <w:szCs w:val="24"/>
            <w:u w:val="single"/>
            <w:lang w:val="en-US"/>
          </w:rPr>
          <w:t>http://www.fao.org/WFS/</w:t>
        </w:r>
      </w:hyperlink>
      <w:r w:rsidRPr="00DC2365">
        <w:rPr>
          <w:rFonts w:ascii="Times New Roman" w:hAnsi="Times New Roman" w:cs="Times New Roman"/>
          <w:color w:val="000000" w:themeColor="text1"/>
          <w:sz w:val="24"/>
          <w:szCs w:val="24"/>
          <w:lang w:val="en-US"/>
        </w:rPr>
        <w:t>).</w:t>
      </w:r>
    </w:p>
    <w:p w14:paraId="6D32E2EE" w14:textId="77777777" w:rsidR="00585A01" w:rsidRPr="00DC2365" w:rsidRDefault="00585A01" w:rsidP="00585A01">
      <w:pPr>
        <w:autoSpaceDE w:val="0"/>
        <w:autoSpaceDN w:val="0"/>
        <w:adjustRightInd w:val="0"/>
        <w:spacing w:after="0" w:line="240" w:lineRule="auto"/>
        <w:rPr>
          <w:rFonts w:ascii="Times New Roman" w:hAnsi="Times New Roman" w:cs="Times New Roman"/>
          <w:color w:val="000000"/>
          <w:sz w:val="24"/>
          <w:szCs w:val="24"/>
          <w:lang w:val="en-US"/>
        </w:rPr>
      </w:pPr>
    </w:p>
    <w:p w14:paraId="5438B3BB" w14:textId="77777777" w:rsidR="00585A01" w:rsidRPr="00DC2365" w:rsidRDefault="00585A01" w:rsidP="00585A01">
      <w:pPr>
        <w:autoSpaceDE w:val="0"/>
        <w:autoSpaceDN w:val="0"/>
        <w:adjustRightInd w:val="0"/>
        <w:spacing w:after="0" w:line="240" w:lineRule="auto"/>
        <w:rPr>
          <w:rFonts w:ascii="Times New Roman" w:hAnsi="Times New Roman" w:cs="Times New Roman"/>
          <w:color w:val="000000"/>
          <w:sz w:val="24"/>
          <w:szCs w:val="24"/>
          <w:lang w:val="en-US"/>
        </w:rPr>
      </w:pPr>
      <w:r w:rsidRPr="00DC2365">
        <w:rPr>
          <w:rFonts w:ascii="Times New Roman" w:hAnsi="Times New Roman" w:cs="Times New Roman"/>
          <w:color w:val="000000"/>
          <w:sz w:val="24"/>
          <w:szCs w:val="24"/>
          <w:lang w:val="en-US"/>
        </w:rPr>
        <w:t xml:space="preserve">The FSI (2018) is available at </w:t>
      </w:r>
      <w:r w:rsidRPr="00DC2365">
        <w:rPr>
          <w:rFonts w:ascii="Times New Roman" w:hAnsi="Times New Roman" w:cs="Times New Roman"/>
          <w:color w:val="0070C0"/>
          <w:sz w:val="24"/>
          <w:szCs w:val="24"/>
          <w:lang w:val="en-US"/>
        </w:rPr>
        <w:t>https://foodsecurityindex.eiu.com</w:t>
      </w:r>
      <w:r w:rsidRPr="00DC2365">
        <w:rPr>
          <w:rFonts w:ascii="Times New Roman" w:hAnsi="Times New Roman" w:cs="Times New Roman"/>
          <w:color w:val="000000" w:themeColor="text1"/>
          <w:sz w:val="24"/>
          <w:szCs w:val="24"/>
          <w:lang w:val="en-US"/>
        </w:rPr>
        <w:t>/.</w:t>
      </w:r>
    </w:p>
    <w:p w14:paraId="1E53DCBC" w14:textId="77777777" w:rsidR="00585A01" w:rsidRPr="00DC2365" w:rsidRDefault="00585A01" w:rsidP="00585A01">
      <w:pPr>
        <w:autoSpaceDE w:val="0"/>
        <w:autoSpaceDN w:val="0"/>
        <w:adjustRightInd w:val="0"/>
        <w:spacing w:after="0" w:line="240" w:lineRule="auto"/>
        <w:rPr>
          <w:rFonts w:ascii="Times New Roman" w:hAnsi="Times New Roman" w:cs="Times New Roman"/>
          <w:color w:val="000000"/>
          <w:sz w:val="24"/>
          <w:szCs w:val="24"/>
          <w:lang w:val="en-US"/>
        </w:rPr>
      </w:pPr>
    </w:p>
    <w:p w14:paraId="1247DCEF" w14:textId="77777777" w:rsidR="00585A01" w:rsidRPr="00DC2365" w:rsidRDefault="00585A01" w:rsidP="00585A01">
      <w:pPr>
        <w:autoSpaceDE w:val="0"/>
        <w:autoSpaceDN w:val="0"/>
        <w:adjustRightInd w:val="0"/>
        <w:spacing w:after="0" w:line="240" w:lineRule="auto"/>
        <w:rPr>
          <w:rFonts w:ascii="Times New Roman" w:hAnsi="Times New Roman" w:cs="Times New Roman"/>
          <w:color w:val="000000"/>
          <w:sz w:val="20"/>
          <w:szCs w:val="20"/>
          <w:lang w:val="en-US"/>
        </w:rPr>
      </w:pPr>
      <w:r w:rsidRPr="00DC2365">
        <w:rPr>
          <w:rFonts w:ascii="Times New Roman" w:hAnsi="Times New Roman" w:cs="Times New Roman"/>
          <w:color w:val="000000"/>
          <w:sz w:val="20"/>
          <w:szCs w:val="20"/>
          <w:lang w:val="en-US"/>
        </w:rPr>
        <w:t xml:space="preserve">  </w:t>
      </w:r>
    </w:p>
    <w:p w14:paraId="69F37EFC" w14:textId="77777777" w:rsidR="00585A01" w:rsidRPr="00DC2365" w:rsidRDefault="00585A01" w:rsidP="00585A01">
      <w:pPr>
        <w:rPr>
          <w:rFonts w:ascii="Times New Roman" w:hAnsi="Times New Roman" w:cs="Times New Roman"/>
          <w:color w:val="000000"/>
          <w:sz w:val="20"/>
          <w:szCs w:val="20"/>
          <w:lang w:val="en-US"/>
        </w:rPr>
      </w:pPr>
      <w:r w:rsidRPr="00DC2365">
        <w:rPr>
          <w:rFonts w:ascii="Times New Roman" w:hAnsi="Times New Roman" w:cs="Times New Roman"/>
          <w:color w:val="000000"/>
          <w:sz w:val="20"/>
          <w:szCs w:val="20"/>
          <w:lang w:val="en-US"/>
        </w:rPr>
        <w:br w:type="page"/>
      </w:r>
    </w:p>
    <w:p w14:paraId="498EFCD9" w14:textId="77777777" w:rsidR="00585A01" w:rsidRPr="00DC2365" w:rsidRDefault="00585A01" w:rsidP="00585A01">
      <w:pPr>
        <w:spacing w:after="0" w:line="240" w:lineRule="auto"/>
        <w:rPr>
          <w:rFonts w:ascii="Times New Roman" w:hAnsi="Times New Roman" w:cs="Times New Roman"/>
          <w:b/>
          <w:color w:val="C00000"/>
          <w:sz w:val="24"/>
          <w:szCs w:val="20"/>
          <w:lang w:val="en-US"/>
        </w:rPr>
      </w:pPr>
      <w:r w:rsidRPr="00DC2365">
        <w:rPr>
          <w:rFonts w:ascii="Times New Roman" w:hAnsi="Times New Roman" w:cs="Times New Roman"/>
          <w:b/>
          <w:color w:val="C00000"/>
          <w:sz w:val="24"/>
          <w:szCs w:val="20"/>
          <w:lang w:val="en-US"/>
        </w:rPr>
        <w:lastRenderedPageBreak/>
        <w:t xml:space="preserve">Human Development Index (HDI) from the UN Development Program </w:t>
      </w:r>
      <w:r w:rsidRPr="00DC2365">
        <w:rPr>
          <w:rFonts w:ascii="Times New Roman" w:hAnsi="Times New Roman" w:cs="Times New Roman"/>
          <w:b/>
          <w:color w:val="000000" w:themeColor="text1"/>
          <w:sz w:val="24"/>
          <w:szCs w:val="20"/>
          <w:lang w:val="en-US"/>
        </w:rPr>
        <w:t>(</w:t>
      </w:r>
      <w:r w:rsidR="000E0C94">
        <w:fldChar w:fldCharType="begin"/>
      </w:r>
      <w:r w:rsidR="000E0C94" w:rsidRPr="00474B69">
        <w:rPr>
          <w:lang w:val="en-US"/>
        </w:rPr>
        <w:instrText xml:space="preserve"> HYPERLINK "http://hdr.undp.org/en/content/human-development-index-hdi" </w:instrText>
      </w:r>
      <w:r w:rsidR="000E0C94">
        <w:fldChar w:fldCharType="separate"/>
      </w:r>
      <w:r w:rsidRPr="00DC2365">
        <w:rPr>
          <w:rFonts w:ascii="Times New Roman" w:hAnsi="Times New Roman" w:cs="Times New Roman"/>
          <w:color w:val="0070C0"/>
          <w:sz w:val="24"/>
          <w:szCs w:val="20"/>
          <w:u w:val="single"/>
          <w:lang w:val="en-US"/>
        </w:rPr>
        <w:t>http://hdr.undp.org/en/content/human-development-index-hdi</w:t>
      </w:r>
      <w:r w:rsidR="000E0C94">
        <w:rPr>
          <w:rFonts w:ascii="Times New Roman" w:hAnsi="Times New Roman" w:cs="Times New Roman"/>
          <w:color w:val="0070C0"/>
          <w:sz w:val="24"/>
          <w:szCs w:val="20"/>
          <w:u w:val="single"/>
          <w:lang w:val="en-US"/>
        </w:rPr>
        <w:fldChar w:fldCharType="end"/>
      </w:r>
      <w:r w:rsidRPr="00DC2365">
        <w:rPr>
          <w:rFonts w:ascii="Times New Roman" w:hAnsi="Times New Roman" w:cs="Times New Roman"/>
          <w:b/>
          <w:color w:val="0070C0"/>
          <w:sz w:val="24"/>
          <w:szCs w:val="20"/>
          <w:lang w:val="en-US"/>
        </w:rPr>
        <w:t>;</w:t>
      </w:r>
      <w:r w:rsidRPr="00DC2365">
        <w:rPr>
          <w:color w:val="0070C0"/>
          <w:lang w:val="en-US"/>
        </w:rPr>
        <w:t xml:space="preserve"> </w:t>
      </w:r>
      <w:r w:rsidRPr="00DC2365">
        <w:rPr>
          <w:rFonts w:ascii="Times New Roman" w:hAnsi="Times New Roman" w:cs="Times New Roman"/>
          <w:color w:val="0070C0"/>
          <w:sz w:val="24"/>
          <w:szCs w:val="20"/>
          <w:lang w:val="en-US"/>
        </w:rPr>
        <w:t>http://hdr.undp.org/en/countries</w:t>
      </w:r>
      <w:r w:rsidRPr="00DC2365">
        <w:rPr>
          <w:rFonts w:ascii="Times New Roman" w:hAnsi="Times New Roman" w:cs="Times New Roman"/>
          <w:b/>
          <w:color w:val="000000" w:themeColor="text1"/>
          <w:sz w:val="24"/>
          <w:szCs w:val="20"/>
          <w:lang w:val="en-US"/>
        </w:rPr>
        <w:t>)</w:t>
      </w:r>
    </w:p>
    <w:p w14:paraId="0D86DCE3" w14:textId="77777777" w:rsidR="00585A01" w:rsidRPr="00DC2365" w:rsidRDefault="00585A01" w:rsidP="00585A01">
      <w:pPr>
        <w:spacing w:after="0" w:line="240" w:lineRule="auto"/>
        <w:rPr>
          <w:rFonts w:ascii="Times New Roman" w:hAnsi="Times New Roman" w:cs="Times New Roman"/>
          <w:color w:val="000000"/>
          <w:sz w:val="24"/>
          <w:szCs w:val="20"/>
          <w:lang w:val="en-US"/>
        </w:rPr>
      </w:pPr>
    </w:p>
    <w:p w14:paraId="09D4B1F5" w14:textId="77777777" w:rsidR="00585A01" w:rsidRPr="00DC2365" w:rsidRDefault="00585A01" w:rsidP="00585A01">
      <w:pPr>
        <w:spacing w:after="0" w:line="240" w:lineRule="auto"/>
        <w:rPr>
          <w:rFonts w:ascii="Times New Roman" w:hAnsi="Times New Roman" w:cs="Times New Roman"/>
          <w:color w:val="000000"/>
          <w:sz w:val="24"/>
          <w:szCs w:val="20"/>
          <w:lang w:val="en-US"/>
        </w:rPr>
      </w:pPr>
      <w:r w:rsidRPr="00DC2365">
        <w:rPr>
          <w:rFonts w:ascii="Times New Roman" w:hAnsi="Times New Roman" w:cs="Times New Roman"/>
          <w:color w:val="000000"/>
          <w:sz w:val="24"/>
          <w:szCs w:val="20"/>
          <w:lang w:val="en-US"/>
        </w:rPr>
        <w:t>The Human Development Index (HDI) is a summary measure of average achievement in key dimensions of human development: a long and healthy life, being knowledgeable and hav</w:t>
      </w:r>
      <w:r>
        <w:rPr>
          <w:rFonts w:ascii="Times New Roman" w:hAnsi="Times New Roman" w:cs="Times New Roman"/>
          <w:color w:val="000000"/>
          <w:sz w:val="24"/>
          <w:szCs w:val="20"/>
          <w:lang w:val="en-US"/>
        </w:rPr>
        <w:t>ing</w:t>
      </w:r>
      <w:r w:rsidRPr="00DC2365">
        <w:rPr>
          <w:rFonts w:ascii="Times New Roman" w:hAnsi="Times New Roman" w:cs="Times New Roman"/>
          <w:color w:val="000000"/>
          <w:sz w:val="24"/>
          <w:szCs w:val="20"/>
          <w:lang w:val="en-US"/>
        </w:rPr>
        <w:t xml:space="preserve"> a decent standard of living. The HDI is the geometric mean of normalized indices for each of the three dimensions.</w:t>
      </w:r>
    </w:p>
    <w:p w14:paraId="3FBBAE0A" w14:textId="77777777" w:rsidR="00585A01" w:rsidRPr="00DC2365" w:rsidRDefault="00585A01" w:rsidP="00585A01">
      <w:pPr>
        <w:spacing w:after="0" w:line="240" w:lineRule="auto"/>
        <w:rPr>
          <w:rFonts w:ascii="Times New Roman" w:hAnsi="Times New Roman" w:cs="Times New Roman"/>
          <w:color w:val="000000"/>
          <w:sz w:val="24"/>
          <w:szCs w:val="20"/>
          <w:lang w:val="en-US"/>
        </w:rPr>
      </w:pPr>
    </w:p>
    <w:p w14:paraId="1E108BA7" w14:textId="77777777" w:rsidR="00585A01" w:rsidRPr="00DC2365" w:rsidRDefault="00585A01" w:rsidP="00585A01">
      <w:pPr>
        <w:spacing w:after="0" w:line="240" w:lineRule="auto"/>
        <w:rPr>
          <w:rFonts w:ascii="Times New Roman" w:hAnsi="Times New Roman" w:cs="Times New Roman"/>
          <w:color w:val="000000"/>
          <w:sz w:val="24"/>
          <w:szCs w:val="20"/>
          <w:lang w:val="en-US"/>
        </w:rPr>
      </w:pPr>
      <w:r w:rsidRPr="00DC2365">
        <w:rPr>
          <w:rFonts w:ascii="Times New Roman" w:hAnsi="Times New Roman" w:cs="Times New Roman"/>
          <w:color w:val="000000"/>
          <w:sz w:val="24"/>
          <w:szCs w:val="20"/>
          <w:lang w:val="en-US"/>
        </w:rPr>
        <w:t xml:space="preserve">The health dimension is assessed by life expectancy at birth, the education dimension is measured by mean of years of schooling for adults aged 25 years and </w:t>
      </w:r>
      <w:proofErr w:type="gramStart"/>
      <w:r>
        <w:rPr>
          <w:rFonts w:ascii="Times New Roman" w:hAnsi="Times New Roman" w:cs="Times New Roman"/>
          <w:color w:val="000000"/>
          <w:sz w:val="24"/>
          <w:szCs w:val="20"/>
          <w:lang w:val="en-US"/>
        </w:rPr>
        <w:t>older,</w:t>
      </w:r>
      <w:r w:rsidRPr="00DC2365">
        <w:rPr>
          <w:rFonts w:ascii="Times New Roman" w:hAnsi="Times New Roman" w:cs="Times New Roman"/>
          <w:color w:val="000000"/>
          <w:sz w:val="24"/>
          <w:szCs w:val="20"/>
          <w:lang w:val="en-US"/>
        </w:rPr>
        <w:t xml:space="preserve"> and</w:t>
      </w:r>
      <w:proofErr w:type="gramEnd"/>
      <w:r w:rsidRPr="00DC2365">
        <w:rPr>
          <w:rFonts w:ascii="Times New Roman" w:hAnsi="Times New Roman" w:cs="Times New Roman"/>
          <w:color w:val="000000"/>
          <w:sz w:val="24"/>
          <w:szCs w:val="20"/>
          <w:lang w:val="en-US"/>
        </w:rPr>
        <w:t xml:space="preserve"> expected years of schooling for children of school entering age. The standard of living dimension is measured by gross national income per capita. The HDI uses the logarithm of income to reflect the diminishing importance of income with increasing GNI. The scores for the three HDI dimension indices are then aggregated into a composite index using </w:t>
      </w:r>
      <w:r>
        <w:rPr>
          <w:rFonts w:ascii="Times New Roman" w:hAnsi="Times New Roman" w:cs="Times New Roman"/>
          <w:color w:val="000000"/>
          <w:sz w:val="24"/>
          <w:szCs w:val="20"/>
          <w:lang w:val="en-US"/>
        </w:rPr>
        <w:t xml:space="preserve">the </w:t>
      </w:r>
      <w:r w:rsidRPr="00DC2365">
        <w:rPr>
          <w:rFonts w:ascii="Times New Roman" w:hAnsi="Times New Roman" w:cs="Times New Roman"/>
          <w:color w:val="000000"/>
          <w:sz w:val="24"/>
          <w:szCs w:val="20"/>
          <w:lang w:val="en-US"/>
        </w:rPr>
        <w:t xml:space="preserve">geometric mean. </w:t>
      </w:r>
      <w:r>
        <w:rPr>
          <w:rFonts w:ascii="Times New Roman" w:hAnsi="Times New Roman" w:cs="Times New Roman"/>
          <w:color w:val="000000"/>
          <w:sz w:val="24"/>
          <w:szCs w:val="20"/>
          <w:lang w:val="en-US"/>
        </w:rPr>
        <w:t xml:space="preserve"> </w:t>
      </w:r>
    </w:p>
    <w:p w14:paraId="7BCA4D39" w14:textId="77777777" w:rsidR="00585A01" w:rsidRPr="00DC2365" w:rsidRDefault="00585A01" w:rsidP="00585A01">
      <w:pPr>
        <w:spacing w:after="0" w:line="240" w:lineRule="auto"/>
        <w:rPr>
          <w:rFonts w:ascii="Times New Roman" w:hAnsi="Times New Roman" w:cs="Times New Roman"/>
          <w:color w:val="000000"/>
          <w:sz w:val="24"/>
          <w:szCs w:val="20"/>
          <w:lang w:val="en-US"/>
        </w:rPr>
      </w:pPr>
    </w:p>
    <w:p w14:paraId="1B016F75" w14:textId="77777777" w:rsidR="005A2B62" w:rsidRDefault="005A2B62">
      <w:pPr>
        <w:rPr>
          <w:lang w:val="en-US"/>
        </w:rPr>
      </w:pPr>
      <w:r>
        <w:rPr>
          <w:lang w:val="en-US"/>
        </w:rPr>
        <w:br w:type="page"/>
      </w:r>
    </w:p>
    <w:p w14:paraId="072DF769" w14:textId="4066D241" w:rsidR="005A2B62" w:rsidRPr="005A2B62" w:rsidRDefault="005A2B62" w:rsidP="005A2B62">
      <w:pPr>
        <w:spacing w:after="120" w:line="240" w:lineRule="auto"/>
        <w:rPr>
          <w:rFonts w:ascii="Times New Roman" w:hAnsi="Times New Roman" w:cs="Times New Roman"/>
          <w:b/>
          <w:color w:val="C00000"/>
          <w:sz w:val="28"/>
          <w:szCs w:val="24"/>
          <w:lang w:val="en-US"/>
        </w:rPr>
      </w:pPr>
      <w:r w:rsidRPr="005A2B62">
        <w:rPr>
          <w:rFonts w:ascii="Times New Roman" w:hAnsi="Times New Roman" w:cs="Times New Roman"/>
          <w:b/>
          <w:bCs/>
          <w:color w:val="C00000"/>
          <w:sz w:val="28"/>
          <w:szCs w:val="24"/>
          <w:lang w:val="en-US"/>
        </w:rPr>
        <w:lastRenderedPageBreak/>
        <w:t xml:space="preserve">Modelling the current and future (2050 &amp; 2100) risk </w:t>
      </w:r>
      <w:bookmarkStart w:id="0" w:name="_GoBack"/>
      <w:bookmarkEnd w:id="0"/>
      <w:r w:rsidRPr="005A2B62">
        <w:rPr>
          <w:rFonts w:ascii="Times New Roman" w:hAnsi="Times New Roman" w:cs="Times New Roman"/>
          <w:b/>
          <w:bCs/>
          <w:color w:val="C00000"/>
          <w:sz w:val="28"/>
          <w:szCs w:val="24"/>
          <w:lang w:val="en-US"/>
        </w:rPr>
        <w:t xml:space="preserve">of extinction </w:t>
      </w:r>
    </w:p>
    <w:p w14:paraId="09792395" w14:textId="77777777" w:rsidR="005A2B62" w:rsidRPr="005A2B62" w:rsidRDefault="005A2B62" w:rsidP="005A2B62">
      <w:pPr>
        <w:spacing w:after="120" w:line="240" w:lineRule="auto"/>
        <w:rPr>
          <w:rFonts w:ascii="Times New Roman" w:hAnsi="Times New Roman" w:cs="Times New Roman"/>
          <w:b/>
          <w:bCs/>
          <w:i/>
          <w:iCs/>
          <w:color w:val="000000"/>
          <w:sz w:val="24"/>
          <w:szCs w:val="24"/>
          <w:lang w:val="en-US" w:bidi="en-US"/>
        </w:rPr>
      </w:pPr>
      <w:r w:rsidRPr="005A2B62">
        <w:rPr>
          <w:rFonts w:ascii="Times New Roman" w:hAnsi="Times New Roman" w:cs="Times New Roman"/>
          <w:b/>
          <w:bCs/>
          <w:i/>
          <w:iCs/>
          <w:color w:val="000000"/>
          <w:sz w:val="24"/>
          <w:szCs w:val="24"/>
          <w:lang w:val="en-US" w:bidi="en-US"/>
        </w:rPr>
        <w:t>Land use areas under different scenarios</w:t>
      </w:r>
    </w:p>
    <w:p w14:paraId="0756B398" w14:textId="77777777" w:rsidR="005A2B62" w:rsidRDefault="005A2B62" w:rsidP="005A2B62">
      <w:pPr>
        <w:spacing w:after="120" w:line="240" w:lineRule="auto"/>
        <w:rPr>
          <w:rFonts w:ascii="Times New Roman" w:hAnsi="Times New Roman" w:cs="Times New Roman"/>
          <w:color w:val="000000"/>
          <w:sz w:val="24"/>
          <w:szCs w:val="24"/>
          <w:lang w:val="en-US"/>
        </w:rPr>
      </w:pPr>
      <w:r w:rsidRPr="005A2B62">
        <w:rPr>
          <w:rFonts w:ascii="Times New Roman" w:hAnsi="Times New Roman" w:cs="Times New Roman"/>
          <w:color w:val="000000"/>
          <w:sz w:val="24"/>
          <w:szCs w:val="24"/>
          <w:lang w:val="en-US" w:bidi="en-US"/>
        </w:rPr>
        <w:t>We briefly describe the method to obtain the projected number of primate species threatened with extinction in each country (</w:t>
      </w:r>
      <w:r w:rsidRPr="005A2B62">
        <w:rPr>
          <w:rFonts w:ascii="Times New Roman" w:hAnsi="Times New Roman" w:cs="Times New Roman"/>
          <w:i/>
          <w:iCs/>
          <w:color w:val="000000"/>
          <w:sz w:val="24"/>
          <w:szCs w:val="24"/>
          <w:lang w:val="en-US" w:bidi="en-US"/>
        </w:rPr>
        <w:t xml:space="preserve">for details see Chaudhary &amp; </w:t>
      </w:r>
      <w:proofErr w:type="spellStart"/>
      <w:r w:rsidRPr="005A2B62">
        <w:rPr>
          <w:rFonts w:ascii="Times New Roman" w:hAnsi="Times New Roman" w:cs="Times New Roman"/>
          <w:i/>
          <w:iCs/>
          <w:color w:val="000000"/>
          <w:sz w:val="24"/>
          <w:szCs w:val="24"/>
          <w:lang w:val="en-US" w:bidi="en-US"/>
        </w:rPr>
        <w:t>Mooers</w:t>
      </w:r>
      <w:proofErr w:type="spellEnd"/>
      <w:r w:rsidRPr="005A2B62">
        <w:rPr>
          <w:rFonts w:ascii="Times New Roman" w:hAnsi="Times New Roman" w:cs="Times New Roman"/>
          <w:i/>
          <w:iCs/>
          <w:color w:val="000000"/>
          <w:sz w:val="24"/>
          <w:szCs w:val="24"/>
          <w:lang w:val="en-US" w:bidi="en-US"/>
        </w:rPr>
        <w:t>, 2018</w:t>
      </w:r>
      <w:r w:rsidRPr="005A2B62">
        <w:rPr>
          <w:rFonts w:ascii="Times New Roman" w:hAnsi="Times New Roman" w:cs="Times New Roman"/>
          <w:color w:val="000000"/>
          <w:sz w:val="24"/>
          <w:szCs w:val="24"/>
          <w:lang w:val="en-US" w:bidi="en-US"/>
        </w:rPr>
        <w:t>).  We first downloaded the global gridded maps for current (2016) and two future points in time (2050 and 2100) from the land use harmonization (LUH2) dataset website</w:t>
      </w:r>
      <w:r w:rsidRPr="005A2B62" w:rsidDel="00067ACA">
        <w:rPr>
          <w:rFonts w:ascii="Times New Roman" w:hAnsi="Times New Roman" w:cs="Times New Roman"/>
          <w:color w:val="000000"/>
          <w:sz w:val="24"/>
          <w:szCs w:val="24"/>
          <w:lang w:val="en-US" w:bidi="en-US"/>
        </w:rPr>
        <w:t xml:space="preserve"> </w:t>
      </w:r>
      <w:r w:rsidRPr="005A2B62">
        <w:rPr>
          <w:rFonts w:ascii="Times New Roman" w:hAnsi="Times New Roman" w:cs="Times New Roman"/>
          <w:color w:val="000000"/>
          <w:sz w:val="24"/>
          <w:szCs w:val="24"/>
          <w:lang w:val="en-US" w:bidi="en-US"/>
        </w:rPr>
        <w:t>(</w:t>
      </w:r>
      <w:r w:rsidRPr="005A2B62">
        <w:rPr>
          <w:rFonts w:ascii="Times New Roman" w:hAnsi="Times New Roman" w:cs="Times New Roman"/>
          <w:i/>
          <w:iCs/>
          <w:color w:val="000000"/>
          <w:sz w:val="24"/>
          <w:szCs w:val="24"/>
          <w:lang w:val="en-US" w:bidi="en-US"/>
        </w:rPr>
        <w:t xml:space="preserve">Hurtt et al. 2019; </w:t>
      </w:r>
      <w:hyperlink r:id="rId10" w:history="1">
        <w:r w:rsidRPr="00072E23">
          <w:rPr>
            <w:rStyle w:val="Hyperlink"/>
            <w:rFonts w:ascii="Times New Roman" w:hAnsi="Times New Roman" w:cs="Times New Roman"/>
            <w:i/>
            <w:iCs/>
            <w:lang w:val="en-US" w:bidi="en-US"/>
          </w:rPr>
          <w:t>http://luh.umd.edu/data.shtml</w:t>
        </w:r>
      </w:hyperlink>
      <w:r>
        <w:rPr>
          <w:rFonts w:ascii="Times New Roman" w:hAnsi="Times New Roman" w:cs="Times New Roman"/>
          <w:i/>
          <w:iCs/>
          <w:color w:val="000000"/>
          <w:sz w:val="24"/>
          <w:szCs w:val="24"/>
          <w:lang w:val="en-US" w:bidi="en-US"/>
        </w:rPr>
        <w:t>)</w:t>
      </w:r>
      <w:r w:rsidRPr="005A2B62">
        <w:rPr>
          <w:rFonts w:ascii="Times New Roman" w:hAnsi="Times New Roman" w:cs="Times New Roman"/>
          <w:color w:val="000000"/>
          <w:sz w:val="24"/>
          <w:szCs w:val="24"/>
          <w:lang w:val="en-US" w:bidi="en-US"/>
        </w:rPr>
        <w:t xml:space="preserve"> that provide the fraction of each of 12 land use types for each (0.25° × 0.25° resolution) cell under six </w:t>
      </w:r>
      <w:r w:rsidRPr="009C4FA1">
        <w:rPr>
          <w:rFonts w:ascii="Times New Roman" w:hAnsi="Times New Roman" w:cs="Times New Roman"/>
          <w:color w:val="000000"/>
          <w:sz w:val="24"/>
          <w:szCs w:val="24"/>
          <w:lang w:val="en-US" w:bidi="en-US"/>
        </w:rPr>
        <w:t xml:space="preserve">representative concentration pathway (RCP) </w:t>
      </w:r>
      <w:r>
        <w:rPr>
          <w:rFonts w:ascii="Times New Roman" w:hAnsi="Times New Roman" w:cs="Times New Roman"/>
          <w:color w:val="000000"/>
          <w:sz w:val="24"/>
          <w:szCs w:val="24"/>
          <w:lang w:val="en-US" w:bidi="en-US"/>
        </w:rPr>
        <w:t>and shared socio-economic pathway (</w:t>
      </w:r>
      <w:r w:rsidRPr="005A2B62">
        <w:rPr>
          <w:rFonts w:ascii="Times New Roman" w:hAnsi="Times New Roman" w:cs="Times New Roman"/>
          <w:color w:val="000000"/>
          <w:sz w:val="24"/>
          <w:szCs w:val="24"/>
          <w:lang w:val="en-US" w:bidi="en-US"/>
        </w:rPr>
        <w:t xml:space="preserve">SSP) combination scenarios. </w:t>
      </w:r>
      <w:r>
        <w:rPr>
          <w:rFonts w:ascii="Times New Roman" w:hAnsi="Times New Roman" w:cs="Times New Roman"/>
          <w:color w:val="000000"/>
          <w:sz w:val="24"/>
          <w:szCs w:val="24"/>
          <w:lang w:val="en-US"/>
        </w:rPr>
        <w:t>W</w:t>
      </w:r>
      <w:r w:rsidRPr="00B92817">
        <w:rPr>
          <w:rFonts w:ascii="Times New Roman" w:hAnsi="Times New Roman" w:cs="Times New Roman"/>
          <w:color w:val="000000"/>
          <w:sz w:val="24"/>
          <w:szCs w:val="24"/>
          <w:lang w:val="en-US"/>
        </w:rPr>
        <w:t>e calculated the area of each land use type in each grid cell by multiplying the fractions with the total cell area. Finally, fo</w:t>
      </w:r>
      <w:r>
        <w:rPr>
          <w:rFonts w:ascii="Times New Roman" w:hAnsi="Times New Roman" w:cs="Times New Roman"/>
          <w:color w:val="000000"/>
          <w:sz w:val="24"/>
          <w:szCs w:val="24"/>
          <w:lang w:val="en-US"/>
        </w:rPr>
        <w:t>r each point in time (2016</w:t>
      </w:r>
      <w:r w:rsidRPr="00B92817">
        <w:rPr>
          <w:rFonts w:ascii="Times New Roman" w:hAnsi="Times New Roman" w:cs="Times New Roman"/>
          <w:color w:val="000000"/>
          <w:sz w:val="24"/>
          <w:szCs w:val="24"/>
          <w:lang w:val="en-US"/>
        </w:rPr>
        <w:t>, 2050, and 2100) and scenario, we calculated the area (km</w:t>
      </w:r>
      <w:r w:rsidRPr="00B92817">
        <w:rPr>
          <w:rFonts w:ascii="Times New Roman" w:hAnsi="Times New Roman" w:cs="Times New Roman"/>
          <w:color w:val="000000"/>
          <w:sz w:val="24"/>
          <w:szCs w:val="24"/>
          <w:vertAlign w:val="superscript"/>
          <w:lang w:val="en-US"/>
        </w:rPr>
        <w:t>2</w:t>
      </w:r>
      <w:r w:rsidRPr="00B92817">
        <w:rPr>
          <w:rFonts w:ascii="Times New Roman" w:hAnsi="Times New Roman" w:cs="Times New Roman"/>
          <w:color w:val="000000"/>
          <w:sz w:val="24"/>
          <w:szCs w:val="24"/>
          <w:lang w:val="en-US"/>
        </w:rPr>
        <w:t>) of each of the 12 land classes in each of the</w:t>
      </w:r>
      <w:r>
        <w:rPr>
          <w:rFonts w:ascii="Times New Roman" w:hAnsi="Times New Roman" w:cs="Times New Roman"/>
          <w:color w:val="000000"/>
          <w:sz w:val="24"/>
          <w:szCs w:val="24"/>
          <w:lang w:val="en-US"/>
        </w:rPr>
        <w:t xml:space="preserve"> 804 terrestrial ecoregions</w:t>
      </w:r>
      <w:r w:rsidRPr="00B92817">
        <w:rPr>
          <w:rFonts w:ascii="Times New Roman" w:hAnsi="Times New Roman" w:cs="Times New Roman"/>
          <w:color w:val="000000"/>
          <w:sz w:val="24"/>
          <w:szCs w:val="24"/>
          <w:lang w:val="en-US"/>
        </w:rPr>
        <w:t xml:space="preserve"> by overlaying the area maps with ecoregion boundaries</w:t>
      </w:r>
      <w:r>
        <w:rPr>
          <w:rFonts w:ascii="Times New Roman" w:hAnsi="Times New Roman" w:cs="Times New Roman"/>
          <w:color w:val="000000"/>
          <w:sz w:val="24"/>
          <w:szCs w:val="24"/>
          <w:lang w:val="en-US"/>
        </w:rPr>
        <w:t>.</w:t>
      </w:r>
    </w:p>
    <w:p w14:paraId="243484FE" w14:textId="77777777" w:rsidR="005A2B62" w:rsidRPr="005A2B62" w:rsidRDefault="005A2B62" w:rsidP="005A2B62">
      <w:pPr>
        <w:spacing w:after="120" w:line="240" w:lineRule="auto"/>
        <w:rPr>
          <w:rFonts w:ascii="Times New Roman" w:hAnsi="Times New Roman" w:cs="Times New Roman"/>
          <w:color w:val="000000"/>
          <w:sz w:val="24"/>
          <w:szCs w:val="24"/>
          <w:lang w:val="en-US" w:bidi="en-US"/>
        </w:rPr>
      </w:pPr>
      <w:r w:rsidRPr="005A2B62">
        <w:rPr>
          <w:rFonts w:ascii="Times New Roman" w:hAnsi="Times New Roman" w:cs="Times New Roman"/>
          <w:color w:val="000000"/>
          <w:sz w:val="24"/>
          <w:szCs w:val="24"/>
          <w:lang w:val="en-US" w:bidi="en-US"/>
        </w:rPr>
        <w:t xml:space="preserve">The 12 land use classes include 2 classes of primary undisturbed natural vegetation (forests, non-forests) and 10 human land uses </w:t>
      </w:r>
      <w:r w:rsidRPr="00D23264">
        <w:rPr>
          <w:rFonts w:ascii="Times New Roman" w:hAnsi="Times New Roman" w:cs="Times New Roman"/>
          <w:color w:val="000000"/>
          <w:sz w:val="24"/>
          <w:szCs w:val="24"/>
          <w:lang w:val="en-US" w:bidi="en-US"/>
        </w:rPr>
        <w:t xml:space="preserve">(see Table </w:t>
      </w:r>
      <w:r w:rsidR="00D23264" w:rsidRPr="00D23264">
        <w:rPr>
          <w:rFonts w:ascii="Times New Roman" w:hAnsi="Times New Roman" w:cs="Times New Roman"/>
          <w:color w:val="000000"/>
          <w:sz w:val="24"/>
          <w:szCs w:val="24"/>
          <w:lang w:val="en-US" w:bidi="en-US"/>
        </w:rPr>
        <w:t>2</w:t>
      </w:r>
      <w:r w:rsidRPr="005A2B62">
        <w:rPr>
          <w:rFonts w:ascii="Times New Roman" w:hAnsi="Times New Roman" w:cs="Times New Roman"/>
          <w:color w:val="000000"/>
          <w:sz w:val="24"/>
          <w:szCs w:val="24"/>
          <w:lang w:val="en-US" w:bidi="en-US"/>
        </w:rPr>
        <w:t xml:space="preserve">). The 10 human land uses comprise two secondary (regenerating) vegetation land use classes (forest, non-forest), two grazing (pasture, rangeland), one urban, and five cropland (C3 annual, C3 permanent, C4 annual, C4 permanent, and C3 nitrogen fixing crops) uses. C3 and C4 correspond to temperate (cool) season crops and tropical (warm) season crops, respectively. </w:t>
      </w:r>
    </w:p>
    <w:p w14:paraId="0DDED5A6" w14:textId="77777777" w:rsidR="005A2B62" w:rsidRDefault="005A2B62" w:rsidP="005A2B62">
      <w:pPr>
        <w:spacing w:after="120" w:line="240" w:lineRule="auto"/>
        <w:rPr>
          <w:rFonts w:ascii="Times New Roman" w:hAnsi="Times New Roman" w:cs="Times New Roman"/>
          <w:color w:val="000000"/>
          <w:sz w:val="24"/>
          <w:szCs w:val="24"/>
          <w:lang w:val="en-US" w:bidi="en-US"/>
        </w:rPr>
      </w:pPr>
      <w:r w:rsidRPr="002236FB">
        <w:rPr>
          <w:rFonts w:ascii="Times New Roman" w:hAnsi="Times New Roman" w:cs="Times New Roman"/>
          <w:color w:val="000000"/>
          <w:sz w:val="24"/>
          <w:szCs w:val="24"/>
          <w:lang w:val="en-US" w:bidi="en-US"/>
        </w:rPr>
        <w:t xml:space="preserve">The </w:t>
      </w:r>
      <w:r>
        <w:rPr>
          <w:rFonts w:ascii="Times New Roman" w:hAnsi="Times New Roman" w:cs="Times New Roman"/>
          <w:color w:val="000000"/>
          <w:sz w:val="24"/>
          <w:szCs w:val="24"/>
          <w:lang w:val="en-US" w:bidi="en-US"/>
        </w:rPr>
        <w:t xml:space="preserve">six scenarios </w:t>
      </w:r>
      <w:r w:rsidRPr="002236FB">
        <w:rPr>
          <w:rFonts w:ascii="Times New Roman" w:hAnsi="Times New Roman" w:cs="Times New Roman"/>
          <w:color w:val="000000"/>
          <w:sz w:val="24"/>
          <w:szCs w:val="24"/>
          <w:lang w:val="en-US" w:bidi="en-US"/>
        </w:rPr>
        <w:t>are RCP 2.6 SSP-1, RCP4.5 SSP-2, RCP 7.0 SSP-3, RCP 3.4 SSP-4, RCP 6.0 SSP-4, and RCP 8.5 SSP-5.</w:t>
      </w:r>
      <w:r>
        <w:rPr>
          <w:rFonts w:ascii="Times New Roman" w:hAnsi="Times New Roman" w:cs="Times New Roman"/>
          <w:color w:val="000000"/>
          <w:sz w:val="24"/>
          <w:szCs w:val="24"/>
          <w:lang w:val="en-US" w:bidi="en-US"/>
        </w:rPr>
        <w:t xml:space="preserve"> </w:t>
      </w:r>
      <w:r w:rsidRPr="009C4FA1">
        <w:rPr>
          <w:rFonts w:ascii="Times New Roman" w:hAnsi="Times New Roman" w:cs="Times New Roman"/>
          <w:color w:val="000000"/>
          <w:sz w:val="24"/>
          <w:szCs w:val="24"/>
          <w:lang w:val="en-US" w:bidi="en-US"/>
        </w:rPr>
        <w:t>Each RCP describes an alternative</w:t>
      </w:r>
      <w:r>
        <w:rPr>
          <w:rFonts w:ascii="Times New Roman" w:hAnsi="Times New Roman" w:cs="Times New Roman"/>
          <w:color w:val="000000"/>
          <w:sz w:val="24"/>
          <w:szCs w:val="24"/>
          <w:lang w:val="en-US" w:bidi="en-US"/>
        </w:rPr>
        <w:t xml:space="preserve"> </w:t>
      </w:r>
      <w:r w:rsidRPr="009C4FA1">
        <w:rPr>
          <w:rFonts w:ascii="Times New Roman" w:hAnsi="Times New Roman" w:cs="Times New Roman"/>
          <w:color w:val="000000"/>
          <w:sz w:val="24"/>
          <w:szCs w:val="24"/>
          <w:lang w:val="en-US" w:bidi="en-US"/>
        </w:rPr>
        <w:t>future climate scenario with a specific radiative forcing (global warming) target (e.g., 2.6, 3.4, 4.5, 6.0,</w:t>
      </w:r>
      <w:r>
        <w:rPr>
          <w:rFonts w:ascii="Times New Roman" w:hAnsi="Times New Roman" w:cs="Times New Roman"/>
          <w:color w:val="000000"/>
          <w:sz w:val="24"/>
          <w:szCs w:val="24"/>
          <w:lang w:val="en-US" w:bidi="en-US"/>
        </w:rPr>
        <w:t xml:space="preserve"> </w:t>
      </w:r>
      <w:r w:rsidRPr="009C4FA1">
        <w:rPr>
          <w:rFonts w:ascii="Times New Roman" w:hAnsi="Times New Roman" w:cs="Times New Roman"/>
          <w:color w:val="000000"/>
          <w:sz w:val="24"/>
          <w:szCs w:val="24"/>
          <w:lang w:val="en-US" w:bidi="en-US"/>
        </w:rPr>
        <w:t>or 8.5 W/m</w:t>
      </w:r>
      <w:r w:rsidRPr="008A5D8C">
        <w:rPr>
          <w:rFonts w:ascii="Times New Roman" w:hAnsi="Times New Roman" w:cs="Times New Roman"/>
          <w:color w:val="000000"/>
          <w:sz w:val="24"/>
          <w:szCs w:val="24"/>
          <w:vertAlign w:val="superscript"/>
          <w:lang w:val="en-US" w:bidi="en-US"/>
        </w:rPr>
        <w:t>2</w:t>
      </w:r>
      <w:r w:rsidRPr="009C4FA1">
        <w:rPr>
          <w:rFonts w:ascii="Times New Roman" w:hAnsi="Times New Roman" w:cs="Times New Roman"/>
          <w:color w:val="000000"/>
          <w:sz w:val="24"/>
          <w:szCs w:val="24"/>
          <w:lang w:val="en-US" w:bidi="en-US"/>
        </w:rPr>
        <w:t>) to be reached by the end of the century through the</w:t>
      </w:r>
      <w:r>
        <w:rPr>
          <w:rFonts w:ascii="Times New Roman" w:hAnsi="Times New Roman" w:cs="Times New Roman"/>
          <w:color w:val="000000"/>
          <w:sz w:val="24"/>
          <w:szCs w:val="24"/>
          <w:lang w:val="en-US" w:bidi="en-US"/>
        </w:rPr>
        <w:t xml:space="preserve"> adoption of mitigation efforts</w:t>
      </w:r>
      <w:r w:rsidRPr="009C4FA1">
        <w:rPr>
          <w:rFonts w:ascii="Times New Roman" w:hAnsi="Times New Roman" w:cs="Times New Roman"/>
          <w:color w:val="000000"/>
          <w:sz w:val="24"/>
          <w:szCs w:val="24"/>
          <w:lang w:val="en-US" w:bidi="en-US"/>
        </w:rPr>
        <w:t>.</w:t>
      </w:r>
      <w:r>
        <w:rPr>
          <w:rFonts w:ascii="Times New Roman" w:hAnsi="Times New Roman" w:cs="Times New Roman"/>
          <w:color w:val="000000"/>
          <w:sz w:val="24"/>
          <w:szCs w:val="24"/>
          <w:lang w:val="en-US" w:bidi="en-US"/>
        </w:rPr>
        <w:t xml:space="preserve"> </w:t>
      </w:r>
      <w:r w:rsidRPr="009C4FA1">
        <w:rPr>
          <w:rFonts w:ascii="Times New Roman" w:hAnsi="Times New Roman" w:cs="Times New Roman"/>
          <w:color w:val="000000"/>
          <w:sz w:val="24"/>
          <w:szCs w:val="24"/>
          <w:lang w:val="en-US" w:bidi="en-US"/>
        </w:rPr>
        <w:t>Radiative forcing under each scenario is often considered as a proxy for the expected amount of</w:t>
      </w:r>
      <w:r>
        <w:rPr>
          <w:rFonts w:ascii="Times New Roman" w:hAnsi="Times New Roman" w:cs="Times New Roman"/>
          <w:color w:val="000000"/>
          <w:sz w:val="24"/>
          <w:szCs w:val="24"/>
          <w:lang w:val="en-US" w:bidi="en-US"/>
        </w:rPr>
        <w:t xml:space="preserve"> </w:t>
      </w:r>
      <w:r w:rsidRPr="009C4FA1">
        <w:rPr>
          <w:rFonts w:ascii="Times New Roman" w:hAnsi="Times New Roman" w:cs="Times New Roman"/>
          <w:color w:val="000000"/>
          <w:sz w:val="24"/>
          <w:szCs w:val="24"/>
          <w:lang w:val="en-US" w:bidi="en-US"/>
        </w:rPr>
        <w:t>atmospheric warming</w:t>
      </w:r>
      <w:r>
        <w:rPr>
          <w:rFonts w:ascii="Times New Roman" w:hAnsi="Times New Roman" w:cs="Times New Roman"/>
          <w:color w:val="000000"/>
          <w:sz w:val="24"/>
          <w:szCs w:val="24"/>
          <w:lang w:val="en-US" w:bidi="en-US"/>
        </w:rPr>
        <w:t xml:space="preserve">. </w:t>
      </w:r>
      <w:r w:rsidRPr="009409ED">
        <w:rPr>
          <w:rFonts w:ascii="Times New Roman" w:hAnsi="Times New Roman" w:cs="Times New Roman"/>
          <w:color w:val="000000"/>
          <w:sz w:val="24"/>
          <w:szCs w:val="24"/>
          <w:lang w:val="en-US" w:bidi="en-US"/>
        </w:rPr>
        <w:t>The RCP8</w:t>
      </w:r>
      <w:r>
        <w:rPr>
          <w:rFonts w:ascii="Times New Roman" w:hAnsi="Times New Roman" w:cs="Times New Roman"/>
          <w:color w:val="000000"/>
          <w:sz w:val="24"/>
          <w:szCs w:val="24"/>
          <w:lang w:val="en-US" w:bidi="en-US"/>
        </w:rPr>
        <w:t xml:space="preserve">.5 scenario represents </w:t>
      </w:r>
      <w:r w:rsidRPr="009409ED">
        <w:rPr>
          <w:rFonts w:ascii="Times New Roman" w:hAnsi="Times New Roman" w:cs="Times New Roman"/>
          <w:color w:val="000000"/>
          <w:sz w:val="24"/>
          <w:szCs w:val="24"/>
          <w:lang w:val="en-US" w:bidi="en-US"/>
        </w:rPr>
        <w:t>highest global warming, whereas the lower RCPs signify lesser</w:t>
      </w:r>
      <w:r>
        <w:rPr>
          <w:rFonts w:ascii="Times New Roman" w:hAnsi="Times New Roman" w:cs="Times New Roman"/>
          <w:color w:val="000000"/>
          <w:sz w:val="24"/>
          <w:szCs w:val="24"/>
          <w:lang w:val="en-US" w:bidi="en-US"/>
        </w:rPr>
        <w:t xml:space="preserve"> </w:t>
      </w:r>
      <w:r w:rsidRPr="009409ED">
        <w:rPr>
          <w:rFonts w:ascii="Times New Roman" w:hAnsi="Times New Roman" w:cs="Times New Roman"/>
          <w:color w:val="000000"/>
          <w:sz w:val="24"/>
          <w:szCs w:val="24"/>
          <w:lang w:val="en-US" w:bidi="en-US"/>
        </w:rPr>
        <w:t>predicted warming</w:t>
      </w:r>
      <w:r>
        <w:rPr>
          <w:rFonts w:ascii="Times New Roman" w:hAnsi="Times New Roman" w:cs="Times New Roman"/>
          <w:color w:val="000000"/>
          <w:sz w:val="24"/>
          <w:szCs w:val="24"/>
          <w:lang w:val="en-US" w:bidi="en-US"/>
        </w:rPr>
        <w:t xml:space="preserve">. </w:t>
      </w:r>
    </w:p>
    <w:p w14:paraId="38B6FED2" w14:textId="77777777" w:rsidR="005A2B62" w:rsidRPr="009C4FA1" w:rsidRDefault="005A2B62" w:rsidP="005A2B62">
      <w:pPr>
        <w:spacing w:after="120" w:line="240" w:lineRule="auto"/>
        <w:rPr>
          <w:rFonts w:ascii="Times New Roman" w:hAnsi="Times New Roman" w:cs="Times New Roman"/>
          <w:color w:val="000000"/>
          <w:sz w:val="24"/>
          <w:szCs w:val="24"/>
          <w:lang w:val="en-US" w:bidi="en-US"/>
        </w:rPr>
      </w:pPr>
      <w:r w:rsidRPr="006A126E">
        <w:rPr>
          <w:rFonts w:ascii="Times New Roman" w:hAnsi="Times New Roman" w:cs="Times New Roman"/>
          <w:color w:val="000000"/>
          <w:sz w:val="24"/>
          <w:szCs w:val="24"/>
          <w:lang w:val="en-US" w:bidi="en-US"/>
        </w:rPr>
        <w:t>Five SSPs have been devel</w:t>
      </w:r>
      <w:r>
        <w:rPr>
          <w:rFonts w:ascii="Times New Roman" w:hAnsi="Times New Roman" w:cs="Times New Roman"/>
          <w:color w:val="000000"/>
          <w:sz w:val="24"/>
          <w:szCs w:val="24"/>
          <w:lang w:val="en-US" w:bidi="en-US"/>
        </w:rPr>
        <w:t xml:space="preserve">oped (SSP-1 to SSP-5) providing </w:t>
      </w:r>
      <w:r w:rsidRPr="006A126E">
        <w:rPr>
          <w:rFonts w:ascii="Times New Roman" w:hAnsi="Times New Roman" w:cs="Times New Roman"/>
          <w:color w:val="000000"/>
          <w:sz w:val="24"/>
          <w:szCs w:val="24"/>
          <w:lang w:val="en-US" w:bidi="en-US"/>
        </w:rPr>
        <w:t>different trajectories of future socio-economic development and including possible trends in population,</w:t>
      </w:r>
      <w:r>
        <w:rPr>
          <w:rFonts w:ascii="Times New Roman" w:hAnsi="Times New Roman" w:cs="Times New Roman"/>
          <w:color w:val="000000"/>
          <w:sz w:val="24"/>
          <w:szCs w:val="24"/>
          <w:lang w:val="en-US" w:bidi="en-US"/>
        </w:rPr>
        <w:t xml:space="preserve"> </w:t>
      </w:r>
      <w:r w:rsidRPr="006A126E">
        <w:rPr>
          <w:rFonts w:ascii="Times New Roman" w:hAnsi="Times New Roman" w:cs="Times New Roman"/>
          <w:color w:val="000000"/>
          <w:sz w:val="24"/>
          <w:szCs w:val="24"/>
          <w:lang w:val="en-US" w:bidi="en-US"/>
        </w:rPr>
        <w:t>income, agriculture production, food and feed demand, and global trade, as well as land use</w:t>
      </w:r>
      <w:r>
        <w:rPr>
          <w:rFonts w:ascii="Times New Roman" w:hAnsi="Times New Roman" w:cs="Times New Roman"/>
          <w:color w:val="000000"/>
          <w:sz w:val="24"/>
          <w:szCs w:val="24"/>
          <w:lang w:val="en-US" w:bidi="en-US"/>
        </w:rPr>
        <w:t xml:space="preserve"> (Popp et al. 2017). </w:t>
      </w:r>
      <w:r w:rsidRPr="00D741C1">
        <w:rPr>
          <w:rFonts w:ascii="Times New Roman" w:hAnsi="Times New Roman" w:cs="Times New Roman"/>
          <w:color w:val="000000"/>
          <w:sz w:val="24"/>
          <w:szCs w:val="24"/>
          <w:lang w:val="en-US" w:bidi="en-US"/>
        </w:rPr>
        <w:t>The SSP-1 (sustainability—taking the green road) scenario represents a world shifting towards a</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more</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sustainable path, characterized by healthy diets, low waste, reduced meat consumption, increasing</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crop yields, reduced tropic</w:t>
      </w:r>
      <w:r>
        <w:rPr>
          <w:rFonts w:ascii="Times New Roman" w:hAnsi="Times New Roman" w:cs="Times New Roman"/>
          <w:color w:val="000000"/>
          <w:sz w:val="24"/>
          <w:szCs w:val="24"/>
          <w:lang w:val="en-US" w:bidi="en-US"/>
        </w:rPr>
        <w:t>al deforestation</w:t>
      </w:r>
      <w:r w:rsidRPr="00D741C1">
        <w:rPr>
          <w:rFonts w:ascii="Times New Roman" w:hAnsi="Times New Roman" w:cs="Times New Roman"/>
          <w:color w:val="000000"/>
          <w:sz w:val="24"/>
          <w:szCs w:val="24"/>
          <w:lang w:val="en-US" w:bidi="en-US"/>
        </w:rPr>
        <w:t>, which, together collectively “respects the</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 xml:space="preserve">environmental boundaries” </w:t>
      </w:r>
      <w:r>
        <w:rPr>
          <w:rFonts w:ascii="Times New Roman" w:hAnsi="Times New Roman" w:cs="Times New Roman"/>
          <w:color w:val="000000"/>
          <w:sz w:val="24"/>
          <w:szCs w:val="24"/>
          <w:lang w:val="en-US" w:bidi="en-US"/>
        </w:rPr>
        <w:t>(</w:t>
      </w:r>
      <w:r w:rsidRPr="00D741C1">
        <w:rPr>
          <w:rFonts w:ascii="Times New Roman" w:hAnsi="Times New Roman" w:cs="Times New Roman"/>
          <w:i/>
          <w:iCs/>
          <w:color w:val="000000"/>
          <w:sz w:val="24"/>
          <w:szCs w:val="24"/>
          <w:lang w:val="en-US" w:bidi="en-US"/>
        </w:rPr>
        <w:t>Van Vuuren et al. 2017</w:t>
      </w:r>
      <w:r>
        <w:rPr>
          <w:rFonts w:ascii="Times New Roman" w:hAnsi="Times New Roman" w:cs="Times New Roman"/>
          <w:color w:val="000000"/>
          <w:sz w:val="24"/>
          <w:szCs w:val="24"/>
          <w:lang w:val="en-US" w:bidi="en-US"/>
        </w:rPr>
        <w:t>)</w:t>
      </w:r>
      <w:r w:rsidRPr="00D741C1">
        <w:rPr>
          <w:rFonts w:ascii="Times New Roman" w:hAnsi="Times New Roman" w:cs="Times New Roman"/>
          <w:color w:val="000000"/>
          <w:sz w:val="24"/>
          <w:szCs w:val="24"/>
          <w:lang w:val="en-US" w:bidi="en-US"/>
        </w:rPr>
        <w:t>.</w:t>
      </w:r>
      <w:r>
        <w:rPr>
          <w:rFonts w:ascii="Times New Roman" w:hAnsi="Times New Roman" w:cs="Times New Roman"/>
          <w:color w:val="000000"/>
          <w:sz w:val="24"/>
          <w:szCs w:val="24"/>
          <w:lang w:val="en-US" w:bidi="en-US"/>
        </w:rPr>
        <w:t xml:space="preserve"> The </w:t>
      </w:r>
      <w:r w:rsidRPr="00D741C1">
        <w:rPr>
          <w:rFonts w:ascii="Times New Roman" w:hAnsi="Times New Roman" w:cs="Times New Roman"/>
          <w:color w:val="000000"/>
          <w:sz w:val="24"/>
          <w:szCs w:val="24"/>
          <w:lang w:val="en-US" w:bidi="en-US"/>
        </w:rPr>
        <w:t>SSP-2 is a business-as-usual (middle of the road scenario) scenario characterized by development</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along historical patterns such that meat and food consumption converge slowly towards high levels,</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trade is largely regionalized, and crop yields in low-income regions catch up with high-income nations,</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but the land use change is incompletely regulated, with continued tropical deforestation (although at</w:t>
      </w:r>
      <w:r>
        <w:rPr>
          <w:rFonts w:ascii="Times New Roman" w:hAnsi="Times New Roman" w:cs="Times New Roman"/>
          <w:color w:val="000000"/>
          <w:sz w:val="24"/>
          <w:szCs w:val="24"/>
          <w:lang w:val="en-US" w:bidi="en-US"/>
        </w:rPr>
        <w:t xml:space="preserve"> declining rates) (</w:t>
      </w:r>
      <w:proofErr w:type="spellStart"/>
      <w:r w:rsidRPr="00D741C1">
        <w:rPr>
          <w:rFonts w:ascii="Times New Roman" w:hAnsi="Times New Roman" w:cs="Times New Roman"/>
          <w:i/>
          <w:iCs/>
          <w:color w:val="000000"/>
          <w:sz w:val="24"/>
          <w:szCs w:val="24"/>
          <w:lang w:val="en-US" w:bidi="en-US"/>
        </w:rPr>
        <w:t>Fricko</w:t>
      </w:r>
      <w:proofErr w:type="spellEnd"/>
      <w:r w:rsidRPr="00D741C1">
        <w:rPr>
          <w:rFonts w:ascii="Times New Roman" w:hAnsi="Times New Roman" w:cs="Times New Roman"/>
          <w:i/>
          <w:iCs/>
          <w:color w:val="000000"/>
          <w:sz w:val="24"/>
          <w:szCs w:val="24"/>
          <w:lang w:val="en-US" w:bidi="en-US"/>
        </w:rPr>
        <w:t xml:space="preserve"> et al. 2017</w:t>
      </w:r>
      <w:r>
        <w:rPr>
          <w:rFonts w:ascii="Times New Roman" w:hAnsi="Times New Roman" w:cs="Times New Roman"/>
          <w:color w:val="000000"/>
          <w:sz w:val="24"/>
          <w:szCs w:val="24"/>
          <w:lang w:val="en-US" w:bidi="en-US"/>
        </w:rPr>
        <w:t>)</w:t>
      </w:r>
      <w:r w:rsidRPr="00D741C1">
        <w:rPr>
          <w:rFonts w:ascii="Times New Roman" w:hAnsi="Times New Roman" w:cs="Times New Roman"/>
          <w:color w:val="000000"/>
          <w:sz w:val="24"/>
          <w:szCs w:val="24"/>
          <w:lang w:val="en-US" w:bidi="en-US"/>
        </w:rPr>
        <w:t>.</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The SSP-3 (regional rivalry—a rocky road) scenario represents a world with resurgent nationalism,</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increased focus on domestic issues, almost no land use change regulations, stagnant crop yields due</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to limited technology transfer to developing countries, and prevalence of unhealthy diets with high</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 xml:space="preserve">shares of animal-based products and high food waste </w:t>
      </w:r>
      <w:r>
        <w:rPr>
          <w:rFonts w:ascii="Times New Roman" w:hAnsi="Times New Roman" w:cs="Times New Roman"/>
          <w:color w:val="000000"/>
          <w:sz w:val="24"/>
          <w:szCs w:val="24"/>
          <w:lang w:val="en-US" w:bidi="en-US"/>
        </w:rPr>
        <w:t>(</w:t>
      </w:r>
      <w:r w:rsidRPr="00240683">
        <w:rPr>
          <w:rFonts w:ascii="Times New Roman" w:hAnsi="Times New Roman" w:cs="Times New Roman"/>
          <w:i/>
          <w:iCs/>
          <w:color w:val="000000"/>
          <w:sz w:val="24"/>
          <w:szCs w:val="24"/>
          <w:lang w:val="en-US" w:bidi="en-US"/>
        </w:rPr>
        <w:t>Fujimori et al. 2017</w:t>
      </w:r>
      <w:r>
        <w:rPr>
          <w:rFonts w:ascii="Times New Roman" w:hAnsi="Times New Roman" w:cs="Times New Roman"/>
          <w:color w:val="000000"/>
          <w:sz w:val="24"/>
          <w:szCs w:val="24"/>
          <w:lang w:val="en-US" w:bidi="en-US"/>
        </w:rPr>
        <w:t>)</w:t>
      </w:r>
      <w:r w:rsidRPr="00D741C1">
        <w:rPr>
          <w:rFonts w:ascii="Times New Roman" w:hAnsi="Times New Roman" w:cs="Times New Roman"/>
          <w:color w:val="000000"/>
          <w:sz w:val="24"/>
          <w:szCs w:val="24"/>
          <w:lang w:val="en-US" w:bidi="en-US"/>
        </w:rPr>
        <w:t>.</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In SSP-4 (inequality—a road divided), the disparities increase both across and within countries such</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 xml:space="preserve">that high-income nations have strong land use change regulations and </w:t>
      </w:r>
      <w:r w:rsidRPr="00D741C1">
        <w:rPr>
          <w:rFonts w:ascii="Times New Roman" w:hAnsi="Times New Roman" w:cs="Times New Roman"/>
          <w:color w:val="000000"/>
          <w:sz w:val="24"/>
          <w:szCs w:val="24"/>
          <w:lang w:val="en-US" w:bidi="en-US"/>
        </w:rPr>
        <w:lastRenderedPageBreak/>
        <w:t>high crop yields, while the</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low-income nations remain relatively unproductive with continued clearing of natural vegetation.</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 xml:space="preserve">Rich elites have high consumption levels, while others have low consumption levels </w:t>
      </w:r>
      <w:r>
        <w:rPr>
          <w:rFonts w:ascii="Times New Roman" w:hAnsi="Times New Roman" w:cs="Times New Roman"/>
          <w:color w:val="000000"/>
          <w:sz w:val="24"/>
          <w:szCs w:val="24"/>
          <w:lang w:val="en-US" w:bidi="en-US"/>
        </w:rPr>
        <w:t>(</w:t>
      </w:r>
      <w:r w:rsidRPr="00240683">
        <w:rPr>
          <w:rFonts w:ascii="Times New Roman" w:hAnsi="Times New Roman" w:cs="Times New Roman"/>
          <w:i/>
          <w:iCs/>
          <w:color w:val="000000"/>
          <w:sz w:val="24"/>
          <w:szCs w:val="24"/>
          <w:lang w:val="en-US" w:bidi="en-US"/>
        </w:rPr>
        <w:t>Calvin et al. 2017</w:t>
      </w:r>
      <w:r>
        <w:rPr>
          <w:rFonts w:ascii="Times New Roman" w:hAnsi="Times New Roman" w:cs="Times New Roman"/>
          <w:color w:val="000000"/>
          <w:sz w:val="24"/>
          <w:szCs w:val="24"/>
          <w:lang w:val="en-US" w:bidi="en-US"/>
        </w:rPr>
        <w:t>)</w:t>
      </w:r>
      <w:r w:rsidRPr="00D741C1">
        <w:rPr>
          <w:rFonts w:ascii="Times New Roman" w:hAnsi="Times New Roman" w:cs="Times New Roman"/>
          <w:color w:val="000000"/>
          <w:sz w:val="24"/>
          <w:szCs w:val="24"/>
          <w:lang w:val="en-US" w:bidi="en-US"/>
        </w:rPr>
        <w:t>.</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The SSP-5 (fossil fueled development—taking the highway) scenario is characterized by rapid</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technological progress, increasing crop yields, global trade, and competitive markets, where unhealthy</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diets and high food waste prevail. There are medium levels of land use change regulations in place,</w:t>
      </w:r>
      <w:r>
        <w:rPr>
          <w:rFonts w:ascii="Times New Roman" w:hAnsi="Times New Roman" w:cs="Times New Roman"/>
          <w:color w:val="000000"/>
          <w:sz w:val="24"/>
          <w:szCs w:val="24"/>
          <w:lang w:val="en-US" w:bidi="en-US"/>
        </w:rPr>
        <w:t xml:space="preserve"> </w:t>
      </w:r>
      <w:r w:rsidRPr="00D741C1">
        <w:rPr>
          <w:rFonts w:ascii="Times New Roman" w:hAnsi="Times New Roman" w:cs="Times New Roman"/>
          <w:color w:val="000000"/>
          <w:sz w:val="24"/>
          <w:szCs w:val="24"/>
          <w:lang w:val="en-US" w:bidi="en-US"/>
        </w:rPr>
        <w:t>meaning that tropical deforestation continues, althou</w:t>
      </w:r>
      <w:r>
        <w:rPr>
          <w:rFonts w:ascii="Times New Roman" w:hAnsi="Times New Roman" w:cs="Times New Roman"/>
          <w:color w:val="000000"/>
          <w:sz w:val="24"/>
          <w:szCs w:val="24"/>
          <w:lang w:val="en-US" w:bidi="en-US"/>
        </w:rPr>
        <w:t>gh its rate declines over time (</w:t>
      </w:r>
      <w:proofErr w:type="spellStart"/>
      <w:r w:rsidRPr="00CA4FFF">
        <w:rPr>
          <w:rFonts w:ascii="Times New Roman" w:hAnsi="Times New Roman" w:cs="Times New Roman"/>
          <w:i/>
          <w:iCs/>
          <w:color w:val="000000"/>
          <w:sz w:val="24"/>
          <w:szCs w:val="24"/>
          <w:lang w:val="en-US" w:bidi="en-US"/>
        </w:rPr>
        <w:t>Kriegler</w:t>
      </w:r>
      <w:proofErr w:type="spellEnd"/>
      <w:r w:rsidRPr="00CA4FFF">
        <w:rPr>
          <w:rFonts w:ascii="Times New Roman" w:hAnsi="Times New Roman" w:cs="Times New Roman"/>
          <w:i/>
          <w:iCs/>
          <w:color w:val="000000"/>
          <w:sz w:val="24"/>
          <w:szCs w:val="24"/>
          <w:lang w:val="en-US" w:bidi="en-US"/>
        </w:rPr>
        <w:t xml:space="preserve"> et al. 2017</w:t>
      </w:r>
      <w:r>
        <w:rPr>
          <w:rFonts w:ascii="Times New Roman" w:hAnsi="Times New Roman" w:cs="Times New Roman"/>
          <w:color w:val="000000"/>
          <w:sz w:val="24"/>
          <w:szCs w:val="24"/>
          <w:lang w:val="en-US" w:bidi="en-US"/>
        </w:rPr>
        <w:t>)</w:t>
      </w:r>
      <w:r w:rsidRPr="00D741C1">
        <w:rPr>
          <w:rFonts w:ascii="Times New Roman" w:hAnsi="Times New Roman" w:cs="Times New Roman"/>
          <w:color w:val="000000"/>
          <w:sz w:val="24"/>
          <w:szCs w:val="24"/>
          <w:lang w:val="en-US" w:bidi="en-US"/>
        </w:rPr>
        <w:t>.</w:t>
      </w:r>
    </w:p>
    <w:p w14:paraId="5F5A9CFF" w14:textId="77777777" w:rsidR="005A2B62" w:rsidRPr="00D741C1" w:rsidRDefault="005A2B62" w:rsidP="005A2B62">
      <w:pPr>
        <w:spacing w:after="120" w:line="240" w:lineRule="auto"/>
        <w:rPr>
          <w:rFonts w:ascii="Times New Roman" w:hAnsi="Times New Roman" w:cs="Times New Roman"/>
          <w:b/>
          <w:bCs/>
          <w:i/>
          <w:iCs/>
          <w:color w:val="000000"/>
          <w:sz w:val="24"/>
          <w:szCs w:val="24"/>
          <w:lang w:val="en-US" w:bidi="en-US"/>
        </w:rPr>
      </w:pPr>
      <w:r w:rsidRPr="00D741C1">
        <w:rPr>
          <w:rFonts w:ascii="Times New Roman" w:hAnsi="Times New Roman" w:cs="Times New Roman"/>
          <w:b/>
          <w:bCs/>
          <w:i/>
          <w:iCs/>
          <w:color w:val="000000"/>
          <w:sz w:val="24"/>
          <w:szCs w:val="24"/>
          <w:lang w:val="en-US" w:bidi="en-US"/>
        </w:rPr>
        <w:t>Countryside species-area relationship model</w:t>
      </w:r>
    </w:p>
    <w:p w14:paraId="3245D341" w14:textId="77777777" w:rsidR="005A2B62" w:rsidRPr="002F543D" w:rsidRDefault="005A2B62" w:rsidP="005A2B62">
      <w:pPr>
        <w:spacing w:after="120" w:line="240" w:lineRule="auto"/>
        <w:rPr>
          <w:rFonts w:ascii="Times New Roman" w:hAnsi="Times New Roman" w:cs="Times New Roman"/>
          <w:color w:val="000000"/>
          <w:sz w:val="24"/>
          <w:szCs w:val="24"/>
          <w:lang w:val="en-US" w:bidi="en-US"/>
        </w:rPr>
      </w:pPr>
      <w:r w:rsidRPr="002F543D">
        <w:rPr>
          <w:rFonts w:ascii="Times New Roman" w:hAnsi="Times New Roman" w:cs="Times New Roman"/>
          <w:color w:val="000000"/>
          <w:sz w:val="24"/>
          <w:szCs w:val="24"/>
          <w:lang w:val="en-US" w:bidi="en-US"/>
        </w:rPr>
        <w:t xml:space="preserve">For each year and scenario, we fed the estimated areas of each of 12 land use types into the countryside species–area relationship (SAR; </w:t>
      </w:r>
      <w:r w:rsidRPr="002F543D">
        <w:rPr>
          <w:rFonts w:ascii="Times New Roman" w:hAnsi="Times New Roman" w:cs="Times New Roman"/>
          <w:i/>
          <w:iCs/>
          <w:color w:val="000000"/>
          <w:sz w:val="24"/>
          <w:szCs w:val="24"/>
          <w:lang w:val="en-US" w:bidi="en-US"/>
        </w:rPr>
        <w:t>Chaudhary &amp; Brooks, 2017</w:t>
      </w:r>
      <w:r w:rsidRPr="002F543D">
        <w:rPr>
          <w:rFonts w:ascii="Times New Roman" w:hAnsi="Times New Roman" w:cs="Times New Roman"/>
          <w:color w:val="000000"/>
          <w:sz w:val="24"/>
          <w:szCs w:val="24"/>
          <w:lang w:val="en-US" w:bidi="en-US"/>
        </w:rPr>
        <w:t xml:space="preserve">) to estimate the </w:t>
      </w:r>
      <w:r>
        <w:rPr>
          <w:rFonts w:ascii="Times New Roman" w:hAnsi="Times New Roman" w:cs="Times New Roman"/>
          <w:color w:val="000000"/>
          <w:sz w:val="24"/>
          <w:szCs w:val="24"/>
          <w:lang w:val="en-US" w:bidi="en-US"/>
        </w:rPr>
        <w:t xml:space="preserve">number of </w:t>
      </w:r>
      <w:r w:rsidRPr="002F543D">
        <w:rPr>
          <w:rFonts w:ascii="Times New Roman" w:hAnsi="Times New Roman" w:cs="Times New Roman"/>
          <w:color w:val="000000"/>
          <w:sz w:val="24"/>
          <w:szCs w:val="24"/>
          <w:lang w:val="en-US" w:bidi="en-US"/>
        </w:rPr>
        <w:t>species projected to go extinct (</w:t>
      </w:r>
      <m:oMath>
        <m:r>
          <w:rPr>
            <w:rFonts w:ascii="Cambria Math" w:hAnsi="Cambria Math" w:cs="Times New Roman"/>
            <w:color w:val="000000"/>
            <w:sz w:val="24"/>
            <w:szCs w:val="24"/>
            <w:lang w:val="en-US" w:bidi="en-US"/>
          </w:rPr>
          <m:t xml:space="preserve">Slost) </m:t>
        </m:r>
      </m:oMath>
      <w:r w:rsidRPr="002F543D">
        <w:rPr>
          <w:rFonts w:ascii="Times New Roman" w:hAnsi="Times New Roman" w:cs="Times New Roman"/>
          <w:color w:val="000000"/>
          <w:sz w:val="24"/>
          <w:szCs w:val="24"/>
          <w:lang w:val="en-US" w:bidi="en-US"/>
        </w:rPr>
        <w:t xml:space="preserve">as a result of total human land use within a terrestrial ecoregion </w:t>
      </w:r>
      <w:r w:rsidRPr="002F543D">
        <w:rPr>
          <w:rFonts w:ascii="Times New Roman" w:hAnsi="Times New Roman" w:cs="Times New Roman"/>
          <w:i/>
          <w:color w:val="000000"/>
          <w:sz w:val="24"/>
          <w:szCs w:val="24"/>
          <w:lang w:val="en-US" w:bidi="en-US"/>
        </w:rPr>
        <w:t xml:space="preserve">j </w:t>
      </w:r>
      <w:r w:rsidRPr="002F543D">
        <w:rPr>
          <w:rFonts w:ascii="Times New Roman" w:hAnsi="Times New Roman" w:cs="Times New Roman"/>
          <w:color w:val="000000"/>
          <w:sz w:val="24"/>
          <w:szCs w:val="24"/>
          <w:lang w:val="en-US" w:bidi="en-US"/>
        </w:rPr>
        <w:t xml:space="preserve">as </w:t>
      </w:r>
      <w:r>
        <w:rPr>
          <w:rFonts w:ascii="Times New Roman" w:hAnsi="Times New Roman" w:cs="Times New Roman"/>
          <w:color w:val="000000"/>
          <w:sz w:val="24"/>
          <w:szCs w:val="24"/>
          <w:lang w:val="en-US" w:bidi="en-US"/>
        </w:rPr>
        <w:t>follows</w:t>
      </w:r>
      <w:r w:rsidRPr="002F543D">
        <w:rPr>
          <w:rFonts w:ascii="Times New Roman" w:hAnsi="Times New Roman" w:cs="Times New Roman"/>
          <w:color w:val="000000"/>
          <w:sz w:val="24"/>
          <w:szCs w:val="24"/>
          <w:lang w:val="en-US" w:bidi="en-US"/>
        </w:rPr>
        <w:t xml:space="preserve">: </w:t>
      </w:r>
    </w:p>
    <w:tbl>
      <w:tblPr>
        <w:tblW w:w="0" w:type="auto"/>
        <w:jc w:val="center"/>
        <w:tblLayout w:type="fixed"/>
        <w:tblLook w:val="0000" w:firstRow="0" w:lastRow="0" w:firstColumn="0" w:lastColumn="0" w:noHBand="0" w:noVBand="0"/>
      </w:tblPr>
      <w:tblGrid>
        <w:gridCol w:w="8220"/>
        <w:gridCol w:w="646"/>
      </w:tblGrid>
      <w:tr w:rsidR="005A2B62" w:rsidRPr="002F543D" w14:paraId="47F677A0" w14:textId="77777777" w:rsidTr="00C16B25">
        <w:trPr>
          <w:trHeight w:val="340"/>
          <w:jc w:val="center"/>
        </w:trPr>
        <w:tc>
          <w:tcPr>
            <w:tcW w:w="8220" w:type="dxa"/>
            <w:shd w:val="clear" w:color="auto" w:fill="auto"/>
            <w:vAlign w:val="center"/>
          </w:tcPr>
          <w:p w14:paraId="3BC63EAD" w14:textId="77777777" w:rsidR="005A2B62" w:rsidRPr="002F543D" w:rsidRDefault="000E0C94" w:rsidP="00C16B25">
            <w:pPr>
              <w:spacing w:after="120" w:line="240" w:lineRule="auto"/>
              <w:rPr>
                <w:rFonts w:ascii="Times New Roman" w:hAnsi="Times New Roman" w:cs="Times New Roman"/>
                <w:bCs/>
                <w:iCs/>
                <w:color w:val="000000"/>
                <w:sz w:val="24"/>
                <w:szCs w:val="24"/>
                <w:lang w:val="en-US" w:bidi="en-US"/>
              </w:rPr>
            </w:pPr>
            <m:oMathPara>
              <m:oMath>
                <m:sSub>
                  <m:sSubPr>
                    <m:ctrlPr>
                      <w:rPr>
                        <w:rFonts w:ascii="Cambria Math" w:hAnsi="Cambria Math" w:cs="Times New Roman"/>
                        <w:i/>
                        <w:color w:val="000000"/>
                        <w:sz w:val="24"/>
                        <w:szCs w:val="24"/>
                        <w:lang w:val="en-US" w:bidi="en-US"/>
                      </w:rPr>
                    </m:ctrlPr>
                  </m:sSubPr>
                  <m:e>
                    <m:r>
                      <w:rPr>
                        <w:rFonts w:ascii="Cambria Math" w:hAnsi="Cambria Math" w:cs="Times New Roman"/>
                        <w:color w:val="000000"/>
                        <w:sz w:val="24"/>
                        <w:szCs w:val="24"/>
                        <w:lang w:val="en-US" w:bidi="en-US"/>
                      </w:rPr>
                      <m:t>flost</m:t>
                    </m:r>
                  </m:e>
                  <m:sub>
                    <m:r>
                      <w:rPr>
                        <w:rFonts w:ascii="Cambria Math" w:hAnsi="Cambria Math" w:cs="Times New Roman"/>
                        <w:color w:val="000000"/>
                        <w:sz w:val="24"/>
                        <w:szCs w:val="24"/>
                        <w:lang w:val="en-US" w:bidi="en-US"/>
                      </w:rPr>
                      <m:t>j</m:t>
                    </m:r>
                  </m:sub>
                </m:sSub>
                <m:r>
                  <w:rPr>
                    <w:rFonts w:ascii="Cambria Math" w:hAnsi="Cambria Math" w:cs="Times New Roman"/>
                    <w:color w:val="000000"/>
                    <w:sz w:val="24"/>
                    <w:szCs w:val="24"/>
                    <w:lang w:val="en-US" w:bidi="en-US"/>
                  </w:rPr>
                  <m:t xml:space="preserve">=1- </m:t>
                </m:r>
                <m:sSup>
                  <m:sSupPr>
                    <m:ctrlPr>
                      <w:rPr>
                        <w:rFonts w:ascii="Cambria Math" w:hAnsi="Cambria Math" w:cs="Times New Roman"/>
                        <w:bCs/>
                        <w:i/>
                        <w:iCs/>
                        <w:color w:val="000000"/>
                        <w:sz w:val="24"/>
                        <w:szCs w:val="24"/>
                        <w:lang w:val="en-US" w:bidi="en-US"/>
                      </w:rPr>
                    </m:ctrlPr>
                  </m:sSupPr>
                  <m:e>
                    <m:d>
                      <m:dPr>
                        <m:ctrlPr>
                          <w:rPr>
                            <w:rFonts w:ascii="Cambria Math" w:hAnsi="Cambria Math" w:cs="Times New Roman"/>
                            <w:bCs/>
                            <w:i/>
                            <w:iCs/>
                            <w:color w:val="000000"/>
                            <w:sz w:val="24"/>
                            <w:szCs w:val="24"/>
                            <w:lang w:val="en-US" w:bidi="en-US"/>
                          </w:rPr>
                        </m:ctrlPr>
                      </m:dPr>
                      <m:e>
                        <m:f>
                          <m:fPr>
                            <m:ctrlPr>
                              <w:rPr>
                                <w:rFonts w:ascii="Cambria Math" w:hAnsi="Cambria Math" w:cs="Times New Roman"/>
                                <w:bCs/>
                                <w:i/>
                                <w:iCs/>
                                <w:color w:val="000000"/>
                                <w:sz w:val="24"/>
                                <w:szCs w:val="24"/>
                                <w:lang w:val="en-US" w:bidi="en-US"/>
                              </w:rPr>
                            </m:ctrlPr>
                          </m:fPr>
                          <m:num>
                            <m:sSub>
                              <m:sSubPr>
                                <m:ctrlPr>
                                  <w:rPr>
                                    <w:rFonts w:ascii="Cambria Math" w:hAnsi="Cambria Math" w:cs="Times New Roman"/>
                                    <w:bCs/>
                                    <w:i/>
                                    <w:iCs/>
                                    <w:color w:val="000000"/>
                                    <w:sz w:val="24"/>
                                    <w:szCs w:val="24"/>
                                    <w:lang w:val="en-US" w:bidi="en-US"/>
                                  </w:rPr>
                                </m:ctrlPr>
                              </m:sSubPr>
                              <m:e>
                                <m:r>
                                  <w:rPr>
                                    <w:rFonts w:ascii="Cambria Math" w:hAnsi="Cambria Math" w:cs="Times New Roman"/>
                                    <w:color w:val="000000"/>
                                    <w:sz w:val="24"/>
                                    <w:szCs w:val="24"/>
                                    <w:lang w:val="en-US" w:bidi="en-US"/>
                                  </w:rPr>
                                  <m:t>Anew</m:t>
                                </m:r>
                              </m:e>
                              <m:sub>
                                <m:r>
                                  <w:rPr>
                                    <w:rFonts w:ascii="Cambria Math" w:hAnsi="Cambria Math" w:cs="Times New Roman"/>
                                    <w:color w:val="000000"/>
                                    <w:sz w:val="24"/>
                                    <w:szCs w:val="24"/>
                                    <w:lang w:val="en-US" w:bidi="en-US"/>
                                  </w:rPr>
                                  <m:t>j</m:t>
                                </m:r>
                              </m:sub>
                            </m:sSub>
                            <m:r>
                              <w:rPr>
                                <w:rFonts w:ascii="Cambria Math" w:hAnsi="Cambria Math" w:cs="Times New Roman"/>
                                <w:color w:val="000000"/>
                                <w:sz w:val="24"/>
                                <w:szCs w:val="24"/>
                                <w:lang w:val="en-US" w:bidi="en-US"/>
                              </w:rPr>
                              <m:t xml:space="preserve">+ </m:t>
                            </m:r>
                            <m:nary>
                              <m:naryPr>
                                <m:chr m:val="∑"/>
                                <m:limLoc m:val="undOvr"/>
                                <m:ctrlPr>
                                  <w:rPr>
                                    <w:rFonts w:ascii="Cambria Math" w:hAnsi="Cambria Math" w:cs="Times New Roman"/>
                                    <w:bCs/>
                                    <w:i/>
                                    <w:iCs/>
                                    <w:color w:val="000000"/>
                                    <w:sz w:val="24"/>
                                    <w:szCs w:val="24"/>
                                    <w:lang w:val="en-US" w:bidi="en-US"/>
                                  </w:rPr>
                                </m:ctrlPr>
                              </m:naryPr>
                              <m:sub>
                                <m:r>
                                  <w:rPr>
                                    <w:rFonts w:ascii="Cambria Math" w:hAnsi="Cambria Math" w:cs="Times New Roman"/>
                                    <w:color w:val="000000"/>
                                    <w:sz w:val="24"/>
                                    <w:szCs w:val="24"/>
                                    <w:lang w:val="en-US" w:bidi="en-US"/>
                                  </w:rPr>
                                  <m:t xml:space="preserve">i=1 </m:t>
                                </m:r>
                              </m:sub>
                              <m:sup>
                                <m:r>
                                  <w:rPr>
                                    <w:rFonts w:ascii="Cambria Math" w:hAnsi="Cambria Math" w:cs="Times New Roman"/>
                                    <w:color w:val="000000"/>
                                    <w:sz w:val="24"/>
                                    <w:szCs w:val="24"/>
                                    <w:lang w:val="en-US" w:bidi="en-US"/>
                                  </w:rPr>
                                  <m:t>10</m:t>
                                </m:r>
                              </m:sup>
                              <m:e>
                                <m:sSub>
                                  <m:sSubPr>
                                    <m:ctrlPr>
                                      <w:rPr>
                                        <w:rFonts w:ascii="Cambria Math" w:hAnsi="Cambria Math" w:cs="Times New Roman"/>
                                        <w:bCs/>
                                        <w:i/>
                                        <w:iCs/>
                                        <w:color w:val="000000"/>
                                        <w:sz w:val="24"/>
                                        <w:szCs w:val="24"/>
                                        <w:lang w:val="en-US" w:bidi="en-US"/>
                                      </w:rPr>
                                    </m:ctrlPr>
                                  </m:sSubPr>
                                  <m:e>
                                    <m:r>
                                      <w:rPr>
                                        <w:rFonts w:ascii="Cambria Math" w:hAnsi="Cambria Math" w:cs="Times New Roman"/>
                                        <w:color w:val="000000"/>
                                        <w:sz w:val="24"/>
                                        <w:szCs w:val="24"/>
                                        <w:lang w:val="en-US" w:bidi="en-US"/>
                                      </w:rPr>
                                      <m:t>h</m:t>
                                    </m:r>
                                  </m:e>
                                  <m:sub>
                                    <m:r>
                                      <w:rPr>
                                        <w:rFonts w:ascii="Cambria Math" w:hAnsi="Cambria Math" w:cs="Times New Roman"/>
                                        <w:color w:val="000000"/>
                                        <w:sz w:val="24"/>
                                        <w:szCs w:val="24"/>
                                        <w:lang w:val="en-US" w:bidi="en-US"/>
                                      </w:rPr>
                                      <m:t>i,j</m:t>
                                    </m:r>
                                  </m:sub>
                                </m:sSub>
                                <m:sSub>
                                  <m:sSubPr>
                                    <m:ctrlPr>
                                      <w:rPr>
                                        <w:rFonts w:ascii="Cambria Math" w:hAnsi="Cambria Math" w:cs="Times New Roman"/>
                                        <w:bCs/>
                                        <w:i/>
                                        <w:iCs/>
                                        <w:color w:val="000000"/>
                                        <w:sz w:val="24"/>
                                        <w:szCs w:val="24"/>
                                        <w:lang w:val="en-US" w:bidi="en-US"/>
                                      </w:rPr>
                                    </m:ctrlPr>
                                  </m:sSubPr>
                                  <m:e>
                                    <m:r>
                                      <w:rPr>
                                        <w:rFonts w:ascii="Cambria Math" w:hAnsi="Cambria Math" w:cs="Times New Roman"/>
                                        <w:color w:val="000000"/>
                                        <w:sz w:val="24"/>
                                        <w:szCs w:val="24"/>
                                        <w:lang w:val="en-US" w:bidi="en-US"/>
                                      </w:rPr>
                                      <m:t>∙A</m:t>
                                    </m:r>
                                  </m:e>
                                  <m:sub>
                                    <m:r>
                                      <w:rPr>
                                        <w:rFonts w:ascii="Cambria Math" w:hAnsi="Cambria Math" w:cs="Times New Roman"/>
                                        <w:color w:val="000000"/>
                                        <w:sz w:val="24"/>
                                        <w:szCs w:val="24"/>
                                        <w:lang w:val="en-US" w:bidi="en-US"/>
                                      </w:rPr>
                                      <m:t>i,j</m:t>
                                    </m:r>
                                  </m:sub>
                                </m:sSub>
                              </m:e>
                            </m:nary>
                          </m:num>
                          <m:den>
                            <m:sSub>
                              <m:sSubPr>
                                <m:ctrlPr>
                                  <w:rPr>
                                    <w:rFonts w:ascii="Cambria Math" w:hAnsi="Cambria Math" w:cs="Times New Roman"/>
                                    <w:bCs/>
                                    <w:i/>
                                    <w:iCs/>
                                    <w:color w:val="000000"/>
                                    <w:sz w:val="24"/>
                                    <w:szCs w:val="24"/>
                                    <w:lang w:val="en-US" w:bidi="en-US"/>
                                  </w:rPr>
                                </m:ctrlPr>
                              </m:sSubPr>
                              <m:e>
                                <m:r>
                                  <w:rPr>
                                    <w:rFonts w:ascii="Cambria Math" w:hAnsi="Cambria Math" w:cs="Times New Roman"/>
                                    <w:color w:val="000000"/>
                                    <w:sz w:val="24"/>
                                    <w:szCs w:val="24"/>
                                    <w:lang w:val="en-US" w:bidi="en-US"/>
                                  </w:rPr>
                                  <m:t>Aorg</m:t>
                                </m:r>
                              </m:e>
                              <m:sub>
                                <m:r>
                                  <w:rPr>
                                    <w:rFonts w:ascii="Cambria Math" w:hAnsi="Cambria Math" w:cs="Times New Roman"/>
                                    <w:color w:val="000000"/>
                                    <w:sz w:val="24"/>
                                    <w:szCs w:val="24"/>
                                    <w:lang w:val="en-US" w:bidi="en-US"/>
                                  </w:rPr>
                                  <m:t>j</m:t>
                                </m:r>
                              </m:sub>
                            </m:sSub>
                          </m:den>
                        </m:f>
                      </m:e>
                    </m:d>
                  </m:e>
                  <m:sup>
                    <m:sSub>
                      <m:sSubPr>
                        <m:ctrlPr>
                          <w:rPr>
                            <w:rFonts w:ascii="Cambria Math" w:hAnsi="Cambria Math" w:cs="Times New Roman"/>
                            <w:bCs/>
                            <w:i/>
                            <w:iCs/>
                            <w:color w:val="000000"/>
                            <w:sz w:val="24"/>
                            <w:szCs w:val="24"/>
                            <w:lang w:val="en-US" w:bidi="en-US"/>
                          </w:rPr>
                        </m:ctrlPr>
                      </m:sSubPr>
                      <m:e>
                        <m:r>
                          <w:rPr>
                            <w:rFonts w:ascii="Cambria Math" w:hAnsi="Cambria Math" w:cs="Times New Roman"/>
                            <w:color w:val="000000"/>
                            <w:sz w:val="24"/>
                            <w:szCs w:val="24"/>
                            <w:lang w:val="en-US" w:bidi="en-US"/>
                          </w:rPr>
                          <m:t>z</m:t>
                        </m:r>
                      </m:e>
                      <m:sub>
                        <m:r>
                          <w:rPr>
                            <w:rFonts w:ascii="Cambria Math" w:hAnsi="Cambria Math" w:cs="Times New Roman"/>
                            <w:color w:val="000000"/>
                            <w:sz w:val="24"/>
                            <w:szCs w:val="24"/>
                            <w:lang w:val="en-US" w:bidi="en-US"/>
                          </w:rPr>
                          <m:t>j</m:t>
                        </m:r>
                      </m:sub>
                    </m:sSub>
                  </m:sup>
                </m:sSup>
              </m:oMath>
            </m:oMathPara>
          </w:p>
        </w:tc>
        <w:tc>
          <w:tcPr>
            <w:tcW w:w="646" w:type="dxa"/>
            <w:shd w:val="clear" w:color="auto" w:fill="auto"/>
            <w:vAlign w:val="center"/>
          </w:tcPr>
          <w:p w14:paraId="3F5F596D" w14:textId="6B8B35DE" w:rsidR="005A2B62" w:rsidRPr="002F543D" w:rsidRDefault="005A2B62" w:rsidP="00C16B25">
            <w:pPr>
              <w:spacing w:after="120" w:line="240" w:lineRule="auto"/>
              <w:rPr>
                <w:rFonts w:ascii="Times New Roman" w:hAnsi="Times New Roman" w:cs="Times New Roman"/>
                <w:bCs/>
                <w:iCs/>
                <w:color w:val="000000"/>
                <w:sz w:val="24"/>
                <w:szCs w:val="24"/>
                <w:lang w:val="en-US" w:bidi="en-US"/>
              </w:rPr>
            </w:pPr>
            <w:r w:rsidRPr="002F543D">
              <w:rPr>
                <w:rFonts w:ascii="Times New Roman" w:hAnsi="Times New Roman" w:cs="Times New Roman"/>
                <w:bCs/>
                <w:iCs/>
                <w:color w:val="000000"/>
                <w:sz w:val="24"/>
                <w:szCs w:val="24"/>
                <w:lang w:val="en-US" w:bidi="en-US"/>
              </w:rPr>
              <w:t>(</w:t>
            </w:r>
            <w:r w:rsidRPr="002F543D">
              <w:rPr>
                <w:rFonts w:ascii="Times New Roman" w:hAnsi="Times New Roman" w:cs="Times New Roman"/>
                <w:bCs/>
                <w:iCs/>
                <w:color w:val="000000"/>
                <w:sz w:val="24"/>
                <w:szCs w:val="24"/>
                <w:lang w:val="en-US" w:bidi="en-US"/>
              </w:rPr>
              <w:fldChar w:fldCharType="begin"/>
            </w:r>
            <w:r w:rsidRPr="002F543D">
              <w:rPr>
                <w:rFonts w:ascii="Times New Roman" w:hAnsi="Times New Roman" w:cs="Times New Roman"/>
                <w:bCs/>
                <w:iCs/>
                <w:color w:val="000000"/>
                <w:sz w:val="24"/>
                <w:szCs w:val="24"/>
                <w:lang w:val="en-US" w:bidi="en-US"/>
              </w:rPr>
              <w:instrText xml:space="preserve"> seq EquationSeq \* \Arabic </w:instrText>
            </w:r>
            <w:r w:rsidRPr="002F543D">
              <w:rPr>
                <w:rFonts w:ascii="Times New Roman" w:hAnsi="Times New Roman" w:cs="Times New Roman"/>
                <w:bCs/>
                <w:iCs/>
                <w:color w:val="000000"/>
                <w:sz w:val="24"/>
                <w:szCs w:val="24"/>
                <w:lang w:val="en-US" w:bidi="en-US"/>
              </w:rPr>
              <w:fldChar w:fldCharType="separate"/>
            </w:r>
            <w:r w:rsidR="006C5CB7">
              <w:rPr>
                <w:rFonts w:ascii="Times New Roman" w:hAnsi="Times New Roman" w:cs="Times New Roman"/>
                <w:bCs/>
                <w:iCs/>
                <w:noProof/>
                <w:color w:val="000000"/>
                <w:sz w:val="24"/>
                <w:szCs w:val="24"/>
                <w:lang w:val="en-US" w:bidi="en-US"/>
              </w:rPr>
              <w:t>1</w:t>
            </w:r>
            <w:r w:rsidRPr="002F543D">
              <w:rPr>
                <w:rFonts w:ascii="Times New Roman" w:hAnsi="Times New Roman" w:cs="Times New Roman"/>
                <w:color w:val="000000"/>
                <w:sz w:val="24"/>
                <w:szCs w:val="24"/>
                <w:lang w:val="en-US"/>
              </w:rPr>
              <w:fldChar w:fldCharType="end"/>
            </w:r>
            <w:r w:rsidRPr="002F543D">
              <w:rPr>
                <w:rFonts w:ascii="Times New Roman" w:hAnsi="Times New Roman" w:cs="Times New Roman"/>
                <w:bCs/>
                <w:iCs/>
                <w:color w:val="000000"/>
                <w:sz w:val="24"/>
                <w:szCs w:val="24"/>
                <w:lang w:val="en-US" w:bidi="en-US"/>
              </w:rPr>
              <w:t>)</w:t>
            </w:r>
          </w:p>
        </w:tc>
      </w:tr>
    </w:tbl>
    <w:p w14:paraId="55580479" w14:textId="77777777" w:rsidR="005A2B62" w:rsidRPr="002F543D" w:rsidRDefault="005A2B62" w:rsidP="005A2B62">
      <w:pPr>
        <w:spacing w:after="120" w:line="240" w:lineRule="auto"/>
        <w:rPr>
          <w:rFonts w:ascii="Times New Roman" w:hAnsi="Times New Roman" w:cs="Times New Roman"/>
          <w:color w:val="000000"/>
          <w:sz w:val="24"/>
          <w:szCs w:val="24"/>
          <w:lang w:val="en-US" w:bidi="en-US"/>
        </w:rPr>
      </w:pPr>
      <w:r w:rsidRPr="002F543D">
        <w:rPr>
          <w:rFonts w:ascii="Times New Roman" w:hAnsi="Times New Roman" w:cs="Times New Roman"/>
          <w:color w:val="000000"/>
          <w:sz w:val="24"/>
          <w:szCs w:val="24"/>
          <w:lang w:val="en-US" w:bidi="en-US"/>
        </w:rPr>
        <w:t xml:space="preserve">Here, </w:t>
      </w:r>
      <m:oMath>
        <m:sSub>
          <m:sSubPr>
            <m:ctrlPr>
              <w:rPr>
                <w:rFonts w:ascii="Cambria Math" w:hAnsi="Cambria Math" w:cs="Times New Roman"/>
                <w:i/>
                <w:color w:val="000000"/>
                <w:sz w:val="24"/>
                <w:szCs w:val="24"/>
                <w:lang w:val="en-US" w:bidi="en-US"/>
              </w:rPr>
            </m:ctrlPr>
          </m:sSubPr>
          <m:e>
            <m:r>
              <w:rPr>
                <w:rFonts w:ascii="Cambria Math" w:hAnsi="Cambria Math" w:cs="Times New Roman"/>
                <w:color w:val="000000"/>
                <w:sz w:val="24"/>
                <w:szCs w:val="24"/>
                <w:lang w:val="en-US" w:bidi="en-US"/>
              </w:rPr>
              <m:t>flost</m:t>
            </m:r>
          </m:e>
          <m:sub>
            <m:r>
              <w:rPr>
                <w:rFonts w:ascii="Cambria Math" w:hAnsi="Cambria Math" w:cs="Times New Roman"/>
                <w:color w:val="000000"/>
                <w:sz w:val="24"/>
                <w:szCs w:val="24"/>
                <w:lang w:val="en-US" w:bidi="en-US"/>
              </w:rPr>
              <m:t>j</m:t>
            </m:r>
          </m:sub>
        </m:sSub>
      </m:oMath>
      <w:r>
        <w:rPr>
          <w:rFonts w:ascii="Times New Roman" w:hAnsi="Times New Roman" w:cs="Times New Roman"/>
          <w:color w:val="000000"/>
          <w:sz w:val="24"/>
          <w:szCs w:val="24"/>
          <w:lang w:val="en-US" w:bidi="en-US"/>
        </w:rPr>
        <w:t xml:space="preserve"> is the fraction of total number primate </w:t>
      </w:r>
      <w:r w:rsidRPr="002F543D">
        <w:rPr>
          <w:rFonts w:ascii="Times New Roman" w:hAnsi="Times New Roman" w:cs="Times New Roman"/>
          <w:color w:val="000000"/>
          <w:sz w:val="24"/>
          <w:szCs w:val="24"/>
          <w:lang w:val="en-US" w:bidi="en-US"/>
        </w:rPr>
        <w:t xml:space="preserve">species </w:t>
      </w:r>
      <w:r>
        <w:rPr>
          <w:rFonts w:ascii="Times New Roman" w:hAnsi="Times New Roman" w:cs="Times New Roman"/>
          <w:color w:val="000000"/>
          <w:sz w:val="24"/>
          <w:szCs w:val="24"/>
          <w:lang w:val="en-US" w:bidi="en-US"/>
        </w:rPr>
        <w:t xml:space="preserve">projected to go extinct </w:t>
      </w:r>
      <w:r w:rsidRPr="002F543D">
        <w:rPr>
          <w:rFonts w:ascii="Times New Roman" w:hAnsi="Times New Roman" w:cs="Times New Roman"/>
          <w:color w:val="000000"/>
          <w:sz w:val="24"/>
          <w:szCs w:val="24"/>
          <w:lang w:val="en-US" w:bidi="en-US"/>
        </w:rPr>
        <w:t xml:space="preserve">in ecoregion </w:t>
      </w:r>
      <w:r w:rsidRPr="002F543D">
        <w:rPr>
          <w:rFonts w:ascii="Times New Roman" w:hAnsi="Times New Roman" w:cs="Times New Roman"/>
          <w:i/>
          <w:color w:val="000000"/>
          <w:sz w:val="24"/>
          <w:szCs w:val="24"/>
          <w:lang w:val="en-US" w:bidi="en-US"/>
        </w:rPr>
        <w:t>j</w:t>
      </w:r>
      <w:r w:rsidRPr="002F543D">
        <w:rPr>
          <w:rFonts w:ascii="Times New Roman" w:hAnsi="Times New Roman" w:cs="Times New Roman"/>
          <w:color w:val="000000"/>
          <w:sz w:val="24"/>
          <w:szCs w:val="24"/>
          <w:lang w:val="en-US" w:bidi="en-US"/>
        </w:rPr>
        <w:t xml:space="preserve">, </w:t>
      </w:r>
      <m:oMath>
        <m:sSub>
          <m:sSubPr>
            <m:ctrlPr>
              <w:rPr>
                <w:rFonts w:ascii="Cambria Math" w:hAnsi="Cambria Math" w:cs="Times New Roman"/>
                <w:i/>
                <w:color w:val="000000"/>
                <w:sz w:val="24"/>
                <w:szCs w:val="24"/>
                <w:lang w:val="en-US" w:bidi="en-US"/>
              </w:rPr>
            </m:ctrlPr>
          </m:sSubPr>
          <m:e>
            <m:r>
              <w:rPr>
                <w:rFonts w:ascii="Cambria Math" w:hAnsi="Cambria Math" w:cs="Times New Roman"/>
                <w:color w:val="000000"/>
                <w:sz w:val="24"/>
                <w:szCs w:val="24"/>
                <w:lang w:val="en-US" w:bidi="en-US"/>
              </w:rPr>
              <m:t>Aorg</m:t>
            </m:r>
          </m:e>
          <m:sub>
            <m:r>
              <w:rPr>
                <w:rFonts w:ascii="Cambria Math" w:hAnsi="Cambria Math" w:cs="Times New Roman"/>
                <w:color w:val="000000"/>
                <w:sz w:val="24"/>
                <w:szCs w:val="24"/>
                <w:lang w:val="en-US" w:bidi="en-US"/>
              </w:rPr>
              <m:t>j</m:t>
            </m:r>
          </m:sub>
        </m:sSub>
      </m:oMath>
      <w:r w:rsidRPr="002F543D">
        <w:rPr>
          <w:rFonts w:ascii="Times New Roman" w:hAnsi="Times New Roman" w:cs="Times New Roman"/>
          <w:color w:val="000000"/>
          <w:sz w:val="24"/>
          <w:szCs w:val="24"/>
          <w:lang w:val="en-US" w:bidi="en-US"/>
        </w:rPr>
        <w:t xml:space="preserve"> is the total ecoregion area, </w:t>
      </w:r>
      <m:oMath>
        <m:sSub>
          <m:sSubPr>
            <m:ctrlPr>
              <w:rPr>
                <w:rFonts w:ascii="Cambria Math" w:hAnsi="Cambria Math" w:cs="Times New Roman"/>
                <w:i/>
                <w:color w:val="000000"/>
                <w:sz w:val="24"/>
                <w:szCs w:val="24"/>
                <w:lang w:val="en-US" w:bidi="en-US"/>
              </w:rPr>
            </m:ctrlPr>
          </m:sSubPr>
          <m:e>
            <m:r>
              <w:rPr>
                <w:rFonts w:ascii="Cambria Math" w:hAnsi="Cambria Math" w:cs="Times New Roman"/>
                <w:color w:val="000000"/>
                <w:sz w:val="24"/>
                <w:szCs w:val="24"/>
                <w:lang w:val="en-US" w:bidi="en-US"/>
              </w:rPr>
              <m:t>Anew</m:t>
            </m:r>
          </m:e>
          <m:sub>
            <m:r>
              <w:rPr>
                <w:rFonts w:ascii="Cambria Math" w:hAnsi="Cambria Math" w:cs="Times New Roman"/>
                <w:color w:val="000000"/>
                <w:sz w:val="24"/>
                <w:szCs w:val="24"/>
                <w:lang w:val="en-US" w:bidi="en-US"/>
              </w:rPr>
              <m:t>j</m:t>
            </m:r>
          </m:sub>
        </m:sSub>
      </m:oMath>
      <w:r w:rsidRPr="002F543D">
        <w:rPr>
          <w:rFonts w:ascii="Times New Roman" w:hAnsi="Times New Roman" w:cs="Times New Roman"/>
          <w:color w:val="000000"/>
          <w:sz w:val="24"/>
          <w:szCs w:val="24"/>
          <w:lang w:val="en-US" w:bidi="en-US"/>
        </w:rPr>
        <w:t xml:space="preserve"> is the remaining natural habitat area in the ecoregion</w:t>
      </w:r>
      <w:r>
        <w:rPr>
          <w:rFonts w:ascii="Times New Roman" w:hAnsi="Times New Roman" w:cs="Times New Roman"/>
          <w:color w:val="000000"/>
          <w:sz w:val="24"/>
          <w:szCs w:val="24"/>
          <w:lang w:val="en-US" w:bidi="en-US"/>
        </w:rPr>
        <w:t xml:space="preserve"> under a particular scenario</w:t>
      </w:r>
      <w:r w:rsidRPr="002F543D">
        <w:rPr>
          <w:rFonts w:ascii="Times New Roman" w:hAnsi="Times New Roman" w:cs="Times New Roman"/>
          <w:color w:val="000000"/>
          <w:sz w:val="24"/>
          <w:szCs w:val="24"/>
          <w:lang w:val="en-US" w:bidi="en-US"/>
        </w:rPr>
        <w:t xml:space="preserve"> (primary vegetation forests + primary vegetation non-forests)</w:t>
      </w:r>
      <w:r>
        <w:rPr>
          <w:rFonts w:ascii="Times New Roman" w:hAnsi="Times New Roman" w:cs="Times New Roman"/>
          <w:color w:val="000000"/>
          <w:sz w:val="24"/>
          <w:szCs w:val="24"/>
          <w:lang w:val="en-US" w:bidi="en-US"/>
        </w:rPr>
        <w:t xml:space="preserve"> obtained from LUH2 dataset maps</w:t>
      </w:r>
      <w:r w:rsidRPr="002F543D">
        <w:rPr>
          <w:rFonts w:ascii="Times New Roman" w:hAnsi="Times New Roman" w:cs="Times New Roman"/>
          <w:color w:val="000000"/>
          <w:sz w:val="24"/>
          <w:szCs w:val="24"/>
          <w:lang w:val="en-US" w:bidi="en-US"/>
        </w:rPr>
        <w:t xml:space="preserve">, </w:t>
      </w:r>
      <m:oMath>
        <m:sSub>
          <m:sSubPr>
            <m:ctrlPr>
              <w:rPr>
                <w:rFonts w:ascii="Cambria Math" w:hAnsi="Cambria Math" w:cs="Times New Roman"/>
                <w:i/>
                <w:color w:val="000000"/>
                <w:sz w:val="24"/>
                <w:szCs w:val="24"/>
                <w:lang w:val="en-US" w:bidi="en-US"/>
              </w:rPr>
            </m:ctrlPr>
          </m:sSubPr>
          <m:e>
            <m:r>
              <w:rPr>
                <w:rFonts w:ascii="Cambria Math" w:hAnsi="Cambria Math" w:cs="Times New Roman"/>
                <w:color w:val="000000"/>
                <w:sz w:val="24"/>
                <w:szCs w:val="24"/>
                <w:lang w:val="en-US" w:bidi="en-US"/>
              </w:rPr>
              <m:t>h</m:t>
            </m:r>
          </m:e>
          <m:sub>
            <m:r>
              <w:rPr>
                <w:rFonts w:ascii="Cambria Math" w:hAnsi="Cambria Math" w:cs="Times New Roman"/>
                <w:color w:val="000000"/>
                <w:sz w:val="24"/>
                <w:szCs w:val="24"/>
                <w:lang w:val="en-US" w:bidi="en-US"/>
              </w:rPr>
              <m:t>i,j</m:t>
            </m:r>
          </m:sub>
        </m:sSub>
      </m:oMath>
      <w:r w:rsidRPr="002F543D">
        <w:rPr>
          <w:rFonts w:ascii="Times New Roman" w:hAnsi="Times New Roman" w:cs="Times New Roman"/>
          <w:color w:val="000000"/>
          <w:sz w:val="24"/>
          <w:szCs w:val="24"/>
          <w:lang w:val="en-US" w:bidi="en-US"/>
        </w:rPr>
        <w:t xml:space="preserve"> is the affinity of</w:t>
      </w:r>
      <w:r>
        <w:rPr>
          <w:rFonts w:ascii="Times New Roman" w:hAnsi="Times New Roman" w:cs="Times New Roman"/>
          <w:color w:val="000000"/>
          <w:sz w:val="24"/>
          <w:szCs w:val="24"/>
          <w:lang w:val="en-US" w:bidi="en-US"/>
        </w:rPr>
        <w:t xml:space="preserve"> primates</w:t>
      </w:r>
      <w:r w:rsidRPr="002F543D">
        <w:rPr>
          <w:rFonts w:ascii="Times New Roman" w:hAnsi="Times New Roman" w:cs="Times New Roman"/>
          <w:color w:val="000000"/>
          <w:sz w:val="24"/>
          <w:szCs w:val="24"/>
          <w:lang w:val="en-US" w:bidi="en-US"/>
        </w:rPr>
        <w:t xml:space="preserve"> to the land use type </w:t>
      </w:r>
      <w:proofErr w:type="spellStart"/>
      <w:r w:rsidRPr="002F543D">
        <w:rPr>
          <w:rFonts w:ascii="Times New Roman" w:hAnsi="Times New Roman" w:cs="Times New Roman"/>
          <w:i/>
          <w:color w:val="000000"/>
          <w:sz w:val="24"/>
          <w:szCs w:val="24"/>
          <w:lang w:val="en-US" w:bidi="en-US"/>
        </w:rPr>
        <w:t>i</w:t>
      </w:r>
      <w:proofErr w:type="spellEnd"/>
      <w:r w:rsidRPr="002F543D">
        <w:rPr>
          <w:rFonts w:ascii="Times New Roman" w:hAnsi="Times New Roman" w:cs="Times New Roman"/>
          <w:color w:val="000000"/>
          <w:sz w:val="24"/>
          <w:szCs w:val="24"/>
          <w:lang w:val="en-US" w:bidi="en-US"/>
        </w:rPr>
        <w:t xml:space="preserve"> in the ecoregion </w:t>
      </w:r>
      <w:r w:rsidRPr="002F543D">
        <w:rPr>
          <w:rFonts w:ascii="Times New Roman" w:hAnsi="Times New Roman" w:cs="Times New Roman"/>
          <w:i/>
          <w:color w:val="000000"/>
          <w:sz w:val="24"/>
          <w:szCs w:val="24"/>
          <w:lang w:val="en-US" w:bidi="en-US"/>
        </w:rPr>
        <w:t>j</w:t>
      </w:r>
      <w:r>
        <w:rPr>
          <w:rFonts w:ascii="Times New Roman" w:hAnsi="Times New Roman" w:cs="Times New Roman"/>
          <w:color w:val="000000"/>
          <w:sz w:val="24"/>
          <w:szCs w:val="24"/>
          <w:lang w:val="en-US" w:bidi="en-US"/>
        </w:rPr>
        <w:t xml:space="preserve"> (which is based on what fraction of the total primate species in an ecoregion can utilize that human land use type</w:t>
      </w:r>
      <w:r w:rsidRPr="002F543D">
        <w:rPr>
          <w:rFonts w:ascii="Times New Roman" w:hAnsi="Times New Roman" w:cs="Times New Roman"/>
          <w:color w:val="000000"/>
          <w:sz w:val="24"/>
          <w:szCs w:val="24"/>
          <w:lang w:val="en-US" w:bidi="en-US"/>
        </w:rPr>
        <w:t xml:space="preserve">), </w:t>
      </w:r>
      <m:oMath>
        <m:r>
          <w:rPr>
            <w:rFonts w:ascii="Cambria Math" w:hAnsi="Cambria Math" w:cs="Times New Roman"/>
            <w:color w:val="000000"/>
            <w:sz w:val="24"/>
            <w:szCs w:val="24"/>
            <w:lang w:val="en-US" w:bidi="en-US"/>
          </w:rPr>
          <m:t xml:space="preserve"> </m:t>
        </m:r>
        <m:sSub>
          <m:sSubPr>
            <m:ctrlPr>
              <w:rPr>
                <w:rFonts w:ascii="Cambria Math" w:hAnsi="Cambria Math" w:cs="Times New Roman"/>
                <w:i/>
                <w:color w:val="000000"/>
                <w:sz w:val="24"/>
                <w:szCs w:val="24"/>
                <w:lang w:val="en-US" w:bidi="en-US"/>
              </w:rPr>
            </m:ctrlPr>
          </m:sSubPr>
          <m:e>
            <m:r>
              <w:rPr>
                <w:rFonts w:ascii="Cambria Math" w:hAnsi="Cambria Math" w:cs="Times New Roman"/>
                <w:color w:val="000000"/>
                <w:sz w:val="24"/>
                <w:szCs w:val="24"/>
                <w:lang w:val="en-US" w:bidi="en-US"/>
              </w:rPr>
              <m:t>A</m:t>
            </m:r>
          </m:e>
          <m:sub>
            <m:r>
              <w:rPr>
                <w:rFonts w:ascii="Cambria Math" w:hAnsi="Cambria Math" w:cs="Times New Roman"/>
                <w:color w:val="000000"/>
                <w:sz w:val="24"/>
                <w:szCs w:val="24"/>
                <w:lang w:val="en-US" w:bidi="en-US"/>
              </w:rPr>
              <m:t>i,j</m:t>
            </m:r>
          </m:sub>
        </m:sSub>
        <m:r>
          <w:rPr>
            <w:rFonts w:ascii="Cambria Math" w:hAnsi="Cambria Math" w:cs="Times New Roman"/>
            <w:color w:val="000000"/>
            <w:sz w:val="24"/>
            <w:szCs w:val="24"/>
            <w:lang w:val="en-US" w:bidi="en-US"/>
          </w:rPr>
          <m:t xml:space="preserve"> </m:t>
        </m:r>
      </m:oMath>
      <w:r w:rsidRPr="002F543D">
        <w:rPr>
          <w:rFonts w:ascii="Times New Roman" w:hAnsi="Times New Roman" w:cs="Times New Roman"/>
          <w:color w:val="000000"/>
          <w:sz w:val="24"/>
          <w:szCs w:val="24"/>
          <w:lang w:val="en-US" w:bidi="en-US"/>
        </w:rPr>
        <w:t xml:space="preserve"> is the area of a particular human land use type </w:t>
      </w:r>
      <w:proofErr w:type="spellStart"/>
      <w:r w:rsidRPr="002F543D">
        <w:rPr>
          <w:rFonts w:ascii="Times New Roman" w:hAnsi="Times New Roman" w:cs="Times New Roman"/>
          <w:i/>
          <w:color w:val="000000"/>
          <w:sz w:val="24"/>
          <w:szCs w:val="24"/>
          <w:lang w:val="en-US" w:bidi="en-US"/>
        </w:rPr>
        <w:t>i</w:t>
      </w:r>
      <w:proofErr w:type="spellEnd"/>
      <w:r w:rsidRPr="002F543D">
        <w:rPr>
          <w:rFonts w:ascii="Times New Roman" w:hAnsi="Times New Roman" w:cs="Times New Roman"/>
          <w:color w:val="000000"/>
          <w:sz w:val="24"/>
          <w:szCs w:val="24"/>
          <w:lang w:val="en-US" w:bidi="en-US"/>
        </w:rPr>
        <w:t xml:space="preserve"> (total of 10)</w:t>
      </w:r>
      <w:r>
        <w:rPr>
          <w:rFonts w:ascii="Times New Roman" w:hAnsi="Times New Roman" w:cs="Times New Roman"/>
          <w:color w:val="000000"/>
          <w:sz w:val="24"/>
          <w:szCs w:val="24"/>
          <w:lang w:val="en-US" w:bidi="en-US"/>
        </w:rPr>
        <w:t xml:space="preserve"> obtained from LUH2 dataset maps</w:t>
      </w:r>
      <w:r w:rsidRPr="002F543D">
        <w:rPr>
          <w:rFonts w:ascii="Times New Roman" w:hAnsi="Times New Roman" w:cs="Times New Roman"/>
          <w:color w:val="000000"/>
          <w:sz w:val="24"/>
          <w:szCs w:val="24"/>
          <w:lang w:val="en-US" w:bidi="en-US"/>
        </w:rPr>
        <w:t xml:space="preserve">, and </w:t>
      </w:r>
      <m:oMath>
        <m:sSub>
          <m:sSubPr>
            <m:ctrlPr>
              <w:rPr>
                <w:rFonts w:ascii="Cambria Math" w:hAnsi="Cambria Math" w:cs="Times New Roman"/>
                <w:i/>
                <w:color w:val="000000"/>
                <w:sz w:val="24"/>
                <w:szCs w:val="24"/>
                <w:lang w:val="en-US" w:bidi="en-US"/>
              </w:rPr>
            </m:ctrlPr>
          </m:sSubPr>
          <m:e>
            <m:r>
              <w:rPr>
                <w:rFonts w:ascii="Cambria Math" w:hAnsi="Cambria Math" w:cs="Times New Roman"/>
                <w:color w:val="000000"/>
                <w:sz w:val="24"/>
                <w:szCs w:val="24"/>
                <w:lang w:val="en-US" w:bidi="en-US"/>
              </w:rPr>
              <m:t>z</m:t>
            </m:r>
          </m:e>
          <m:sub>
            <m:r>
              <w:rPr>
                <w:rFonts w:ascii="Cambria Math" w:hAnsi="Cambria Math" w:cs="Times New Roman"/>
                <w:color w:val="000000"/>
                <w:sz w:val="24"/>
                <w:szCs w:val="24"/>
                <w:lang w:val="en-US" w:bidi="en-US"/>
              </w:rPr>
              <m:t>j</m:t>
            </m:r>
          </m:sub>
        </m:sSub>
      </m:oMath>
      <w:r w:rsidRPr="002F543D">
        <w:rPr>
          <w:rFonts w:ascii="Times New Roman" w:hAnsi="Times New Roman" w:cs="Times New Roman"/>
          <w:color w:val="000000"/>
          <w:sz w:val="24"/>
          <w:szCs w:val="24"/>
          <w:lang w:val="en-US" w:bidi="en-US"/>
        </w:rPr>
        <w:t xml:space="preserve"> (</w:t>
      </w:r>
      <w:r w:rsidRPr="002F543D">
        <w:rPr>
          <w:rFonts w:ascii="Times New Roman" w:hAnsi="Times New Roman" w:cs="Times New Roman"/>
          <w:i/>
          <w:color w:val="000000"/>
          <w:sz w:val="24"/>
          <w:szCs w:val="24"/>
          <w:lang w:val="en-US" w:bidi="en-US"/>
        </w:rPr>
        <w:t>z</w:t>
      </w:r>
      <w:r w:rsidRPr="002F543D">
        <w:rPr>
          <w:rFonts w:ascii="Times New Roman" w:hAnsi="Times New Roman" w:cs="Times New Roman"/>
          <w:color w:val="000000"/>
          <w:sz w:val="24"/>
          <w:szCs w:val="24"/>
          <w:lang w:val="en-US" w:bidi="en-US"/>
        </w:rPr>
        <w:t>-value) is the SAR exponent. Following Chaudhary and</w:t>
      </w:r>
      <w:r>
        <w:rPr>
          <w:rFonts w:ascii="Times New Roman" w:hAnsi="Times New Roman" w:cs="Times New Roman"/>
          <w:color w:val="000000"/>
          <w:sz w:val="24"/>
          <w:szCs w:val="24"/>
          <w:lang w:val="en-US" w:bidi="en-US"/>
        </w:rPr>
        <w:t xml:space="preserve"> Brooks (2017)</w:t>
      </w:r>
      <w:r w:rsidRPr="002F543D">
        <w:rPr>
          <w:rFonts w:ascii="Times New Roman" w:hAnsi="Times New Roman" w:cs="Times New Roman"/>
          <w:color w:val="000000"/>
          <w:sz w:val="24"/>
          <w:szCs w:val="24"/>
          <w:lang w:val="en-US" w:bidi="en-US"/>
        </w:rPr>
        <w:t xml:space="preserve">, we obtained the </w:t>
      </w:r>
      <w:r w:rsidRPr="002F543D">
        <w:rPr>
          <w:rFonts w:ascii="Times New Roman" w:hAnsi="Times New Roman" w:cs="Times New Roman"/>
          <w:i/>
          <w:color w:val="000000"/>
          <w:sz w:val="24"/>
          <w:szCs w:val="24"/>
          <w:lang w:val="en-US" w:bidi="en-US"/>
        </w:rPr>
        <w:t>z</w:t>
      </w:r>
      <w:r w:rsidRPr="002F543D">
        <w:rPr>
          <w:rFonts w:ascii="Times New Roman" w:hAnsi="Times New Roman" w:cs="Times New Roman"/>
          <w:color w:val="000000"/>
          <w:sz w:val="24"/>
          <w:szCs w:val="24"/>
          <w:lang w:val="en-US" w:bidi="en-US"/>
        </w:rPr>
        <w:t>-values (</w:t>
      </w:r>
      <m:oMath>
        <m:sSub>
          <m:sSubPr>
            <m:ctrlPr>
              <w:rPr>
                <w:rFonts w:ascii="Cambria Math" w:hAnsi="Cambria Math" w:cs="Times New Roman"/>
                <w:i/>
                <w:color w:val="000000"/>
                <w:sz w:val="24"/>
                <w:szCs w:val="24"/>
                <w:lang w:val="en-US" w:bidi="en-US"/>
              </w:rPr>
            </m:ctrlPr>
          </m:sSubPr>
          <m:e>
            <m:r>
              <w:rPr>
                <w:rFonts w:ascii="Cambria Math" w:hAnsi="Cambria Math" w:cs="Times New Roman"/>
                <w:color w:val="000000"/>
                <w:sz w:val="24"/>
                <w:szCs w:val="24"/>
                <w:lang w:val="en-US" w:bidi="en-US"/>
              </w:rPr>
              <m:t>z</m:t>
            </m:r>
          </m:e>
          <m:sub>
            <m:r>
              <w:rPr>
                <w:rFonts w:ascii="Cambria Math" w:hAnsi="Cambria Math" w:cs="Times New Roman"/>
                <w:color w:val="000000"/>
                <w:sz w:val="24"/>
                <w:szCs w:val="24"/>
                <w:lang w:val="en-US" w:bidi="en-US"/>
              </w:rPr>
              <m:t>j</m:t>
            </m:r>
          </m:sub>
        </m:sSub>
      </m:oMath>
      <w:r>
        <w:rPr>
          <w:rFonts w:ascii="Times New Roman" w:hAnsi="Times New Roman" w:cs="Times New Roman"/>
          <w:color w:val="000000"/>
          <w:sz w:val="24"/>
          <w:szCs w:val="24"/>
          <w:lang w:val="en-US" w:bidi="en-US"/>
        </w:rPr>
        <w:t xml:space="preserve">) from </w:t>
      </w:r>
      <w:proofErr w:type="spellStart"/>
      <w:r>
        <w:rPr>
          <w:rFonts w:ascii="Times New Roman" w:hAnsi="Times New Roman" w:cs="Times New Roman"/>
          <w:color w:val="000000"/>
          <w:sz w:val="24"/>
          <w:szCs w:val="24"/>
          <w:lang w:val="en-US" w:bidi="en-US"/>
        </w:rPr>
        <w:t>Drakare</w:t>
      </w:r>
      <w:proofErr w:type="spellEnd"/>
      <w:r>
        <w:rPr>
          <w:rFonts w:ascii="Times New Roman" w:hAnsi="Times New Roman" w:cs="Times New Roman"/>
          <w:color w:val="000000"/>
          <w:sz w:val="24"/>
          <w:szCs w:val="24"/>
          <w:lang w:val="en-US" w:bidi="en-US"/>
        </w:rPr>
        <w:t xml:space="preserve"> et al. (2006)</w:t>
      </w:r>
      <w:r w:rsidRPr="002F543D">
        <w:rPr>
          <w:rFonts w:ascii="Times New Roman" w:hAnsi="Times New Roman" w:cs="Times New Roman"/>
          <w:color w:val="000000"/>
          <w:sz w:val="24"/>
          <w:szCs w:val="24"/>
          <w:lang w:val="en-US" w:bidi="en-US"/>
        </w:rPr>
        <w:t>, and the taxon affinities (</w:t>
      </w:r>
      <m:oMath>
        <m:sSub>
          <m:sSubPr>
            <m:ctrlPr>
              <w:rPr>
                <w:rFonts w:ascii="Cambria Math" w:hAnsi="Cambria Math" w:cs="Times New Roman"/>
                <w:i/>
                <w:color w:val="000000"/>
                <w:sz w:val="24"/>
                <w:szCs w:val="24"/>
                <w:lang w:val="en-US" w:bidi="en-US"/>
              </w:rPr>
            </m:ctrlPr>
          </m:sSubPr>
          <m:e>
            <m:r>
              <w:rPr>
                <w:rFonts w:ascii="Cambria Math" w:hAnsi="Cambria Math" w:cs="Times New Roman"/>
                <w:color w:val="000000"/>
                <w:sz w:val="24"/>
                <w:szCs w:val="24"/>
                <w:lang w:val="en-US" w:bidi="en-US"/>
              </w:rPr>
              <m:t>h</m:t>
            </m:r>
          </m:e>
          <m:sub>
            <m:r>
              <w:rPr>
                <w:rFonts w:ascii="Cambria Math" w:hAnsi="Cambria Math" w:cs="Times New Roman"/>
                <w:color w:val="000000"/>
                <w:sz w:val="24"/>
                <w:szCs w:val="24"/>
                <w:lang w:val="en-US" w:bidi="en-US"/>
              </w:rPr>
              <m:t>g,i,j</m:t>
            </m:r>
          </m:sub>
        </m:sSub>
      </m:oMath>
      <w:r w:rsidRPr="002F543D">
        <w:rPr>
          <w:rFonts w:ascii="Times New Roman" w:hAnsi="Times New Roman" w:cs="Times New Roman"/>
          <w:color w:val="000000"/>
          <w:sz w:val="24"/>
          <w:szCs w:val="24"/>
          <w:lang w:val="en-US" w:bidi="en-US"/>
        </w:rPr>
        <w:t xml:space="preserve">) to different land use types from the habitat classification scheme database of the IUCN </w:t>
      </w:r>
      <w:r>
        <w:rPr>
          <w:rFonts w:ascii="Times New Roman" w:hAnsi="Times New Roman" w:cs="Times New Roman"/>
          <w:color w:val="000000"/>
          <w:sz w:val="24"/>
          <w:szCs w:val="24"/>
          <w:lang w:val="en-US" w:bidi="en-US"/>
        </w:rPr>
        <w:t>(</w:t>
      </w:r>
      <w:r w:rsidRPr="008A61F4">
        <w:rPr>
          <w:rFonts w:ascii="Times New Roman" w:hAnsi="Times New Roman" w:cs="Times New Roman"/>
          <w:i/>
          <w:iCs/>
          <w:color w:val="000000"/>
          <w:sz w:val="24"/>
          <w:szCs w:val="24"/>
          <w:lang w:val="en-US" w:bidi="en-US"/>
        </w:rPr>
        <w:t>IUCN, 2015</w:t>
      </w:r>
      <w:r>
        <w:rPr>
          <w:rFonts w:ascii="Times New Roman" w:hAnsi="Times New Roman" w:cs="Times New Roman"/>
          <w:color w:val="000000"/>
          <w:sz w:val="24"/>
          <w:szCs w:val="24"/>
          <w:lang w:val="en-US" w:bidi="en-US"/>
        </w:rPr>
        <w:t>)</w:t>
      </w:r>
      <w:r w:rsidRPr="002F543D">
        <w:rPr>
          <w:rFonts w:ascii="Times New Roman" w:hAnsi="Times New Roman" w:cs="Times New Roman"/>
          <w:color w:val="000000"/>
          <w:sz w:val="24"/>
          <w:szCs w:val="24"/>
          <w:lang w:val="en-US" w:bidi="en-US"/>
        </w:rPr>
        <w:t xml:space="preserve">. </w:t>
      </w:r>
      <w:r>
        <w:rPr>
          <w:rFonts w:ascii="Times New Roman" w:hAnsi="Times New Roman" w:cs="Times New Roman"/>
          <w:color w:val="000000"/>
          <w:sz w:val="24"/>
          <w:szCs w:val="24"/>
          <w:lang w:val="en-US" w:bidi="en-US"/>
        </w:rPr>
        <w:t>Validation exercises have shown that countryside SAR performs well in predicting the observed fraction of species listed as threatened with extinction on the IUCN Red List (</w:t>
      </w:r>
      <w:r w:rsidRPr="007E22F6">
        <w:rPr>
          <w:rFonts w:ascii="Times New Roman" w:hAnsi="Times New Roman" w:cs="Times New Roman"/>
          <w:i/>
          <w:iCs/>
          <w:color w:val="000000"/>
          <w:sz w:val="24"/>
          <w:szCs w:val="24"/>
          <w:lang w:val="en-US" w:bidi="en-US"/>
        </w:rPr>
        <w:t>IUCN, 201</w:t>
      </w:r>
      <w:r>
        <w:rPr>
          <w:rFonts w:ascii="Times New Roman" w:hAnsi="Times New Roman" w:cs="Times New Roman"/>
          <w:i/>
          <w:iCs/>
          <w:color w:val="000000"/>
          <w:sz w:val="24"/>
          <w:szCs w:val="24"/>
          <w:lang w:val="en-US" w:bidi="en-US"/>
        </w:rPr>
        <w:t>9</w:t>
      </w:r>
      <w:r>
        <w:rPr>
          <w:rFonts w:ascii="Times New Roman" w:hAnsi="Times New Roman" w:cs="Times New Roman"/>
          <w:color w:val="000000"/>
          <w:sz w:val="24"/>
          <w:szCs w:val="24"/>
          <w:lang w:val="en-US" w:bidi="en-US"/>
        </w:rPr>
        <w:t xml:space="preserve">) in a region (see </w:t>
      </w:r>
      <w:r w:rsidRPr="005F45F1">
        <w:rPr>
          <w:rFonts w:ascii="Times New Roman" w:hAnsi="Times New Roman" w:cs="Times New Roman"/>
          <w:i/>
          <w:iCs/>
          <w:color w:val="000000"/>
          <w:sz w:val="24"/>
          <w:szCs w:val="24"/>
          <w:lang w:val="en-US" w:bidi="en-US"/>
        </w:rPr>
        <w:t xml:space="preserve">Chaudhary &amp; Brooks, 2017; Chaudhary &amp; </w:t>
      </w:r>
      <w:proofErr w:type="spellStart"/>
      <w:r w:rsidRPr="005F45F1">
        <w:rPr>
          <w:rFonts w:ascii="Times New Roman" w:hAnsi="Times New Roman" w:cs="Times New Roman"/>
          <w:i/>
          <w:iCs/>
          <w:color w:val="000000"/>
          <w:sz w:val="24"/>
          <w:szCs w:val="24"/>
          <w:lang w:val="en-US" w:bidi="en-US"/>
        </w:rPr>
        <w:t>Mooers</w:t>
      </w:r>
      <w:proofErr w:type="spellEnd"/>
      <w:r w:rsidRPr="005F45F1">
        <w:rPr>
          <w:rFonts w:ascii="Times New Roman" w:hAnsi="Times New Roman" w:cs="Times New Roman"/>
          <w:i/>
          <w:iCs/>
          <w:color w:val="000000"/>
          <w:sz w:val="24"/>
          <w:szCs w:val="24"/>
          <w:lang w:val="en-US" w:bidi="en-US"/>
        </w:rPr>
        <w:t>, 2018</w:t>
      </w:r>
      <w:r>
        <w:rPr>
          <w:rFonts w:ascii="Times New Roman" w:hAnsi="Times New Roman" w:cs="Times New Roman"/>
          <w:color w:val="000000"/>
          <w:sz w:val="24"/>
          <w:szCs w:val="24"/>
          <w:lang w:val="en-US" w:bidi="en-US"/>
        </w:rPr>
        <w:t xml:space="preserve">). </w:t>
      </w:r>
    </w:p>
    <w:p w14:paraId="2CB07D82" w14:textId="77777777" w:rsidR="005A2B62" w:rsidRPr="005A2B62" w:rsidRDefault="005A2B62" w:rsidP="005A2B62">
      <w:pPr>
        <w:spacing w:after="120" w:line="240" w:lineRule="auto"/>
        <w:rPr>
          <w:rFonts w:ascii="Times New Roman" w:hAnsi="Times New Roman" w:cs="Times New Roman"/>
          <w:color w:val="000000"/>
          <w:sz w:val="24"/>
          <w:szCs w:val="24"/>
          <w:lang w:val="en-US" w:bidi="en-US"/>
        </w:rPr>
      </w:pPr>
      <w:r w:rsidRPr="005A2B62">
        <w:rPr>
          <w:rFonts w:ascii="Times New Roman" w:hAnsi="Times New Roman" w:cs="Times New Roman"/>
          <w:color w:val="000000"/>
          <w:sz w:val="24"/>
          <w:szCs w:val="24"/>
          <w:lang w:val="en-US" w:bidi="en-US"/>
        </w:rPr>
        <w:t>The projected fraction of species loss (</w:t>
      </w:r>
      <m:oMath>
        <m:sSub>
          <m:sSubPr>
            <m:ctrlPr>
              <w:rPr>
                <w:rFonts w:ascii="Cambria Math" w:hAnsi="Cambria Math" w:cs="Times New Roman"/>
                <w:i/>
                <w:color w:val="000000"/>
                <w:sz w:val="24"/>
                <w:szCs w:val="24"/>
                <w:lang w:val="en-US" w:bidi="en-US"/>
              </w:rPr>
            </m:ctrlPr>
          </m:sSubPr>
          <m:e>
            <m:r>
              <w:rPr>
                <w:rFonts w:ascii="Cambria Math" w:hAnsi="Cambria Math" w:cs="Times New Roman"/>
                <w:color w:val="000000"/>
                <w:sz w:val="24"/>
                <w:szCs w:val="24"/>
                <w:lang w:val="en-US" w:bidi="en-US"/>
              </w:rPr>
              <m:t>flost</m:t>
            </m:r>
          </m:e>
          <m:sub>
            <m:r>
              <w:rPr>
                <w:rFonts w:ascii="Cambria Math" w:hAnsi="Cambria Math" w:cs="Times New Roman"/>
                <w:color w:val="000000"/>
                <w:sz w:val="24"/>
                <w:szCs w:val="24"/>
                <w:lang w:val="en-US" w:bidi="en-US"/>
              </w:rPr>
              <m:t>j</m:t>
            </m:r>
          </m:sub>
        </m:sSub>
      </m:oMath>
      <w:r w:rsidRPr="005A2B62">
        <w:rPr>
          <w:rFonts w:ascii="Times New Roman" w:hAnsi="Times New Roman" w:cs="Times New Roman"/>
          <w:color w:val="000000"/>
          <w:sz w:val="24"/>
          <w:szCs w:val="24"/>
          <w:lang w:val="en-US" w:bidi="en-US"/>
        </w:rPr>
        <w:t xml:space="preserve">) per ecoregion is then allocated to the 10 different land use types </w:t>
      </w:r>
      <w:proofErr w:type="spellStart"/>
      <w:r w:rsidRPr="005A2B62">
        <w:rPr>
          <w:rFonts w:ascii="Times New Roman" w:hAnsi="Times New Roman" w:cs="Times New Roman"/>
          <w:i/>
          <w:color w:val="000000"/>
          <w:sz w:val="24"/>
          <w:szCs w:val="24"/>
          <w:lang w:val="en-US" w:bidi="en-US"/>
        </w:rPr>
        <w:t>i</w:t>
      </w:r>
      <w:proofErr w:type="spellEnd"/>
      <w:r w:rsidRPr="005A2B62">
        <w:rPr>
          <w:rFonts w:ascii="Times New Roman" w:hAnsi="Times New Roman" w:cs="Times New Roman"/>
          <w:i/>
          <w:color w:val="000000"/>
          <w:sz w:val="24"/>
          <w:szCs w:val="24"/>
          <w:lang w:val="en-US" w:bidi="en-US"/>
        </w:rPr>
        <w:t xml:space="preserve"> </w:t>
      </w:r>
      <w:r w:rsidRPr="005A2B62">
        <w:rPr>
          <w:rFonts w:ascii="Times New Roman" w:hAnsi="Times New Roman" w:cs="Times New Roman"/>
          <w:color w:val="000000"/>
          <w:sz w:val="24"/>
          <w:szCs w:val="24"/>
          <w:lang w:val="en-US" w:bidi="en-US"/>
        </w:rPr>
        <w:t xml:space="preserve">according to their area share </w:t>
      </w:r>
      <m:oMath>
        <m:sSub>
          <m:sSubPr>
            <m:ctrlPr>
              <w:rPr>
                <w:rFonts w:ascii="Cambria Math" w:hAnsi="Cambria Math" w:cs="Times New Roman"/>
                <w:i/>
                <w:color w:val="000000"/>
                <w:sz w:val="24"/>
                <w:szCs w:val="24"/>
                <w:lang w:bidi="en-US"/>
              </w:rPr>
            </m:ctrlPr>
          </m:sSubPr>
          <m:e>
            <m:r>
              <w:rPr>
                <w:rFonts w:ascii="Cambria Math" w:hAnsi="Cambria Math" w:cs="Times New Roman"/>
                <w:color w:val="000000"/>
                <w:sz w:val="24"/>
                <w:szCs w:val="24"/>
                <w:lang w:bidi="en-US"/>
              </w:rPr>
              <m:t>A</m:t>
            </m:r>
          </m:e>
          <m:sub>
            <m:r>
              <w:rPr>
                <w:rFonts w:ascii="Cambria Math" w:hAnsi="Cambria Math" w:cs="Times New Roman"/>
                <w:color w:val="000000"/>
                <w:sz w:val="24"/>
                <w:szCs w:val="24"/>
                <w:lang w:bidi="en-US"/>
              </w:rPr>
              <m:t>i</m:t>
            </m:r>
            <m:r>
              <w:rPr>
                <w:rFonts w:ascii="Cambria Math" w:hAnsi="Cambria Math" w:cs="Times New Roman"/>
                <w:color w:val="000000"/>
                <w:sz w:val="24"/>
                <w:szCs w:val="24"/>
                <w:lang w:val="en-US" w:bidi="en-US"/>
              </w:rPr>
              <m:t>,</m:t>
            </m:r>
            <m:r>
              <w:rPr>
                <w:rFonts w:ascii="Cambria Math" w:hAnsi="Cambria Math" w:cs="Times New Roman"/>
                <w:color w:val="000000"/>
                <w:sz w:val="24"/>
                <w:szCs w:val="24"/>
                <w:lang w:bidi="en-US"/>
              </w:rPr>
              <m:t>j</m:t>
            </m:r>
          </m:sub>
        </m:sSub>
      </m:oMath>
      <w:r w:rsidRPr="005A2B62">
        <w:rPr>
          <w:rFonts w:ascii="Times New Roman" w:hAnsi="Times New Roman" w:cs="Times New Roman"/>
          <w:color w:val="000000"/>
          <w:sz w:val="24"/>
          <w:szCs w:val="24"/>
          <w:lang w:val="en-US" w:bidi="en-US"/>
        </w:rPr>
        <w:t xml:space="preserve"> in the ecoregion </w:t>
      </w:r>
      <w:r w:rsidRPr="005A2B62">
        <w:rPr>
          <w:rFonts w:ascii="Times New Roman" w:hAnsi="Times New Roman" w:cs="Times New Roman"/>
          <w:i/>
          <w:color w:val="000000"/>
          <w:sz w:val="24"/>
          <w:szCs w:val="24"/>
          <w:lang w:val="en-US" w:bidi="en-US"/>
        </w:rPr>
        <w:t>j</w:t>
      </w:r>
      <w:r w:rsidRPr="005A2B62">
        <w:rPr>
          <w:rFonts w:ascii="Times New Roman" w:hAnsi="Times New Roman" w:cs="Times New Roman"/>
          <w:color w:val="000000"/>
          <w:sz w:val="24"/>
          <w:szCs w:val="24"/>
          <w:lang w:val="en-US" w:bidi="en-US"/>
        </w:rPr>
        <w:t xml:space="preserve"> and the affinity (</w:t>
      </w:r>
      <m:oMath>
        <m:sSub>
          <m:sSubPr>
            <m:ctrlPr>
              <w:rPr>
                <w:rFonts w:ascii="Cambria Math" w:hAnsi="Cambria Math" w:cs="Times New Roman"/>
                <w:i/>
                <w:color w:val="000000"/>
                <w:sz w:val="24"/>
                <w:szCs w:val="24"/>
                <w:lang w:bidi="en-US"/>
              </w:rPr>
            </m:ctrlPr>
          </m:sSubPr>
          <m:e>
            <m:r>
              <w:rPr>
                <w:rFonts w:ascii="Cambria Math" w:hAnsi="Cambria Math" w:cs="Times New Roman"/>
                <w:color w:val="000000"/>
                <w:sz w:val="24"/>
                <w:szCs w:val="24"/>
                <w:lang w:val="en-US" w:bidi="en-US"/>
              </w:rPr>
              <m:t>h</m:t>
            </m:r>
          </m:e>
          <m:sub>
            <m:r>
              <w:rPr>
                <w:rFonts w:ascii="Cambria Math" w:hAnsi="Cambria Math" w:cs="Times New Roman"/>
                <w:color w:val="000000"/>
                <w:sz w:val="24"/>
                <w:szCs w:val="24"/>
                <w:lang w:bidi="en-US"/>
              </w:rPr>
              <m:t>i</m:t>
            </m:r>
            <m:r>
              <w:rPr>
                <w:rFonts w:ascii="Cambria Math" w:hAnsi="Cambria Math" w:cs="Times New Roman"/>
                <w:color w:val="000000"/>
                <w:sz w:val="24"/>
                <w:szCs w:val="24"/>
                <w:lang w:val="en-US" w:bidi="en-US"/>
              </w:rPr>
              <m:t xml:space="preserve">, </m:t>
            </m:r>
            <m:r>
              <w:rPr>
                <w:rFonts w:ascii="Cambria Math" w:hAnsi="Cambria Math" w:cs="Times New Roman"/>
                <w:color w:val="000000"/>
                <w:sz w:val="24"/>
                <w:szCs w:val="24"/>
                <w:lang w:bidi="en-US"/>
              </w:rPr>
              <m:t>j</m:t>
            </m:r>
          </m:sub>
        </m:sSub>
        <m:r>
          <w:rPr>
            <w:rFonts w:ascii="Cambria Math" w:hAnsi="Cambria Math" w:cs="Times New Roman"/>
            <w:color w:val="000000"/>
            <w:sz w:val="24"/>
            <w:szCs w:val="24"/>
            <w:lang w:val="en-US" w:bidi="en-US"/>
          </w:rPr>
          <m:t xml:space="preserve">) </m:t>
        </m:r>
      </m:oMath>
      <w:r w:rsidRPr="005A2B62">
        <w:rPr>
          <w:rFonts w:ascii="Times New Roman" w:hAnsi="Times New Roman" w:cs="Times New Roman"/>
          <w:color w:val="000000"/>
          <w:sz w:val="24"/>
          <w:szCs w:val="24"/>
          <w:lang w:val="en-US" w:bidi="en-US"/>
        </w:rPr>
        <w:t xml:space="preserve"> of primates to them. The allocation factor </w:t>
      </w:r>
      <m:oMath>
        <m:sSub>
          <m:sSubPr>
            <m:ctrlPr>
              <w:rPr>
                <w:rFonts w:ascii="Cambria Math" w:hAnsi="Cambria Math" w:cs="Times New Roman"/>
                <w:i/>
                <w:color w:val="000000"/>
                <w:sz w:val="24"/>
                <w:szCs w:val="24"/>
                <w:lang w:bidi="en-US"/>
              </w:rPr>
            </m:ctrlPr>
          </m:sSubPr>
          <m:e>
            <m:r>
              <w:rPr>
                <w:rFonts w:ascii="Cambria Math" w:hAnsi="Cambria Math" w:cs="Times New Roman"/>
                <w:color w:val="000000"/>
                <w:sz w:val="24"/>
                <w:szCs w:val="24"/>
                <w:lang w:bidi="en-US"/>
              </w:rPr>
              <m:t>a</m:t>
            </m:r>
          </m:e>
          <m:sub>
            <m:r>
              <w:rPr>
                <w:rFonts w:ascii="Cambria Math" w:hAnsi="Cambria Math" w:cs="Times New Roman"/>
                <w:color w:val="000000"/>
                <w:sz w:val="24"/>
                <w:szCs w:val="24"/>
                <w:lang w:bidi="en-US"/>
              </w:rPr>
              <m:t>i</m:t>
            </m:r>
            <m:r>
              <w:rPr>
                <w:rFonts w:ascii="Cambria Math" w:hAnsi="Cambria Math" w:cs="Times New Roman"/>
                <w:color w:val="000000"/>
                <w:sz w:val="24"/>
                <w:szCs w:val="24"/>
                <w:lang w:val="en-US" w:bidi="en-US"/>
              </w:rPr>
              <m:t>,</m:t>
            </m:r>
            <m:r>
              <w:rPr>
                <w:rFonts w:ascii="Cambria Math" w:hAnsi="Cambria Math" w:cs="Times New Roman"/>
                <w:color w:val="000000"/>
                <w:sz w:val="24"/>
                <w:szCs w:val="24"/>
                <w:lang w:bidi="en-US"/>
              </w:rPr>
              <m:t>j</m:t>
            </m:r>
          </m:sub>
        </m:sSub>
      </m:oMath>
      <w:r w:rsidRPr="005A2B62">
        <w:rPr>
          <w:rFonts w:ascii="Times New Roman" w:hAnsi="Times New Roman" w:cs="Times New Roman"/>
          <w:color w:val="000000"/>
          <w:sz w:val="24"/>
          <w:szCs w:val="24"/>
          <w:lang w:val="en-US" w:bidi="en-US"/>
        </w:rPr>
        <w:t xml:space="preserve"> for each of the 10 human land use types</w:t>
      </w:r>
      <w:r w:rsidRPr="005A2B62">
        <w:rPr>
          <w:rFonts w:ascii="Times New Roman" w:hAnsi="Times New Roman" w:cs="Times New Roman"/>
          <w:i/>
          <w:color w:val="000000"/>
          <w:sz w:val="24"/>
          <w:szCs w:val="24"/>
          <w:lang w:val="en-US" w:bidi="en-US"/>
        </w:rPr>
        <w:t xml:space="preserve"> </w:t>
      </w:r>
      <w:proofErr w:type="spellStart"/>
      <w:r w:rsidRPr="005A2B62">
        <w:rPr>
          <w:rFonts w:ascii="Times New Roman" w:hAnsi="Times New Roman" w:cs="Times New Roman"/>
          <w:i/>
          <w:color w:val="000000"/>
          <w:sz w:val="24"/>
          <w:szCs w:val="24"/>
          <w:lang w:val="en-US" w:bidi="en-US"/>
        </w:rPr>
        <w:t>i</w:t>
      </w:r>
      <w:proofErr w:type="spellEnd"/>
      <w:r w:rsidRPr="005A2B62">
        <w:rPr>
          <w:rFonts w:ascii="Times New Roman" w:hAnsi="Times New Roman" w:cs="Times New Roman"/>
          <w:color w:val="000000"/>
          <w:sz w:val="24"/>
          <w:szCs w:val="24"/>
          <w:lang w:val="en-US" w:bidi="en-US"/>
        </w:rPr>
        <w:t xml:space="preserve"> (such that for each ecoregion </w:t>
      </w:r>
      <w:r w:rsidRPr="005A2B62">
        <w:rPr>
          <w:rFonts w:ascii="Times New Roman" w:hAnsi="Times New Roman" w:cs="Times New Roman"/>
          <w:i/>
          <w:color w:val="000000"/>
          <w:sz w:val="24"/>
          <w:szCs w:val="24"/>
          <w:lang w:val="en-US" w:bidi="en-US"/>
        </w:rPr>
        <w:t>j</w:t>
      </w:r>
      <w:r w:rsidRPr="005A2B62">
        <w:rPr>
          <w:rFonts w:ascii="Times New Roman" w:hAnsi="Times New Roman" w:cs="Times New Roman"/>
          <w:color w:val="000000"/>
          <w:sz w:val="24"/>
          <w:szCs w:val="24"/>
          <w:lang w:val="en-US" w:bidi="en-US"/>
        </w:rPr>
        <w:t xml:space="preserve">, </w:t>
      </w:r>
      <m:oMath>
        <m:nary>
          <m:naryPr>
            <m:chr m:val="∑"/>
            <m:limLoc m:val="undOvr"/>
            <m:ctrlPr>
              <w:rPr>
                <w:rFonts w:ascii="Cambria Math" w:hAnsi="Cambria Math" w:cs="Times New Roman"/>
                <w:i/>
                <w:color w:val="000000"/>
                <w:sz w:val="24"/>
                <w:szCs w:val="24"/>
                <w:lang w:bidi="en-US"/>
              </w:rPr>
            </m:ctrlPr>
          </m:naryPr>
          <m:sub>
            <m:r>
              <w:rPr>
                <w:rFonts w:ascii="Cambria Math" w:hAnsi="Cambria Math" w:cs="Times New Roman"/>
                <w:color w:val="000000"/>
                <w:sz w:val="24"/>
                <w:szCs w:val="24"/>
                <w:lang w:bidi="en-US"/>
              </w:rPr>
              <m:t>i</m:t>
            </m:r>
            <m:r>
              <w:rPr>
                <w:rFonts w:ascii="Cambria Math" w:hAnsi="Cambria Math" w:cs="Times New Roman"/>
                <w:color w:val="000000"/>
                <w:sz w:val="24"/>
                <w:szCs w:val="24"/>
                <w:lang w:val="en-US" w:bidi="en-US"/>
              </w:rPr>
              <m:t>=1</m:t>
            </m:r>
          </m:sub>
          <m:sup>
            <m:r>
              <w:rPr>
                <w:rFonts w:ascii="Cambria Math" w:hAnsi="Cambria Math" w:cs="Times New Roman"/>
                <w:color w:val="000000"/>
                <w:sz w:val="24"/>
                <w:szCs w:val="24"/>
                <w:lang w:val="en-US" w:bidi="en-US"/>
              </w:rPr>
              <m:t>10</m:t>
            </m:r>
          </m:sup>
          <m:e>
            <m:sSub>
              <m:sSubPr>
                <m:ctrlPr>
                  <w:rPr>
                    <w:rFonts w:ascii="Cambria Math" w:hAnsi="Cambria Math" w:cs="Times New Roman"/>
                    <w:i/>
                    <w:color w:val="000000"/>
                    <w:sz w:val="24"/>
                    <w:szCs w:val="24"/>
                    <w:lang w:bidi="en-US"/>
                  </w:rPr>
                </m:ctrlPr>
              </m:sSubPr>
              <m:e>
                <m:r>
                  <w:rPr>
                    <w:rFonts w:ascii="Cambria Math" w:hAnsi="Cambria Math" w:cs="Times New Roman"/>
                    <w:color w:val="000000"/>
                    <w:sz w:val="24"/>
                    <w:szCs w:val="24"/>
                    <w:lang w:bidi="en-US"/>
                  </w:rPr>
                  <m:t>a</m:t>
                </m:r>
              </m:e>
              <m:sub>
                <m:r>
                  <w:rPr>
                    <w:rFonts w:ascii="Cambria Math" w:hAnsi="Cambria Math" w:cs="Times New Roman"/>
                    <w:color w:val="000000"/>
                    <w:sz w:val="24"/>
                    <w:szCs w:val="24"/>
                    <w:lang w:bidi="en-US"/>
                  </w:rPr>
                  <m:t>i</m:t>
                </m:r>
              </m:sub>
            </m:sSub>
          </m:e>
        </m:nary>
      </m:oMath>
      <w:r w:rsidRPr="005A2B62">
        <w:rPr>
          <w:rFonts w:ascii="Times New Roman" w:hAnsi="Times New Roman" w:cs="Times New Roman"/>
          <w:color w:val="000000"/>
          <w:sz w:val="24"/>
          <w:szCs w:val="24"/>
          <w:lang w:val="en-US" w:bidi="en-US"/>
        </w:rPr>
        <w:t xml:space="preserve"> = 1) is as follows (</w:t>
      </w:r>
      <w:r w:rsidRPr="005A2B62">
        <w:rPr>
          <w:rFonts w:ascii="Times New Roman" w:hAnsi="Times New Roman" w:cs="Times New Roman"/>
          <w:i/>
          <w:iCs/>
          <w:color w:val="000000"/>
          <w:sz w:val="24"/>
          <w:szCs w:val="24"/>
          <w:lang w:val="en-US"/>
        </w:rPr>
        <w:t xml:space="preserve">Chaudhary &amp; </w:t>
      </w:r>
      <w:proofErr w:type="spellStart"/>
      <w:r w:rsidRPr="005A2B62">
        <w:rPr>
          <w:rFonts w:ascii="Times New Roman" w:hAnsi="Times New Roman" w:cs="Times New Roman"/>
          <w:i/>
          <w:iCs/>
          <w:color w:val="000000"/>
          <w:sz w:val="24"/>
          <w:szCs w:val="24"/>
          <w:lang w:val="en-US"/>
        </w:rPr>
        <w:t>Mooers</w:t>
      </w:r>
      <w:proofErr w:type="spellEnd"/>
      <w:r w:rsidRPr="005A2B62">
        <w:rPr>
          <w:rFonts w:ascii="Times New Roman" w:hAnsi="Times New Roman" w:cs="Times New Roman"/>
          <w:i/>
          <w:iCs/>
          <w:color w:val="000000"/>
          <w:sz w:val="24"/>
          <w:szCs w:val="24"/>
          <w:lang w:val="en-US"/>
        </w:rPr>
        <w:t>, 2018</w:t>
      </w:r>
      <w:r w:rsidRPr="005A2B62">
        <w:rPr>
          <w:rFonts w:ascii="Times New Roman" w:hAnsi="Times New Roman" w:cs="Times New Roman"/>
          <w:color w:val="000000"/>
          <w:sz w:val="24"/>
          <w:szCs w:val="24"/>
          <w:lang w:val="en-US" w:bidi="en-US"/>
        </w:rPr>
        <w:t>):</w:t>
      </w:r>
    </w:p>
    <w:tbl>
      <w:tblPr>
        <w:tblW w:w="0" w:type="auto"/>
        <w:jc w:val="center"/>
        <w:tblLayout w:type="fixed"/>
        <w:tblLook w:val="0000" w:firstRow="0" w:lastRow="0" w:firstColumn="0" w:lastColumn="0" w:noHBand="0" w:noVBand="0"/>
      </w:tblPr>
      <w:tblGrid>
        <w:gridCol w:w="8220"/>
        <w:gridCol w:w="646"/>
      </w:tblGrid>
      <w:tr w:rsidR="005A2B62" w:rsidRPr="009D75C6" w14:paraId="1DA81FB1" w14:textId="77777777" w:rsidTr="00C16B25">
        <w:trPr>
          <w:trHeight w:val="340"/>
          <w:jc w:val="center"/>
        </w:trPr>
        <w:tc>
          <w:tcPr>
            <w:tcW w:w="8220" w:type="dxa"/>
            <w:shd w:val="clear" w:color="auto" w:fill="auto"/>
            <w:vAlign w:val="center"/>
          </w:tcPr>
          <w:p w14:paraId="09CBBF1E" w14:textId="77777777" w:rsidR="005A2B62" w:rsidRPr="009D75C6" w:rsidRDefault="000E0C94" w:rsidP="00C16B25">
            <w:pPr>
              <w:spacing w:after="120" w:line="240" w:lineRule="auto"/>
              <w:rPr>
                <w:rFonts w:ascii="Times New Roman" w:hAnsi="Times New Roman" w:cs="Times New Roman"/>
                <w:bCs/>
                <w:iCs/>
                <w:color w:val="000000"/>
                <w:sz w:val="24"/>
                <w:szCs w:val="24"/>
                <w:lang w:bidi="en-US"/>
              </w:rPr>
            </w:pPr>
            <m:oMathPara>
              <m:oMath>
                <m:sSub>
                  <m:sSubPr>
                    <m:ctrlPr>
                      <w:rPr>
                        <w:rFonts w:ascii="Cambria Math" w:hAnsi="Cambria Math" w:cs="Times New Roman"/>
                        <w:bCs/>
                        <w:i/>
                        <w:iCs/>
                        <w:color w:val="000000"/>
                        <w:sz w:val="24"/>
                        <w:szCs w:val="24"/>
                        <w:lang w:bidi="en-US"/>
                      </w:rPr>
                    </m:ctrlPr>
                  </m:sSubPr>
                  <m:e>
                    <m:r>
                      <w:rPr>
                        <w:rFonts w:ascii="Cambria Math" w:hAnsi="Cambria Math" w:cs="Times New Roman"/>
                        <w:color w:val="000000"/>
                        <w:sz w:val="24"/>
                        <w:szCs w:val="24"/>
                        <w:lang w:bidi="en-US"/>
                      </w:rPr>
                      <m:t>a</m:t>
                    </m:r>
                  </m:e>
                  <m:sub>
                    <m:r>
                      <w:rPr>
                        <w:rFonts w:ascii="Cambria Math" w:hAnsi="Cambria Math" w:cs="Times New Roman"/>
                        <w:color w:val="000000"/>
                        <w:sz w:val="24"/>
                        <w:szCs w:val="24"/>
                        <w:lang w:bidi="en-US"/>
                      </w:rPr>
                      <m:t>g,i, j</m:t>
                    </m:r>
                  </m:sub>
                </m:sSub>
                <m:r>
                  <w:rPr>
                    <w:rFonts w:ascii="Cambria Math" w:hAnsi="Cambria Math" w:cs="Times New Roman"/>
                    <w:color w:val="000000"/>
                    <w:sz w:val="24"/>
                    <w:szCs w:val="24"/>
                    <w:lang w:bidi="en-US"/>
                  </w:rPr>
                  <m:t xml:space="preserve">= </m:t>
                </m:r>
                <m:f>
                  <m:fPr>
                    <m:ctrlPr>
                      <w:rPr>
                        <w:rFonts w:ascii="Cambria Math" w:hAnsi="Cambria Math" w:cs="Times New Roman"/>
                        <w:bCs/>
                        <w:i/>
                        <w:iCs/>
                        <w:color w:val="000000"/>
                        <w:sz w:val="24"/>
                        <w:szCs w:val="24"/>
                        <w:lang w:bidi="en-US"/>
                      </w:rPr>
                    </m:ctrlPr>
                  </m:fPr>
                  <m:num>
                    <m:sSub>
                      <m:sSubPr>
                        <m:ctrlPr>
                          <w:rPr>
                            <w:rFonts w:ascii="Cambria Math" w:hAnsi="Cambria Math" w:cs="Times New Roman"/>
                            <w:bCs/>
                            <w:i/>
                            <w:iCs/>
                            <w:color w:val="000000"/>
                            <w:sz w:val="24"/>
                            <w:szCs w:val="24"/>
                            <w:lang w:bidi="en-US"/>
                          </w:rPr>
                        </m:ctrlPr>
                      </m:sSubPr>
                      <m:e>
                        <m:sSub>
                          <m:sSubPr>
                            <m:ctrlPr>
                              <w:rPr>
                                <w:rFonts w:ascii="Cambria Math" w:hAnsi="Cambria Math" w:cs="Times New Roman"/>
                                <w:bCs/>
                                <w:i/>
                                <w:iCs/>
                                <w:color w:val="000000"/>
                                <w:sz w:val="24"/>
                                <w:szCs w:val="24"/>
                                <w:lang w:bidi="en-US"/>
                              </w:rPr>
                            </m:ctrlPr>
                          </m:sSubPr>
                          <m:e>
                            <m:r>
                              <w:rPr>
                                <w:rFonts w:ascii="Cambria Math" w:hAnsi="Cambria Math" w:cs="Times New Roman"/>
                                <w:color w:val="000000"/>
                                <w:sz w:val="24"/>
                                <w:szCs w:val="24"/>
                                <w:lang w:bidi="en-US"/>
                              </w:rPr>
                              <m:t>A</m:t>
                            </m:r>
                          </m:e>
                          <m:sub>
                            <m:r>
                              <w:rPr>
                                <w:rFonts w:ascii="Cambria Math" w:hAnsi="Cambria Math" w:cs="Times New Roman"/>
                                <w:color w:val="000000"/>
                                <w:sz w:val="24"/>
                                <w:szCs w:val="24"/>
                                <w:lang w:bidi="en-US"/>
                              </w:rPr>
                              <m:t>i, j</m:t>
                            </m:r>
                          </m:sub>
                        </m:sSub>
                        <m:r>
                          <w:rPr>
                            <w:rFonts w:ascii="Cambria Math" w:hAnsi="Cambria Math" w:cs="Times New Roman"/>
                            <w:color w:val="000000"/>
                            <w:sz w:val="24"/>
                            <w:szCs w:val="24"/>
                            <w:lang w:bidi="en-US"/>
                          </w:rPr>
                          <m:t xml:space="preserve">∙(1- </m:t>
                        </m:r>
                        <m:r>
                          <w:rPr>
                            <w:rFonts w:ascii="Cambria Math" w:hAnsi="Cambria Math" w:cs="Times New Roman"/>
                            <w:color w:val="000000"/>
                            <w:sz w:val="24"/>
                            <w:szCs w:val="24"/>
                            <w:lang w:bidi="en-US"/>
                          </w:rPr>
                          <m:t>h</m:t>
                        </m:r>
                      </m:e>
                      <m:sub>
                        <m:r>
                          <w:rPr>
                            <w:rFonts w:ascii="Cambria Math" w:hAnsi="Cambria Math" w:cs="Times New Roman"/>
                            <w:color w:val="000000"/>
                            <w:sz w:val="24"/>
                            <w:szCs w:val="24"/>
                            <w:lang w:bidi="en-US"/>
                          </w:rPr>
                          <m:t>g, i, j</m:t>
                        </m:r>
                      </m:sub>
                    </m:sSub>
                    <m:r>
                      <w:rPr>
                        <w:rFonts w:ascii="Cambria Math" w:hAnsi="Cambria Math" w:cs="Times New Roman"/>
                        <w:color w:val="000000"/>
                        <w:sz w:val="24"/>
                        <w:szCs w:val="24"/>
                        <w:lang w:bidi="en-US"/>
                      </w:rPr>
                      <m:t>)</m:t>
                    </m:r>
                  </m:num>
                  <m:den>
                    <m:nary>
                      <m:naryPr>
                        <m:chr m:val="∑"/>
                        <m:limLoc m:val="undOvr"/>
                        <m:ctrlPr>
                          <w:rPr>
                            <w:rFonts w:ascii="Cambria Math" w:hAnsi="Cambria Math" w:cs="Times New Roman"/>
                            <w:bCs/>
                            <w:i/>
                            <w:iCs/>
                            <w:color w:val="000000"/>
                            <w:sz w:val="24"/>
                            <w:szCs w:val="24"/>
                            <w:lang w:bidi="en-US"/>
                          </w:rPr>
                        </m:ctrlPr>
                      </m:naryPr>
                      <m:sub>
                        <m:r>
                          <w:rPr>
                            <w:rFonts w:ascii="Cambria Math" w:hAnsi="Cambria Math" w:cs="Times New Roman"/>
                            <w:color w:val="000000"/>
                            <w:sz w:val="24"/>
                            <w:szCs w:val="24"/>
                            <w:lang w:bidi="en-US"/>
                          </w:rPr>
                          <m:t>i=1</m:t>
                        </m:r>
                      </m:sub>
                      <m:sup>
                        <m:r>
                          <w:rPr>
                            <w:rFonts w:ascii="Cambria Math" w:hAnsi="Cambria Math" w:cs="Times New Roman"/>
                            <w:color w:val="000000"/>
                            <w:sz w:val="24"/>
                            <w:szCs w:val="24"/>
                            <w:lang w:bidi="en-US"/>
                          </w:rPr>
                          <m:t>10</m:t>
                        </m:r>
                      </m:sup>
                      <m:e>
                        <m:sSub>
                          <m:sSubPr>
                            <m:ctrlPr>
                              <w:rPr>
                                <w:rFonts w:ascii="Cambria Math" w:hAnsi="Cambria Math" w:cs="Times New Roman"/>
                                <w:bCs/>
                                <w:i/>
                                <w:iCs/>
                                <w:color w:val="000000"/>
                                <w:sz w:val="24"/>
                                <w:szCs w:val="24"/>
                                <w:lang w:bidi="en-US"/>
                              </w:rPr>
                            </m:ctrlPr>
                          </m:sSubPr>
                          <m:e>
                            <m:sSub>
                              <m:sSubPr>
                                <m:ctrlPr>
                                  <w:rPr>
                                    <w:rFonts w:ascii="Cambria Math" w:hAnsi="Cambria Math" w:cs="Times New Roman"/>
                                    <w:bCs/>
                                    <w:i/>
                                    <w:iCs/>
                                    <w:color w:val="000000"/>
                                    <w:sz w:val="24"/>
                                    <w:szCs w:val="24"/>
                                    <w:lang w:bidi="en-US"/>
                                  </w:rPr>
                                </m:ctrlPr>
                              </m:sSubPr>
                              <m:e>
                                <m:r>
                                  <w:rPr>
                                    <w:rFonts w:ascii="Cambria Math" w:hAnsi="Cambria Math" w:cs="Times New Roman"/>
                                    <w:color w:val="000000"/>
                                    <w:sz w:val="24"/>
                                    <w:szCs w:val="24"/>
                                    <w:lang w:bidi="en-US"/>
                                  </w:rPr>
                                  <m:t>A</m:t>
                                </m:r>
                              </m:e>
                              <m:sub>
                                <m:r>
                                  <w:rPr>
                                    <w:rFonts w:ascii="Cambria Math" w:hAnsi="Cambria Math" w:cs="Times New Roman"/>
                                    <w:color w:val="000000"/>
                                    <w:sz w:val="24"/>
                                    <w:szCs w:val="24"/>
                                    <w:lang w:bidi="en-US"/>
                                  </w:rPr>
                                  <m:t>i, j</m:t>
                                </m:r>
                              </m:sub>
                            </m:sSub>
                            <m:r>
                              <w:rPr>
                                <w:rFonts w:ascii="Cambria Math" w:hAnsi="Cambria Math" w:cs="Times New Roman"/>
                                <w:color w:val="000000"/>
                                <w:sz w:val="24"/>
                                <w:szCs w:val="24"/>
                                <w:lang w:bidi="en-US"/>
                              </w:rPr>
                              <m:t xml:space="preserve">∙(1- </m:t>
                            </m:r>
                            <m:r>
                              <w:rPr>
                                <w:rFonts w:ascii="Cambria Math" w:hAnsi="Cambria Math" w:cs="Times New Roman"/>
                                <w:color w:val="000000"/>
                                <w:sz w:val="24"/>
                                <w:szCs w:val="24"/>
                                <w:lang w:bidi="en-US"/>
                              </w:rPr>
                              <m:t>h</m:t>
                            </m:r>
                          </m:e>
                          <m:sub>
                            <m:r>
                              <w:rPr>
                                <w:rFonts w:ascii="Cambria Math" w:hAnsi="Cambria Math" w:cs="Times New Roman"/>
                                <w:color w:val="000000"/>
                                <w:sz w:val="24"/>
                                <w:szCs w:val="24"/>
                                <w:lang w:bidi="en-US"/>
                              </w:rPr>
                              <m:t>g, i, j</m:t>
                            </m:r>
                          </m:sub>
                        </m:sSub>
                        <m:r>
                          <w:rPr>
                            <w:rFonts w:ascii="Cambria Math" w:hAnsi="Cambria Math" w:cs="Times New Roman"/>
                            <w:color w:val="000000"/>
                            <w:sz w:val="24"/>
                            <w:szCs w:val="24"/>
                            <w:lang w:bidi="en-US"/>
                          </w:rPr>
                          <m:t>)</m:t>
                        </m:r>
                      </m:e>
                    </m:nary>
                  </m:den>
                </m:f>
              </m:oMath>
            </m:oMathPara>
          </w:p>
        </w:tc>
        <w:tc>
          <w:tcPr>
            <w:tcW w:w="646" w:type="dxa"/>
            <w:shd w:val="clear" w:color="auto" w:fill="auto"/>
            <w:vAlign w:val="center"/>
          </w:tcPr>
          <w:p w14:paraId="686FA209" w14:textId="77777777" w:rsidR="005A2B62" w:rsidRPr="009D75C6" w:rsidRDefault="005A2B62" w:rsidP="00C16B25">
            <w:pPr>
              <w:spacing w:after="120" w:line="240" w:lineRule="auto"/>
              <w:rPr>
                <w:rFonts w:ascii="Times New Roman" w:hAnsi="Times New Roman" w:cs="Times New Roman"/>
                <w:bCs/>
                <w:iCs/>
                <w:color w:val="000000"/>
                <w:sz w:val="24"/>
                <w:szCs w:val="24"/>
                <w:lang w:bidi="en-US"/>
              </w:rPr>
            </w:pPr>
            <w:r>
              <w:rPr>
                <w:rFonts w:ascii="Times New Roman" w:hAnsi="Times New Roman" w:cs="Times New Roman"/>
                <w:bCs/>
                <w:iCs/>
                <w:color w:val="000000"/>
                <w:sz w:val="24"/>
                <w:szCs w:val="24"/>
                <w:lang w:bidi="en-US"/>
              </w:rPr>
              <w:t xml:space="preserve">  </w:t>
            </w:r>
            <w:r w:rsidRPr="009D75C6">
              <w:rPr>
                <w:rFonts w:ascii="Times New Roman" w:hAnsi="Times New Roman" w:cs="Times New Roman"/>
                <w:bCs/>
                <w:iCs/>
                <w:color w:val="000000"/>
                <w:sz w:val="24"/>
                <w:szCs w:val="24"/>
                <w:lang w:bidi="en-US"/>
              </w:rPr>
              <w:t>(</w:t>
            </w:r>
            <w:r>
              <w:rPr>
                <w:rFonts w:ascii="Times New Roman" w:hAnsi="Times New Roman" w:cs="Times New Roman"/>
                <w:bCs/>
                <w:iCs/>
                <w:color w:val="000000"/>
                <w:sz w:val="24"/>
                <w:szCs w:val="24"/>
                <w:lang w:bidi="en-US"/>
              </w:rPr>
              <w:t>2</w:t>
            </w:r>
            <w:r w:rsidRPr="009D75C6">
              <w:rPr>
                <w:rFonts w:ascii="Times New Roman" w:hAnsi="Times New Roman" w:cs="Times New Roman"/>
                <w:bCs/>
                <w:iCs/>
                <w:color w:val="000000"/>
                <w:sz w:val="24"/>
                <w:szCs w:val="24"/>
                <w:lang w:bidi="en-US"/>
              </w:rPr>
              <w:t>)</w:t>
            </w:r>
          </w:p>
        </w:tc>
      </w:tr>
    </w:tbl>
    <w:p w14:paraId="55D49CC5" w14:textId="77777777" w:rsidR="005A2B62" w:rsidRPr="005A2B62" w:rsidRDefault="005A2B62" w:rsidP="005A2B62">
      <w:pPr>
        <w:spacing w:after="120" w:line="240" w:lineRule="auto"/>
        <w:rPr>
          <w:rFonts w:ascii="Times New Roman" w:hAnsi="Times New Roman" w:cs="Times New Roman"/>
          <w:b/>
          <w:color w:val="000000"/>
          <w:sz w:val="24"/>
          <w:szCs w:val="24"/>
          <w:lang w:val="en-US" w:bidi="en-US"/>
        </w:rPr>
      </w:pPr>
      <w:r w:rsidRPr="005A2B62">
        <w:rPr>
          <w:rFonts w:ascii="Times New Roman" w:hAnsi="Times New Roman" w:cs="Times New Roman"/>
          <w:color w:val="000000"/>
          <w:sz w:val="24"/>
          <w:szCs w:val="24"/>
          <w:lang w:val="en-US" w:bidi="en-US"/>
        </w:rPr>
        <w:t>The contribution of different land use types towards the total fractional loss in each ecoregion is then given by the following:</w:t>
      </w:r>
    </w:p>
    <w:tbl>
      <w:tblPr>
        <w:tblW w:w="0" w:type="auto"/>
        <w:jc w:val="center"/>
        <w:tblLayout w:type="fixed"/>
        <w:tblLook w:val="0000" w:firstRow="0" w:lastRow="0" w:firstColumn="0" w:lastColumn="0" w:noHBand="0" w:noVBand="0"/>
      </w:tblPr>
      <w:tblGrid>
        <w:gridCol w:w="8220"/>
        <w:gridCol w:w="646"/>
      </w:tblGrid>
      <w:tr w:rsidR="005A2B62" w:rsidRPr="009D75C6" w14:paraId="311DEA12" w14:textId="77777777" w:rsidTr="00C16B25">
        <w:trPr>
          <w:trHeight w:val="340"/>
          <w:jc w:val="center"/>
        </w:trPr>
        <w:tc>
          <w:tcPr>
            <w:tcW w:w="8220" w:type="dxa"/>
            <w:shd w:val="clear" w:color="auto" w:fill="auto"/>
            <w:vAlign w:val="center"/>
          </w:tcPr>
          <w:p w14:paraId="588F18BE" w14:textId="77777777" w:rsidR="005A2B62" w:rsidRPr="009D75C6" w:rsidRDefault="000E0C94" w:rsidP="00C16B25">
            <w:pPr>
              <w:spacing w:after="120" w:line="240" w:lineRule="auto"/>
              <w:rPr>
                <w:rFonts w:ascii="Times New Roman" w:hAnsi="Times New Roman" w:cs="Times New Roman"/>
                <w:bCs/>
                <w:iCs/>
                <w:color w:val="000000"/>
                <w:sz w:val="24"/>
                <w:szCs w:val="24"/>
                <w:lang w:bidi="en-US"/>
              </w:rPr>
            </w:pPr>
            <m:oMathPara>
              <m:oMath>
                <m:sSub>
                  <m:sSubPr>
                    <m:ctrlPr>
                      <w:rPr>
                        <w:rFonts w:ascii="Cambria Math" w:hAnsi="Cambria Math" w:cs="Times New Roman"/>
                        <w:bCs/>
                        <w:i/>
                        <w:iCs/>
                        <w:color w:val="000000"/>
                        <w:sz w:val="24"/>
                        <w:szCs w:val="24"/>
                        <w:lang w:bidi="en-US"/>
                      </w:rPr>
                    </m:ctrlPr>
                  </m:sSubPr>
                  <m:e>
                    <m:sSub>
                      <m:sSubPr>
                        <m:ctrlPr>
                          <w:rPr>
                            <w:rFonts w:ascii="Cambria Math" w:hAnsi="Cambria Math" w:cs="Times New Roman"/>
                            <w:i/>
                            <w:color w:val="000000"/>
                            <w:sz w:val="24"/>
                            <w:szCs w:val="24"/>
                            <w:lang w:val="en-US" w:bidi="en-US"/>
                          </w:rPr>
                        </m:ctrlPr>
                      </m:sSubPr>
                      <m:e>
                        <m:sSub>
                          <m:sSubPr>
                            <m:ctrlPr>
                              <w:rPr>
                                <w:rFonts w:ascii="Cambria Math" w:hAnsi="Cambria Math" w:cs="Times New Roman"/>
                                <w:i/>
                                <w:color w:val="000000"/>
                                <w:sz w:val="24"/>
                                <w:szCs w:val="24"/>
                                <w:lang w:val="en-US" w:bidi="en-US"/>
                              </w:rPr>
                            </m:ctrlPr>
                          </m:sSubPr>
                          <m:e>
                            <m:r>
                              <w:rPr>
                                <w:rFonts w:ascii="Cambria Math" w:hAnsi="Cambria Math" w:cs="Times New Roman"/>
                                <w:color w:val="000000"/>
                                <w:sz w:val="24"/>
                                <w:szCs w:val="24"/>
                                <w:lang w:val="en-US" w:bidi="en-US"/>
                              </w:rPr>
                              <m:t>flost</m:t>
                            </m:r>
                          </m:e>
                          <m:sub>
                            <m:r>
                              <w:rPr>
                                <w:rFonts w:ascii="Cambria Math" w:hAnsi="Cambria Math" w:cs="Times New Roman"/>
                                <w:color w:val="000000"/>
                                <w:sz w:val="24"/>
                                <w:szCs w:val="24"/>
                                <w:lang w:val="en-US" w:bidi="en-US"/>
                              </w:rPr>
                              <m:t>i,j</m:t>
                            </m:r>
                          </m:sub>
                        </m:sSub>
                        <m:r>
                          <w:rPr>
                            <w:rFonts w:ascii="Cambria Math" w:hAnsi="Cambria Math" w:cs="Times New Roman"/>
                            <w:color w:val="000000"/>
                            <w:sz w:val="24"/>
                            <w:szCs w:val="24"/>
                            <w:lang w:val="en-US" w:bidi="en-US"/>
                          </w:rPr>
                          <m:t>=flost</m:t>
                        </m:r>
                      </m:e>
                      <m:sub>
                        <m:r>
                          <w:rPr>
                            <w:rFonts w:ascii="Cambria Math" w:hAnsi="Cambria Math" w:cs="Times New Roman"/>
                            <w:color w:val="000000"/>
                            <w:sz w:val="24"/>
                            <w:szCs w:val="24"/>
                            <w:lang w:val="en-US" w:bidi="en-US"/>
                          </w:rPr>
                          <m:t>j</m:t>
                        </m:r>
                      </m:sub>
                    </m:sSub>
                    <m:r>
                      <w:rPr>
                        <w:rFonts w:ascii="Cambria Math" w:hAnsi="Cambria Math" w:cs="Times New Roman"/>
                        <w:color w:val="000000"/>
                        <w:sz w:val="24"/>
                        <w:szCs w:val="24"/>
                        <w:lang w:bidi="en-US"/>
                      </w:rPr>
                      <m:t>×a</m:t>
                    </m:r>
                  </m:e>
                  <m:sub>
                    <m:r>
                      <w:rPr>
                        <w:rFonts w:ascii="Cambria Math" w:hAnsi="Cambria Math" w:cs="Times New Roman"/>
                        <w:color w:val="000000"/>
                        <w:sz w:val="24"/>
                        <w:szCs w:val="24"/>
                        <w:lang w:bidi="en-US"/>
                      </w:rPr>
                      <m:t>g,i, j</m:t>
                    </m:r>
                  </m:sub>
                </m:sSub>
              </m:oMath>
            </m:oMathPara>
          </w:p>
        </w:tc>
        <w:tc>
          <w:tcPr>
            <w:tcW w:w="646" w:type="dxa"/>
            <w:shd w:val="clear" w:color="auto" w:fill="auto"/>
            <w:vAlign w:val="center"/>
          </w:tcPr>
          <w:p w14:paraId="04B50F70" w14:textId="77777777" w:rsidR="005A2B62" w:rsidRPr="009D75C6" w:rsidRDefault="005A2B62" w:rsidP="00C16B25">
            <w:pPr>
              <w:spacing w:after="120" w:line="240" w:lineRule="auto"/>
              <w:rPr>
                <w:rFonts w:ascii="Times New Roman" w:hAnsi="Times New Roman" w:cs="Times New Roman"/>
                <w:bCs/>
                <w:iCs/>
                <w:color w:val="000000"/>
                <w:sz w:val="24"/>
                <w:szCs w:val="24"/>
                <w:lang w:bidi="en-US"/>
              </w:rPr>
            </w:pPr>
            <w:r>
              <w:rPr>
                <w:rFonts w:ascii="Times New Roman" w:hAnsi="Times New Roman" w:cs="Times New Roman"/>
                <w:bCs/>
                <w:iCs/>
                <w:color w:val="000000"/>
                <w:sz w:val="24"/>
                <w:szCs w:val="24"/>
                <w:lang w:bidi="en-US"/>
              </w:rPr>
              <w:t xml:space="preserve">  </w:t>
            </w:r>
            <w:r w:rsidRPr="009D75C6">
              <w:rPr>
                <w:rFonts w:ascii="Times New Roman" w:hAnsi="Times New Roman" w:cs="Times New Roman"/>
                <w:bCs/>
                <w:iCs/>
                <w:color w:val="000000"/>
                <w:sz w:val="24"/>
                <w:szCs w:val="24"/>
                <w:lang w:bidi="en-US"/>
              </w:rPr>
              <w:t>(</w:t>
            </w:r>
            <w:r>
              <w:rPr>
                <w:rFonts w:ascii="Times New Roman" w:hAnsi="Times New Roman" w:cs="Times New Roman"/>
                <w:bCs/>
                <w:iCs/>
                <w:color w:val="000000"/>
                <w:sz w:val="24"/>
                <w:szCs w:val="24"/>
                <w:lang w:bidi="en-US"/>
              </w:rPr>
              <w:t>3</w:t>
            </w:r>
            <w:r w:rsidRPr="009D75C6">
              <w:rPr>
                <w:rFonts w:ascii="Times New Roman" w:hAnsi="Times New Roman" w:cs="Times New Roman"/>
                <w:bCs/>
                <w:iCs/>
                <w:color w:val="000000"/>
                <w:sz w:val="24"/>
                <w:szCs w:val="24"/>
                <w:lang w:bidi="en-US"/>
              </w:rPr>
              <w:t>)</w:t>
            </w:r>
          </w:p>
        </w:tc>
      </w:tr>
    </w:tbl>
    <w:p w14:paraId="2DC4FDC8" w14:textId="77777777" w:rsidR="009610C2" w:rsidRDefault="005A2B62" w:rsidP="009610C2">
      <w:pPr>
        <w:spacing w:after="120" w:line="240" w:lineRule="auto"/>
        <w:rPr>
          <w:rFonts w:ascii="Times New Roman" w:hAnsi="Times New Roman" w:cs="Times New Roman"/>
          <w:color w:val="000000"/>
          <w:sz w:val="24"/>
          <w:szCs w:val="24"/>
          <w:lang w:val="en-US"/>
        </w:rPr>
      </w:pPr>
      <w:r w:rsidRPr="009D75C6">
        <w:rPr>
          <w:rFonts w:ascii="Times New Roman" w:hAnsi="Times New Roman" w:cs="Times New Roman"/>
          <w:color w:val="000000"/>
          <w:sz w:val="24"/>
          <w:szCs w:val="24"/>
          <w:lang w:val="en-US"/>
        </w:rPr>
        <w:t>Equation (</w:t>
      </w:r>
      <w:r>
        <w:rPr>
          <w:rFonts w:ascii="Times New Roman" w:hAnsi="Times New Roman" w:cs="Times New Roman"/>
          <w:color w:val="000000"/>
          <w:sz w:val="24"/>
          <w:szCs w:val="24"/>
          <w:lang w:val="en-US"/>
        </w:rPr>
        <w:t>3</w:t>
      </w:r>
      <w:r w:rsidRPr="009D75C6">
        <w:rPr>
          <w:rFonts w:ascii="Times New Roman" w:hAnsi="Times New Roman" w:cs="Times New Roman"/>
          <w:color w:val="000000"/>
          <w:sz w:val="24"/>
          <w:szCs w:val="24"/>
          <w:lang w:val="en-US"/>
        </w:rPr>
        <w:t xml:space="preserve">) thus provides the projected </w:t>
      </w:r>
      <w:r>
        <w:rPr>
          <w:rFonts w:ascii="Times New Roman" w:hAnsi="Times New Roman" w:cs="Times New Roman"/>
          <w:color w:val="000000"/>
          <w:sz w:val="24"/>
          <w:szCs w:val="24"/>
          <w:lang w:val="en-US"/>
        </w:rPr>
        <w:t>fraction of primate species</w:t>
      </w:r>
      <w:r w:rsidRPr="009D75C6">
        <w:rPr>
          <w:rFonts w:ascii="Times New Roman" w:hAnsi="Times New Roman" w:cs="Times New Roman"/>
          <w:color w:val="000000"/>
          <w:sz w:val="24"/>
          <w:szCs w:val="24"/>
          <w:lang w:val="en-US"/>
        </w:rPr>
        <w:t xml:space="preserve"> loss caused by a </w:t>
      </w:r>
      <w:proofErr w:type="gramStart"/>
      <w:r w:rsidRPr="009D75C6">
        <w:rPr>
          <w:rFonts w:ascii="Times New Roman" w:hAnsi="Times New Roman" w:cs="Times New Roman"/>
          <w:color w:val="000000"/>
          <w:sz w:val="24"/>
          <w:szCs w:val="24"/>
          <w:lang w:val="en-US"/>
        </w:rPr>
        <w:t>particular land</w:t>
      </w:r>
      <w:proofErr w:type="gramEnd"/>
      <w:r w:rsidRPr="009D75C6">
        <w:rPr>
          <w:rFonts w:ascii="Times New Roman" w:hAnsi="Times New Roman" w:cs="Times New Roman"/>
          <w:color w:val="000000"/>
          <w:sz w:val="24"/>
          <w:szCs w:val="24"/>
          <w:lang w:val="en-US"/>
        </w:rPr>
        <w:t xml:space="preserve"> use in a particular ecoregion. </w:t>
      </w:r>
      <w:r w:rsidRPr="007E22F6">
        <w:rPr>
          <w:rFonts w:ascii="Times New Roman" w:hAnsi="Times New Roman" w:cs="Times New Roman"/>
          <w:color w:val="000000"/>
          <w:sz w:val="24"/>
          <w:szCs w:val="24"/>
          <w:lang w:val="en-US" w:bidi="en-US"/>
        </w:rPr>
        <w:t xml:space="preserve">We </w:t>
      </w:r>
      <w:r>
        <w:rPr>
          <w:rFonts w:ascii="Times New Roman" w:hAnsi="Times New Roman" w:cs="Times New Roman"/>
          <w:color w:val="000000"/>
          <w:sz w:val="24"/>
          <w:szCs w:val="24"/>
          <w:lang w:val="en-US" w:bidi="en-US"/>
        </w:rPr>
        <w:t>then</w:t>
      </w:r>
      <w:r w:rsidRPr="007E22F6">
        <w:rPr>
          <w:rFonts w:ascii="Times New Roman" w:hAnsi="Times New Roman" w:cs="Times New Roman"/>
          <w:color w:val="000000"/>
          <w:sz w:val="24"/>
          <w:szCs w:val="24"/>
          <w:lang w:val="en-US" w:bidi="en-US"/>
        </w:rPr>
        <w:t xml:space="preserve"> calculate the </w:t>
      </w:r>
      <w:r>
        <w:rPr>
          <w:rFonts w:ascii="Times New Roman" w:hAnsi="Times New Roman" w:cs="Times New Roman"/>
          <w:color w:val="000000"/>
          <w:sz w:val="24"/>
          <w:szCs w:val="24"/>
          <w:lang w:val="en-US" w:bidi="en-US"/>
        </w:rPr>
        <w:t xml:space="preserve">fraction of primates </w:t>
      </w:r>
      <w:r>
        <w:rPr>
          <w:rFonts w:ascii="Times New Roman" w:hAnsi="Times New Roman" w:cs="Times New Roman"/>
          <w:color w:val="000000"/>
          <w:sz w:val="24"/>
          <w:szCs w:val="24"/>
          <w:lang w:val="en-US" w:bidi="en-US"/>
        </w:rPr>
        <w:lastRenderedPageBreak/>
        <w:t xml:space="preserve">threatened with extinction </w:t>
      </w:r>
      <w:r w:rsidRPr="007E22F6">
        <w:rPr>
          <w:rFonts w:ascii="Times New Roman" w:hAnsi="Times New Roman" w:cs="Times New Roman"/>
          <w:color w:val="000000"/>
          <w:sz w:val="24"/>
          <w:szCs w:val="24"/>
          <w:lang w:val="en-US" w:bidi="en-US"/>
        </w:rPr>
        <w:t xml:space="preserve">for each of </w:t>
      </w:r>
      <w:r>
        <w:rPr>
          <w:rFonts w:ascii="Times New Roman" w:hAnsi="Times New Roman" w:cs="Times New Roman"/>
          <w:color w:val="000000"/>
          <w:sz w:val="24"/>
          <w:szCs w:val="24"/>
          <w:lang w:val="en-US" w:bidi="en-US"/>
        </w:rPr>
        <w:t>the 61</w:t>
      </w:r>
      <w:r w:rsidRPr="007E22F6">
        <w:rPr>
          <w:rFonts w:ascii="Times New Roman" w:hAnsi="Times New Roman" w:cs="Times New Roman"/>
          <w:color w:val="000000"/>
          <w:sz w:val="24"/>
          <w:szCs w:val="24"/>
          <w:lang w:val="en-US" w:bidi="en-US"/>
        </w:rPr>
        <w:t xml:space="preserve"> countries </w:t>
      </w:r>
      <w:r>
        <w:rPr>
          <w:rFonts w:ascii="Times New Roman" w:hAnsi="Times New Roman" w:cs="Times New Roman"/>
          <w:color w:val="000000"/>
          <w:sz w:val="24"/>
          <w:szCs w:val="24"/>
          <w:lang w:val="en-US" w:bidi="en-US"/>
        </w:rPr>
        <w:t xml:space="preserve">and the contribution of different land use types to the total fractional loss </w:t>
      </w:r>
      <w:r w:rsidRPr="007E22F6">
        <w:rPr>
          <w:rFonts w:ascii="Times New Roman" w:hAnsi="Times New Roman" w:cs="Times New Roman"/>
          <w:color w:val="000000"/>
          <w:sz w:val="24"/>
          <w:szCs w:val="24"/>
          <w:lang w:val="en-US" w:bidi="en-US"/>
        </w:rPr>
        <w:t>based on the share of ecoregion and different land use types within</w:t>
      </w:r>
      <w:r>
        <w:rPr>
          <w:rFonts w:ascii="Times New Roman" w:hAnsi="Times New Roman" w:cs="Times New Roman"/>
          <w:color w:val="000000"/>
          <w:sz w:val="24"/>
          <w:szCs w:val="24"/>
          <w:lang w:val="en-US" w:bidi="en-US"/>
        </w:rPr>
        <w:t xml:space="preserve"> a country (</w:t>
      </w:r>
      <w:r w:rsidRPr="005A2B62">
        <w:rPr>
          <w:rFonts w:ascii="Times New Roman" w:hAnsi="Times New Roman" w:cs="Times New Roman"/>
          <w:i/>
          <w:iCs/>
          <w:color w:val="000000"/>
          <w:sz w:val="24"/>
          <w:szCs w:val="24"/>
          <w:lang w:val="en-US"/>
        </w:rPr>
        <w:t xml:space="preserve">Chaudhary &amp; </w:t>
      </w:r>
      <w:proofErr w:type="spellStart"/>
      <w:r w:rsidRPr="005A2B62">
        <w:rPr>
          <w:rFonts w:ascii="Times New Roman" w:hAnsi="Times New Roman" w:cs="Times New Roman"/>
          <w:i/>
          <w:iCs/>
          <w:color w:val="000000"/>
          <w:sz w:val="24"/>
          <w:szCs w:val="24"/>
          <w:lang w:val="en-US"/>
        </w:rPr>
        <w:t>Mooers</w:t>
      </w:r>
      <w:proofErr w:type="spellEnd"/>
      <w:r w:rsidRPr="005A2B62">
        <w:rPr>
          <w:rFonts w:ascii="Times New Roman" w:hAnsi="Times New Roman" w:cs="Times New Roman"/>
          <w:i/>
          <w:iCs/>
          <w:color w:val="000000"/>
          <w:sz w:val="24"/>
          <w:szCs w:val="24"/>
          <w:lang w:val="en-US"/>
        </w:rPr>
        <w:t>, 2018</w:t>
      </w:r>
      <w:r w:rsidRPr="005A2B62">
        <w:rPr>
          <w:rFonts w:ascii="Times New Roman" w:hAnsi="Times New Roman" w:cs="Times New Roman"/>
          <w:color w:val="000000"/>
          <w:sz w:val="24"/>
          <w:szCs w:val="24"/>
          <w:lang w:val="en-US"/>
        </w:rPr>
        <w:t>).</w:t>
      </w:r>
      <w:r w:rsidRPr="005A2B62">
        <w:rPr>
          <w:rFonts w:ascii="Times New Roman" w:hAnsi="Times New Roman" w:cs="Times New Roman"/>
          <w:i/>
          <w:iCs/>
          <w:color w:val="000000"/>
          <w:sz w:val="24"/>
          <w:szCs w:val="24"/>
          <w:lang w:val="en-US"/>
        </w:rPr>
        <w:t xml:space="preserve"> </w:t>
      </w:r>
      <w:r w:rsidRPr="005A2B62">
        <w:rPr>
          <w:rFonts w:ascii="Times New Roman" w:hAnsi="Times New Roman" w:cs="Times New Roman"/>
          <w:color w:val="000000"/>
          <w:sz w:val="24"/>
          <w:szCs w:val="24"/>
          <w:lang w:val="en-US"/>
        </w:rPr>
        <w:t>See supplementary Table S1 for projected fraction of primates threatened with extinction per country under current and all six future scenarios and supplementary Table S2 for contribution of each of 10 human land use types to total species threatened with extinction.</w:t>
      </w:r>
      <w:r w:rsidR="009610C2">
        <w:rPr>
          <w:rFonts w:ascii="Times New Roman" w:hAnsi="Times New Roman" w:cs="Times New Roman"/>
          <w:color w:val="000000"/>
          <w:sz w:val="24"/>
          <w:szCs w:val="24"/>
          <w:lang w:val="en-US"/>
        </w:rPr>
        <w:t xml:space="preserve"> </w:t>
      </w:r>
    </w:p>
    <w:p w14:paraId="0394C39D" w14:textId="40F262CC" w:rsidR="009610C2" w:rsidRPr="009610C2" w:rsidRDefault="009610C2" w:rsidP="009610C2">
      <w:pPr>
        <w:spacing w:after="120" w:line="240" w:lineRule="auto"/>
        <w:rPr>
          <w:rFonts w:ascii="Times New Roman" w:hAnsi="Times New Roman" w:cs="Times New Roman"/>
          <w:color w:val="000000" w:themeColor="text1"/>
          <w:sz w:val="24"/>
          <w:szCs w:val="20"/>
          <w:lang w:val="en-US"/>
        </w:rPr>
      </w:pPr>
      <w:r w:rsidRPr="009610C2">
        <w:rPr>
          <w:rFonts w:ascii="Times New Roman" w:hAnsi="Times New Roman" w:cs="Times New Roman"/>
          <w:iCs/>
          <w:color w:val="000000" w:themeColor="text1"/>
          <w:sz w:val="24"/>
          <w:szCs w:val="20"/>
          <w:lang w:val="en-US"/>
        </w:rPr>
        <w:t xml:space="preserve">Given land use mix for a particular year (e.g. in 2016 or 2050 or 2100) in a region, the species-area relationship (SAR) provides the predicted number of species 'committed to extinction' (i.e. threatened with extinction) which is equal to the number of species who have already gone extinct plus extinction debt (i.e. number of species whose population is declining and </w:t>
      </w:r>
      <w:proofErr w:type="spellStart"/>
      <w:r w:rsidRPr="009610C2">
        <w:rPr>
          <w:rFonts w:ascii="Times New Roman" w:hAnsi="Times New Roman" w:cs="Times New Roman"/>
          <w:iCs/>
          <w:color w:val="000000" w:themeColor="text1"/>
          <w:sz w:val="24"/>
          <w:szCs w:val="20"/>
          <w:lang w:val="en-US"/>
        </w:rPr>
        <w:t>its</w:t>
      </w:r>
      <w:proofErr w:type="spellEnd"/>
      <w:r w:rsidRPr="009610C2">
        <w:rPr>
          <w:rFonts w:ascii="Times New Roman" w:hAnsi="Times New Roman" w:cs="Times New Roman"/>
          <w:iCs/>
          <w:color w:val="000000" w:themeColor="text1"/>
          <w:sz w:val="24"/>
          <w:szCs w:val="20"/>
          <w:lang w:val="en-US"/>
        </w:rPr>
        <w:t xml:space="preserve"> just a matter of time before they will go extinct because there isn't enough habitat available for sustaining their population). The SAR model predicts the equilibrium species richness (i.e. number of species that will remain if the habitat loss ceases at current levels). The SAR cannot predict the timing of extinctions, the sequence of extinctions, or how many species have already gone extinct (Chaudhary &amp; Brooks, 2017). Subtracting the SAR predicted estimates for two years (e.g. 2016 and 2050) will indicate the increase in the number of species threatened with extinction but cannot indicate how many of these species have already succumbed to extinction. For this reason, the SAR estimates have a value because they can flag regions where a high number of extinctions are expected in near future and thus there is a 'window of conservation opportunity' (see </w:t>
      </w:r>
      <w:proofErr w:type="spellStart"/>
      <w:r w:rsidRPr="009610C2">
        <w:rPr>
          <w:rFonts w:ascii="Times New Roman" w:hAnsi="Times New Roman" w:cs="Times New Roman"/>
          <w:iCs/>
          <w:color w:val="000000" w:themeColor="text1"/>
          <w:sz w:val="24"/>
          <w:szCs w:val="20"/>
          <w:lang w:val="en-US"/>
        </w:rPr>
        <w:t>Wearn</w:t>
      </w:r>
      <w:proofErr w:type="spellEnd"/>
      <w:r w:rsidRPr="009610C2">
        <w:rPr>
          <w:rFonts w:ascii="Times New Roman" w:hAnsi="Times New Roman" w:cs="Times New Roman"/>
          <w:iCs/>
          <w:color w:val="000000" w:themeColor="text1"/>
          <w:sz w:val="24"/>
          <w:szCs w:val="20"/>
          <w:lang w:val="en-US"/>
        </w:rPr>
        <w:t xml:space="preserve"> et al. 2012). Also, note that SARs only model the extinctions due to land use change (habitat loss) and do not model the extinctions due to climate change, hunting, capture for the pet trade, or infectious disease</w:t>
      </w:r>
      <w:r w:rsidRPr="009610C2">
        <w:rPr>
          <w:rFonts w:ascii="Times New Roman" w:hAnsi="Times New Roman" w:cs="Times New Roman"/>
          <w:color w:val="000000" w:themeColor="text1"/>
          <w:sz w:val="24"/>
          <w:szCs w:val="20"/>
          <w:lang w:val="en-US"/>
        </w:rPr>
        <w:t>.</w:t>
      </w:r>
    </w:p>
    <w:p w14:paraId="77893648" w14:textId="77777777" w:rsidR="005A2B62" w:rsidRPr="005A2B62" w:rsidRDefault="005A2B62" w:rsidP="005A2B62">
      <w:pPr>
        <w:spacing w:after="120" w:line="240" w:lineRule="auto"/>
        <w:rPr>
          <w:rFonts w:ascii="Times New Roman" w:hAnsi="Times New Roman" w:cs="Times New Roman"/>
          <w:color w:val="000000"/>
          <w:szCs w:val="24"/>
          <w:lang w:val="en-US"/>
        </w:rPr>
      </w:pPr>
    </w:p>
    <w:p w14:paraId="65F469A1" w14:textId="77777777" w:rsidR="005A2B62" w:rsidRPr="00474B69" w:rsidRDefault="005A2B62" w:rsidP="005A2B62">
      <w:pPr>
        <w:spacing w:after="120" w:line="240" w:lineRule="auto"/>
        <w:rPr>
          <w:rFonts w:ascii="Times New Roman" w:hAnsi="Times New Roman" w:cs="Times New Roman"/>
          <w:b/>
          <w:sz w:val="24"/>
          <w:szCs w:val="24"/>
          <w:lang w:val="en-US"/>
        </w:rPr>
      </w:pPr>
      <w:r w:rsidRPr="00474B69">
        <w:rPr>
          <w:rFonts w:ascii="Times New Roman" w:hAnsi="Times New Roman" w:cs="Times New Roman"/>
          <w:b/>
          <w:sz w:val="24"/>
          <w:szCs w:val="24"/>
          <w:lang w:val="en-US"/>
        </w:rPr>
        <w:t>References</w:t>
      </w:r>
    </w:p>
    <w:p w14:paraId="6C8540E5" w14:textId="77777777" w:rsidR="005A2B62" w:rsidRPr="00474B69" w:rsidRDefault="005A2B62" w:rsidP="009610C2">
      <w:pPr>
        <w:spacing w:after="120" w:line="240" w:lineRule="auto"/>
        <w:rPr>
          <w:rFonts w:ascii="Times New Roman" w:hAnsi="Times New Roman" w:cs="Times New Roman"/>
          <w:bCs/>
          <w:sz w:val="24"/>
          <w:szCs w:val="24"/>
          <w:lang w:val="en-US"/>
        </w:rPr>
      </w:pPr>
      <w:r w:rsidRPr="009610C2">
        <w:rPr>
          <w:rFonts w:ascii="Times New Roman" w:hAnsi="Times New Roman" w:cs="Times New Roman"/>
          <w:sz w:val="24"/>
          <w:szCs w:val="24"/>
          <w:shd w:val="clear" w:color="auto" w:fill="FFFFFF"/>
          <w:lang w:val="en-US"/>
        </w:rPr>
        <w:t>Chaudhary, A. and Brooks, T.M., 2017. National consumption and global trade impacts on biodiversity. </w:t>
      </w:r>
      <w:r w:rsidRPr="00474B69">
        <w:rPr>
          <w:rFonts w:ascii="Times New Roman" w:hAnsi="Times New Roman" w:cs="Times New Roman"/>
          <w:i/>
          <w:iCs/>
          <w:sz w:val="24"/>
          <w:szCs w:val="24"/>
          <w:shd w:val="clear" w:color="auto" w:fill="FFFFFF"/>
          <w:lang w:val="en-US"/>
        </w:rPr>
        <w:t>World Development</w:t>
      </w:r>
      <w:r w:rsidRPr="00474B69">
        <w:rPr>
          <w:rFonts w:ascii="Times New Roman" w:hAnsi="Times New Roman" w:cs="Times New Roman"/>
          <w:sz w:val="24"/>
          <w:szCs w:val="24"/>
          <w:shd w:val="clear" w:color="auto" w:fill="FFFFFF"/>
          <w:lang w:val="en-US"/>
        </w:rPr>
        <w:t xml:space="preserve">. </w:t>
      </w:r>
      <w:hyperlink r:id="rId11" w:history="1">
        <w:r w:rsidRPr="00474B69">
          <w:rPr>
            <w:rStyle w:val="Hyperlink"/>
            <w:rFonts w:ascii="Times New Roman" w:hAnsi="Times New Roman" w:cs="Times New Roman"/>
            <w:color w:val="auto"/>
            <w:sz w:val="24"/>
            <w:szCs w:val="24"/>
            <w:lang w:val="en-US"/>
          </w:rPr>
          <w:t>https://doi.org/</w:t>
        </w:r>
        <w:r w:rsidRPr="00474B69">
          <w:rPr>
            <w:rStyle w:val="Hyperlink"/>
            <w:rFonts w:ascii="Times New Roman" w:hAnsi="Times New Roman" w:cs="Times New Roman"/>
            <w:bCs/>
            <w:color w:val="auto"/>
            <w:sz w:val="24"/>
            <w:szCs w:val="24"/>
            <w:lang w:val="en-US"/>
          </w:rPr>
          <w:t>10.1016</w:t>
        </w:r>
        <w:r w:rsidRPr="00474B69">
          <w:rPr>
            <w:rStyle w:val="Hyperlink"/>
            <w:rFonts w:ascii="Times New Roman" w:hAnsi="Times New Roman" w:cs="Times New Roman"/>
            <w:color w:val="auto"/>
            <w:sz w:val="24"/>
            <w:szCs w:val="24"/>
            <w:lang w:val="en-US"/>
          </w:rPr>
          <w:t>/</w:t>
        </w:r>
        <w:r w:rsidRPr="00474B69">
          <w:rPr>
            <w:rStyle w:val="Hyperlink"/>
            <w:rFonts w:ascii="Times New Roman" w:hAnsi="Times New Roman" w:cs="Times New Roman"/>
            <w:bCs/>
            <w:color w:val="auto"/>
            <w:sz w:val="24"/>
            <w:szCs w:val="24"/>
            <w:lang w:val="en-US"/>
          </w:rPr>
          <w:t>j</w:t>
        </w:r>
        <w:r w:rsidRPr="00474B69">
          <w:rPr>
            <w:rStyle w:val="Hyperlink"/>
            <w:rFonts w:ascii="Times New Roman" w:hAnsi="Times New Roman" w:cs="Times New Roman"/>
            <w:color w:val="auto"/>
            <w:sz w:val="24"/>
            <w:szCs w:val="24"/>
            <w:lang w:val="en-US"/>
          </w:rPr>
          <w:t>.</w:t>
        </w:r>
        <w:r w:rsidRPr="00474B69">
          <w:rPr>
            <w:rStyle w:val="Hyperlink"/>
            <w:rFonts w:ascii="Times New Roman" w:hAnsi="Times New Roman" w:cs="Times New Roman"/>
            <w:bCs/>
            <w:color w:val="auto"/>
            <w:sz w:val="24"/>
            <w:szCs w:val="24"/>
            <w:lang w:val="en-US"/>
          </w:rPr>
          <w:t>worlddev</w:t>
        </w:r>
        <w:r w:rsidRPr="00474B69">
          <w:rPr>
            <w:rStyle w:val="Hyperlink"/>
            <w:rFonts w:ascii="Times New Roman" w:hAnsi="Times New Roman" w:cs="Times New Roman"/>
            <w:color w:val="auto"/>
            <w:sz w:val="24"/>
            <w:szCs w:val="24"/>
            <w:lang w:val="en-US"/>
          </w:rPr>
          <w:t>.</w:t>
        </w:r>
        <w:r w:rsidRPr="00474B69">
          <w:rPr>
            <w:rStyle w:val="Hyperlink"/>
            <w:rFonts w:ascii="Times New Roman" w:hAnsi="Times New Roman" w:cs="Times New Roman"/>
            <w:bCs/>
            <w:color w:val="auto"/>
            <w:sz w:val="24"/>
            <w:szCs w:val="24"/>
            <w:lang w:val="en-US"/>
          </w:rPr>
          <w:t>2017.10.012</w:t>
        </w:r>
      </w:hyperlink>
      <w:r w:rsidRPr="00474B69">
        <w:rPr>
          <w:rFonts w:ascii="Times New Roman" w:hAnsi="Times New Roman" w:cs="Times New Roman"/>
          <w:bCs/>
          <w:sz w:val="24"/>
          <w:szCs w:val="24"/>
          <w:lang w:val="en-US"/>
        </w:rPr>
        <w:t xml:space="preserve"> </w:t>
      </w:r>
    </w:p>
    <w:p w14:paraId="4F177140" w14:textId="77777777" w:rsidR="005A2B62" w:rsidRPr="00474B69" w:rsidRDefault="005A2B62" w:rsidP="009610C2">
      <w:pPr>
        <w:spacing w:after="120" w:line="240" w:lineRule="auto"/>
        <w:rPr>
          <w:rFonts w:ascii="Times New Roman" w:hAnsi="Times New Roman" w:cs="Times New Roman"/>
          <w:bCs/>
          <w:sz w:val="24"/>
          <w:szCs w:val="24"/>
          <w:lang w:val="en-US"/>
        </w:rPr>
      </w:pPr>
      <w:r w:rsidRPr="009610C2">
        <w:rPr>
          <w:rFonts w:ascii="Times New Roman" w:hAnsi="Times New Roman" w:cs="Times New Roman"/>
          <w:bCs/>
          <w:sz w:val="24"/>
          <w:szCs w:val="24"/>
          <w:lang w:val="en-US"/>
        </w:rPr>
        <w:t xml:space="preserve">IUCN, 2019. International Union for Conservation of Nature. The IUCN Red List of Threatened Species. </w:t>
      </w:r>
      <w:r w:rsidRPr="00474B69">
        <w:rPr>
          <w:rFonts w:ascii="Times New Roman" w:hAnsi="Times New Roman" w:cs="Times New Roman"/>
          <w:bCs/>
          <w:sz w:val="24"/>
          <w:szCs w:val="24"/>
          <w:lang w:val="en-US"/>
        </w:rPr>
        <w:t xml:space="preserve">Version 2018-2. </w:t>
      </w:r>
      <w:hyperlink r:id="rId12" w:history="1">
        <w:r w:rsidRPr="00474B69">
          <w:rPr>
            <w:rStyle w:val="Hyperlink"/>
            <w:rFonts w:ascii="Times New Roman" w:hAnsi="Times New Roman" w:cs="Times New Roman"/>
            <w:bCs/>
            <w:sz w:val="24"/>
            <w:szCs w:val="24"/>
            <w:lang w:val="en-US"/>
          </w:rPr>
          <w:t>http://www.iucnredlist.org</w:t>
        </w:r>
      </w:hyperlink>
      <w:r w:rsidRPr="00474B69">
        <w:rPr>
          <w:rFonts w:ascii="Times New Roman" w:hAnsi="Times New Roman" w:cs="Times New Roman"/>
          <w:bCs/>
          <w:sz w:val="24"/>
          <w:szCs w:val="24"/>
          <w:lang w:val="en-US"/>
        </w:rPr>
        <w:t xml:space="preserve"> </w:t>
      </w:r>
    </w:p>
    <w:p w14:paraId="516078FE" w14:textId="77777777" w:rsidR="005A2B62" w:rsidRPr="009610C2" w:rsidRDefault="005A2B62" w:rsidP="009610C2">
      <w:pPr>
        <w:spacing w:after="120" w:line="240" w:lineRule="auto"/>
        <w:rPr>
          <w:rFonts w:ascii="Times New Roman" w:hAnsi="Times New Roman" w:cs="Times New Roman"/>
          <w:bCs/>
          <w:sz w:val="24"/>
          <w:szCs w:val="24"/>
          <w:lang w:val="en-US"/>
        </w:rPr>
      </w:pPr>
      <w:r w:rsidRPr="009610C2">
        <w:rPr>
          <w:rFonts w:ascii="Times New Roman" w:hAnsi="Times New Roman" w:cs="Times New Roman"/>
          <w:bCs/>
          <w:sz w:val="24"/>
          <w:szCs w:val="24"/>
          <w:lang w:val="en-US"/>
        </w:rPr>
        <w:t xml:space="preserve">IUCN (2015). International union for conservation of nature. Habitat Classification Scheme Version, </w:t>
      </w:r>
      <w:r w:rsidRPr="009610C2">
        <w:rPr>
          <w:rFonts w:ascii="Times New Roman" w:hAnsi="Times New Roman" w:cs="Times New Roman"/>
          <w:bCs/>
          <w:i/>
          <w:sz w:val="24"/>
          <w:szCs w:val="24"/>
          <w:lang w:val="en-US"/>
        </w:rPr>
        <w:t>3</w:t>
      </w:r>
      <w:r w:rsidRPr="009610C2">
        <w:rPr>
          <w:rFonts w:ascii="Times New Roman" w:hAnsi="Times New Roman" w:cs="Times New Roman"/>
          <w:bCs/>
          <w:sz w:val="24"/>
          <w:szCs w:val="24"/>
          <w:lang w:val="en-US"/>
        </w:rPr>
        <w:t xml:space="preserve">, 1 </w:t>
      </w:r>
      <w:hyperlink r:id="rId13" w:history="1">
        <w:r w:rsidRPr="009610C2">
          <w:rPr>
            <w:rStyle w:val="Hyperlink"/>
            <w:rFonts w:ascii="Times New Roman" w:hAnsi="Times New Roman" w:cs="Times New Roman"/>
            <w:bCs/>
            <w:sz w:val="24"/>
            <w:szCs w:val="24"/>
            <w:lang w:val="en-US"/>
          </w:rPr>
          <w:t>http://www.iucnredlist.org/technical-documents/classification-schemes/habitats-classification-scheme-ver3</w:t>
        </w:r>
      </w:hyperlink>
      <w:r w:rsidRPr="009610C2">
        <w:rPr>
          <w:rFonts w:ascii="Times New Roman" w:hAnsi="Times New Roman" w:cs="Times New Roman"/>
          <w:bCs/>
          <w:sz w:val="24"/>
          <w:szCs w:val="24"/>
          <w:lang w:val="en-US"/>
        </w:rPr>
        <w:t xml:space="preserve"> </w:t>
      </w:r>
    </w:p>
    <w:p w14:paraId="7D0E92D1" w14:textId="77777777" w:rsidR="005A2B62" w:rsidRPr="00474B69" w:rsidRDefault="005A2B62" w:rsidP="009610C2">
      <w:pPr>
        <w:spacing w:after="120" w:line="240" w:lineRule="auto"/>
        <w:rPr>
          <w:rFonts w:ascii="Times New Roman" w:hAnsi="Times New Roman" w:cs="Times New Roman"/>
          <w:bCs/>
          <w:sz w:val="24"/>
          <w:szCs w:val="24"/>
          <w:lang w:val="en-US"/>
        </w:rPr>
      </w:pPr>
      <w:r w:rsidRPr="009610C2">
        <w:rPr>
          <w:rFonts w:ascii="Times New Roman" w:hAnsi="Times New Roman" w:cs="Times New Roman"/>
          <w:bCs/>
          <w:sz w:val="24"/>
          <w:szCs w:val="24"/>
          <w:lang w:val="en-US"/>
        </w:rPr>
        <w:t xml:space="preserve">Chaudhary, A. and </w:t>
      </w:r>
      <w:proofErr w:type="spellStart"/>
      <w:r w:rsidRPr="009610C2">
        <w:rPr>
          <w:rFonts w:ascii="Times New Roman" w:hAnsi="Times New Roman" w:cs="Times New Roman"/>
          <w:bCs/>
          <w:sz w:val="24"/>
          <w:szCs w:val="24"/>
          <w:lang w:val="en-US"/>
        </w:rPr>
        <w:t>Mooers</w:t>
      </w:r>
      <w:proofErr w:type="spellEnd"/>
      <w:r w:rsidRPr="009610C2">
        <w:rPr>
          <w:rFonts w:ascii="Times New Roman" w:hAnsi="Times New Roman" w:cs="Times New Roman"/>
          <w:bCs/>
          <w:sz w:val="24"/>
          <w:szCs w:val="24"/>
          <w:lang w:val="en-US"/>
        </w:rPr>
        <w:t>, A., 2018. Terrestrial Vertebrate Biodiversity Loss under Future Global Land Use Change Scenarios. </w:t>
      </w:r>
      <w:r w:rsidRPr="00474B69">
        <w:rPr>
          <w:rFonts w:ascii="Times New Roman" w:hAnsi="Times New Roman" w:cs="Times New Roman"/>
          <w:bCs/>
          <w:i/>
          <w:iCs/>
          <w:sz w:val="24"/>
          <w:szCs w:val="24"/>
          <w:lang w:val="en-US"/>
        </w:rPr>
        <w:t>Sustainability</w:t>
      </w:r>
      <w:r w:rsidRPr="00474B69">
        <w:rPr>
          <w:rFonts w:ascii="Times New Roman" w:hAnsi="Times New Roman" w:cs="Times New Roman"/>
          <w:bCs/>
          <w:sz w:val="24"/>
          <w:szCs w:val="24"/>
          <w:lang w:val="en-US"/>
        </w:rPr>
        <w:t>, </w:t>
      </w:r>
      <w:r w:rsidRPr="00474B69">
        <w:rPr>
          <w:rFonts w:ascii="Times New Roman" w:hAnsi="Times New Roman" w:cs="Times New Roman"/>
          <w:bCs/>
          <w:i/>
          <w:iCs/>
          <w:sz w:val="24"/>
          <w:szCs w:val="24"/>
          <w:lang w:val="en-US"/>
        </w:rPr>
        <w:t>10</w:t>
      </w:r>
      <w:r w:rsidRPr="00474B69">
        <w:rPr>
          <w:rFonts w:ascii="Times New Roman" w:hAnsi="Times New Roman" w:cs="Times New Roman"/>
          <w:bCs/>
          <w:sz w:val="24"/>
          <w:szCs w:val="24"/>
          <w:lang w:val="en-US"/>
        </w:rPr>
        <w:t>(8), 2764.</w:t>
      </w:r>
    </w:p>
    <w:p w14:paraId="3323675E" w14:textId="77777777" w:rsidR="005A2B62" w:rsidRPr="009610C2" w:rsidRDefault="005A2B62" w:rsidP="009610C2">
      <w:pPr>
        <w:spacing w:after="120" w:line="240" w:lineRule="auto"/>
        <w:rPr>
          <w:rFonts w:ascii="Times New Roman" w:hAnsi="Times New Roman" w:cs="Times New Roman"/>
          <w:bCs/>
          <w:sz w:val="24"/>
          <w:szCs w:val="24"/>
          <w:lang w:val="en-US"/>
        </w:rPr>
      </w:pPr>
      <w:r w:rsidRPr="009610C2">
        <w:rPr>
          <w:rFonts w:ascii="Times New Roman" w:hAnsi="Times New Roman" w:cs="Times New Roman"/>
          <w:bCs/>
          <w:sz w:val="24"/>
          <w:szCs w:val="24"/>
          <w:lang w:val="en-US"/>
        </w:rPr>
        <w:t xml:space="preserve">Hurtt, G.; </w:t>
      </w:r>
      <w:proofErr w:type="spellStart"/>
      <w:r w:rsidRPr="009610C2">
        <w:rPr>
          <w:rFonts w:ascii="Times New Roman" w:hAnsi="Times New Roman" w:cs="Times New Roman"/>
          <w:bCs/>
          <w:sz w:val="24"/>
          <w:szCs w:val="24"/>
          <w:lang w:val="en-US"/>
        </w:rPr>
        <w:t>Chini</w:t>
      </w:r>
      <w:proofErr w:type="spellEnd"/>
      <w:r w:rsidRPr="009610C2">
        <w:rPr>
          <w:rFonts w:ascii="Times New Roman" w:hAnsi="Times New Roman" w:cs="Times New Roman"/>
          <w:bCs/>
          <w:sz w:val="24"/>
          <w:szCs w:val="24"/>
          <w:lang w:val="en-US"/>
        </w:rPr>
        <w:t xml:space="preserve">, L.; </w:t>
      </w:r>
      <w:proofErr w:type="spellStart"/>
      <w:r w:rsidRPr="009610C2">
        <w:rPr>
          <w:rFonts w:ascii="Times New Roman" w:hAnsi="Times New Roman" w:cs="Times New Roman"/>
          <w:bCs/>
          <w:sz w:val="24"/>
          <w:szCs w:val="24"/>
          <w:lang w:val="en-US"/>
        </w:rPr>
        <w:t>Sahajpal</w:t>
      </w:r>
      <w:proofErr w:type="spellEnd"/>
      <w:r w:rsidRPr="009610C2">
        <w:rPr>
          <w:rFonts w:ascii="Times New Roman" w:hAnsi="Times New Roman" w:cs="Times New Roman"/>
          <w:bCs/>
          <w:sz w:val="24"/>
          <w:szCs w:val="24"/>
          <w:lang w:val="en-US"/>
        </w:rPr>
        <w:t xml:space="preserve">, R.; </w:t>
      </w:r>
      <w:proofErr w:type="spellStart"/>
      <w:r w:rsidRPr="009610C2">
        <w:rPr>
          <w:rFonts w:ascii="Times New Roman" w:hAnsi="Times New Roman" w:cs="Times New Roman"/>
          <w:bCs/>
          <w:sz w:val="24"/>
          <w:szCs w:val="24"/>
          <w:lang w:val="en-US"/>
        </w:rPr>
        <w:t>Frolking</w:t>
      </w:r>
      <w:proofErr w:type="spellEnd"/>
      <w:r w:rsidRPr="009610C2">
        <w:rPr>
          <w:rFonts w:ascii="Times New Roman" w:hAnsi="Times New Roman" w:cs="Times New Roman"/>
          <w:bCs/>
          <w:sz w:val="24"/>
          <w:szCs w:val="24"/>
          <w:lang w:val="en-US"/>
        </w:rPr>
        <w:t xml:space="preserve">, S.; Calvin, K.; Fujimori, S.; Klein </w:t>
      </w:r>
      <w:proofErr w:type="spellStart"/>
      <w:r w:rsidRPr="009610C2">
        <w:rPr>
          <w:rFonts w:ascii="Times New Roman" w:hAnsi="Times New Roman" w:cs="Times New Roman"/>
          <w:bCs/>
          <w:sz w:val="24"/>
          <w:szCs w:val="24"/>
          <w:lang w:val="en-US"/>
        </w:rPr>
        <w:t>Goldewijk</w:t>
      </w:r>
      <w:proofErr w:type="spellEnd"/>
      <w:r w:rsidRPr="009610C2">
        <w:rPr>
          <w:rFonts w:ascii="Times New Roman" w:hAnsi="Times New Roman" w:cs="Times New Roman"/>
          <w:bCs/>
          <w:sz w:val="24"/>
          <w:szCs w:val="24"/>
          <w:lang w:val="en-US"/>
        </w:rPr>
        <w:t xml:space="preserve">, K.; Hasegawa, T.; </w:t>
      </w:r>
      <w:proofErr w:type="spellStart"/>
      <w:r w:rsidRPr="009610C2">
        <w:rPr>
          <w:rFonts w:ascii="Times New Roman" w:hAnsi="Times New Roman" w:cs="Times New Roman"/>
          <w:bCs/>
          <w:sz w:val="24"/>
          <w:szCs w:val="24"/>
          <w:lang w:val="en-US"/>
        </w:rPr>
        <w:t>Havlik</w:t>
      </w:r>
      <w:proofErr w:type="spellEnd"/>
      <w:r w:rsidRPr="009610C2">
        <w:rPr>
          <w:rFonts w:ascii="Times New Roman" w:hAnsi="Times New Roman" w:cs="Times New Roman"/>
          <w:bCs/>
          <w:sz w:val="24"/>
          <w:szCs w:val="24"/>
          <w:lang w:val="en-US"/>
        </w:rPr>
        <w:t xml:space="preserve">, P.; Heinemann, A.; et al. Harmonization of global land-use change and management for the period 850–2100. </w:t>
      </w:r>
      <w:proofErr w:type="spellStart"/>
      <w:r w:rsidRPr="009610C2">
        <w:rPr>
          <w:rFonts w:ascii="Times New Roman" w:hAnsi="Times New Roman" w:cs="Times New Roman"/>
          <w:bCs/>
          <w:i/>
          <w:iCs/>
          <w:sz w:val="24"/>
          <w:szCs w:val="24"/>
          <w:lang w:val="en-US"/>
        </w:rPr>
        <w:t>Geosci</w:t>
      </w:r>
      <w:proofErr w:type="spellEnd"/>
      <w:r w:rsidRPr="009610C2">
        <w:rPr>
          <w:rFonts w:ascii="Times New Roman" w:hAnsi="Times New Roman" w:cs="Times New Roman"/>
          <w:bCs/>
          <w:i/>
          <w:iCs/>
          <w:sz w:val="24"/>
          <w:szCs w:val="24"/>
          <w:lang w:val="en-US"/>
        </w:rPr>
        <w:t>. Model Dev</w:t>
      </w:r>
      <w:r w:rsidRPr="009610C2">
        <w:rPr>
          <w:rFonts w:ascii="Times New Roman" w:hAnsi="Times New Roman" w:cs="Times New Roman"/>
          <w:bCs/>
          <w:sz w:val="24"/>
          <w:szCs w:val="24"/>
          <w:lang w:val="en-US"/>
        </w:rPr>
        <w:t xml:space="preserve">. (in preparation). Available online: </w:t>
      </w:r>
      <w:hyperlink r:id="rId14" w:history="1">
        <w:r w:rsidRPr="009610C2">
          <w:rPr>
            <w:rStyle w:val="Hyperlink"/>
            <w:rFonts w:ascii="Times New Roman" w:hAnsi="Times New Roman" w:cs="Times New Roman"/>
            <w:bCs/>
            <w:sz w:val="24"/>
            <w:szCs w:val="24"/>
            <w:lang w:val="en-US"/>
          </w:rPr>
          <w:t>http://luh.umd.edu/data.shtml</w:t>
        </w:r>
      </w:hyperlink>
      <w:r w:rsidRPr="009610C2">
        <w:rPr>
          <w:rFonts w:ascii="Times New Roman" w:hAnsi="Times New Roman" w:cs="Times New Roman"/>
          <w:bCs/>
          <w:sz w:val="24"/>
          <w:szCs w:val="24"/>
          <w:lang w:val="en-US"/>
        </w:rPr>
        <w:t xml:space="preserve"> (accessed on 2 December 2018). </w:t>
      </w:r>
    </w:p>
    <w:p w14:paraId="70415C55" w14:textId="77777777" w:rsidR="005A2B62" w:rsidRPr="00474B69" w:rsidRDefault="005A2B62" w:rsidP="009610C2">
      <w:pPr>
        <w:spacing w:after="120" w:line="240" w:lineRule="auto"/>
        <w:rPr>
          <w:rFonts w:ascii="Times New Roman" w:hAnsi="Times New Roman" w:cs="Times New Roman"/>
          <w:bCs/>
          <w:sz w:val="24"/>
          <w:szCs w:val="24"/>
          <w:lang w:val="en-US"/>
        </w:rPr>
      </w:pPr>
      <w:proofErr w:type="spellStart"/>
      <w:r w:rsidRPr="009610C2">
        <w:rPr>
          <w:rFonts w:ascii="Times New Roman" w:hAnsi="Times New Roman" w:cs="Times New Roman"/>
          <w:bCs/>
          <w:sz w:val="24"/>
          <w:szCs w:val="24"/>
          <w:lang w:val="en-US"/>
        </w:rPr>
        <w:t>Drakare</w:t>
      </w:r>
      <w:proofErr w:type="spellEnd"/>
      <w:r w:rsidRPr="009610C2">
        <w:rPr>
          <w:rFonts w:ascii="Times New Roman" w:hAnsi="Times New Roman" w:cs="Times New Roman"/>
          <w:bCs/>
          <w:sz w:val="24"/>
          <w:szCs w:val="24"/>
          <w:lang w:val="en-US"/>
        </w:rPr>
        <w:t xml:space="preserve">, S.; Lennon, J.J.; Hillebrand, H. The imprint of the geographical, evolutionary and ecological context on species—Area relationships. </w:t>
      </w:r>
      <w:r w:rsidRPr="00474B69">
        <w:rPr>
          <w:rFonts w:ascii="Times New Roman" w:hAnsi="Times New Roman" w:cs="Times New Roman"/>
          <w:bCs/>
          <w:i/>
          <w:iCs/>
          <w:sz w:val="24"/>
          <w:szCs w:val="24"/>
          <w:lang w:val="en-US"/>
        </w:rPr>
        <w:t>Ecol. Lett.</w:t>
      </w:r>
      <w:r w:rsidRPr="00474B69">
        <w:rPr>
          <w:rFonts w:ascii="Times New Roman" w:hAnsi="Times New Roman" w:cs="Times New Roman"/>
          <w:bCs/>
          <w:sz w:val="24"/>
          <w:szCs w:val="24"/>
          <w:lang w:val="en-US"/>
        </w:rPr>
        <w:t xml:space="preserve"> 2006, 9, 215–227.</w:t>
      </w:r>
    </w:p>
    <w:p w14:paraId="16802B42" w14:textId="77777777" w:rsidR="005A2B62" w:rsidRPr="009610C2" w:rsidRDefault="005A2B62" w:rsidP="009610C2">
      <w:pPr>
        <w:spacing w:after="120" w:line="240" w:lineRule="auto"/>
        <w:rPr>
          <w:rFonts w:ascii="Times New Roman" w:hAnsi="Times New Roman" w:cs="Times New Roman"/>
          <w:bCs/>
          <w:sz w:val="24"/>
          <w:szCs w:val="24"/>
          <w:lang w:val="en-US"/>
        </w:rPr>
      </w:pPr>
      <w:r w:rsidRPr="00474B69">
        <w:rPr>
          <w:rFonts w:ascii="Times New Roman" w:hAnsi="Times New Roman" w:cs="Times New Roman"/>
          <w:bCs/>
          <w:sz w:val="24"/>
          <w:szCs w:val="24"/>
          <w:lang w:val="en-US"/>
        </w:rPr>
        <w:lastRenderedPageBreak/>
        <w:t xml:space="preserve">Popp, A.; Calvin, K.; Fujimori, S.; </w:t>
      </w:r>
      <w:proofErr w:type="spellStart"/>
      <w:r w:rsidRPr="00474B69">
        <w:rPr>
          <w:rFonts w:ascii="Times New Roman" w:hAnsi="Times New Roman" w:cs="Times New Roman"/>
          <w:bCs/>
          <w:sz w:val="24"/>
          <w:szCs w:val="24"/>
          <w:lang w:val="en-US"/>
        </w:rPr>
        <w:t>Havlik</w:t>
      </w:r>
      <w:proofErr w:type="spellEnd"/>
      <w:r w:rsidRPr="00474B69">
        <w:rPr>
          <w:rFonts w:ascii="Times New Roman" w:hAnsi="Times New Roman" w:cs="Times New Roman"/>
          <w:bCs/>
          <w:sz w:val="24"/>
          <w:szCs w:val="24"/>
          <w:lang w:val="en-US"/>
        </w:rPr>
        <w:t xml:space="preserve">, P.; </w:t>
      </w:r>
      <w:proofErr w:type="spellStart"/>
      <w:r w:rsidRPr="00474B69">
        <w:rPr>
          <w:rFonts w:ascii="Times New Roman" w:hAnsi="Times New Roman" w:cs="Times New Roman"/>
          <w:bCs/>
          <w:sz w:val="24"/>
          <w:szCs w:val="24"/>
          <w:lang w:val="en-US"/>
        </w:rPr>
        <w:t>Humpenöder</w:t>
      </w:r>
      <w:proofErr w:type="spellEnd"/>
      <w:r w:rsidRPr="00474B69">
        <w:rPr>
          <w:rFonts w:ascii="Times New Roman" w:hAnsi="Times New Roman" w:cs="Times New Roman"/>
          <w:bCs/>
          <w:sz w:val="24"/>
          <w:szCs w:val="24"/>
          <w:lang w:val="en-US"/>
        </w:rPr>
        <w:t xml:space="preserve">, F.; </w:t>
      </w:r>
      <w:proofErr w:type="spellStart"/>
      <w:r w:rsidRPr="00474B69">
        <w:rPr>
          <w:rFonts w:ascii="Times New Roman" w:hAnsi="Times New Roman" w:cs="Times New Roman"/>
          <w:bCs/>
          <w:sz w:val="24"/>
          <w:szCs w:val="24"/>
          <w:lang w:val="en-US"/>
        </w:rPr>
        <w:t>Stehfest</w:t>
      </w:r>
      <w:proofErr w:type="spellEnd"/>
      <w:r w:rsidRPr="00474B69">
        <w:rPr>
          <w:rFonts w:ascii="Times New Roman" w:hAnsi="Times New Roman" w:cs="Times New Roman"/>
          <w:bCs/>
          <w:sz w:val="24"/>
          <w:szCs w:val="24"/>
          <w:lang w:val="en-US"/>
        </w:rPr>
        <w:t xml:space="preserve">, E.; </w:t>
      </w:r>
      <w:proofErr w:type="spellStart"/>
      <w:r w:rsidRPr="00474B69">
        <w:rPr>
          <w:rFonts w:ascii="Times New Roman" w:hAnsi="Times New Roman" w:cs="Times New Roman"/>
          <w:bCs/>
          <w:sz w:val="24"/>
          <w:szCs w:val="24"/>
          <w:lang w:val="en-US"/>
        </w:rPr>
        <w:t>Bodirsky</w:t>
      </w:r>
      <w:proofErr w:type="spellEnd"/>
      <w:r w:rsidRPr="00474B69">
        <w:rPr>
          <w:rFonts w:ascii="Times New Roman" w:hAnsi="Times New Roman" w:cs="Times New Roman"/>
          <w:bCs/>
          <w:sz w:val="24"/>
          <w:szCs w:val="24"/>
          <w:lang w:val="en-US"/>
        </w:rPr>
        <w:t xml:space="preserve">, B.L.; Dietrich, J.P.; </w:t>
      </w:r>
      <w:proofErr w:type="spellStart"/>
      <w:r w:rsidRPr="00474B69">
        <w:rPr>
          <w:rFonts w:ascii="Times New Roman" w:hAnsi="Times New Roman" w:cs="Times New Roman"/>
          <w:bCs/>
          <w:sz w:val="24"/>
          <w:szCs w:val="24"/>
          <w:lang w:val="en-US"/>
        </w:rPr>
        <w:t>Doelmann</w:t>
      </w:r>
      <w:proofErr w:type="spellEnd"/>
      <w:r w:rsidRPr="00474B69">
        <w:rPr>
          <w:rFonts w:ascii="Times New Roman" w:hAnsi="Times New Roman" w:cs="Times New Roman"/>
          <w:bCs/>
          <w:sz w:val="24"/>
          <w:szCs w:val="24"/>
          <w:lang w:val="en-US"/>
        </w:rPr>
        <w:t xml:space="preserve">, J.C.; </w:t>
      </w:r>
      <w:proofErr w:type="spellStart"/>
      <w:r w:rsidRPr="00474B69">
        <w:rPr>
          <w:rFonts w:ascii="Times New Roman" w:hAnsi="Times New Roman" w:cs="Times New Roman"/>
          <w:bCs/>
          <w:sz w:val="24"/>
          <w:szCs w:val="24"/>
          <w:lang w:val="en-US"/>
        </w:rPr>
        <w:t>Gusti</w:t>
      </w:r>
      <w:proofErr w:type="spellEnd"/>
      <w:r w:rsidRPr="00474B69">
        <w:rPr>
          <w:rFonts w:ascii="Times New Roman" w:hAnsi="Times New Roman" w:cs="Times New Roman"/>
          <w:bCs/>
          <w:sz w:val="24"/>
          <w:szCs w:val="24"/>
          <w:lang w:val="en-US"/>
        </w:rPr>
        <w:t xml:space="preserve">, M.; et al. </w:t>
      </w:r>
      <w:r w:rsidRPr="009610C2">
        <w:rPr>
          <w:rFonts w:ascii="Times New Roman" w:hAnsi="Times New Roman" w:cs="Times New Roman"/>
          <w:bCs/>
          <w:sz w:val="24"/>
          <w:szCs w:val="24"/>
          <w:lang w:val="en-US"/>
        </w:rPr>
        <w:t xml:space="preserve">Land-use futures in the shared socio-economic pathways. </w:t>
      </w:r>
      <w:r w:rsidRPr="009610C2">
        <w:rPr>
          <w:rFonts w:ascii="Times New Roman" w:hAnsi="Times New Roman" w:cs="Times New Roman"/>
          <w:bCs/>
          <w:i/>
          <w:iCs/>
          <w:sz w:val="24"/>
          <w:szCs w:val="24"/>
          <w:lang w:val="en-US"/>
        </w:rPr>
        <w:t>Glob. Environ. Chang</w:t>
      </w:r>
      <w:r w:rsidRPr="009610C2">
        <w:rPr>
          <w:rFonts w:ascii="Times New Roman" w:hAnsi="Times New Roman" w:cs="Times New Roman"/>
          <w:bCs/>
          <w:sz w:val="24"/>
          <w:szCs w:val="24"/>
          <w:lang w:val="en-US"/>
        </w:rPr>
        <w:t xml:space="preserve">. </w:t>
      </w:r>
      <w:r w:rsidRPr="009610C2">
        <w:rPr>
          <w:rFonts w:ascii="Times New Roman" w:hAnsi="Times New Roman" w:cs="Times New Roman"/>
          <w:b/>
          <w:sz w:val="24"/>
          <w:szCs w:val="24"/>
          <w:lang w:val="en-US"/>
        </w:rPr>
        <w:t>2017,</w:t>
      </w:r>
      <w:r w:rsidRPr="009610C2">
        <w:rPr>
          <w:rFonts w:ascii="Times New Roman" w:hAnsi="Times New Roman" w:cs="Times New Roman"/>
          <w:bCs/>
          <w:sz w:val="24"/>
          <w:szCs w:val="24"/>
          <w:lang w:val="en-US"/>
        </w:rPr>
        <w:t xml:space="preserve"> 42, 331–345.</w:t>
      </w:r>
    </w:p>
    <w:p w14:paraId="4E08388D" w14:textId="77777777" w:rsidR="005A2B62" w:rsidRPr="00474B69" w:rsidRDefault="005A2B62" w:rsidP="009610C2">
      <w:pPr>
        <w:spacing w:after="120" w:line="240" w:lineRule="auto"/>
        <w:rPr>
          <w:rFonts w:ascii="Times New Roman" w:hAnsi="Times New Roman" w:cs="Times New Roman"/>
          <w:bCs/>
          <w:sz w:val="24"/>
          <w:szCs w:val="24"/>
          <w:lang w:val="en-US"/>
        </w:rPr>
      </w:pPr>
      <w:r w:rsidRPr="009610C2">
        <w:rPr>
          <w:rFonts w:ascii="Times New Roman" w:hAnsi="Times New Roman" w:cs="Times New Roman"/>
          <w:bCs/>
          <w:sz w:val="24"/>
          <w:szCs w:val="24"/>
          <w:lang w:val="en-US"/>
        </w:rPr>
        <w:t xml:space="preserve">Van Vuuren, D.P., </w:t>
      </w:r>
      <w:proofErr w:type="spellStart"/>
      <w:r w:rsidRPr="009610C2">
        <w:rPr>
          <w:rFonts w:ascii="Times New Roman" w:hAnsi="Times New Roman" w:cs="Times New Roman"/>
          <w:bCs/>
          <w:sz w:val="24"/>
          <w:szCs w:val="24"/>
          <w:lang w:val="en-US"/>
        </w:rPr>
        <w:t>Stehfest</w:t>
      </w:r>
      <w:proofErr w:type="spellEnd"/>
      <w:r w:rsidRPr="009610C2">
        <w:rPr>
          <w:rFonts w:ascii="Times New Roman" w:hAnsi="Times New Roman" w:cs="Times New Roman"/>
          <w:bCs/>
          <w:sz w:val="24"/>
          <w:szCs w:val="24"/>
          <w:lang w:val="en-US"/>
        </w:rPr>
        <w:t xml:space="preserve">, E., </w:t>
      </w:r>
      <w:proofErr w:type="spellStart"/>
      <w:r w:rsidRPr="009610C2">
        <w:rPr>
          <w:rFonts w:ascii="Times New Roman" w:hAnsi="Times New Roman" w:cs="Times New Roman"/>
          <w:bCs/>
          <w:sz w:val="24"/>
          <w:szCs w:val="24"/>
          <w:lang w:val="en-US"/>
        </w:rPr>
        <w:t>Gernaat</w:t>
      </w:r>
      <w:proofErr w:type="spellEnd"/>
      <w:r w:rsidRPr="009610C2">
        <w:rPr>
          <w:rFonts w:ascii="Times New Roman" w:hAnsi="Times New Roman" w:cs="Times New Roman"/>
          <w:bCs/>
          <w:sz w:val="24"/>
          <w:szCs w:val="24"/>
          <w:lang w:val="en-US"/>
        </w:rPr>
        <w:t xml:space="preserve">, D.E., </w:t>
      </w:r>
      <w:proofErr w:type="spellStart"/>
      <w:r w:rsidRPr="009610C2">
        <w:rPr>
          <w:rFonts w:ascii="Times New Roman" w:hAnsi="Times New Roman" w:cs="Times New Roman"/>
          <w:bCs/>
          <w:sz w:val="24"/>
          <w:szCs w:val="24"/>
          <w:lang w:val="en-US"/>
        </w:rPr>
        <w:t>Doelman</w:t>
      </w:r>
      <w:proofErr w:type="spellEnd"/>
      <w:r w:rsidRPr="009610C2">
        <w:rPr>
          <w:rFonts w:ascii="Times New Roman" w:hAnsi="Times New Roman" w:cs="Times New Roman"/>
          <w:bCs/>
          <w:sz w:val="24"/>
          <w:szCs w:val="24"/>
          <w:lang w:val="en-US"/>
        </w:rPr>
        <w:t xml:space="preserve">, J.C., Van den Berg, M., </w:t>
      </w:r>
      <w:proofErr w:type="spellStart"/>
      <w:r w:rsidRPr="009610C2">
        <w:rPr>
          <w:rFonts w:ascii="Times New Roman" w:hAnsi="Times New Roman" w:cs="Times New Roman"/>
          <w:bCs/>
          <w:sz w:val="24"/>
          <w:szCs w:val="24"/>
          <w:lang w:val="en-US"/>
        </w:rPr>
        <w:t>Harmsen</w:t>
      </w:r>
      <w:proofErr w:type="spellEnd"/>
      <w:r w:rsidRPr="009610C2">
        <w:rPr>
          <w:rFonts w:ascii="Times New Roman" w:hAnsi="Times New Roman" w:cs="Times New Roman"/>
          <w:bCs/>
          <w:sz w:val="24"/>
          <w:szCs w:val="24"/>
          <w:lang w:val="en-US"/>
        </w:rPr>
        <w:t xml:space="preserve">, M., de Boer, H.S., </w:t>
      </w:r>
      <w:proofErr w:type="spellStart"/>
      <w:r w:rsidRPr="009610C2">
        <w:rPr>
          <w:rFonts w:ascii="Times New Roman" w:hAnsi="Times New Roman" w:cs="Times New Roman"/>
          <w:bCs/>
          <w:sz w:val="24"/>
          <w:szCs w:val="24"/>
          <w:lang w:val="en-US"/>
        </w:rPr>
        <w:t>Bouwman</w:t>
      </w:r>
      <w:proofErr w:type="spellEnd"/>
      <w:r w:rsidRPr="009610C2">
        <w:rPr>
          <w:rFonts w:ascii="Times New Roman" w:hAnsi="Times New Roman" w:cs="Times New Roman"/>
          <w:bCs/>
          <w:sz w:val="24"/>
          <w:szCs w:val="24"/>
          <w:lang w:val="en-US"/>
        </w:rPr>
        <w:t xml:space="preserve">, L.F., </w:t>
      </w:r>
      <w:proofErr w:type="spellStart"/>
      <w:r w:rsidRPr="009610C2">
        <w:rPr>
          <w:rFonts w:ascii="Times New Roman" w:hAnsi="Times New Roman" w:cs="Times New Roman"/>
          <w:bCs/>
          <w:sz w:val="24"/>
          <w:szCs w:val="24"/>
          <w:lang w:val="en-US"/>
        </w:rPr>
        <w:t>Daioglou</w:t>
      </w:r>
      <w:proofErr w:type="spellEnd"/>
      <w:r w:rsidRPr="009610C2">
        <w:rPr>
          <w:rFonts w:ascii="Times New Roman" w:hAnsi="Times New Roman" w:cs="Times New Roman"/>
          <w:bCs/>
          <w:sz w:val="24"/>
          <w:szCs w:val="24"/>
          <w:lang w:val="en-US"/>
        </w:rPr>
        <w:t xml:space="preserve">, V., </w:t>
      </w:r>
      <w:proofErr w:type="spellStart"/>
      <w:r w:rsidRPr="009610C2">
        <w:rPr>
          <w:rFonts w:ascii="Times New Roman" w:hAnsi="Times New Roman" w:cs="Times New Roman"/>
          <w:bCs/>
          <w:sz w:val="24"/>
          <w:szCs w:val="24"/>
          <w:lang w:val="en-US"/>
        </w:rPr>
        <w:t>Edelenbosch</w:t>
      </w:r>
      <w:proofErr w:type="spellEnd"/>
      <w:r w:rsidRPr="009610C2">
        <w:rPr>
          <w:rFonts w:ascii="Times New Roman" w:hAnsi="Times New Roman" w:cs="Times New Roman"/>
          <w:bCs/>
          <w:sz w:val="24"/>
          <w:szCs w:val="24"/>
          <w:lang w:val="en-US"/>
        </w:rPr>
        <w:t xml:space="preserve">, O.Y. and </w:t>
      </w:r>
      <w:proofErr w:type="spellStart"/>
      <w:r w:rsidRPr="009610C2">
        <w:rPr>
          <w:rFonts w:ascii="Times New Roman" w:hAnsi="Times New Roman" w:cs="Times New Roman"/>
          <w:bCs/>
          <w:sz w:val="24"/>
          <w:szCs w:val="24"/>
          <w:lang w:val="en-US"/>
        </w:rPr>
        <w:t>Girod</w:t>
      </w:r>
      <w:proofErr w:type="spellEnd"/>
      <w:r w:rsidRPr="009610C2">
        <w:rPr>
          <w:rFonts w:ascii="Times New Roman" w:hAnsi="Times New Roman" w:cs="Times New Roman"/>
          <w:bCs/>
          <w:sz w:val="24"/>
          <w:szCs w:val="24"/>
          <w:lang w:val="en-US"/>
        </w:rPr>
        <w:t xml:space="preserve">, B. Energy, land-use and greenhouse gas emissions trajectories under a green growth paradigm. </w:t>
      </w:r>
      <w:r w:rsidRPr="00474B69">
        <w:rPr>
          <w:rFonts w:ascii="Times New Roman" w:hAnsi="Times New Roman" w:cs="Times New Roman"/>
          <w:bCs/>
          <w:i/>
          <w:iCs/>
          <w:sz w:val="24"/>
          <w:szCs w:val="24"/>
          <w:lang w:val="en-US"/>
        </w:rPr>
        <w:t>Glob. Environ. Chang.</w:t>
      </w:r>
      <w:r w:rsidRPr="00474B69">
        <w:rPr>
          <w:rFonts w:ascii="Times New Roman" w:hAnsi="Times New Roman" w:cs="Times New Roman"/>
          <w:bCs/>
          <w:sz w:val="24"/>
          <w:szCs w:val="24"/>
          <w:lang w:val="en-US"/>
        </w:rPr>
        <w:t xml:space="preserve"> </w:t>
      </w:r>
      <w:r w:rsidRPr="00474B69">
        <w:rPr>
          <w:rFonts w:ascii="Times New Roman" w:hAnsi="Times New Roman" w:cs="Times New Roman"/>
          <w:b/>
          <w:sz w:val="24"/>
          <w:szCs w:val="24"/>
          <w:lang w:val="en-US"/>
        </w:rPr>
        <w:t>2017,</w:t>
      </w:r>
      <w:r w:rsidRPr="00474B69">
        <w:rPr>
          <w:rFonts w:ascii="Times New Roman" w:hAnsi="Times New Roman" w:cs="Times New Roman"/>
          <w:bCs/>
          <w:sz w:val="24"/>
          <w:szCs w:val="24"/>
          <w:lang w:val="en-US"/>
        </w:rPr>
        <w:t xml:space="preserve"> 42, 237-250.</w:t>
      </w:r>
    </w:p>
    <w:p w14:paraId="2C6E4E31" w14:textId="77777777" w:rsidR="005A2B62" w:rsidRPr="00474B69" w:rsidRDefault="005A2B62" w:rsidP="009610C2">
      <w:pPr>
        <w:spacing w:after="120" w:line="240" w:lineRule="auto"/>
        <w:rPr>
          <w:rFonts w:ascii="Times New Roman" w:hAnsi="Times New Roman" w:cs="Times New Roman"/>
          <w:bCs/>
          <w:sz w:val="24"/>
          <w:szCs w:val="24"/>
          <w:lang w:val="en-US"/>
        </w:rPr>
      </w:pPr>
      <w:proofErr w:type="spellStart"/>
      <w:r w:rsidRPr="009610C2">
        <w:rPr>
          <w:rFonts w:ascii="Times New Roman" w:hAnsi="Times New Roman" w:cs="Times New Roman"/>
          <w:bCs/>
          <w:sz w:val="24"/>
          <w:szCs w:val="24"/>
          <w:lang w:val="en-US"/>
        </w:rPr>
        <w:t>Fricko</w:t>
      </w:r>
      <w:proofErr w:type="spellEnd"/>
      <w:r w:rsidRPr="009610C2">
        <w:rPr>
          <w:rFonts w:ascii="Times New Roman" w:hAnsi="Times New Roman" w:cs="Times New Roman"/>
          <w:bCs/>
          <w:sz w:val="24"/>
          <w:szCs w:val="24"/>
          <w:lang w:val="en-US"/>
        </w:rPr>
        <w:t xml:space="preserve">, O.; </w:t>
      </w:r>
      <w:proofErr w:type="spellStart"/>
      <w:r w:rsidRPr="009610C2">
        <w:rPr>
          <w:rFonts w:ascii="Times New Roman" w:hAnsi="Times New Roman" w:cs="Times New Roman"/>
          <w:bCs/>
          <w:sz w:val="24"/>
          <w:szCs w:val="24"/>
          <w:lang w:val="en-US"/>
        </w:rPr>
        <w:t>Havlik</w:t>
      </w:r>
      <w:proofErr w:type="spellEnd"/>
      <w:r w:rsidRPr="009610C2">
        <w:rPr>
          <w:rFonts w:ascii="Times New Roman" w:hAnsi="Times New Roman" w:cs="Times New Roman"/>
          <w:bCs/>
          <w:sz w:val="24"/>
          <w:szCs w:val="24"/>
          <w:lang w:val="en-US"/>
        </w:rPr>
        <w:t xml:space="preserve">, P.; </w:t>
      </w:r>
      <w:proofErr w:type="spellStart"/>
      <w:r w:rsidRPr="009610C2">
        <w:rPr>
          <w:rFonts w:ascii="Times New Roman" w:hAnsi="Times New Roman" w:cs="Times New Roman"/>
          <w:bCs/>
          <w:sz w:val="24"/>
          <w:szCs w:val="24"/>
          <w:lang w:val="en-US"/>
        </w:rPr>
        <w:t>Rogelj</w:t>
      </w:r>
      <w:proofErr w:type="spellEnd"/>
      <w:r w:rsidRPr="009610C2">
        <w:rPr>
          <w:rFonts w:ascii="Times New Roman" w:hAnsi="Times New Roman" w:cs="Times New Roman"/>
          <w:bCs/>
          <w:sz w:val="24"/>
          <w:szCs w:val="24"/>
          <w:lang w:val="en-US"/>
        </w:rPr>
        <w:t xml:space="preserve">, J.; </w:t>
      </w:r>
      <w:proofErr w:type="spellStart"/>
      <w:r w:rsidRPr="009610C2">
        <w:rPr>
          <w:rFonts w:ascii="Times New Roman" w:hAnsi="Times New Roman" w:cs="Times New Roman"/>
          <w:bCs/>
          <w:sz w:val="24"/>
          <w:szCs w:val="24"/>
          <w:lang w:val="en-US"/>
        </w:rPr>
        <w:t>Klimont</w:t>
      </w:r>
      <w:proofErr w:type="spellEnd"/>
      <w:r w:rsidRPr="009610C2">
        <w:rPr>
          <w:rFonts w:ascii="Times New Roman" w:hAnsi="Times New Roman" w:cs="Times New Roman"/>
          <w:bCs/>
          <w:sz w:val="24"/>
          <w:szCs w:val="24"/>
          <w:lang w:val="en-US"/>
        </w:rPr>
        <w:t xml:space="preserve">, Z.; </w:t>
      </w:r>
      <w:proofErr w:type="spellStart"/>
      <w:r w:rsidRPr="009610C2">
        <w:rPr>
          <w:rFonts w:ascii="Times New Roman" w:hAnsi="Times New Roman" w:cs="Times New Roman"/>
          <w:bCs/>
          <w:sz w:val="24"/>
          <w:szCs w:val="24"/>
          <w:lang w:val="en-US"/>
        </w:rPr>
        <w:t>Gusti</w:t>
      </w:r>
      <w:proofErr w:type="spellEnd"/>
      <w:r w:rsidRPr="009610C2">
        <w:rPr>
          <w:rFonts w:ascii="Times New Roman" w:hAnsi="Times New Roman" w:cs="Times New Roman"/>
          <w:bCs/>
          <w:sz w:val="24"/>
          <w:szCs w:val="24"/>
          <w:lang w:val="en-US"/>
        </w:rPr>
        <w:t xml:space="preserve">, M.; Johnson, N.; </w:t>
      </w:r>
      <w:proofErr w:type="spellStart"/>
      <w:r w:rsidRPr="009610C2">
        <w:rPr>
          <w:rFonts w:ascii="Times New Roman" w:hAnsi="Times New Roman" w:cs="Times New Roman"/>
          <w:bCs/>
          <w:sz w:val="24"/>
          <w:szCs w:val="24"/>
          <w:lang w:val="en-US"/>
        </w:rPr>
        <w:t>Kolp</w:t>
      </w:r>
      <w:proofErr w:type="spellEnd"/>
      <w:r w:rsidRPr="009610C2">
        <w:rPr>
          <w:rFonts w:ascii="Times New Roman" w:hAnsi="Times New Roman" w:cs="Times New Roman"/>
          <w:bCs/>
          <w:sz w:val="24"/>
          <w:szCs w:val="24"/>
          <w:lang w:val="en-US"/>
        </w:rPr>
        <w:t xml:space="preserve">, P.; </w:t>
      </w:r>
      <w:proofErr w:type="spellStart"/>
      <w:r w:rsidRPr="009610C2">
        <w:rPr>
          <w:rFonts w:ascii="Times New Roman" w:hAnsi="Times New Roman" w:cs="Times New Roman"/>
          <w:bCs/>
          <w:sz w:val="24"/>
          <w:szCs w:val="24"/>
          <w:lang w:val="en-US"/>
        </w:rPr>
        <w:t>Strubegger</w:t>
      </w:r>
      <w:proofErr w:type="spellEnd"/>
      <w:r w:rsidRPr="009610C2">
        <w:rPr>
          <w:rFonts w:ascii="Times New Roman" w:hAnsi="Times New Roman" w:cs="Times New Roman"/>
          <w:bCs/>
          <w:sz w:val="24"/>
          <w:szCs w:val="24"/>
          <w:lang w:val="en-US"/>
        </w:rPr>
        <w:t xml:space="preserve">, M.; Valin, H.; Amann, M.; et al. The marker quantification of the Shared Socioeconomic Pathway 2: A middle-of-the-road scenario for the 21st century. </w:t>
      </w:r>
      <w:r w:rsidRPr="00474B69">
        <w:rPr>
          <w:rFonts w:ascii="Times New Roman" w:hAnsi="Times New Roman" w:cs="Times New Roman"/>
          <w:bCs/>
          <w:i/>
          <w:iCs/>
          <w:sz w:val="24"/>
          <w:szCs w:val="24"/>
          <w:lang w:val="en-US"/>
        </w:rPr>
        <w:t>Glob. Environ. Chang</w:t>
      </w:r>
      <w:r w:rsidRPr="00474B69">
        <w:rPr>
          <w:rFonts w:ascii="Times New Roman" w:hAnsi="Times New Roman" w:cs="Times New Roman"/>
          <w:bCs/>
          <w:sz w:val="24"/>
          <w:szCs w:val="24"/>
          <w:lang w:val="en-US"/>
        </w:rPr>
        <w:t xml:space="preserve">. </w:t>
      </w:r>
      <w:r w:rsidRPr="00474B69">
        <w:rPr>
          <w:rFonts w:ascii="Times New Roman" w:hAnsi="Times New Roman" w:cs="Times New Roman"/>
          <w:b/>
          <w:sz w:val="24"/>
          <w:szCs w:val="24"/>
          <w:lang w:val="en-US"/>
        </w:rPr>
        <w:t>2017,</w:t>
      </w:r>
      <w:r w:rsidRPr="00474B69">
        <w:rPr>
          <w:rFonts w:ascii="Times New Roman" w:hAnsi="Times New Roman" w:cs="Times New Roman"/>
          <w:bCs/>
          <w:sz w:val="24"/>
          <w:szCs w:val="24"/>
          <w:lang w:val="en-US"/>
        </w:rPr>
        <w:t xml:space="preserve"> 42, 251–267.</w:t>
      </w:r>
    </w:p>
    <w:p w14:paraId="1EBA86E5" w14:textId="77777777" w:rsidR="005A2B62" w:rsidRPr="00474B69" w:rsidRDefault="005A2B62" w:rsidP="009610C2">
      <w:pPr>
        <w:spacing w:after="120" w:line="240" w:lineRule="auto"/>
        <w:rPr>
          <w:rFonts w:ascii="Times New Roman" w:hAnsi="Times New Roman" w:cs="Times New Roman"/>
          <w:bCs/>
          <w:sz w:val="24"/>
          <w:szCs w:val="24"/>
          <w:lang w:val="en-US"/>
        </w:rPr>
      </w:pPr>
      <w:r w:rsidRPr="009610C2">
        <w:rPr>
          <w:rFonts w:ascii="Times New Roman" w:hAnsi="Times New Roman" w:cs="Times New Roman"/>
          <w:bCs/>
          <w:sz w:val="24"/>
          <w:szCs w:val="24"/>
          <w:lang w:val="en-US"/>
        </w:rPr>
        <w:t xml:space="preserve">Fujimori, S.; Hasegawa, T.; Masui, T.; Takahashi, K.; </w:t>
      </w:r>
      <w:proofErr w:type="spellStart"/>
      <w:r w:rsidRPr="009610C2">
        <w:rPr>
          <w:rFonts w:ascii="Times New Roman" w:hAnsi="Times New Roman" w:cs="Times New Roman"/>
          <w:bCs/>
          <w:sz w:val="24"/>
          <w:szCs w:val="24"/>
          <w:lang w:val="en-US"/>
        </w:rPr>
        <w:t>Herran</w:t>
      </w:r>
      <w:proofErr w:type="spellEnd"/>
      <w:r w:rsidRPr="009610C2">
        <w:rPr>
          <w:rFonts w:ascii="Times New Roman" w:hAnsi="Times New Roman" w:cs="Times New Roman"/>
          <w:bCs/>
          <w:sz w:val="24"/>
          <w:szCs w:val="24"/>
          <w:lang w:val="en-US"/>
        </w:rPr>
        <w:t xml:space="preserve">, D.S.; Dai, H.; </w:t>
      </w:r>
      <w:proofErr w:type="spellStart"/>
      <w:r w:rsidRPr="009610C2">
        <w:rPr>
          <w:rFonts w:ascii="Times New Roman" w:hAnsi="Times New Roman" w:cs="Times New Roman"/>
          <w:bCs/>
          <w:sz w:val="24"/>
          <w:szCs w:val="24"/>
          <w:lang w:val="en-US"/>
        </w:rPr>
        <w:t>Hijioka</w:t>
      </w:r>
      <w:proofErr w:type="spellEnd"/>
      <w:r w:rsidRPr="009610C2">
        <w:rPr>
          <w:rFonts w:ascii="Times New Roman" w:hAnsi="Times New Roman" w:cs="Times New Roman"/>
          <w:bCs/>
          <w:sz w:val="24"/>
          <w:szCs w:val="24"/>
          <w:lang w:val="en-US"/>
        </w:rPr>
        <w:t xml:space="preserve">, Y.; </w:t>
      </w:r>
      <w:proofErr w:type="spellStart"/>
      <w:r w:rsidRPr="009610C2">
        <w:rPr>
          <w:rFonts w:ascii="Times New Roman" w:hAnsi="Times New Roman" w:cs="Times New Roman"/>
          <w:bCs/>
          <w:sz w:val="24"/>
          <w:szCs w:val="24"/>
          <w:lang w:val="en-US"/>
        </w:rPr>
        <w:t>Kainuma</w:t>
      </w:r>
      <w:proofErr w:type="spellEnd"/>
      <w:r w:rsidRPr="009610C2">
        <w:rPr>
          <w:rFonts w:ascii="Times New Roman" w:hAnsi="Times New Roman" w:cs="Times New Roman"/>
          <w:bCs/>
          <w:sz w:val="24"/>
          <w:szCs w:val="24"/>
          <w:lang w:val="en-US"/>
        </w:rPr>
        <w:t xml:space="preserve">, M. SSP3: AIM implementation of shared socioeconomic pathways. </w:t>
      </w:r>
      <w:r w:rsidRPr="00474B69">
        <w:rPr>
          <w:rFonts w:ascii="Times New Roman" w:hAnsi="Times New Roman" w:cs="Times New Roman"/>
          <w:bCs/>
          <w:i/>
          <w:iCs/>
          <w:sz w:val="24"/>
          <w:szCs w:val="24"/>
          <w:lang w:val="en-US"/>
        </w:rPr>
        <w:t>Glob. Environ. Chang</w:t>
      </w:r>
      <w:r w:rsidRPr="00474B69">
        <w:rPr>
          <w:rFonts w:ascii="Times New Roman" w:hAnsi="Times New Roman" w:cs="Times New Roman"/>
          <w:bCs/>
          <w:sz w:val="24"/>
          <w:szCs w:val="24"/>
          <w:lang w:val="en-US"/>
        </w:rPr>
        <w:t xml:space="preserve">. </w:t>
      </w:r>
      <w:r w:rsidRPr="00474B69">
        <w:rPr>
          <w:rFonts w:ascii="Times New Roman" w:hAnsi="Times New Roman" w:cs="Times New Roman"/>
          <w:b/>
          <w:sz w:val="24"/>
          <w:szCs w:val="24"/>
          <w:lang w:val="en-US"/>
        </w:rPr>
        <w:t>2017,</w:t>
      </w:r>
      <w:r w:rsidRPr="00474B69">
        <w:rPr>
          <w:rFonts w:ascii="Times New Roman" w:hAnsi="Times New Roman" w:cs="Times New Roman"/>
          <w:bCs/>
          <w:sz w:val="24"/>
          <w:szCs w:val="24"/>
          <w:lang w:val="en-US"/>
        </w:rPr>
        <w:t xml:space="preserve"> 42, 268–283.</w:t>
      </w:r>
    </w:p>
    <w:p w14:paraId="74D5B18A" w14:textId="77777777" w:rsidR="005A2B62" w:rsidRPr="00474B69" w:rsidRDefault="005A2B62" w:rsidP="009610C2">
      <w:pPr>
        <w:spacing w:after="120" w:line="240" w:lineRule="auto"/>
        <w:rPr>
          <w:rFonts w:ascii="Times New Roman" w:hAnsi="Times New Roman" w:cs="Times New Roman"/>
          <w:bCs/>
          <w:sz w:val="24"/>
          <w:szCs w:val="24"/>
          <w:lang w:val="en-US"/>
        </w:rPr>
      </w:pPr>
      <w:r w:rsidRPr="009610C2">
        <w:rPr>
          <w:rFonts w:ascii="Times New Roman" w:hAnsi="Times New Roman" w:cs="Times New Roman"/>
          <w:bCs/>
          <w:sz w:val="24"/>
          <w:szCs w:val="24"/>
          <w:lang w:val="en-US"/>
        </w:rPr>
        <w:t>Calvin, K.; Bond-</w:t>
      </w:r>
      <w:proofErr w:type="spellStart"/>
      <w:r w:rsidRPr="009610C2">
        <w:rPr>
          <w:rFonts w:ascii="Times New Roman" w:hAnsi="Times New Roman" w:cs="Times New Roman"/>
          <w:bCs/>
          <w:sz w:val="24"/>
          <w:szCs w:val="24"/>
          <w:lang w:val="en-US"/>
        </w:rPr>
        <w:t>Lamberty</w:t>
      </w:r>
      <w:proofErr w:type="spellEnd"/>
      <w:r w:rsidRPr="009610C2">
        <w:rPr>
          <w:rFonts w:ascii="Times New Roman" w:hAnsi="Times New Roman" w:cs="Times New Roman"/>
          <w:bCs/>
          <w:sz w:val="24"/>
          <w:szCs w:val="24"/>
          <w:lang w:val="en-US"/>
        </w:rPr>
        <w:t xml:space="preserve">, B.; Clarke, L.; Edmonds, J.; </w:t>
      </w:r>
      <w:proofErr w:type="spellStart"/>
      <w:r w:rsidRPr="009610C2">
        <w:rPr>
          <w:rFonts w:ascii="Times New Roman" w:hAnsi="Times New Roman" w:cs="Times New Roman"/>
          <w:bCs/>
          <w:sz w:val="24"/>
          <w:szCs w:val="24"/>
          <w:lang w:val="en-US"/>
        </w:rPr>
        <w:t>Eom</w:t>
      </w:r>
      <w:proofErr w:type="spellEnd"/>
      <w:r w:rsidRPr="009610C2">
        <w:rPr>
          <w:rFonts w:ascii="Times New Roman" w:hAnsi="Times New Roman" w:cs="Times New Roman"/>
          <w:bCs/>
          <w:sz w:val="24"/>
          <w:szCs w:val="24"/>
          <w:lang w:val="en-US"/>
        </w:rPr>
        <w:t xml:space="preserve">, J.; </w:t>
      </w:r>
      <w:proofErr w:type="spellStart"/>
      <w:r w:rsidRPr="009610C2">
        <w:rPr>
          <w:rFonts w:ascii="Times New Roman" w:hAnsi="Times New Roman" w:cs="Times New Roman"/>
          <w:bCs/>
          <w:sz w:val="24"/>
          <w:szCs w:val="24"/>
          <w:lang w:val="en-US"/>
        </w:rPr>
        <w:t>Hartin</w:t>
      </w:r>
      <w:proofErr w:type="spellEnd"/>
      <w:r w:rsidRPr="009610C2">
        <w:rPr>
          <w:rFonts w:ascii="Times New Roman" w:hAnsi="Times New Roman" w:cs="Times New Roman"/>
          <w:bCs/>
          <w:sz w:val="24"/>
          <w:szCs w:val="24"/>
          <w:lang w:val="en-US"/>
        </w:rPr>
        <w:t xml:space="preserve">, C.; Kim, S.; Kyle, P.; Link, R.; Moss, R.; et al. The SSP4: A world of deepening inequality. </w:t>
      </w:r>
      <w:r w:rsidRPr="009610C2">
        <w:rPr>
          <w:rFonts w:ascii="Times New Roman" w:hAnsi="Times New Roman" w:cs="Times New Roman"/>
          <w:bCs/>
          <w:i/>
          <w:iCs/>
          <w:sz w:val="24"/>
          <w:szCs w:val="24"/>
          <w:lang w:val="en-US"/>
        </w:rPr>
        <w:t>Glob. Environ. Chang</w:t>
      </w:r>
      <w:r w:rsidRPr="009610C2">
        <w:rPr>
          <w:rFonts w:ascii="Times New Roman" w:hAnsi="Times New Roman" w:cs="Times New Roman"/>
          <w:bCs/>
          <w:sz w:val="24"/>
          <w:szCs w:val="24"/>
          <w:lang w:val="en-US"/>
        </w:rPr>
        <w:t xml:space="preserve">. </w:t>
      </w:r>
      <w:r w:rsidRPr="00474B69">
        <w:rPr>
          <w:rFonts w:ascii="Times New Roman" w:hAnsi="Times New Roman" w:cs="Times New Roman"/>
          <w:b/>
          <w:sz w:val="24"/>
          <w:szCs w:val="24"/>
          <w:lang w:val="en-US"/>
        </w:rPr>
        <w:t>2017,</w:t>
      </w:r>
      <w:r w:rsidRPr="00474B69">
        <w:rPr>
          <w:rFonts w:ascii="Times New Roman" w:hAnsi="Times New Roman" w:cs="Times New Roman"/>
          <w:bCs/>
          <w:sz w:val="24"/>
          <w:szCs w:val="24"/>
          <w:lang w:val="en-US"/>
        </w:rPr>
        <w:t xml:space="preserve"> 42, 284–296.</w:t>
      </w:r>
    </w:p>
    <w:p w14:paraId="758937A3" w14:textId="77777777" w:rsidR="009610C2" w:rsidRPr="009610C2" w:rsidRDefault="005A2B62" w:rsidP="009610C2">
      <w:pPr>
        <w:shd w:val="clear" w:color="auto" w:fill="FFFFFF"/>
        <w:spacing w:after="120" w:line="240" w:lineRule="auto"/>
        <w:rPr>
          <w:rFonts w:ascii="Times New Roman" w:eastAsia="Times New Roman" w:hAnsi="Times New Roman" w:cs="Times New Roman"/>
          <w:color w:val="000000"/>
          <w:sz w:val="24"/>
          <w:szCs w:val="24"/>
          <w:lang w:val="en-US"/>
        </w:rPr>
      </w:pPr>
      <w:proofErr w:type="spellStart"/>
      <w:r w:rsidRPr="009610C2">
        <w:rPr>
          <w:rFonts w:ascii="Times New Roman" w:hAnsi="Times New Roman" w:cs="Times New Roman"/>
          <w:bCs/>
          <w:sz w:val="24"/>
          <w:szCs w:val="24"/>
          <w:lang w:val="en-US"/>
        </w:rPr>
        <w:t>Kriegler</w:t>
      </w:r>
      <w:proofErr w:type="spellEnd"/>
      <w:r w:rsidRPr="009610C2">
        <w:rPr>
          <w:rFonts w:ascii="Times New Roman" w:hAnsi="Times New Roman" w:cs="Times New Roman"/>
          <w:bCs/>
          <w:sz w:val="24"/>
          <w:szCs w:val="24"/>
          <w:lang w:val="en-US"/>
        </w:rPr>
        <w:t xml:space="preserve">, E.; Bauer, N.; Popp, A.; </w:t>
      </w:r>
      <w:proofErr w:type="spellStart"/>
      <w:r w:rsidRPr="009610C2">
        <w:rPr>
          <w:rFonts w:ascii="Times New Roman" w:hAnsi="Times New Roman" w:cs="Times New Roman"/>
          <w:bCs/>
          <w:sz w:val="24"/>
          <w:szCs w:val="24"/>
          <w:lang w:val="en-US"/>
        </w:rPr>
        <w:t>Humpenöder</w:t>
      </w:r>
      <w:proofErr w:type="spellEnd"/>
      <w:r w:rsidRPr="009610C2">
        <w:rPr>
          <w:rFonts w:ascii="Times New Roman" w:hAnsi="Times New Roman" w:cs="Times New Roman"/>
          <w:bCs/>
          <w:sz w:val="24"/>
          <w:szCs w:val="24"/>
          <w:lang w:val="en-US"/>
        </w:rPr>
        <w:t xml:space="preserve">, F.; </w:t>
      </w:r>
      <w:proofErr w:type="spellStart"/>
      <w:r w:rsidRPr="009610C2">
        <w:rPr>
          <w:rFonts w:ascii="Times New Roman" w:hAnsi="Times New Roman" w:cs="Times New Roman"/>
          <w:bCs/>
          <w:sz w:val="24"/>
          <w:szCs w:val="24"/>
          <w:lang w:val="en-US"/>
        </w:rPr>
        <w:t>Leimbach</w:t>
      </w:r>
      <w:proofErr w:type="spellEnd"/>
      <w:r w:rsidRPr="009610C2">
        <w:rPr>
          <w:rFonts w:ascii="Times New Roman" w:hAnsi="Times New Roman" w:cs="Times New Roman"/>
          <w:bCs/>
          <w:sz w:val="24"/>
          <w:szCs w:val="24"/>
          <w:lang w:val="en-US"/>
        </w:rPr>
        <w:t xml:space="preserve">, M.; </w:t>
      </w:r>
      <w:proofErr w:type="spellStart"/>
      <w:r w:rsidRPr="009610C2">
        <w:rPr>
          <w:rFonts w:ascii="Times New Roman" w:hAnsi="Times New Roman" w:cs="Times New Roman"/>
          <w:bCs/>
          <w:sz w:val="24"/>
          <w:szCs w:val="24"/>
          <w:lang w:val="en-US"/>
        </w:rPr>
        <w:t>Strefler</w:t>
      </w:r>
      <w:proofErr w:type="spellEnd"/>
      <w:r w:rsidRPr="009610C2">
        <w:rPr>
          <w:rFonts w:ascii="Times New Roman" w:hAnsi="Times New Roman" w:cs="Times New Roman"/>
          <w:bCs/>
          <w:sz w:val="24"/>
          <w:szCs w:val="24"/>
          <w:lang w:val="en-US"/>
        </w:rPr>
        <w:t xml:space="preserve">, J.; </w:t>
      </w:r>
      <w:proofErr w:type="spellStart"/>
      <w:r w:rsidRPr="009610C2">
        <w:rPr>
          <w:rFonts w:ascii="Times New Roman" w:hAnsi="Times New Roman" w:cs="Times New Roman"/>
          <w:bCs/>
          <w:sz w:val="24"/>
          <w:szCs w:val="24"/>
          <w:lang w:val="en-US"/>
        </w:rPr>
        <w:t>Baumstark</w:t>
      </w:r>
      <w:proofErr w:type="spellEnd"/>
      <w:r w:rsidRPr="009610C2">
        <w:rPr>
          <w:rFonts w:ascii="Times New Roman" w:hAnsi="Times New Roman" w:cs="Times New Roman"/>
          <w:bCs/>
          <w:sz w:val="24"/>
          <w:szCs w:val="24"/>
          <w:lang w:val="en-US"/>
        </w:rPr>
        <w:t xml:space="preserve">, L.; </w:t>
      </w:r>
      <w:proofErr w:type="spellStart"/>
      <w:r w:rsidRPr="009610C2">
        <w:rPr>
          <w:rFonts w:ascii="Times New Roman" w:hAnsi="Times New Roman" w:cs="Times New Roman"/>
          <w:bCs/>
          <w:sz w:val="24"/>
          <w:szCs w:val="24"/>
          <w:lang w:val="en-US"/>
        </w:rPr>
        <w:t>Bodirsky</w:t>
      </w:r>
      <w:proofErr w:type="spellEnd"/>
      <w:r w:rsidRPr="009610C2">
        <w:rPr>
          <w:rFonts w:ascii="Times New Roman" w:hAnsi="Times New Roman" w:cs="Times New Roman"/>
          <w:bCs/>
          <w:sz w:val="24"/>
          <w:szCs w:val="24"/>
          <w:lang w:val="en-US"/>
        </w:rPr>
        <w:t xml:space="preserve">, B.L.; Hilaire, J.; Klein, D.; </w:t>
      </w:r>
      <w:proofErr w:type="spellStart"/>
      <w:r w:rsidRPr="009610C2">
        <w:rPr>
          <w:rFonts w:ascii="Times New Roman" w:hAnsi="Times New Roman" w:cs="Times New Roman"/>
          <w:bCs/>
          <w:sz w:val="24"/>
          <w:szCs w:val="24"/>
          <w:lang w:val="en-US"/>
        </w:rPr>
        <w:t>Mouratiadou</w:t>
      </w:r>
      <w:proofErr w:type="spellEnd"/>
      <w:r w:rsidRPr="009610C2">
        <w:rPr>
          <w:rFonts w:ascii="Times New Roman" w:hAnsi="Times New Roman" w:cs="Times New Roman"/>
          <w:bCs/>
          <w:sz w:val="24"/>
          <w:szCs w:val="24"/>
          <w:lang w:val="en-US"/>
        </w:rPr>
        <w:t xml:space="preserve">, I. Fossil-fueled development (SSP5): An energy and resource intensive scenario for the 21st century. </w:t>
      </w:r>
      <w:r w:rsidRPr="009610C2">
        <w:rPr>
          <w:rFonts w:ascii="Times New Roman" w:hAnsi="Times New Roman" w:cs="Times New Roman"/>
          <w:bCs/>
          <w:i/>
          <w:iCs/>
          <w:sz w:val="24"/>
          <w:szCs w:val="24"/>
          <w:lang w:val="en-US"/>
        </w:rPr>
        <w:t>Glob. Environ. Chang</w:t>
      </w:r>
      <w:r w:rsidRPr="009610C2">
        <w:rPr>
          <w:rFonts w:ascii="Times New Roman" w:hAnsi="Times New Roman" w:cs="Times New Roman"/>
          <w:bCs/>
          <w:sz w:val="24"/>
          <w:szCs w:val="24"/>
          <w:lang w:val="en-US"/>
        </w:rPr>
        <w:t xml:space="preserve">. </w:t>
      </w:r>
      <w:r w:rsidRPr="009610C2">
        <w:rPr>
          <w:rFonts w:ascii="Times New Roman" w:hAnsi="Times New Roman" w:cs="Times New Roman"/>
          <w:b/>
          <w:sz w:val="24"/>
          <w:szCs w:val="24"/>
          <w:lang w:val="en-US"/>
        </w:rPr>
        <w:t>2017,</w:t>
      </w:r>
      <w:r w:rsidRPr="009610C2">
        <w:rPr>
          <w:rFonts w:ascii="Times New Roman" w:hAnsi="Times New Roman" w:cs="Times New Roman"/>
          <w:bCs/>
          <w:sz w:val="24"/>
          <w:szCs w:val="24"/>
          <w:lang w:val="en-US"/>
        </w:rPr>
        <w:t xml:space="preserve"> 42, 297–315.</w:t>
      </w:r>
    </w:p>
    <w:p w14:paraId="47CCAF8A" w14:textId="2C28510B" w:rsidR="009610C2" w:rsidRPr="009610C2" w:rsidRDefault="009610C2" w:rsidP="009610C2">
      <w:pPr>
        <w:shd w:val="clear" w:color="auto" w:fill="FFFFFF"/>
        <w:spacing w:after="120" w:line="240" w:lineRule="auto"/>
        <w:rPr>
          <w:rFonts w:ascii="Times New Roman" w:eastAsia="Times New Roman" w:hAnsi="Times New Roman" w:cs="Times New Roman"/>
          <w:color w:val="000000"/>
          <w:sz w:val="24"/>
          <w:szCs w:val="24"/>
        </w:rPr>
      </w:pPr>
      <w:proofErr w:type="spellStart"/>
      <w:r w:rsidRPr="009610C2">
        <w:rPr>
          <w:rFonts w:ascii="Times New Roman" w:eastAsia="Times New Roman" w:hAnsi="Times New Roman" w:cs="Times New Roman"/>
          <w:color w:val="000000"/>
          <w:sz w:val="24"/>
          <w:szCs w:val="24"/>
          <w:lang w:val="en-US"/>
        </w:rPr>
        <w:t>Wearn</w:t>
      </w:r>
      <w:proofErr w:type="spellEnd"/>
      <w:r w:rsidRPr="009610C2">
        <w:rPr>
          <w:rFonts w:ascii="Times New Roman" w:eastAsia="Times New Roman" w:hAnsi="Times New Roman" w:cs="Times New Roman"/>
          <w:color w:val="000000"/>
          <w:sz w:val="24"/>
          <w:szCs w:val="24"/>
          <w:lang w:val="en-US"/>
        </w:rPr>
        <w:t xml:space="preserve">, O.R., </w:t>
      </w:r>
      <w:proofErr w:type="spellStart"/>
      <w:r w:rsidRPr="009610C2">
        <w:rPr>
          <w:rFonts w:ascii="Times New Roman" w:eastAsia="Times New Roman" w:hAnsi="Times New Roman" w:cs="Times New Roman"/>
          <w:color w:val="000000"/>
          <w:sz w:val="24"/>
          <w:szCs w:val="24"/>
          <w:lang w:val="en-US"/>
        </w:rPr>
        <w:t>Reuman</w:t>
      </w:r>
      <w:proofErr w:type="spellEnd"/>
      <w:r w:rsidRPr="009610C2">
        <w:rPr>
          <w:rFonts w:ascii="Times New Roman" w:eastAsia="Times New Roman" w:hAnsi="Times New Roman" w:cs="Times New Roman"/>
          <w:color w:val="000000"/>
          <w:sz w:val="24"/>
          <w:szCs w:val="24"/>
          <w:lang w:val="en-US"/>
        </w:rPr>
        <w:t>, D.C. and Ewers, R.M., 2012. Extinction debt and windows of conservation opportunity in the Brazilian Amazon. </w:t>
      </w:r>
      <w:proofErr w:type="spellStart"/>
      <w:r w:rsidRPr="009610C2">
        <w:rPr>
          <w:rFonts w:ascii="Times New Roman" w:eastAsia="Times New Roman" w:hAnsi="Times New Roman" w:cs="Times New Roman"/>
          <w:i/>
          <w:iCs/>
          <w:color w:val="000000"/>
          <w:sz w:val="24"/>
          <w:szCs w:val="24"/>
        </w:rPr>
        <w:t>Science</w:t>
      </w:r>
      <w:proofErr w:type="spellEnd"/>
      <w:r w:rsidRPr="009610C2">
        <w:rPr>
          <w:rFonts w:ascii="Times New Roman" w:eastAsia="Times New Roman" w:hAnsi="Times New Roman" w:cs="Times New Roman"/>
          <w:color w:val="000000"/>
          <w:sz w:val="24"/>
          <w:szCs w:val="24"/>
        </w:rPr>
        <w:t>, </w:t>
      </w:r>
      <w:r w:rsidRPr="009610C2">
        <w:rPr>
          <w:rFonts w:ascii="Times New Roman" w:eastAsia="Times New Roman" w:hAnsi="Times New Roman" w:cs="Times New Roman"/>
          <w:i/>
          <w:iCs/>
          <w:color w:val="000000"/>
          <w:sz w:val="24"/>
          <w:szCs w:val="24"/>
        </w:rPr>
        <w:t>337</w:t>
      </w:r>
      <w:r w:rsidRPr="009610C2">
        <w:rPr>
          <w:rFonts w:ascii="Times New Roman" w:eastAsia="Times New Roman" w:hAnsi="Times New Roman" w:cs="Times New Roman"/>
          <w:color w:val="000000"/>
          <w:sz w:val="24"/>
          <w:szCs w:val="24"/>
        </w:rPr>
        <w:t>(6091), 228-232.</w:t>
      </w:r>
    </w:p>
    <w:p w14:paraId="04FADFDB" w14:textId="77777777" w:rsidR="00585A01" w:rsidRPr="00651511" w:rsidRDefault="00585A01" w:rsidP="00585A01">
      <w:pPr>
        <w:rPr>
          <w:lang w:val="en-US"/>
        </w:rPr>
      </w:pPr>
    </w:p>
    <w:p w14:paraId="276A7DC5" w14:textId="77777777" w:rsidR="00801B49" w:rsidRPr="00651511" w:rsidRDefault="00801B49" w:rsidP="00585A01">
      <w:pPr>
        <w:jc w:val="center"/>
        <w:rPr>
          <w:lang w:val="en-US"/>
        </w:rPr>
      </w:pPr>
    </w:p>
    <w:sectPr w:rsidR="00801B49" w:rsidRPr="00651511" w:rsidSect="00D039F9">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2EBC3" w14:textId="77777777" w:rsidR="000E0C94" w:rsidRDefault="000E0C94">
      <w:pPr>
        <w:spacing w:after="0" w:line="240" w:lineRule="auto"/>
      </w:pPr>
      <w:r>
        <w:separator/>
      </w:r>
    </w:p>
  </w:endnote>
  <w:endnote w:type="continuationSeparator" w:id="0">
    <w:p w14:paraId="7B571B35" w14:textId="77777777" w:rsidR="000E0C94" w:rsidRDefault="000E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623231"/>
      <w:docPartObj>
        <w:docPartGallery w:val="Page Numbers (Bottom of Page)"/>
        <w:docPartUnique/>
      </w:docPartObj>
    </w:sdtPr>
    <w:sdtEndPr/>
    <w:sdtContent>
      <w:p w14:paraId="60B6FC24" w14:textId="77777777" w:rsidR="0001669B" w:rsidRDefault="0001669B">
        <w:pPr>
          <w:pStyle w:val="Footer"/>
          <w:jc w:val="right"/>
        </w:pPr>
        <w:r>
          <w:fldChar w:fldCharType="begin"/>
        </w:r>
        <w:r>
          <w:instrText>PAGE   \* MERGEFORMAT</w:instrText>
        </w:r>
        <w:r>
          <w:fldChar w:fldCharType="separate"/>
        </w:r>
        <w:r w:rsidRPr="00AF6F4C">
          <w:rPr>
            <w:noProof/>
            <w:lang w:val="es-ES"/>
          </w:rPr>
          <w:t>6</w:t>
        </w:r>
        <w:r>
          <w:fldChar w:fldCharType="end"/>
        </w:r>
      </w:p>
    </w:sdtContent>
  </w:sdt>
  <w:p w14:paraId="66F3D70E" w14:textId="77777777" w:rsidR="0001669B" w:rsidRDefault="00016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CA67C" w14:textId="77777777" w:rsidR="000E0C94" w:rsidRDefault="000E0C94">
      <w:pPr>
        <w:spacing w:after="0" w:line="240" w:lineRule="auto"/>
      </w:pPr>
      <w:r>
        <w:separator/>
      </w:r>
    </w:p>
  </w:footnote>
  <w:footnote w:type="continuationSeparator" w:id="0">
    <w:p w14:paraId="290A7302" w14:textId="77777777" w:rsidR="000E0C94" w:rsidRDefault="000E0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908"/>
    <w:multiLevelType w:val="hybridMultilevel"/>
    <w:tmpl w:val="AA7A8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1530E"/>
    <w:multiLevelType w:val="hybridMultilevel"/>
    <w:tmpl w:val="287A2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4B56ED"/>
    <w:multiLevelType w:val="hybridMultilevel"/>
    <w:tmpl w:val="0EB8F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244158"/>
    <w:multiLevelType w:val="hybridMultilevel"/>
    <w:tmpl w:val="1C065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EE6234"/>
    <w:multiLevelType w:val="hybridMultilevel"/>
    <w:tmpl w:val="8592919C"/>
    <w:lvl w:ilvl="0" w:tplc="E0D010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875AEA"/>
    <w:multiLevelType w:val="hybridMultilevel"/>
    <w:tmpl w:val="032C0F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B061D4"/>
    <w:multiLevelType w:val="hybridMultilevel"/>
    <w:tmpl w:val="84844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CB70BF"/>
    <w:multiLevelType w:val="hybridMultilevel"/>
    <w:tmpl w:val="BA80625C"/>
    <w:lvl w:ilvl="0" w:tplc="080A000F">
      <w:start w:val="1"/>
      <w:numFmt w:val="decimal"/>
      <w:lvlText w:val="%1."/>
      <w:lvlJc w:val="left"/>
      <w:pPr>
        <w:ind w:left="720" w:hanging="360"/>
      </w:pPr>
    </w:lvl>
    <w:lvl w:ilvl="1" w:tplc="EB02682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E4464B"/>
    <w:multiLevelType w:val="hybridMultilevel"/>
    <w:tmpl w:val="7924E7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243B57"/>
    <w:multiLevelType w:val="hybridMultilevel"/>
    <w:tmpl w:val="83FE4C58"/>
    <w:lvl w:ilvl="0" w:tplc="4710BAB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5004CE"/>
    <w:multiLevelType w:val="multilevel"/>
    <w:tmpl w:val="F1A4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A3EF1"/>
    <w:multiLevelType w:val="hybridMultilevel"/>
    <w:tmpl w:val="CD46A76C"/>
    <w:lvl w:ilvl="0" w:tplc="A288BE72">
      <w:start w:val="1"/>
      <w:numFmt w:val="decimal"/>
      <w:lvlText w:val="(%1)"/>
      <w:lvlJc w:val="left"/>
      <w:pPr>
        <w:ind w:left="720" w:hanging="360"/>
      </w:pPr>
      <w:rPr>
        <w:rFonts w:hint="default"/>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455F67"/>
    <w:multiLevelType w:val="hybridMultilevel"/>
    <w:tmpl w:val="4F0A824E"/>
    <w:lvl w:ilvl="0" w:tplc="B13009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DD4E34"/>
    <w:multiLevelType w:val="hybridMultilevel"/>
    <w:tmpl w:val="A7F63BEE"/>
    <w:lvl w:ilvl="0" w:tplc="A70AB7E4">
      <w:start w:val="1"/>
      <w:numFmt w:val="bullet"/>
      <w:lvlText w:val="•"/>
      <w:lvlJc w:val="left"/>
      <w:pPr>
        <w:tabs>
          <w:tab w:val="num" w:pos="720"/>
        </w:tabs>
        <w:ind w:left="720" w:hanging="360"/>
      </w:pPr>
      <w:rPr>
        <w:rFonts w:ascii="Arial" w:hAnsi="Arial" w:hint="default"/>
      </w:rPr>
    </w:lvl>
    <w:lvl w:ilvl="1" w:tplc="536CC3A6" w:tentative="1">
      <w:start w:val="1"/>
      <w:numFmt w:val="bullet"/>
      <w:lvlText w:val="•"/>
      <w:lvlJc w:val="left"/>
      <w:pPr>
        <w:tabs>
          <w:tab w:val="num" w:pos="1440"/>
        </w:tabs>
        <w:ind w:left="1440" w:hanging="360"/>
      </w:pPr>
      <w:rPr>
        <w:rFonts w:ascii="Arial" w:hAnsi="Arial" w:hint="default"/>
      </w:rPr>
    </w:lvl>
    <w:lvl w:ilvl="2" w:tplc="32149A86" w:tentative="1">
      <w:start w:val="1"/>
      <w:numFmt w:val="bullet"/>
      <w:lvlText w:val="•"/>
      <w:lvlJc w:val="left"/>
      <w:pPr>
        <w:tabs>
          <w:tab w:val="num" w:pos="2160"/>
        </w:tabs>
        <w:ind w:left="2160" w:hanging="360"/>
      </w:pPr>
      <w:rPr>
        <w:rFonts w:ascii="Arial" w:hAnsi="Arial" w:hint="default"/>
      </w:rPr>
    </w:lvl>
    <w:lvl w:ilvl="3" w:tplc="95A2E144" w:tentative="1">
      <w:start w:val="1"/>
      <w:numFmt w:val="bullet"/>
      <w:lvlText w:val="•"/>
      <w:lvlJc w:val="left"/>
      <w:pPr>
        <w:tabs>
          <w:tab w:val="num" w:pos="2880"/>
        </w:tabs>
        <w:ind w:left="2880" w:hanging="360"/>
      </w:pPr>
      <w:rPr>
        <w:rFonts w:ascii="Arial" w:hAnsi="Arial" w:hint="default"/>
      </w:rPr>
    </w:lvl>
    <w:lvl w:ilvl="4" w:tplc="95404570" w:tentative="1">
      <w:start w:val="1"/>
      <w:numFmt w:val="bullet"/>
      <w:lvlText w:val="•"/>
      <w:lvlJc w:val="left"/>
      <w:pPr>
        <w:tabs>
          <w:tab w:val="num" w:pos="3600"/>
        </w:tabs>
        <w:ind w:left="3600" w:hanging="360"/>
      </w:pPr>
      <w:rPr>
        <w:rFonts w:ascii="Arial" w:hAnsi="Arial" w:hint="default"/>
      </w:rPr>
    </w:lvl>
    <w:lvl w:ilvl="5" w:tplc="2AB48B64" w:tentative="1">
      <w:start w:val="1"/>
      <w:numFmt w:val="bullet"/>
      <w:lvlText w:val="•"/>
      <w:lvlJc w:val="left"/>
      <w:pPr>
        <w:tabs>
          <w:tab w:val="num" w:pos="4320"/>
        </w:tabs>
        <w:ind w:left="4320" w:hanging="360"/>
      </w:pPr>
      <w:rPr>
        <w:rFonts w:ascii="Arial" w:hAnsi="Arial" w:hint="default"/>
      </w:rPr>
    </w:lvl>
    <w:lvl w:ilvl="6" w:tplc="DF8EFF50" w:tentative="1">
      <w:start w:val="1"/>
      <w:numFmt w:val="bullet"/>
      <w:lvlText w:val="•"/>
      <w:lvlJc w:val="left"/>
      <w:pPr>
        <w:tabs>
          <w:tab w:val="num" w:pos="5040"/>
        </w:tabs>
        <w:ind w:left="5040" w:hanging="360"/>
      </w:pPr>
      <w:rPr>
        <w:rFonts w:ascii="Arial" w:hAnsi="Arial" w:hint="default"/>
      </w:rPr>
    </w:lvl>
    <w:lvl w:ilvl="7" w:tplc="6514307C" w:tentative="1">
      <w:start w:val="1"/>
      <w:numFmt w:val="bullet"/>
      <w:lvlText w:val="•"/>
      <w:lvlJc w:val="left"/>
      <w:pPr>
        <w:tabs>
          <w:tab w:val="num" w:pos="5760"/>
        </w:tabs>
        <w:ind w:left="5760" w:hanging="360"/>
      </w:pPr>
      <w:rPr>
        <w:rFonts w:ascii="Arial" w:hAnsi="Arial" w:hint="default"/>
      </w:rPr>
    </w:lvl>
    <w:lvl w:ilvl="8" w:tplc="53322C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8F1999"/>
    <w:multiLevelType w:val="hybridMultilevel"/>
    <w:tmpl w:val="58EA83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6B6D26"/>
    <w:multiLevelType w:val="multilevel"/>
    <w:tmpl w:val="2EB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A31885"/>
    <w:multiLevelType w:val="hybridMultilevel"/>
    <w:tmpl w:val="DD6E42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043068"/>
    <w:multiLevelType w:val="hybridMultilevel"/>
    <w:tmpl w:val="7FC8B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104C0B"/>
    <w:multiLevelType w:val="multilevel"/>
    <w:tmpl w:val="0B1A5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083FEA"/>
    <w:multiLevelType w:val="hybridMultilevel"/>
    <w:tmpl w:val="672207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9C80D49"/>
    <w:multiLevelType w:val="multilevel"/>
    <w:tmpl w:val="CB94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355147"/>
    <w:multiLevelType w:val="hybridMultilevel"/>
    <w:tmpl w:val="57A488BA"/>
    <w:lvl w:ilvl="0" w:tplc="B0FE77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4119EE"/>
    <w:multiLevelType w:val="hybridMultilevel"/>
    <w:tmpl w:val="DF823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F565DD"/>
    <w:multiLevelType w:val="hybridMultilevel"/>
    <w:tmpl w:val="5D3C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8D6E3B"/>
    <w:multiLevelType w:val="hybridMultilevel"/>
    <w:tmpl w:val="90F80DEA"/>
    <w:lvl w:ilvl="0" w:tplc="6846A586">
      <w:start w:val="1"/>
      <w:numFmt w:val="upp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61CE618A"/>
    <w:multiLevelType w:val="hybridMultilevel"/>
    <w:tmpl w:val="FE247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1656A9"/>
    <w:multiLevelType w:val="hybridMultilevel"/>
    <w:tmpl w:val="A3F0A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F35C93"/>
    <w:multiLevelType w:val="hybridMultilevel"/>
    <w:tmpl w:val="953209F2"/>
    <w:lvl w:ilvl="0" w:tplc="E0D010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867055"/>
    <w:multiLevelType w:val="hybridMultilevel"/>
    <w:tmpl w:val="739A5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177457D"/>
    <w:multiLevelType w:val="hybridMultilevel"/>
    <w:tmpl w:val="7E2AB51A"/>
    <w:lvl w:ilvl="0" w:tplc="0DE8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031AE3"/>
    <w:multiLevelType w:val="hybridMultilevel"/>
    <w:tmpl w:val="F7E6BBDC"/>
    <w:lvl w:ilvl="0" w:tplc="0B5873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1608BD"/>
    <w:multiLevelType w:val="hybridMultilevel"/>
    <w:tmpl w:val="9676A2CA"/>
    <w:lvl w:ilvl="0" w:tplc="2F2E7A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556C89"/>
    <w:multiLevelType w:val="hybridMultilevel"/>
    <w:tmpl w:val="6AF46D46"/>
    <w:lvl w:ilvl="0" w:tplc="34A64D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6B48D9"/>
    <w:multiLevelType w:val="hybridMultilevel"/>
    <w:tmpl w:val="EF88FC4A"/>
    <w:lvl w:ilvl="0" w:tplc="0A4ED3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9869AC"/>
    <w:multiLevelType w:val="hybridMultilevel"/>
    <w:tmpl w:val="4EDE2A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DB74B1"/>
    <w:multiLevelType w:val="multilevel"/>
    <w:tmpl w:val="E446C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827B59"/>
    <w:multiLevelType w:val="hybridMultilevel"/>
    <w:tmpl w:val="99D05E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6339DE"/>
    <w:multiLevelType w:val="hybridMultilevel"/>
    <w:tmpl w:val="921CDADA"/>
    <w:lvl w:ilvl="0" w:tplc="70E800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AC2351"/>
    <w:multiLevelType w:val="hybridMultilevel"/>
    <w:tmpl w:val="2E168578"/>
    <w:lvl w:ilvl="0" w:tplc="3B2C9748">
      <w:start w:val="1"/>
      <w:numFmt w:val="upperLetter"/>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9" w15:restartNumberingAfterBreak="0">
    <w:nsid w:val="7F7F7F43"/>
    <w:multiLevelType w:val="multilevel"/>
    <w:tmpl w:val="E446C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3"/>
  </w:num>
  <w:num w:numId="3">
    <w:abstractNumId w:val="0"/>
  </w:num>
  <w:num w:numId="4">
    <w:abstractNumId w:val="11"/>
  </w:num>
  <w:num w:numId="5">
    <w:abstractNumId w:val="22"/>
  </w:num>
  <w:num w:numId="6">
    <w:abstractNumId w:val="17"/>
  </w:num>
  <w:num w:numId="7">
    <w:abstractNumId w:val="34"/>
  </w:num>
  <w:num w:numId="8">
    <w:abstractNumId w:val="16"/>
  </w:num>
  <w:num w:numId="9">
    <w:abstractNumId w:val="5"/>
  </w:num>
  <w:num w:numId="10">
    <w:abstractNumId w:val="8"/>
  </w:num>
  <w:num w:numId="11">
    <w:abstractNumId w:val="9"/>
  </w:num>
  <w:num w:numId="12">
    <w:abstractNumId w:val="33"/>
  </w:num>
  <w:num w:numId="13">
    <w:abstractNumId w:val="38"/>
  </w:num>
  <w:num w:numId="14">
    <w:abstractNumId w:val="21"/>
  </w:num>
  <w:num w:numId="15">
    <w:abstractNumId w:val="37"/>
  </w:num>
  <w:num w:numId="16">
    <w:abstractNumId w:val="24"/>
  </w:num>
  <w:num w:numId="17">
    <w:abstractNumId w:val="20"/>
  </w:num>
  <w:num w:numId="18">
    <w:abstractNumId w:val="30"/>
  </w:num>
  <w:num w:numId="19">
    <w:abstractNumId w:val="12"/>
  </w:num>
  <w:num w:numId="20">
    <w:abstractNumId w:val="31"/>
  </w:num>
  <w:num w:numId="21">
    <w:abstractNumId w:val="29"/>
  </w:num>
  <w:num w:numId="22">
    <w:abstractNumId w:val="4"/>
  </w:num>
  <w:num w:numId="23">
    <w:abstractNumId w:val="27"/>
  </w:num>
  <w:num w:numId="24">
    <w:abstractNumId w:val="35"/>
  </w:num>
  <w:num w:numId="25">
    <w:abstractNumId w:val="32"/>
  </w:num>
  <w:num w:numId="26">
    <w:abstractNumId w:val="39"/>
  </w:num>
  <w:num w:numId="27">
    <w:abstractNumId w:val="2"/>
  </w:num>
  <w:num w:numId="28">
    <w:abstractNumId w:val="1"/>
  </w:num>
  <w:num w:numId="29">
    <w:abstractNumId w:val="6"/>
  </w:num>
  <w:num w:numId="30">
    <w:abstractNumId w:val="3"/>
  </w:num>
  <w:num w:numId="31">
    <w:abstractNumId w:val="26"/>
  </w:num>
  <w:num w:numId="32">
    <w:abstractNumId w:val="28"/>
  </w:num>
  <w:num w:numId="33">
    <w:abstractNumId w:val="18"/>
  </w:num>
  <w:num w:numId="34">
    <w:abstractNumId w:val="7"/>
  </w:num>
  <w:num w:numId="35">
    <w:abstractNumId w:val="14"/>
  </w:num>
  <w:num w:numId="36">
    <w:abstractNumId w:val="36"/>
  </w:num>
  <w:num w:numId="37">
    <w:abstractNumId w:val="15"/>
  </w:num>
  <w:num w:numId="38">
    <w:abstractNumId w:val="10"/>
  </w:num>
  <w:num w:numId="39">
    <w:abstractNumId w:val="1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65"/>
    <w:rsid w:val="0001669B"/>
    <w:rsid w:val="000448BF"/>
    <w:rsid w:val="000E0C94"/>
    <w:rsid w:val="00453F5D"/>
    <w:rsid w:val="00474B69"/>
    <w:rsid w:val="00487D76"/>
    <w:rsid w:val="004A5563"/>
    <w:rsid w:val="00536C05"/>
    <w:rsid w:val="00585A01"/>
    <w:rsid w:val="005A2B62"/>
    <w:rsid w:val="005F418E"/>
    <w:rsid w:val="00651511"/>
    <w:rsid w:val="006C5CB7"/>
    <w:rsid w:val="006F4D48"/>
    <w:rsid w:val="00801B49"/>
    <w:rsid w:val="0086408C"/>
    <w:rsid w:val="009610C2"/>
    <w:rsid w:val="009D0695"/>
    <w:rsid w:val="009E39C9"/>
    <w:rsid w:val="00AB05C5"/>
    <w:rsid w:val="00AC50C4"/>
    <w:rsid w:val="00B30901"/>
    <w:rsid w:val="00B86E72"/>
    <w:rsid w:val="00C16B25"/>
    <w:rsid w:val="00C63647"/>
    <w:rsid w:val="00D039F9"/>
    <w:rsid w:val="00D23264"/>
    <w:rsid w:val="00D355A5"/>
    <w:rsid w:val="00D56D5E"/>
    <w:rsid w:val="00D731BC"/>
    <w:rsid w:val="00DB3430"/>
    <w:rsid w:val="00DC2365"/>
    <w:rsid w:val="00E1081B"/>
    <w:rsid w:val="00E71800"/>
    <w:rsid w:val="00EF11DC"/>
    <w:rsid w:val="00F800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9CF7B"/>
  <w15:chartTrackingRefBased/>
  <w15:docId w15:val="{D85EB9AC-3A0C-411F-B95F-E3330D7F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01"/>
  </w:style>
  <w:style w:type="paragraph" w:styleId="Heading1">
    <w:name w:val="heading 1"/>
    <w:basedOn w:val="Normal"/>
    <w:link w:val="Heading1Char"/>
    <w:uiPriority w:val="9"/>
    <w:qFormat/>
    <w:rsid w:val="00DC23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Heading2">
    <w:name w:val="heading 2"/>
    <w:basedOn w:val="Normal"/>
    <w:next w:val="Normal"/>
    <w:link w:val="Heading2Char"/>
    <w:uiPriority w:val="9"/>
    <w:unhideWhenUsed/>
    <w:qFormat/>
    <w:rsid w:val="00DC23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23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C23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365"/>
    <w:rPr>
      <w:rFonts w:ascii="Times New Roman" w:eastAsia="Times New Roman" w:hAnsi="Times New Roman" w:cs="Times New Roman"/>
      <w:b/>
      <w:bCs/>
      <w:kern w:val="36"/>
      <w:sz w:val="48"/>
      <w:szCs w:val="48"/>
      <w:lang w:eastAsia="es-MX"/>
    </w:rPr>
  </w:style>
  <w:style w:type="character" w:customStyle="1" w:styleId="Heading2Char">
    <w:name w:val="Heading 2 Char"/>
    <w:basedOn w:val="DefaultParagraphFont"/>
    <w:link w:val="Heading2"/>
    <w:uiPriority w:val="9"/>
    <w:rsid w:val="00DC23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C236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C236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C2365"/>
    <w:rPr>
      <w:color w:val="0000FF"/>
      <w:u w:val="single"/>
    </w:rPr>
  </w:style>
  <w:style w:type="paragraph" w:styleId="ListParagraph">
    <w:name w:val="List Paragraph"/>
    <w:basedOn w:val="Normal"/>
    <w:uiPriority w:val="34"/>
    <w:qFormat/>
    <w:rsid w:val="00DC2365"/>
    <w:pPr>
      <w:ind w:left="720"/>
      <w:contextualSpacing/>
    </w:pPr>
  </w:style>
  <w:style w:type="paragraph" w:styleId="BalloonText">
    <w:name w:val="Balloon Text"/>
    <w:basedOn w:val="Normal"/>
    <w:link w:val="BalloonTextChar"/>
    <w:uiPriority w:val="99"/>
    <w:semiHidden/>
    <w:unhideWhenUsed/>
    <w:rsid w:val="00DC23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365"/>
    <w:rPr>
      <w:rFonts w:ascii="Lucida Grande" w:hAnsi="Lucida Grande" w:cs="Lucida Grande"/>
      <w:sz w:val="18"/>
      <w:szCs w:val="18"/>
    </w:rPr>
  </w:style>
  <w:style w:type="character" w:styleId="CommentReference">
    <w:name w:val="annotation reference"/>
    <w:basedOn w:val="DefaultParagraphFont"/>
    <w:uiPriority w:val="99"/>
    <w:semiHidden/>
    <w:unhideWhenUsed/>
    <w:rsid w:val="00DC2365"/>
    <w:rPr>
      <w:sz w:val="18"/>
      <w:szCs w:val="18"/>
    </w:rPr>
  </w:style>
  <w:style w:type="paragraph" w:styleId="CommentText">
    <w:name w:val="annotation text"/>
    <w:basedOn w:val="Normal"/>
    <w:link w:val="CommentTextChar"/>
    <w:uiPriority w:val="99"/>
    <w:semiHidden/>
    <w:unhideWhenUsed/>
    <w:rsid w:val="00DC2365"/>
    <w:pPr>
      <w:spacing w:line="240" w:lineRule="auto"/>
    </w:pPr>
    <w:rPr>
      <w:sz w:val="24"/>
      <w:szCs w:val="24"/>
    </w:rPr>
  </w:style>
  <w:style w:type="character" w:customStyle="1" w:styleId="CommentTextChar">
    <w:name w:val="Comment Text Char"/>
    <w:basedOn w:val="DefaultParagraphFont"/>
    <w:link w:val="CommentText"/>
    <w:uiPriority w:val="99"/>
    <w:semiHidden/>
    <w:rsid w:val="00DC2365"/>
    <w:rPr>
      <w:sz w:val="24"/>
      <w:szCs w:val="24"/>
    </w:rPr>
  </w:style>
  <w:style w:type="paragraph" w:styleId="CommentSubject">
    <w:name w:val="annotation subject"/>
    <w:basedOn w:val="CommentText"/>
    <w:next w:val="CommentText"/>
    <w:link w:val="CommentSubjectChar"/>
    <w:uiPriority w:val="99"/>
    <w:semiHidden/>
    <w:unhideWhenUsed/>
    <w:rsid w:val="00DC2365"/>
    <w:rPr>
      <w:b/>
      <w:bCs/>
      <w:sz w:val="20"/>
      <w:szCs w:val="20"/>
    </w:rPr>
  </w:style>
  <w:style w:type="character" w:customStyle="1" w:styleId="CommentSubjectChar">
    <w:name w:val="Comment Subject Char"/>
    <w:basedOn w:val="CommentTextChar"/>
    <w:link w:val="CommentSubject"/>
    <w:uiPriority w:val="99"/>
    <w:semiHidden/>
    <w:rsid w:val="00DC2365"/>
    <w:rPr>
      <w:b/>
      <w:bCs/>
      <w:sz w:val="20"/>
      <w:szCs w:val="20"/>
    </w:rPr>
  </w:style>
  <w:style w:type="character" w:styleId="FollowedHyperlink">
    <w:name w:val="FollowedHyperlink"/>
    <w:basedOn w:val="DefaultParagraphFont"/>
    <w:uiPriority w:val="99"/>
    <w:semiHidden/>
    <w:unhideWhenUsed/>
    <w:rsid w:val="00DC2365"/>
    <w:rPr>
      <w:color w:val="954F72" w:themeColor="followedHyperlink"/>
      <w:u w:val="single"/>
    </w:rPr>
  </w:style>
  <w:style w:type="character" w:customStyle="1" w:styleId="Mencinsinresolver1">
    <w:name w:val="Mención sin resolver1"/>
    <w:basedOn w:val="DefaultParagraphFont"/>
    <w:uiPriority w:val="99"/>
    <w:semiHidden/>
    <w:unhideWhenUsed/>
    <w:rsid w:val="00DC2365"/>
    <w:rPr>
      <w:color w:val="605E5C"/>
      <w:shd w:val="clear" w:color="auto" w:fill="E1DFDD"/>
    </w:rPr>
  </w:style>
  <w:style w:type="paragraph" w:styleId="Header">
    <w:name w:val="header"/>
    <w:basedOn w:val="Normal"/>
    <w:link w:val="HeaderChar"/>
    <w:uiPriority w:val="99"/>
    <w:unhideWhenUsed/>
    <w:rsid w:val="00DC2365"/>
    <w:pPr>
      <w:tabs>
        <w:tab w:val="center" w:pos="4419"/>
        <w:tab w:val="right" w:pos="8838"/>
      </w:tabs>
      <w:spacing w:after="0" w:line="240" w:lineRule="auto"/>
    </w:pPr>
  </w:style>
  <w:style w:type="character" w:customStyle="1" w:styleId="HeaderChar">
    <w:name w:val="Header Char"/>
    <w:basedOn w:val="DefaultParagraphFont"/>
    <w:link w:val="Header"/>
    <w:uiPriority w:val="99"/>
    <w:rsid w:val="00DC2365"/>
  </w:style>
  <w:style w:type="paragraph" w:styleId="Footer">
    <w:name w:val="footer"/>
    <w:basedOn w:val="Normal"/>
    <w:link w:val="FooterChar"/>
    <w:uiPriority w:val="99"/>
    <w:unhideWhenUsed/>
    <w:rsid w:val="00DC2365"/>
    <w:pPr>
      <w:tabs>
        <w:tab w:val="center" w:pos="4419"/>
        <w:tab w:val="right" w:pos="8838"/>
      </w:tabs>
      <w:spacing w:after="0" w:line="240" w:lineRule="auto"/>
    </w:pPr>
  </w:style>
  <w:style w:type="character" w:customStyle="1" w:styleId="FooterChar">
    <w:name w:val="Footer Char"/>
    <w:basedOn w:val="DefaultParagraphFont"/>
    <w:link w:val="Footer"/>
    <w:uiPriority w:val="99"/>
    <w:rsid w:val="00DC2365"/>
  </w:style>
  <w:style w:type="character" w:customStyle="1" w:styleId="Mencinsinresolver2">
    <w:name w:val="Mención sin resolver2"/>
    <w:basedOn w:val="DefaultParagraphFont"/>
    <w:uiPriority w:val="99"/>
    <w:semiHidden/>
    <w:unhideWhenUsed/>
    <w:rsid w:val="00DC2365"/>
    <w:rPr>
      <w:color w:val="605E5C"/>
      <w:shd w:val="clear" w:color="auto" w:fill="E1DFDD"/>
    </w:rPr>
  </w:style>
  <w:style w:type="character" w:customStyle="1" w:styleId="go">
    <w:name w:val="go"/>
    <w:basedOn w:val="DefaultParagraphFont"/>
    <w:rsid w:val="00DC2365"/>
  </w:style>
  <w:style w:type="paragraph" w:customStyle="1" w:styleId="m1965789694870908399gmail-msolistparagraph">
    <w:name w:val="m_1965789694870908399gmail-msolistparagraph"/>
    <w:basedOn w:val="Normal"/>
    <w:rsid w:val="00DC23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UnresolvedMention">
    <w:name w:val="Unresolved Mention"/>
    <w:basedOn w:val="DefaultParagraphFont"/>
    <w:uiPriority w:val="99"/>
    <w:semiHidden/>
    <w:unhideWhenUsed/>
    <w:rsid w:val="00DC2365"/>
    <w:rPr>
      <w:color w:val="605E5C"/>
      <w:shd w:val="clear" w:color="auto" w:fill="E1DFDD"/>
    </w:rPr>
  </w:style>
  <w:style w:type="table" w:styleId="TableGrid">
    <w:name w:val="Table Grid"/>
    <w:basedOn w:val="TableNormal"/>
    <w:uiPriority w:val="39"/>
    <w:rsid w:val="00DC2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23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TMLCite">
    <w:name w:val="HTML Cite"/>
    <w:basedOn w:val="DefaultParagraphFont"/>
    <w:uiPriority w:val="99"/>
    <w:semiHidden/>
    <w:unhideWhenUsed/>
    <w:rsid w:val="00DC2365"/>
    <w:rPr>
      <w:i/>
      <w:iCs/>
    </w:rPr>
  </w:style>
  <w:style w:type="paragraph" w:customStyle="1" w:styleId="has-plink">
    <w:name w:val="has-plink"/>
    <w:basedOn w:val="Normal"/>
    <w:rsid w:val="00DC23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itation-authors-year">
    <w:name w:val="citation-authors-year"/>
    <w:basedOn w:val="DefaultParagraphFont"/>
    <w:rsid w:val="00DC2365"/>
  </w:style>
  <w:style w:type="character" w:customStyle="1" w:styleId="name">
    <w:name w:val="name"/>
    <w:basedOn w:val="DefaultParagraphFont"/>
    <w:rsid w:val="00DC2365"/>
  </w:style>
  <w:style w:type="character" w:customStyle="1" w:styleId="surname">
    <w:name w:val="surname"/>
    <w:basedOn w:val="DefaultParagraphFont"/>
    <w:rsid w:val="00DC2365"/>
  </w:style>
  <w:style w:type="character" w:customStyle="1" w:styleId="given-names">
    <w:name w:val="given-names"/>
    <w:basedOn w:val="DefaultParagraphFont"/>
    <w:rsid w:val="00DC2365"/>
  </w:style>
  <w:style w:type="character" w:customStyle="1" w:styleId="issue">
    <w:name w:val="issue"/>
    <w:basedOn w:val="DefaultParagraphFont"/>
    <w:rsid w:val="00DC2365"/>
  </w:style>
  <w:style w:type="character" w:customStyle="1" w:styleId="volume">
    <w:name w:val="volume"/>
    <w:basedOn w:val="DefaultParagraphFont"/>
    <w:rsid w:val="00DC2365"/>
  </w:style>
  <w:style w:type="character" w:customStyle="1" w:styleId="source">
    <w:name w:val="source"/>
    <w:basedOn w:val="DefaultParagraphFont"/>
    <w:rsid w:val="00DC2365"/>
  </w:style>
  <w:style w:type="character" w:customStyle="1" w:styleId="fpage">
    <w:name w:val="fpage"/>
    <w:basedOn w:val="DefaultParagraphFont"/>
    <w:rsid w:val="00DC2365"/>
  </w:style>
  <w:style w:type="character" w:customStyle="1" w:styleId="lpage">
    <w:name w:val="lpage"/>
    <w:basedOn w:val="DefaultParagraphFont"/>
    <w:rsid w:val="00DC2365"/>
  </w:style>
  <w:style w:type="character" w:customStyle="1" w:styleId="elocation-id">
    <w:name w:val="elocation-id"/>
    <w:basedOn w:val="DefaultParagraphFont"/>
    <w:rsid w:val="00DC2365"/>
  </w:style>
  <w:style w:type="character" w:customStyle="1" w:styleId="publisher">
    <w:name w:val="publisher"/>
    <w:basedOn w:val="DefaultParagraphFont"/>
    <w:rsid w:val="00DC2365"/>
  </w:style>
  <w:style w:type="character" w:customStyle="1" w:styleId="comment">
    <w:name w:val="comment"/>
    <w:basedOn w:val="DefaultParagraphFont"/>
    <w:rsid w:val="00DC2365"/>
  </w:style>
  <w:style w:type="paragraph" w:customStyle="1" w:styleId="contributor">
    <w:name w:val="contributor"/>
    <w:basedOn w:val="Normal"/>
    <w:rsid w:val="00DC23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xref-sep">
    <w:name w:val="xref-sep"/>
    <w:basedOn w:val="DefaultParagraphFont"/>
    <w:rsid w:val="00DC2365"/>
  </w:style>
  <w:style w:type="paragraph" w:customStyle="1" w:styleId="last">
    <w:name w:val="last"/>
    <w:basedOn w:val="Normal"/>
    <w:rsid w:val="00DC23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le-text">
    <w:name w:val="title-text"/>
    <w:basedOn w:val="DefaultParagraphFont"/>
    <w:rsid w:val="00DC2365"/>
  </w:style>
  <w:style w:type="character" w:customStyle="1" w:styleId="sr-only">
    <w:name w:val="sr-only"/>
    <w:basedOn w:val="DefaultParagraphFont"/>
    <w:rsid w:val="00DC2365"/>
  </w:style>
  <w:style w:type="character" w:customStyle="1" w:styleId="text">
    <w:name w:val="text"/>
    <w:basedOn w:val="DefaultParagraphFont"/>
    <w:rsid w:val="00DC2365"/>
  </w:style>
  <w:style w:type="character" w:customStyle="1" w:styleId="author-ref">
    <w:name w:val="author-ref"/>
    <w:basedOn w:val="DefaultParagraphFont"/>
    <w:rsid w:val="00DC2365"/>
  </w:style>
  <w:style w:type="character" w:customStyle="1" w:styleId="articlecitationvolume">
    <w:name w:val="articlecitation_volume"/>
    <w:basedOn w:val="DefaultParagraphFont"/>
    <w:rsid w:val="00DC2365"/>
  </w:style>
  <w:style w:type="character" w:customStyle="1" w:styleId="articlecitationpages">
    <w:name w:val="articlecitation_pages"/>
    <w:basedOn w:val="DefaultParagraphFont"/>
    <w:rsid w:val="00DC2365"/>
  </w:style>
  <w:style w:type="character" w:styleId="Emphasis">
    <w:name w:val="Emphasis"/>
    <w:basedOn w:val="DefaultParagraphFont"/>
    <w:uiPriority w:val="20"/>
    <w:qFormat/>
    <w:rsid w:val="00DC2365"/>
    <w:rPr>
      <w:i/>
      <w:iCs/>
    </w:rPr>
  </w:style>
  <w:style w:type="character" w:customStyle="1" w:styleId="cit-auth">
    <w:name w:val="cit-auth"/>
    <w:basedOn w:val="DefaultParagraphFont"/>
    <w:rsid w:val="00DC2365"/>
  </w:style>
  <w:style w:type="character" w:customStyle="1" w:styleId="cit-pub-date">
    <w:name w:val="cit-pub-date"/>
    <w:basedOn w:val="DefaultParagraphFont"/>
    <w:rsid w:val="00DC2365"/>
  </w:style>
  <w:style w:type="character" w:customStyle="1" w:styleId="cit-comment">
    <w:name w:val="cit-comment"/>
    <w:basedOn w:val="DefaultParagraphFont"/>
    <w:rsid w:val="00DC2365"/>
  </w:style>
  <w:style w:type="character" w:customStyle="1" w:styleId="highwire-citation-authors">
    <w:name w:val="highwire-citation-authors"/>
    <w:basedOn w:val="DefaultParagraphFont"/>
    <w:rsid w:val="00DC2365"/>
  </w:style>
  <w:style w:type="character" w:customStyle="1" w:styleId="highwire-citation-author">
    <w:name w:val="highwire-citation-author"/>
    <w:basedOn w:val="DefaultParagraphFont"/>
    <w:rsid w:val="00DC2365"/>
  </w:style>
  <w:style w:type="character" w:customStyle="1" w:styleId="highwire-cite-metadata-journal">
    <w:name w:val="highwire-cite-metadata-journal"/>
    <w:basedOn w:val="DefaultParagraphFont"/>
    <w:rsid w:val="00DC2365"/>
  </w:style>
  <w:style w:type="character" w:customStyle="1" w:styleId="highwire-cite-metadata-date">
    <w:name w:val="highwire-cite-metadata-date"/>
    <w:basedOn w:val="DefaultParagraphFont"/>
    <w:rsid w:val="00DC2365"/>
  </w:style>
  <w:style w:type="character" w:customStyle="1" w:styleId="highwire-cite-metadata-volume">
    <w:name w:val="highwire-cite-metadata-volume"/>
    <w:basedOn w:val="DefaultParagraphFont"/>
    <w:rsid w:val="00DC2365"/>
  </w:style>
  <w:style w:type="character" w:customStyle="1" w:styleId="highwire-cite-metadata-issue">
    <w:name w:val="highwire-cite-metadata-issue"/>
    <w:basedOn w:val="DefaultParagraphFont"/>
    <w:rsid w:val="00DC2365"/>
  </w:style>
  <w:style w:type="character" w:customStyle="1" w:styleId="highwire-cite-metadata-pages">
    <w:name w:val="highwire-cite-metadata-pages"/>
    <w:basedOn w:val="DefaultParagraphFont"/>
    <w:rsid w:val="00DC2365"/>
  </w:style>
  <w:style w:type="character" w:customStyle="1" w:styleId="highwire-cite-metadata-papdate">
    <w:name w:val="highwire-cite-metadata-papdate"/>
    <w:basedOn w:val="DefaultParagraphFont"/>
    <w:rsid w:val="00DC2365"/>
  </w:style>
  <w:style w:type="character" w:customStyle="1" w:styleId="highwire-cite-metadata-doi">
    <w:name w:val="highwire-cite-metadata-doi"/>
    <w:basedOn w:val="DefaultParagraphFont"/>
    <w:rsid w:val="00DC2365"/>
  </w:style>
  <w:style w:type="character" w:customStyle="1" w:styleId="biblio-authors">
    <w:name w:val="biblio-authors"/>
    <w:basedOn w:val="DefaultParagraphFont"/>
    <w:rsid w:val="00DC2365"/>
  </w:style>
  <w:style w:type="character" w:customStyle="1" w:styleId="biblio-title">
    <w:name w:val="biblio-title"/>
    <w:basedOn w:val="DefaultParagraphFont"/>
    <w:rsid w:val="00DC2365"/>
  </w:style>
  <w:style w:type="character" w:styleId="Strong">
    <w:name w:val="Strong"/>
    <w:basedOn w:val="DefaultParagraphFont"/>
    <w:uiPriority w:val="22"/>
    <w:qFormat/>
    <w:rsid w:val="00DC2365"/>
    <w:rPr>
      <w:b/>
      <w:bCs/>
    </w:rPr>
  </w:style>
  <w:style w:type="character" w:customStyle="1" w:styleId="pagesnum">
    <w:name w:val="pagesnum"/>
    <w:basedOn w:val="DefaultParagraphFont"/>
    <w:rsid w:val="00DC2365"/>
  </w:style>
  <w:style w:type="character" w:styleId="LineNumber">
    <w:name w:val="line number"/>
    <w:basedOn w:val="DefaultParagraphFont"/>
    <w:uiPriority w:val="99"/>
    <w:semiHidden/>
    <w:unhideWhenUsed/>
    <w:rsid w:val="00DC2365"/>
  </w:style>
  <w:style w:type="character" w:customStyle="1" w:styleId="Mencinsinresolver3">
    <w:name w:val="Mención sin resolver3"/>
    <w:basedOn w:val="DefaultParagraphFont"/>
    <w:uiPriority w:val="99"/>
    <w:semiHidden/>
    <w:unhideWhenUsed/>
    <w:rsid w:val="00585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trade.earth/" TargetMode="External"/><Relationship Id="rId13" Type="http://schemas.openxmlformats.org/officeDocument/2006/relationships/hyperlink" Target="http://www.iucnredlist.org/technical-documents/classification-schemes/habitats-classification-scheme-ver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cnredlis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worlddev.2017.10.0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uh.umd.edu/data.shtml" TargetMode="External"/><Relationship Id="rId4" Type="http://schemas.openxmlformats.org/officeDocument/2006/relationships/settings" Target="settings.xml"/><Relationship Id="rId9" Type="http://schemas.openxmlformats.org/officeDocument/2006/relationships/hyperlink" Target="http://www.fao.org/WFS/" TargetMode="External"/><Relationship Id="rId14" Type="http://schemas.openxmlformats.org/officeDocument/2006/relationships/hyperlink" Target="http://luh.umd.edu/dat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3C6F-3666-4388-BC26-E35F65BB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2367</Words>
  <Characters>13497</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ESTRADA</dc:creator>
  <cp:keywords/>
  <dc:description/>
  <cp:lastModifiedBy>ALEJANDRO ESTRADA</cp:lastModifiedBy>
  <cp:revision>2</cp:revision>
  <cp:lastPrinted>2019-03-07T01:50:00Z</cp:lastPrinted>
  <dcterms:created xsi:type="dcterms:W3CDTF">2019-04-18T20:53:00Z</dcterms:created>
  <dcterms:modified xsi:type="dcterms:W3CDTF">2019-04-18T20:53:00Z</dcterms:modified>
</cp:coreProperties>
</file>