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12A4A" w14:textId="7C7D2C89" w:rsidR="009E653B" w:rsidRDefault="009E653B" w:rsidP="009E653B">
      <w:pPr>
        <w:ind w:left="315" w:hanging="315"/>
      </w:pPr>
      <w:r w:rsidRPr="00216B66">
        <w:rPr>
          <w:rFonts w:ascii="Times New Roman" w:hAnsi="Times New Roman" w:cs="Times New Roman"/>
          <w:b/>
        </w:rPr>
        <w:t>Table S1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cs="Times New Roman"/>
        </w:rPr>
        <w:instrText>ADDIN CNKISM.UserStyle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Re</w:t>
      </w:r>
      <w:r w:rsidRPr="00F72EA0">
        <w:rPr>
          <w:rFonts w:ascii="Times New Roman" w:hAnsi="Times New Roman" w:cs="Times New Roman"/>
        </w:rPr>
        <w:t>lative abundance (%)</w:t>
      </w:r>
      <w:r>
        <w:rPr>
          <w:rFonts w:ascii="Times New Roman" w:hAnsi="Times New Roman" w:cs="Times New Roman"/>
        </w:rPr>
        <w:t xml:space="preserve"> </w:t>
      </w:r>
      <w:r w:rsidRPr="00F72EA0">
        <w:rPr>
          <w:rFonts w:ascii="Times New Roman" w:hAnsi="Times New Roman" w:cs="Times New Roman"/>
        </w:rPr>
        <w:t>of fungal</w:t>
      </w:r>
      <w:r>
        <w:rPr>
          <w:rFonts w:ascii="Times New Roman" w:hAnsi="Times New Roman" w:cs="Times New Roman"/>
        </w:rPr>
        <w:t xml:space="preserve"> phylum across all soil samples</w:t>
      </w:r>
    </w:p>
    <w:tbl>
      <w:tblPr>
        <w:tblpPr w:leftFromText="180" w:rightFromText="180" w:vertAnchor="text" w:horzAnchor="margin" w:tblpY="240"/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4"/>
        <w:gridCol w:w="1705"/>
        <w:gridCol w:w="1705"/>
        <w:gridCol w:w="1705"/>
        <w:gridCol w:w="1705"/>
      </w:tblGrid>
      <w:tr w:rsidR="009E653B" w:rsidRPr="001E282A" w14:paraId="564C88E0" w14:textId="77777777" w:rsidTr="00D5316D"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E9045D4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Phylum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FD3B40C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ACC1y</w:t>
            </w:r>
            <w:r w:rsidRPr="00112874">
              <w:rPr>
                <w:rFonts w:ascii="Times New Roman" w:eastAsia="等线" w:hAnsi="Times New Roman" w:cs="Times New Roman"/>
                <w:color w:val="000000"/>
                <w:szCs w:val="21"/>
                <w:vertAlign w:val="superscript"/>
              </w:rPr>
              <w:t>a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7AF2EFD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ACC2y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6AA78DB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ACC6y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4EB0DF9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ACC9y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883EDEF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ACC12y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84BD9EA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ACC13y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0F3DC04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ACC35y</w:t>
            </w:r>
          </w:p>
        </w:tc>
      </w:tr>
      <w:tr w:rsidR="009E653B" w:rsidRPr="001E282A" w14:paraId="5BB47BBE" w14:textId="77777777" w:rsidTr="00D5316D">
        <w:tc>
          <w:tcPr>
            <w:tcW w:w="1703" w:type="dxa"/>
            <w:tcBorders>
              <w:top w:val="single" w:sz="12" w:space="0" w:color="auto"/>
            </w:tcBorders>
            <w:vAlign w:val="bottom"/>
          </w:tcPr>
          <w:p w14:paraId="512BEA4B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Ascomycota</w:t>
            </w:r>
          </w:p>
        </w:tc>
        <w:tc>
          <w:tcPr>
            <w:tcW w:w="1703" w:type="dxa"/>
            <w:tcBorders>
              <w:top w:val="single" w:sz="12" w:space="0" w:color="auto"/>
            </w:tcBorders>
            <w:vAlign w:val="bottom"/>
          </w:tcPr>
          <w:p w14:paraId="1CC80ED3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64.37±0.94c</w:t>
            </w:r>
            <w:r w:rsidRPr="00112874">
              <w:rPr>
                <w:rFonts w:ascii="Times New Roman" w:eastAsia="等线" w:hAnsi="Times New Roman" w:cs="Times New Roman"/>
                <w:color w:val="000000"/>
                <w:szCs w:val="21"/>
                <w:vertAlign w:val="superscript"/>
              </w:rPr>
              <w:t>b</w:t>
            </w:r>
          </w:p>
        </w:tc>
        <w:tc>
          <w:tcPr>
            <w:tcW w:w="1703" w:type="dxa"/>
            <w:tcBorders>
              <w:top w:val="single" w:sz="12" w:space="0" w:color="auto"/>
            </w:tcBorders>
            <w:vAlign w:val="bottom"/>
          </w:tcPr>
          <w:p w14:paraId="41ED6462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74.73±1.85a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vAlign w:val="bottom"/>
          </w:tcPr>
          <w:p w14:paraId="4B30D220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76.15±3.29a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vAlign w:val="bottom"/>
          </w:tcPr>
          <w:p w14:paraId="2AF9FD41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73.77±1.61a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vAlign w:val="bottom"/>
          </w:tcPr>
          <w:p w14:paraId="5375621B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69.57±1.17b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vAlign w:val="bottom"/>
          </w:tcPr>
          <w:p w14:paraId="59418830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75.29±3.95a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vAlign w:val="bottom"/>
          </w:tcPr>
          <w:p w14:paraId="4212863C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73.25±0.74ab</w:t>
            </w:r>
          </w:p>
        </w:tc>
      </w:tr>
      <w:tr w:rsidR="009E653B" w:rsidRPr="001E282A" w14:paraId="6A87EE82" w14:textId="77777777" w:rsidTr="00D5316D">
        <w:tc>
          <w:tcPr>
            <w:tcW w:w="1703" w:type="dxa"/>
            <w:vAlign w:val="bottom"/>
          </w:tcPr>
          <w:p w14:paraId="35FC20F5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Zygomycota</w:t>
            </w:r>
          </w:p>
        </w:tc>
        <w:tc>
          <w:tcPr>
            <w:tcW w:w="1703" w:type="dxa"/>
            <w:vAlign w:val="bottom"/>
          </w:tcPr>
          <w:p w14:paraId="2489374A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15.36±0.92b</w:t>
            </w:r>
          </w:p>
        </w:tc>
        <w:tc>
          <w:tcPr>
            <w:tcW w:w="1703" w:type="dxa"/>
            <w:vAlign w:val="bottom"/>
          </w:tcPr>
          <w:p w14:paraId="3F1AD505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9.16±0.61d</w:t>
            </w:r>
          </w:p>
        </w:tc>
        <w:tc>
          <w:tcPr>
            <w:tcW w:w="1704" w:type="dxa"/>
            <w:vAlign w:val="bottom"/>
          </w:tcPr>
          <w:p w14:paraId="036AF112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8.61±1.37d</w:t>
            </w:r>
          </w:p>
        </w:tc>
        <w:tc>
          <w:tcPr>
            <w:tcW w:w="1705" w:type="dxa"/>
            <w:vAlign w:val="bottom"/>
          </w:tcPr>
          <w:p w14:paraId="38AEE142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12.83±1.34c</w:t>
            </w:r>
          </w:p>
        </w:tc>
        <w:tc>
          <w:tcPr>
            <w:tcW w:w="1705" w:type="dxa"/>
            <w:vAlign w:val="bottom"/>
          </w:tcPr>
          <w:p w14:paraId="280470C7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17.98±0.88a</w:t>
            </w:r>
          </w:p>
        </w:tc>
        <w:tc>
          <w:tcPr>
            <w:tcW w:w="1705" w:type="dxa"/>
            <w:vAlign w:val="bottom"/>
          </w:tcPr>
          <w:p w14:paraId="4D6746ED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14.37±1.04bc</w:t>
            </w:r>
          </w:p>
        </w:tc>
        <w:tc>
          <w:tcPr>
            <w:tcW w:w="1705" w:type="dxa"/>
            <w:vAlign w:val="bottom"/>
          </w:tcPr>
          <w:p w14:paraId="0E18DAA0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13.68±1.39bc</w:t>
            </w:r>
          </w:p>
        </w:tc>
      </w:tr>
      <w:tr w:rsidR="009E653B" w:rsidRPr="001E282A" w14:paraId="5833E57A" w14:textId="77777777" w:rsidTr="00D5316D">
        <w:tc>
          <w:tcPr>
            <w:tcW w:w="1703" w:type="dxa"/>
            <w:vAlign w:val="bottom"/>
          </w:tcPr>
          <w:p w14:paraId="7BD5EEE1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Basidiomycota</w:t>
            </w:r>
          </w:p>
        </w:tc>
        <w:tc>
          <w:tcPr>
            <w:tcW w:w="1703" w:type="dxa"/>
            <w:vAlign w:val="bottom"/>
          </w:tcPr>
          <w:p w14:paraId="593A1F07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15.45±1.18a</w:t>
            </w:r>
          </w:p>
        </w:tc>
        <w:tc>
          <w:tcPr>
            <w:tcW w:w="1703" w:type="dxa"/>
            <w:vAlign w:val="bottom"/>
          </w:tcPr>
          <w:p w14:paraId="25C541F6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10.69±1.51b</w:t>
            </w:r>
          </w:p>
        </w:tc>
        <w:tc>
          <w:tcPr>
            <w:tcW w:w="1704" w:type="dxa"/>
            <w:vAlign w:val="bottom"/>
          </w:tcPr>
          <w:p w14:paraId="1B803BDB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14.4±1.21a</w:t>
            </w:r>
          </w:p>
        </w:tc>
        <w:tc>
          <w:tcPr>
            <w:tcW w:w="1705" w:type="dxa"/>
            <w:vAlign w:val="bottom"/>
          </w:tcPr>
          <w:p w14:paraId="218510F5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8.67±0.39bc</w:t>
            </w:r>
          </w:p>
        </w:tc>
        <w:tc>
          <w:tcPr>
            <w:tcW w:w="1705" w:type="dxa"/>
            <w:vAlign w:val="bottom"/>
          </w:tcPr>
          <w:p w14:paraId="08E85D06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6.47±0.06d</w:t>
            </w:r>
          </w:p>
        </w:tc>
        <w:tc>
          <w:tcPr>
            <w:tcW w:w="1705" w:type="dxa"/>
            <w:vAlign w:val="bottom"/>
          </w:tcPr>
          <w:p w14:paraId="554576BC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7.51±1.74cd</w:t>
            </w:r>
          </w:p>
        </w:tc>
        <w:tc>
          <w:tcPr>
            <w:tcW w:w="1705" w:type="dxa"/>
            <w:vAlign w:val="bottom"/>
          </w:tcPr>
          <w:p w14:paraId="64E8F60B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9.31±0.71bc</w:t>
            </w:r>
          </w:p>
        </w:tc>
      </w:tr>
      <w:tr w:rsidR="009E653B" w:rsidRPr="001E282A" w14:paraId="565074F1" w14:textId="77777777" w:rsidTr="00D5316D">
        <w:tc>
          <w:tcPr>
            <w:tcW w:w="1703" w:type="dxa"/>
            <w:vAlign w:val="bottom"/>
          </w:tcPr>
          <w:p w14:paraId="59F75F39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Chytridiomycota</w:t>
            </w:r>
          </w:p>
        </w:tc>
        <w:tc>
          <w:tcPr>
            <w:tcW w:w="1703" w:type="dxa"/>
            <w:vAlign w:val="bottom"/>
          </w:tcPr>
          <w:p w14:paraId="020CE8C0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0.12±0.08de</w:t>
            </w:r>
          </w:p>
        </w:tc>
        <w:tc>
          <w:tcPr>
            <w:tcW w:w="1703" w:type="dxa"/>
            <w:vAlign w:val="bottom"/>
          </w:tcPr>
          <w:p w14:paraId="4449B576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0.19±0.06bcd</w:t>
            </w:r>
          </w:p>
        </w:tc>
        <w:tc>
          <w:tcPr>
            <w:tcW w:w="1704" w:type="dxa"/>
            <w:vAlign w:val="bottom"/>
          </w:tcPr>
          <w:p w14:paraId="5AC3540C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0.07±0.02e</w:t>
            </w:r>
          </w:p>
        </w:tc>
        <w:tc>
          <w:tcPr>
            <w:tcW w:w="1705" w:type="dxa"/>
            <w:vAlign w:val="bottom"/>
          </w:tcPr>
          <w:p w14:paraId="127C3B96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0.30±0.04b</w:t>
            </w:r>
          </w:p>
        </w:tc>
        <w:tc>
          <w:tcPr>
            <w:tcW w:w="1705" w:type="dxa"/>
            <w:vAlign w:val="bottom"/>
          </w:tcPr>
          <w:p w14:paraId="43069A32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0.46±0.10a</w:t>
            </w:r>
          </w:p>
        </w:tc>
        <w:tc>
          <w:tcPr>
            <w:tcW w:w="1705" w:type="dxa"/>
            <w:vAlign w:val="bottom"/>
          </w:tcPr>
          <w:p w14:paraId="6F564C8C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0.29±0.03bc</w:t>
            </w:r>
          </w:p>
        </w:tc>
        <w:tc>
          <w:tcPr>
            <w:tcW w:w="1705" w:type="dxa"/>
            <w:vAlign w:val="bottom"/>
          </w:tcPr>
          <w:p w14:paraId="5CC395A3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0.18±0.05cde</w:t>
            </w:r>
          </w:p>
        </w:tc>
      </w:tr>
      <w:tr w:rsidR="009E653B" w:rsidRPr="001E282A" w14:paraId="5091ACA7" w14:textId="77777777" w:rsidTr="00D5316D">
        <w:tc>
          <w:tcPr>
            <w:tcW w:w="1703" w:type="dxa"/>
            <w:vAlign w:val="bottom"/>
          </w:tcPr>
          <w:p w14:paraId="67A31C83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Unclassified</w:t>
            </w:r>
          </w:p>
        </w:tc>
        <w:tc>
          <w:tcPr>
            <w:tcW w:w="1703" w:type="dxa"/>
            <w:vAlign w:val="bottom"/>
          </w:tcPr>
          <w:p w14:paraId="7789BB0F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3.56±0.29ab</w:t>
            </w:r>
          </w:p>
        </w:tc>
        <w:tc>
          <w:tcPr>
            <w:tcW w:w="1703" w:type="dxa"/>
            <w:vAlign w:val="bottom"/>
          </w:tcPr>
          <w:p w14:paraId="79DA16BF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3.62±0.58ab</w:t>
            </w:r>
          </w:p>
        </w:tc>
        <w:tc>
          <w:tcPr>
            <w:tcW w:w="1704" w:type="dxa"/>
            <w:vAlign w:val="bottom"/>
          </w:tcPr>
          <w:p w14:paraId="3EA79798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2.05±0.48c</w:t>
            </w:r>
          </w:p>
        </w:tc>
        <w:tc>
          <w:tcPr>
            <w:tcW w:w="1705" w:type="dxa"/>
            <w:vAlign w:val="bottom"/>
          </w:tcPr>
          <w:p w14:paraId="3E6F85F3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4.17±0.43a</w:t>
            </w:r>
          </w:p>
        </w:tc>
        <w:tc>
          <w:tcPr>
            <w:tcW w:w="1705" w:type="dxa"/>
            <w:vAlign w:val="bottom"/>
          </w:tcPr>
          <w:p w14:paraId="57728C0D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3.20±0.28b</w:t>
            </w:r>
          </w:p>
        </w:tc>
        <w:tc>
          <w:tcPr>
            <w:tcW w:w="1705" w:type="dxa"/>
            <w:vAlign w:val="bottom"/>
          </w:tcPr>
          <w:p w14:paraId="6073A138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3.81±0.38ab</w:t>
            </w:r>
          </w:p>
        </w:tc>
        <w:tc>
          <w:tcPr>
            <w:tcW w:w="1705" w:type="dxa"/>
            <w:vAlign w:val="bottom"/>
          </w:tcPr>
          <w:p w14:paraId="4EFCBAA8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3.41±0.73ab</w:t>
            </w:r>
          </w:p>
        </w:tc>
      </w:tr>
      <w:tr w:rsidR="009E653B" w:rsidRPr="001E282A" w14:paraId="3059975E" w14:textId="77777777" w:rsidTr="00D5316D">
        <w:tc>
          <w:tcPr>
            <w:tcW w:w="1703" w:type="dxa"/>
            <w:vAlign w:val="bottom"/>
          </w:tcPr>
          <w:p w14:paraId="7F99528A" w14:textId="77777777" w:rsidR="009E653B" w:rsidRPr="001E282A" w:rsidRDefault="009E653B" w:rsidP="00D5316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others</w:t>
            </w:r>
          </w:p>
        </w:tc>
        <w:tc>
          <w:tcPr>
            <w:tcW w:w="1703" w:type="dxa"/>
            <w:vAlign w:val="bottom"/>
          </w:tcPr>
          <w:p w14:paraId="38006A19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0.08±0.03ab</w:t>
            </w:r>
          </w:p>
        </w:tc>
        <w:tc>
          <w:tcPr>
            <w:tcW w:w="1703" w:type="dxa"/>
            <w:vAlign w:val="bottom"/>
          </w:tcPr>
          <w:p w14:paraId="02F32591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0.11±0.03ab</w:t>
            </w:r>
          </w:p>
        </w:tc>
        <w:tc>
          <w:tcPr>
            <w:tcW w:w="1704" w:type="dxa"/>
            <w:vAlign w:val="bottom"/>
          </w:tcPr>
          <w:p w14:paraId="44F4CF0B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0.03±0.01b</w:t>
            </w:r>
          </w:p>
        </w:tc>
        <w:tc>
          <w:tcPr>
            <w:tcW w:w="1705" w:type="dxa"/>
            <w:vAlign w:val="bottom"/>
          </w:tcPr>
          <w:p w14:paraId="7EB7A8A5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0.1</w:t>
            </w: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±0.07ab</w:t>
            </w:r>
          </w:p>
        </w:tc>
        <w:tc>
          <w:tcPr>
            <w:tcW w:w="1705" w:type="dxa"/>
            <w:vAlign w:val="bottom"/>
          </w:tcPr>
          <w:p w14:paraId="66CDB601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0.11±0.05ab</w:t>
            </w:r>
          </w:p>
        </w:tc>
        <w:tc>
          <w:tcPr>
            <w:tcW w:w="1705" w:type="dxa"/>
            <w:vAlign w:val="bottom"/>
          </w:tcPr>
          <w:p w14:paraId="7CCC2C23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0.14±0.07a</w:t>
            </w:r>
          </w:p>
        </w:tc>
        <w:tc>
          <w:tcPr>
            <w:tcW w:w="1705" w:type="dxa"/>
            <w:vAlign w:val="bottom"/>
          </w:tcPr>
          <w:p w14:paraId="3FC62A82" w14:textId="77777777" w:rsidR="009E653B" w:rsidRPr="001E282A" w:rsidRDefault="009E653B" w:rsidP="00D5316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E282A">
              <w:rPr>
                <w:rFonts w:ascii="Times New Roman" w:eastAsia="等线" w:hAnsi="Times New Roman" w:cs="Times New Roman"/>
                <w:color w:val="000000"/>
                <w:szCs w:val="21"/>
              </w:rPr>
              <w:t>0.07±0.03ab</w:t>
            </w:r>
          </w:p>
        </w:tc>
      </w:tr>
    </w:tbl>
    <w:p w14:paraId="59BB1664" w14:textId="77777777" w:rsidR="009E653B" w:rsidRPr="00BB28C0" w:rsidRDefault="009E653B" w:rsidP="009E653B">
      <w:pPr>
        <w:ind w:left="270" w:hanging="270"/>
        <w:rPr>
          <w:rFonts w:ascii="Times New Roman" w:hAnsi="Times New Roman" w:cs="Times New Roman"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Cs/>
          <w:sz w:val="18"/>
          <w:szCs w:val="18"/>
          <w:vertAlign w:val="superscript"/>
        </w:rPr>
        <w:t>a</w:t>
      </w:r>
      <w:proofErr w:type="gramEnd"/>
      <w:r w:rsidRPr="00BB28C0">
        <w:rPr>
          <w:rFonts w:ascii="Times New Roman" w:hAnsi="Times New Roman" w:cs="Times New Roman"/>
          <w:bCs/>
          <w:sz w:val="18"/>
          <w:szCs w:val="18"/>
          <w:vertAlign w:val="superscript"/>
        </w:rPr>
        <w:t xml:space="preserve"> </w:t>
      </w:r>
      <w:r w:rsidRPr="00660E7E">
        <w:rPr>
          <w:rFonts w:ascii="Times New Roman" w:hAnsi="Times New Roman" w:cs="Times New Roman"/>
          <w:sz w:val="18"/>
          <w:szCs w:val="18"/>
        </w:rPr>
        <w:t>ACC1y, ACC2y, ACC6y, ACC9y, ACC12y, ACC13y and ACC35y represent the treatments of alfalfa continuous cropping for 1, 2, 6, 9, 12, 13 and 35 years, respectively.</w:t>
      </w:r>
    </w:p>
    <w:p w14:paraId="2D7D7C57" w14:textId="510DEC0A" w:rsidR="00885917" w:rsidRDefault="009E653B" w:rsidP="00A6740B">
      <w:pPr>
        <w:ind w:left="270" w:hanging="270"/>
      </w:pPr>
      <w:r>
        <w:rPr>
          <w:rFonts w:ascii="Times New Roman" w:hAnsi="Times New Roman" w:cs="Times New Roman"/>
          <w:bCs/>
          <w:sz w:val="18"/>
          <w:szCs w:val="18"/>
          <w:vertAlign w:val="superscript"/>
        </w:rPr>
        <w:t>b</w:t>
      </w:r>
      <w:r w:rsidRPr="00BB28C0">
        <w:rPr>
          <w:rFonts w:ascii="Times New Roman" w:hAnsi="Times New Roman" w:cs="Times New Roman"/>
          <w:bCs/>
          <w:sz w:val="18"/>
          <w:szCs w:val="18"/>
          <w:vertAlign w:val="superscript"/>
        </w:rPr>
        <w:t xml:space="preserve"> </w:t>
      </w:r>
      <w:r w:rsidRPr="00BB28C0">
        <w:rPr>
          <w:rFonts w:ascii="Times New Roman" w:hAnsi="Times New Roman" w:cs="Times New Roman"/>
          <w:bCs/>
          <w:sz w:val="18"/>
          <w:szCs w:val="18"/>
        </w:rPr>
        <w:t xml:space="preserve">Different letters within the same </w:t>
      </w:r>
      <w:r>
        <w:rPr>
          <w:rFonts w:ascii="Times New Roman" w:hAnsi="Times New Roman" w:cs="Times New Roman"/>
          <w:bCs/>
          <w:sz w:val="18"/>
          <w:szCs w:val="18"/>
        </w:rPr>
        <w:t>row</w:t>
      </w:r>
      <w:r w:rsidRPr="00BB28C0">
        <w:rPr>
          <w:rFonts w:ascii="Times New Roman" w:hAnsi="Times New Roman" w:cs="Times New Roman"/>
          <w:bCs/>
          <w:sz w:val="18"/>
          <w:szCs w:val="18"/>
        </w:rPr>
        <w:t xml:space="preserve"> indicate significant difference between treatments</w:t>
      </w:r>
      <w:bookmarkStart w:id="0" w:name="_GoBack"/>
      <w:bookmarkEnd w:id="0"/>
      <w:r w:rsidRPr="00BB28C0">
        <w:rPr>
          <w:rFonts w:ascii="Times New Roman" w:hAnsi="Times New Roman" w:cs="Times New Roman"/>
          <w:bCs/>
          <w:sz w:val="18"/>
          <w:szCs w:val="18"/>
        </w:rPr>
        <w:t xml:space="preserve"> tested by One-Way ANOVA </w:t>
      </w:r>
      <w:r w:rsidRPr="00BB28C0">
        <w:rPr>
          <w:rFonts w:ascii="Times New Roman" w:hAnsi="Times New Roman" w:cs="Times New Roman"/>
          <w:sz w:val="18"/>
          <w:szCs w:val="18"/>
        </w:rPr>
        <w:t>(</w:t>
      </w:r>
      <w:r w:rsidRPr="00BB28C0">
        <w:rPr>
          <w:rFonts w:ascii="Times New Roman" w:hAnsi="Times New Roman" w:cs="Times New Roman"/>
          <w:i/>
          <w:sz w:val="18"/>
          <w:szCs w:val="18"/>
        </w:rPr>
        <w:t xml:space="preserve">P </w:t>
      </w:r>
      <w:r w:rsidRPr="00BB28C0">
        <w:rPr>
          <w:rFonts w:ascii="Times New Roman" w:hAnsi="Times New Roman" w:cs="Times New Roman"/>
          <w:sz w:val="18"/>
          <w:szCs w:val="18"/>
        </w:rPr>
        <w:t>&lt; 0.05)</w:t>
      </w:r>
      <w:r w:rsidRPr="00BB28C0">
        <w:rPr>
          <w:rFonts w:ascii="Times New Roman" w:hAnsi="Times New Roman" w:cs="Times New Roman"/>
          <w:bCs/>
          <w:sz w:val="18"/>
          <w:szCs w:val="18"/>
        </w:rPr>
        <w:t>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83501">
        <w:rPr>
          <w:rFonts w:ascii="Times New Roman" w:hAnsi="Times New Roman" w:cs="Times New Roman"/>
          <w:bCs/>
          <w:sz w:val="18"/>
          <w:szCs w:val="18"/>
        </w:rPr>
        <w:t>Values are the means ± SE (n = 3)</w:t>
      </w:r>
      <w:r>
        <w:rPr>
          <w:rFonts w:ascii="Times New Roman" w:hAnsi="Times New Roman" w:cs="Times New Roman"/>
          <w:bCs/>
          <w:sz w:val="18"/>
          <w:szCs w:val="18"/>
        </w:rPr>
        <w:t>.</w:t>
      </w:r>
      <w:r w:rsidR="00A6740B">
        <w:t xml:space="preserve"> </w:t>
      </w:r>
    </w:p>
    <w:sectPr w:rsidR="00885917" w:rsidSect="009E65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0EF50" w14:textId="77777777" w:rsidR="009159D3" w:rsidRDefault="009159D3" w:rsidP="009E653B">
      <w:pPr>
        <w:ind w:left="315" w:hanging="315"/>
      </w:pPr>
      <w:r>
        <w:separator/>
      </w:r>
    </w:p>
  </w:endnote>
  <w:endnote w:type="continuationSeparator" w:id="0">
    <w:p w14:paraId="719CEC71" w14:textId="77777777" w:rsidR="009159D3" w:rsidRDefault="009159D3" w:rsidP="009E653B">
      <w:pPr>
        <w:ind w:left="315" w:hanging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10661" w14:textId="77777777" w:rsidR="009159D3" w:rsidRDefault="009159D3" w:rsidP="009E653B">
      <w:pPr>
        <w:ind w:left="315" w:hanging="315"/>
      </w:pPr>
      <w:r>
        <w:separator/>
      </w:r>
    </w:p>
  </w:footnote>
  <w:footnote w:type="continuationSeparator" w:id="0">
    <w:p w14:paraId="6DA03D9F" w14:textId="77777777" w:rsidR="009159D3" w:rsidRDefault="009159D3" w:rsidP="009E653B">
      <w:pPr>
        <w:ind w:left="315" w:hanging="31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8E"/>
    <w:rsid w:val="0017288E"/>
    <w:rsid w:val="006B3CE2"/>
    <w:rsid w:val="00885917"/>
    <w:rsid w:val="0089412B"/>
    <w:rsid w:val="009159D3"/>
    <w:rsid w:val="009E653B"/>
    <w:rsid w:val="00A56FA9"/>
    <w:rsid w:val="00A6740B"/>
    <w:rsid w:val="00A76F9F"/>
    <w:rsid w:val="00AE72A1"/>
    <w:rsid w:val="00C0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5441F"/>
  <w15:chartTrackingRefBased/>
  <w15:docId w15:val="{20B03CB2-BAA0-44F8-B7AF-CE5D4297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53B"/>
    <w:pPr>
      <w:widowControl w:val="0"/>
      <w:spacing w:line="240" w:lineRule="auto"/>
      <w:ind w:left="150" w:hangingChars="150" w:hanging="15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CE2"/>
    <w:pPr>
      <w:widowControl/>
      <w:spacing w:line="360" w:lineRule="auto"/>
      <w:ind w:left="0" w:firstLineChars="200" w:firstLine="420"/>
    </w:pPr>
  </w:style>
  <w:style w:type="paragraph" w:styleId="a4">
    <w:name w:val="header"/>
    <w:basedOn w:val="a"/>
    <w:link w:val="a5"/>
    <w:uiPriority w:val="99"/>
    <w:unhideWhenUsed/>
    <w:rsid w:val="009E653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firstLineChars="0" w:firstLine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65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653B"/>
    <w:pPr>
      <w:widowControl/>
      <w:tabs>
        <w:tab w:val="center" w:pos="4153"/>
        <w:tab w:val="right" w:pos="8306"/>
      </w:tabs>
      <w:snapToGrid w:val="0"/>
      <w:ind w:left="0" w:firstLineChars="0" w:firstLine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65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Yao</cp:lastModifiedBy>
  <cp:revision>3</cp:revision>
  <dcterms:created xsi:type="dcterms:W3CDTF">2019-03-25T04:41:00Z</dcterms:created>
  <dcterms:modified xsi:type="dcterms:W3CDTF">2019-03-25T04:43:00Z</dcterms:modified>
</cp:coreProperties>
</file>