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D" w:rsidRPr="007C3F3D" w:rsidRDefault="00924FB9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  <w:r>
        <w:rPr>
          <w:rFonts w:cs="Browallia New"/>
          <w:b/>
          <w:bCs/>
          <w:sz w:val="24"/>
          <w:lang w:bidi="th-TH"/>
        </w:rPr>
        <w:t>Dataset S1</w:t>
      </w:r>
      <w:bookmarkStart w:id="0" w:name="_GoBack"/>
      <w:bookmarkEnd w:id="0"/>
      <w:r w:rsidR="001B699D" w:rsidRPr="007C3F3D">
        <w:rPr>
          <w:b/>
          <w:bCs/>
          <w:sz w:val="24"/>
        </w:rPr>
        <w:t>.</w:t>
      </w:r>
      <w:r w:rsidR="001B699D" w:rsidRPr="007C3F3D">
        <w:rPr>
          <w:rFonts w:ascii="Times" w:hAnsi="Times"/>
          <w:sz w:val="24"/>
        </w:rPr>
        <w:t xml:space="preserve"> Rainfall data (mm.) in July 2015 for national parks in Nan province, Thailand</w:t>
      </w:r>
    </w:p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B699D" w:rsidRPr="007C3F3D" w:rsidTr="0031267A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NP1</w:t>
            </w:r>
          </w:p>
        </w:tc>
        <w:tc>
          <w:tcPr>
            <w:tcW w:w="1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NP2</w:t>
            </w:r>
          </w:p>
        </w:tc>
        <w:tc>
          <w:tcPr>
            <w:tcW w:w="1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NP3</w:t>
            </w:r>
          </w:p>
        </w:tc>
        <w:tc>
          <w:tcPr>
            <w:tcW w:w="1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NP4</w:t>
            </w:r>
          </w:p>
        </w:tc>
        <w:tc>
          <w:tcPr>
            <w:tcW w:w="1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NP5</w:t>
            </w:r>
          </w:p>
        </w:tc>
        <w:tc>
          <w:tcPr>
            <w:tcW w:w="1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NP6</w:t>
            </w:r>
          </w:p>
        </w:tc>
        <w:tc>
          <w:tcPr>
            <w:tcW w:w="11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NP7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1.9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47.9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8.9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2.55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12.0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8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43.8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39.5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46.0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8.6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4.5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9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1.9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10.8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11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28.2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21.0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63.9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12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25.7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27.5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3.1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13.4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17.5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14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9.4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15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13.8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14.6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18.6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16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17.5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8.6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17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7.4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36.2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18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14.5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3.75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19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34.2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25.0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12.0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14.9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16.7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17.5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21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15.8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36.0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54.2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73.0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35.3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30.0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22</w:t>
            </w:r>
          </w:p>
        </w:tc>
        <w:tc>
          <w:tcPr>
            <w:tcW w:w="1168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3.8</w:t>
            </w:r>
          </w:p>
        </w:tc>
        <w:tc>
          <w:tcPr>
            <w:tcW w:w="1169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4.8</w:t>
            </w:r>
          </w:p>
        </w:tc>
        <w:tc>
          <w:tcPr>
            <w:tcW w:w="1169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2.5</w:t>
            </w:r>
          </w:p>
        </w:tc>
        <w:tc>
          <w:tcPr>
            <w:tcW w:w="1169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7.0</w:t>
            </w:r>
          </w:p>
        </w:tc>
        <w:tc>
          <w:tcPr>
            <w:tcW w:w="1169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6.3</w:t>
            </w:r>
          </w:p>
        </w:tc>
        <w:tc>
          <w:tcPr>
            <w:tcW w:w="1169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42.1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19.0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75.0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23.1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24</w:t>
            </w:r>
          </w:p>
        </w:tc>
        <w:tc>
          <w:tcPr>
            <w:tcW w:w="1168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23.2</w:t>
            </w:r>
          </w:p>
        </w:tc>
        <w:tc>
          <w:tcPr>
            <w:tcW w:w="1169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9.1</w:t>
            </w:r>
          </w:p>
        </w:tc>
        <w:tc>
          <w:tcPr>
            <w:tcW w:w="1169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16.8</w:t>
            </w:r>
          </w:p>
        </w:tc>
        <w:tc>
          <w:tcPr>
            <w:tcW w:w="1169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13.9</w:t>
            </w:r>
          </w:p>
        </w:tc>
        <w:tc>
          <w:tcPr>
            <w:tcW w:w="1169" w:type="dxa"/>
            <w:tcBorders>
              <w:top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25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60.7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53.75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26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23.7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9.8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37.5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25.5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27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22.5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32.5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3.75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20.0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28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12.4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12.1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13.75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19.6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18.0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21.3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8.2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15.0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30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9.2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20.0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7.5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35.0</w:t>
            </w:r>
          </w:p>
        </w:tc>
      </w:tr>
      <w:tr w:rsidR="001B699D" w:rsidRPr="007C3F3D" w:rsidTr="0031267A">
        <w:trPr>
          <w:jc w:val="center"/>
        </w:trPr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31</w:t>
            </w:r>
          </w:p>
        </w:tc>
        <w:tc>
          <w:tcPr>
            <w:tcW w:w="1168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13.4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22.0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19.1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1.3</w:t>
            </w:r>
          </w:p>
        </w:tc>
        <w:tc>
          <w:tcPr>
            <w:tcW w:w="1169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35.0</w:t>
            </w:r>
          </w:p>
        </w:tc>
      </w:tr>
    </w:tbl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</w:p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  <w:r w:rsidRPr="007C3F3D">
        <w:rPr>
          <w:rFonts w:ascii="Times" w:hAnsi="Times"/>
          <w:b/>
          <w:bCs/>
          <w:sz w:val="24"/>
        </w:rPr>
        <w:t>Note:</w:t>
      </w:r>
      <w:r w:rsidRPr="007C3F3D">
        <w:rPr>
          <w:rFonts w:ascii="Times" w:hAnsi="Times"/>
          <w:sz w:val="24"/>
        </w:rPr>
        <w:t xml:space="preserve"> NP1, NP2, NP3, NP4, NP5, NP6, and NP7 represent </w:t>
      </w:r>
      <w:proofErr w:type="spellStart"/>
      <w:r w:rsidRPr="007C3F3D">
        <w:rPr>
          <w:rFonts w:ascii="Times" w:hAnsi="Times"/>
          <w:sz w:val="24"/>
        </w:rPr>
        <w:t>Doi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Phu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Kha</w:t>
      </w:r>
      <w:proofErr w:type="spellEnd"/>
      <w:r w:rsidRPr="007C3F3D">
        <w:rPr>
          <w:rFonts w:ascii="Times" w:hAnsi="Times"/>
          <w:sz w:val="24"/>
        </w:rPr>
        <w:t xml:space="preserve">, Mae </w:t>
      </w:r>
      <w:proofErr w:type="spellStart"/>
      <w:r w:rsidRPr="007C3F3D">
        <w:rPr>
          <w:rFonts w:ascii="Times" w:hAnsi="Times"/>
          <w:sz w:val="24"/>
        </w:rPr>
        <w:t>Charim</w:t>
      </w:r>
      <w:proofErr w:type="spellEnd"/>
      <w:r w:rsidRPr="007C3F3D">
        <w:rPr>
          <w:rFonts w:ascii="Times" w:hAnsi="Times"/>
          <w:sz w:val="24"/>
        </w:rPr>
        <w:t xml:space="preserve">, </w:t>
      </w:r>
      <w:proofErr w:type="spellStart"/>
      <w:r w:rsidRPr="007C3F3D">
        <w:rPr>
          <w:rFonts w:ascii="Times" w:hAnsi="Times"/>
          <w:sz w:val="24"/>
        </w:rPr>
        <w:t>Nanthaburi</w:t>
      </w:r>
      <w:proofErr w:type="spellEnd"/>
      <w:r w:rsidRPr="007C3F3D">
        <w:rPr>
          <w:rFonts w:ascii="Times" w:hAnsi="Times"/>
          <w:sz w:val="24"/>
        </w:rPr>
        <w:t xml:space="preserve">, </w:t>
      </w:r>
      <w:proofErr w:type="spellStart"/>
      <w:r w:rsidRPr="007C3F3D">
        <w:rPr>
          <w:rFonts w:ascii="Times" w:hAnsi="Times"/>
          <w:sz w:val="24"/>
        </w:rPr>
        <w:t>Tham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gramStart"/>
      <w:r w:rsidRPr="007C3F3D">
        <w:rPr>
          <w:rFonts w:ascii="Times" w:hAnsi="Times"/>
          <w:sz w:val="24"/>
        </w:rPr>
        <w:t>Sa</w:t>
      </w:r>
      <w:proofErr w:type="gramEnd"/>
      <w:r w:rsidRPr="007C3F3D">
        <w:rPr>
          <w:rFonts w:ascii="Times" w:hAnsi="Times"/>
          <w:sz w:val="24"/>
        </w:rPr>
        <w:t xml:space="preserve"> Koen, Sri Nan, </w:t>
      </w:r>
      <w:proofErr w:type="spellStart"/>
      <w:r w:rsidRPr="007C3F3D">
        <w:rPr>
          <w:rFonts w:ascii="Times" w:hAnsi="Times"/>
          <w:sz w:val="24"/>
        </w:rPr>
        <w:t>Khun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Sathan</w:t>
      </w:r>
      <w:proofErr w:type="spellEnd"/>
      <w:r w:rsidRPr="007C3F3D">
        <w:rPr>
          <w:rFonts w:ascii="Times" w:hAnsi="Times"/>
          <w:sz w:val="24"/>
        </w:rPr>
        <w:t xml:space="preserve">, and </w:t>
      </w:r>
      <w:proofErr w:type="spellStart"/>
      <w:r w:rsidRPr="007C3F3D">
        <w:rPr>
          <w:rFonts w:ascii="Times" w:hAnsi="Times"/>
          <w:sz w:val="24"/>
        </w:rPr>
        <w:t>Doi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Pha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Klong</w:t>
      </w:r>
      <w:proofErr w:type="spellEnd"/>
      <w:r w:rsidRPr="007C3F3D">
        <w:rPr>
          <w:rFonts w:ascii="Times" w:hAnsi="Times"/>
          <w:sz w:val="24"/>
        </w:rPr>
        <w:t xml:space="preserve"> national parks, respectively.</w:t>
      </w:r>
    </w:p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  <w:r w:rsidRPr="007C3F3D">
        <w:rPr>
          <w:rFonts w:ascii="Times" w:hAnsi="Times"/>
          <w:sz w:val="24"/>
        </w:rPr>
        <w:t>(http://www.parophrae.com/paro13kpi/index.php/45-2558)</w:t>
      </w:r>
    </w:p>
    <w:sectPr w:rsidR="001B699D" w:rsidRPr="007C3F3D" w:rsidSect="006F414C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D"/>
    <w:rsid w:val="000D0336"/>
    <w:rsid w:val="000E2661"/>
    <w:rsid w:val="001B699D"/>
    <w:rsid w:val="001E2907"/>
    <w:rsid w:val="002848BA"/>
    <w:rsid w:val="004E142C"/>
    <w:rsid w:val="004F23D2"/>
    <w:rsid w:val="00924FB9"/>
    <w:rsid w:val="00991BC7"/>
    <w:rsid w:val="00BC4FB8"/>
    <w:rsid w:val="00D7721B"/>
    <w:rsid w:val="00D9454E"/>
    <w:rsid w:val="00D970DE"/>
    <w:rsid w:val="00EE21B0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B7BC-372E-4F97-8DB7-9C27D8F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9D"/>
    <w:pPr>
      <w:spacing w:line="276" w:lineRule="auto"/>
      <w:contextualSpacing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699D"/>
    <w:pPr>
      <w:spacing w:line="276" w:lineRule="auto"/>
      <w:contextualSpacing/>
    </w:pPr>
    <w:rPr>
      <w:rFonts w:ascii="Arial" w:eastAsia="Arial" w:hAnsi="Arial" w:cs="Arial"/>
      <w:szCs w:val="22"/>
      <w:lang w:bidi="ar-SA"/>
    </w:rPr>
  </w:style>
  <w:style w:type="table" w:styleId="TableGrid">
    <w:name w:val="Table Grid"/>
    <w:basedOn w:val="TableNormal"/>
    <w:rsid w:val="001B699D"/>
    <w:pPr>
      <w:spacing w:line="240" w:lineRule="auto"/>
      <w:contextualSpacing/>
    </w:pPr>
    <w:rPr>
      <w:rFonts w:ascii="Arial" w:eastAsia="Arial" w:hAnsi="Arial" w:cs="Arial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Noppadon Yosboonruang</dc:creator>
  <cp:keywords/>
  <dc:description/>
  <cp:lastModifiedBy>Noppadon Yosboonruang</cp:lastModifiedBy>
  <cp:revision>3</cp:revision>
  <dcterms:created xsi:type="dcterms:W3CDTF">2019-05-21T11:24:00Z</dcterms:created>
  <dcterms:modified xsi:type="dcterms:W3CDTF">2019-06-17T07:52:00Z</dcterms:modified>
</cp:coreProperties>
</file>