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8D" w:rsidRDefault="0040178D" w:rsidP="00401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Supplementary Table S4.</w:t>
      </w:r>
      <w:r>
        <w:rPr>
          <w:rFonts w:ascii="Times New Roman" w:hAnsi="Times New Roman" w:cs="Times New Roman"/>
        </w:rPr>
        <w:t xml:space="preserve"> The performance of random sub-sampling validation.</w:t>
      </w:r>
    </w:p>
    <w:p w:rsidR="0040178D" w:rsidRDefault="0040178D" w:rsidP="0040178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606"/>
        <w:gridCol w:w="546"/>
        <w:gridCol w:w="546"/>
        <w:gridCol w:w="563"/>
        <w:gridCol w:w="606"/>
        <w:gridCol w:w="546"/>
        <w:gridCol w:w="546"/>
        <w:gridCol w:w="563"/>
        <w:gridCol w:w="606"/>
        <w:gridCol w:w="546"/>
        <w:gridCol w:w="546"/>
        <w:gridCol w:w="563"/>
      </w:tblGrid>
      <w:tr w:rsidR="0040178D" w:rsidTr="0040178D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Cross validation ID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Training set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2"/>
                <w:szCs w:val="12"/>
              </w:rPr>
              <w:t>（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13500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2"/>
                <w:szCs w:val="12"/>
              </w:rPr>
              <w:t>）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Validation set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2"/>
                <w:szCs w:val="12"/>
              </w:rPr>
              <w:t>（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1000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2"/>
                <w:szCs w:val="12"/>
              </w:rPr>
              <w:t>）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Testing set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2"/>
                <w:szCs w:val="12"/>
              </w:rPr>
              <w:t>（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925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2"/>
                <w:szCs w:val="12"/>
              </w:rPr>
              <w:t>）</w:t>
            </w:r>
          </w:p>
        </w:tc>
      </w:tr>
      <w:tr w:rsidR="0040178D" w:rsidTr="0040178D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8D" w:rsidRDefault="0040178D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R 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0178D" w:rsidRDefault="0040178D">
            <w:pP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MAE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0178D" w:rsidRDefault="0040178D">
            <w:pP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MSE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178D" w:rsidRDefault="0040178D">
            <w:pP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RMSE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0178D" w:rsidRDefault="0040178D">
            <w:pP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R 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0178D" w:rsidRDefault="0040178D">
            <w:pP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MAE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0178D" w:rsidRDefault="0040178D">
            <w:pP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MSE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178D" w:rsidRDefault="0040178D">
            <w:pP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RMSE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0178D" w:rsidRDefault="0040178D">
            <w:pP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R 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0178D" w:rsidRDefault="0040178D">
            <w:pP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MAE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0178D" w:rsidRDefault="0040178D">
            <w:pP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MSE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0178D" w:rsidRDefault="0040178D">
            <w:pP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RMSE</w:t>
            </w:r>
          </w:p>
        </w:tc>
      </w:tr>
      <w:tr w:rsidR="0040178D" w:rsidTr="0040178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ind w:right="2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0.6709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1.1179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1.9880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1.4100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0.5547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1.2476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2.5093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1.5841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0.6086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1.2130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2.3011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1.5169</w:t>
            </w:r>
          </w:p>
        </w:tc>
      </w:tr>
      <w:tr w:rsidR="0040178D" w:rsidTr="0040178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ind w:right="2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0.6833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1.2961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2.6046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1.6139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0.5855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1.3887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2.9603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1.7205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0.5654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1.3950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3.0486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1.7460</w:t>
            </w:r>
          </w:p>
        </w:tc>
      </w:tr>
      <w:tr w:rsidR="0040178D" w:rsidTr="0040178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ind w:right="2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0.6781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1.1226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2.0105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1.4179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0.5392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1.2459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2.4329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1.5598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0.5625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1.2392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2.4137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1.5536</w:t>
            </w:r>
          </w:p>
        </w:tc>
      </w:tr>
      <w:tr w:rsidR="0040178D" w:rsidTr="0040178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ind w:right="2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0.6660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1.1592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2.1535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1.4675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0.6021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1.2740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2.5811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1.6066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0.6008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1.2923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2.6219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1.6192</w:t>
            </w:r>
          </w:p>
        </w:tc>
      </w:tr>
      <w:tr w:rsidR="0040178D" w:rsidTr="0040178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ind w:right="220"/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0.6802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1.1265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1.4139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0.5827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1.2774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2.6109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1.6158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0.5334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1.2146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2.4601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1.5685</w:t>
            </w:r>
          </w:p>
        </w:tc>
      </w:tr>
      <w:tr w:rsidR="0040178D" w:rsidTr="0040178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0.6757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1.1645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2.1511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1.4646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0.5729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1.2867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2.6189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1.6174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0.5742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1.2708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2.5691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178D" w:rsidRDefault="0040178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2"/>
                <w:szCs w:val="12"/>
              </w:rPr>
              <w:t>1.6009</w:t>
            </w:r>
          </w:p>
        </w:tc>
      </w:tr>
    </w:tbl>
    <w:p w:rsidR="0040178D" w:rsidRDefault="0040178D" w:rsidP="0040178D">
      <w:pPr>
        <w:rPr>
          <w:rFonts w:ascii="Times New Roman" w:hAnsi="Times New Roman" w:cs="Times New Roman"/>
        </w:rPr>
      </w:pPr>
    </w:p>
    <w:p w:rsidR="0040178D" w:rsidRDefault="0040178D" w:rsidP="0040178D">
      <w:pPr>
        <w:rPr>
          <w:rFonts w:ascii="Times New Roman" w:hAnsi="Times New Roman" w:cs="Times New Roman"/>
        </w:rPr>
      </w:pPr>
    </w:p>
    <w:sectPr w:rsidR="0040178D" w:rsidSect="00A80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A6" w:rsidRDefault="004835A6" w:rsidP="002A7755">
      <w:r>
        <w:separator/>
      </w:r>
    </w:p>
  </w:endnote>
  <w:endnote w:type="continuationSeparator" w:id="0">
    <w:p w:rsidR="004835A6" w:rsidRDefault="004835A6" w:rsidP="002A7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A6" w:rsidRDefault="004835A6" w:rsidP="002A7755">
      <w:r>
        <w:separator/>
      </w:r>
    </w:p>
  </w:footnote>
  <w:footnote w:type="continuationSeparator" w:id="0">
    <w:p w:rsidR="004835A6" w:rsidRDefault="004835A6" w:rsidP="002A7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SBJ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xfx2sf02nsf9r6erwz7xpt0n0tf9wdaa20ee&quot;&gt;Untitled&lt;record-ids&gt;&lt;item&gt;43&lt;/item&gt;&lt;/record-ids&gt;&lt;/item&gt;&lt;/Libraries&gt;"/>
  </w:docVars>
  <w:rsids>
    <w:rsidRoot w:val="003D600D"/>
    <w:rsid w:val="000776E4"/>
    <w:rsid w:val="00097ED6"/>
    <w:rsid w:val="000A2A6D"/>
    <w:rsid w:val="000F44F1"/>
    <w:rsid w:val="00122872"/>
    <w:rsid w:val="00161DEE"/>
    <w:rsid w:val="00176E04"/>
    <w:rsid w:val="00194260"/>
    <w:rsid w:val="00195D31"/>
    <w:rsid w:val="001B09FE"/>
    <w:rsid w:val="001B17AA"/>
    <w:rsid w:val="001C29BE"/>
    <w:rsid w:val="00234651"/>
    <w:rsid w:val="00263402"/>
    <w:rsid w:val="002A7755"/>
    <w:rsid w:val="002B5478"/>
    <w:rsid w:val="002F22D1"/>
    <w:rsid w:val="002F3714"/>
    <w:rsid w:val="002F7656"/>
    <w:rsid w:val="00306AA4"/>
    <w:rsid w:val="003815F9"/>
    <w:rsid w:val="00382599"/>
    <w:rsid w:val="003C0BA7"/>
    <w:rsid w:val="003C0F8B"/>
    <w:rsid w:val="003D600D"/>
    <w:rsid w:val="003F13B5"/>
    <w:rsid w:val="0040178D"/>
    <w:rsid w:val="004145F7"/>
    <w:rsid w:val="00422F9E"/>
    <w:rsid w:val="004835A6"/>
    <w:rsid w:val="004A11E0"/>
    <w:rsid w:val="004E1FDF"/>
    <w:rsid w:val="00546FF7"/>
    <w:rsid w:val="005619EE"/>
    <w:rsid w:val="005966C5"/>
    <w:rsid w:val="0061501E"/>
    <w:rsid w:val="006E001E"/>
    <w:rsid w:val="0074543D"/>
    <w:rsid w:val="00762F01"/>
    <w:rsid w:val="008050D4"/>
    <w:rsid w:val="008179CA"/>
    <w:rsid w:val="00862DBC"/>
    <w:rsid w:val="008C378B"/>
    <w:rsid w:val="00907F24"/>
    <w:rsid w:val="009404E1"/>
    <w:rsid w:val="00951A24"/>
    <w:rsid w:val="00963191"/>
    <w:rsid w:val="009775A2"/>
    <w:rsid w:val="009E2F7C"/>
    <w:rsid w:val="00A13937"/>
    <w:rsid w:val="00A64F94"/>
    <w:rsid w:val="00A80DE9"/>
    <w:rsid w:val="00A9241A"/>
    <w:rsid w:val="00AA641A"/>
    <w:rsid w:val="00AE470E"/>
    <w:rsid w:val="00B01168"/>
    <w:rsid w:val="00B01944"/>
    <w:rsid w:val="00C65225"/>
    <w:rsid w:val="00D03ED2"/>
    <w:rsid w:val="00D10431"/>
    <w:rsid w:val="00DE680F"/>
    <w:rsid w:val="00E0319B"/>
    <w:rsid w:val="00E44554"/>
    <w:rsid w:val="00ED101C"/>
    <w:rsid w:val="00EF293F"/>
    <w:rsid w:val="00F46AD7"/>
    <w:rsid w:val="00F726D8"/>
    <w:rsid w:val="00F81C52"/>
    <w:rsid w:val="00FC4587"/>
    <w:rsid w:val="00FC77E6"/>
    <w:rsid w:val="00FD5734"/>
    <w:rsid w:val="00FD7091"/>
    <w:rsid w:val="00FF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755"/>
    <w:rPr>
      <w:sz w:val="18"/>
      <w:szCs w:val="18"/>
    </w:rPr>
  </w:style>
  <w:style w:type="table" w:styleId="a5">
    <w:name w:val="Table Grid"/>
    <w:basedOn w:val="a1"/>
    <w:uiPriority w:val="59"/>
    <w:rsid w:val="002A7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95D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95D3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76E04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176E04"/>
    <w:rPr>
      <w:sz w:val="24"/>
      <w:szCs w:val="24"/>
    </w:rPr>
  </w:style>
  <w:style w:type="character" w:customStyle="1" w:styleId="Char2">
    <w:name w:val="批注文字 Char"/>
    <w:basedOn w:val="a0"/>
    <w:link w:val="a8"/>
    <w:uiPriority w:val="99"/>
    <w:semiHidden/>
    <w:rsid w:val="00176E04"/>
    <w:rPr>
      <w:sz w:val="24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76E04"/>
    <w:rPr>
      <w:b/>
      <w:bCs/>
      <w:sz w:val="20"/>
      <w:szCs w:val="20"/>
    </w:rPr>
  </w:style>
  <w:style w:type="character" w:customStyle="1" w:styleId="Char3">
    <w:name w:val="批注主题 Char"/>
    <w:basedOn w:val="Char2"/>
    <w:link w:val="a9"/>
    <w:uiPriority w:val="99"/>
    <w:semiHidden/>
    <w:rsid w:val="00176E04"/>
    <w:rPr>
      <w:b/>
      <w:bCs/>
      <w:sz w:val="20"/>
      <w:szCs w:val="20"/>
    </w:rPr>
  </w:style>
  <w:style w:type="paragraph" w:customStyle="1" w:styleId="EndNoteBibliographyTitle">
    <w:name w:val="EndNote Bibliography Title"/>
    <w:basedOn w:val="a"/>
    <w:link w:val="EndNoteBibliographyTitleChar"/>
    <w:rsid w:val="002F7656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2F7656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2F7656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2F7656"/>
    <w:rPr>
      <w:rFonts w:ascii="Calibri" w:hAnsi="Calibri" w:cs="Calibri"/>
      <w:noProof/>
      <w:sz w:val="20"/>
    </w:rPr>
  </w:style>
  <w:style w:type="character" w:styleId="aa">
    <w:name w:val="Hyperlink"/>
    <w:basedOn w:val="a0"/>
    <w:uiPriority w:val="99"/>
    <w:unhideWhenUsed/>
    <w:rsid w:val="002F76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0754B-9030-4755-A456-DD8DDDFE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haiping</dc:creator>
  <cp:keywords/>
  <dc:description/>
  <cp:lastModifiedBy>xbany</cp:lastModifiedBy>
  <cp:revision>50</cp:revision>
  <dcterms:created xsi:type="dcterms:W3CDTF">2018-12-14T02:43:00Z</dcterms:created>
  <dcterms:modified xsi:type="dcterms:W3CDTF">2019-05-21T08:31:00Z</dcterms:modified>
</cp:coreProperties>
</file>