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F4" w:rsidRPr="00753DF9" w:rsidRDefault="002B6E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753DF9">
        <w:rPr>
          <w:rFonts w:ascii="Times New Roman" w:hAnsi="Times New Roman" w:cs="Times New Roman"/>
          <w:b/>
          <w:sz w:val="24"/>
          <w:szCs w:val="24"/>
          <w:u w:val="single"/>
        </w:rPr>
        <w:t>Supplementary Methods</w:t>
      </w:r>
    </w:p>
    <w:bookmarkEnd w:id="0"/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DF9">
        <w:rPr>
          <w:rFonts w:ascii="Times New Roman" w:hAnsi="Times New Roman" w:cs="Times New Roman"/>
          <w:sz w:val="24"/>
          <w:szCs w:val="24"/>
        </w:rPr>
        <w:t xml:space="preserve">Coral samples </w:t>
      </w:r>
      <w:proofErr w:type="gramStart"/>
      <w:r w:rsidRPr="00753DF9">
        <w:rPr>
          <w:rFonts w:ascii="Times New Roman" w:hAnsi="Times New Roman" w:cs="Times New Roman"/>
          <w:sz w:val="24"/>
          <w:szCs w:val="24"/>
        </w:rPr>
        <w:t>were removed from the -80 refrigerator and kept on ice for 2 hours to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 </w:t>
      </w:r>
      <w:r w:rsidRPr="00753DF9">
        <w:rPr>
          <w:rFonts w:ascii="Times New Roman" w:hAnsi="Times New Roman" w:cs="Times New Roman"/>
          <w:sz w:val="24"/>
          <w:szCs w:val="24"/>
        </w:rPr>
        <w:t>thaw</w:t>
      </w:r>
      <w:proofErr w:type="gramEnd"/>
      <w:r w:rsidRPr="00753DF9">
        <w:rPr>
          <w:rFonts w:ascii="Times New Roman" w:hAnsi="Times New Roman" w:cs="Times New Roman"/>
          <w:sz w:val="24"/>
          <w:szCs w:val="24"/>
        </w:rPr>
        <w:t>. The protocol for extracting tissue was adapted from Ben-Haim et al. (2003) with some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 </w:t>
      </w:r>
      <w:r w:rsidRPr="00753DF9">
        <w:rPr>
          <w:rFonts w:ascii="Times New Roman" w:hAnsi="Times New Roman" w:cs="Times New Roman"/>
          <w:sz w:val="24"/>
          <w:szCs w:val="24"/>
        </w:rPr>
        <w:t xml:space="preserve">modifications. Samples were carefully rinsed with filtered </w:t>
      </w:r>
      <w:proofErr w:type="gramStart"/>
      <w:r w:rsidRPr="00753DF9">
        <w:rPr>
          <w:rFonts w:ascii="Times New Roman" w:hAnsi="Times New Roman" w:cs="Times New Roman"/>
          <w:sz w:val="24"/>
          <w:szCs w:val="24"/>
        </w:rPr>
        <w:t>sea water</w:t>
      </w:r>
      <w:proofErr w:type="gramEnd"/>
      <w:r w:rsidRPr="00753DF9">
        <w:rPr>
          <w:rFonts w:ascii="Times New Roman" w:hAnsi="Times New Roman" w:cs="Times New Roman"/>
          <w:sz w:val="24"/>
          <w:szCs w:val="24"/>
        </w:rPr>
        <w:t xml:space="preserve"> (FSW) to remove any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 </w:t>
      </w:r>
      <w:r w:rsidRPr="00753DF9">
        <w:rPr>
          <w:rFonts w:ascii="Times New Roman" w:hAnsi="Times New Roman" w:cs="Times New Roman"/>
          <w:sz w:val="24"/>
          <w:szCs w:val="24"/>
        </w:rPr>
        <w:t>unrelated material (e.g. sediments, shells etc.) and dri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ed with tissue paper before dry </w:t>
      </w:r>
      <w:r w:rsidRPr="00753DF9">
        <w:rPr>
          <w:rFonts w:ascii="Times New Roman" w:hAnsi="Times New Roman" w:cs="Times New Roman"/>
          <w:sz w:val="24"/>
          <w:szCs w:val="24"/>
        </w:rPr>
        <w:t>weighing. Samples were kept in their individual plastic bags and tissue was removed from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 </w:t>
      </w:r>
      <w:r w:rsidRPr="00753DF9">
        <w:rPr>
          <w:rFonts w:ascii="Times New Roman" w:hAnsi="Times New Roman" w:cs="Times New Roman"/>
          <w:sz w:val="24"/>
          <w:szCs w:val="24"/>
        </w:rPr>
        <w:t xml:space="preserve">the skeleton through water picking with FSW using a </w:t>
      </w:r>
      <w:proofErr w:type="gramStart"/>
      <w:r w:rsidRPr="00753DF9">
        <w:rPr>
          <w:rFonts w:ascii="Times New Roman" w:hAnsi="Times New Roman" w:cs="Times New Roman"/>
          <w:sz w:val="24"/>
          <w:szCs w:val="24"/>
        </w:rPr>
        <w:t>water-gun</w:t>
      </w:r>
      <w:proofErr w:type="gramEnd"/>
      <w:r w:rsidRPr="00753DF9">
        <w:rPr>
          <w:rFonts w:ascii="Times New Roman" w:hAnsi="Times New Roman" w:cs="Times New Roman"/>
          <w:sz w:val="24"/>
          <w:szCs w:val="24"/>
        </w:rPr>
        <w:t xml:space="preserve"> with pressurized water.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 </w:t>
      </w:r>
      <w:r w:rsidRPr="00753DF9">
        <w:rPr>
          <w:rFonts w:ascii="Times New Roman" w:hAnsi="Times New Roman" w:cs="Times New Roman"/>
          <w:sz w:val="24"/>
          <w:szCs w:val="24"/>
        </w:rPr>
        <w:t>Samples were dried and reweighed to estimate the wet tissue weight. Total volume of the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 </w:t>
      </w:r>
      <w:r w:rsidRPr="00753DF9">
        <w:rPr>
          <w:rFonts w:ascii="Times New Roman" w:hAnsi="Times New Roman" w:cs="Times New Roman"/>
          <w:sz w:val="24"/>
          <w:szCs w:val="24"/>
        </w:rPr>
        <w:t xml:space="preserve">used FSW (approx. 100-500 ml) accumulated in each bag was recorded and </w:t>
      </w:r>
      <w:proofErr w:type="gramStart"/>
      <w:r w:rsidRPr="00753D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53DF9">
        <w:rPr>
          <w:rFonts w:ascii="Times New Roman" w:hAnsi="Times New Roman" w:cs="Times New Roman"/>
          <w:sz w:val="24"/>
          <w:szCs w:val="24"/>
        </w:rPr>
        <w:t xml:space="preserve"> aliquots of 40</w:t>
      </w:r>
      <w:r w:rsidR="005F2189" w:rsidRPr="00753DF9">
        <w:rPr>
          <w:rFonts w:ascii="Times New Roman" w:hAnsi="Times New Roman" w:cs="Times New Roman"/>
          <w:sz w:val="24"/>
          <w:szCs w:val="24"/>
        </w:rPr>
        <w:t xml:space="preserve"> </w:t>
      </w:r>
      <w:r w:rsidRPr="00753DF9">
        <w:rPr>
          <w:rFonts w:ascii="Times New Roman" w:hAnsi="Times New Roman" w:cs="Times New Roman"/>
          <w:sz w:val="24"/>
          <w:szCs w:val="24"/>
        </w:rPr>
        <w:t>ml each (1 for symbiont analysis</w:t>
      </w:r>
      <w:r>
        <w:rPr>
          <w:rFonts w:ascii="Times New Roman" w:hAnsi="Times New Roman" w:cs="Times New Roman"/>
          <w:sz w:val="24"/>
          <w:szCs w:val="24"/>
        </w:rPr>
        <w:t>, 1 for chlorophyll measurements and 2 as a control) were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sampled into 50 ml plastic centrifuge tubes. The aliquots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centrifuged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9,500 rpm for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 minutes at 4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The supernatant </w:t>
      </w:r>
      <w:proofErr w:type="gramStart"/>
      <w:r>
        <w:rPr>
          <w:rFonts w:ascii="Times New Roman" w:hAnsi="Times New Roman" w:cs="Times New Roman"/>
          <w:sz w:val="24"/>
          <w:szCs w:val="24"/>
        </w:rPr>
        <w:t>was discarded</w:t>
      </w:r>
      <w:proofErr w:type="gramEnd"/>
      <w:r>
        <w:rPr>
          <w:rFonts w:ascii="Times New Roman" w:hAnsi="Times New Roman" w:cs="Times New Roman"/>
          <w:sz w:val="24"/>
          <w:szCs w:val="24"/>
        </w:rPr>
        <w:t>, and the algal pellets were stored at -20</w:t>
      </w:r>
      <w:r w:rsidR="005F2189" w:rsidRPr="005F2189">
        <w:rPr>
          <w:rFonts w:ascii="Times New Roman" w:hAnsi="Times New Roman" w:cs="Times New Roman"/>
          <w:sz w:val="16"/>
          <w:szCs w:val="16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for further analysis. Difficulties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encountered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obtaining fixed pellets, since some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samples contained highly dissolvable pellets. Samples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thus centrifuged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60 minutes.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Another issue was the high mucus production of some coral samples as a stress response to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temperature change. The slimy mucus product trapped the tissue pellet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could not be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removed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F2189" w:rsidRDefault="005F2189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Symbiont density and condition</w:t>
      </w: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tissue pellet was resuspended in 2 ml of FSW and homogenised in a tissue grinder</w:t>
      </w:r>
      <w:r w:rsidR="005F218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 xml:space="preserve">hat </w:t>
      </w:r>
      <w:proofErr w:type="gramStart"/>
      <w:r>
        <w:rPr>
          <w:rFonts w:ascii="Times New Roman" w:hAnsi="Times New Roman" w:cs="Times New Roman"/>
          <w:sz w:val="24"/>
          <w:szCs w:val="24"/>
        </w:rPr>
        <w:t>had been placed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 ice water bath to ensure separation of the zooxanthellae cells from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tissue. For cell preservation, 2 ml of alcohol (70%)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added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cell suspension and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kept in 4 degrees until further processing. Prior to microscopy, cell suspensions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mixed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 vortex to dissolve the mucus product that would aggregate cells into large clumps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disable the counting. The number of zooxanthellae cells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counted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using the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Olympus BX51 microscope and an integrated digital camera Olympus DP70. Counting was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20x or 40x magnification and photographs were taken with a 100x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magnification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Neubauer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haemocytometer. The last consists of two chambers each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containing a grid with a dimension of 5x5 mm and subdivided into 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squares of 1 mm each.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counting, the central square was used which was split into 25 squares with a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dimension of 0.2 x 0.2 mm each (figure 6a). Per coral sample,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replicate counts were carried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by counting zooxanthellae cells across all 25 squares at each chamber. A droplet of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approximately 0.5 ml of cell suspension </w:t>
      </w:r>
      <w:proofErr w:type="gramStart"/>
      <w:r>
        <w:rPr>
          <w:rFonts w:ascii="Times New Roman" w:hAnsi="Times New Roman" w:cs="Times New Roman"/>
          <w:sz w:val="24"/>
          <w:szCs w:val="24"/>
        </w:rPr>
        <w:t>was injected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haemocytometer and the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image was adjusted on a grey scale filter. Cells within the squares and adjacent to the outer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walls were counted. Total number of cells</w:t>
      </w:r>
      <w:r w:rsidR="00753D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DF9">
        <w:rPr>
          <w:rFonts w:ascii="Times New Roman" w:hAnsi="Times New Roman" w:cs="Times New Roman"/>
          <w:sz w:val="24"/>
          <w:szCs w:val="24"/>
        </w:rPr>
        <w:t>was calculated</w:t>
      </w:r>
      <w:proofErr w:type="gramEnd"/>
      <w:r w:rsidR="00753DF9">
        <w:rPr>
          <w:rFonts w:ascii="Times New Roman" w:hAnsi="Times New Roman" w:cs="Times New Roman"/>
          <w:sz w:val="24"/>
          <w:szCs w:val="24"/>
        </w:rPr>
        <w:t xml:space="preserve"> using formula (1</w:t>
      </w:r>
      <w:r>
        <w:rPr>
          <w:rFonts w:ascii="Times New Roman" w:hAnsi="Times New Roman" w:cs="Times New Roman"/>
          <w:sz w:val="24"/>
          <w:szCs w:val="24"/>
        </w:rPr>
        <w:t xml:space="preserve">) where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6"/>
          <w:szCs w:val="16"/>
        </w:rPr>
        <w:t>average</w:t>
      </w:r>
      <w:proofErr w:type="spellEnd"/>
      <w:r w:rsidR="005F218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average count between the 5 replicates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tissue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the volume used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waterpicking</w:t>
      </w:r>
      <w:proofErr w:type="spellEnd"/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remove the tissue. The density was calculated using for</w:t>
      </w:r>
      <w:r w:rsidR="00753DF9">
        <w:rPr>
          <w:rFonts w:ascii="Times New Roman" w:hAnsi="Times New Roman" w:cs="Times New Roman"/>
          <w:sz w:val="24"/>
          <w:szCs w:val="24"/>
        </w:rPr>
        <w:t>mula (2</w:t>
      </w:r>
      <w:r>
        <w:rPr>
          <w:rFonts w:ascii="Times New Roman" w:hAnsi="Times New Roman" w:cs="Times New Roman"/>
          <w:sz w:val="24"/>
          <w:szCs w:val="24"/>
        </w:rPr>
        <w:t>). We multiplied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10,000 since each square has a volume of 0.1 </w:t>
      </w:r>
      <w:r>
        <w:rPr>
          <w:rFonts w:ascii="TimesNewRomanPSMT" w:eastAsia="TimesNewRomanPSMT" w:hAnsi="Times New Roman" w:cs="TimesNewRomanPSMT" w:hint="eastAsia"/>
          <w:sz w:val="24"/>
          <w:szCs w:val="24"/>
        </w:rPr>
        <w:t>μ</w:t>
      </w:r>
      <w:r>
        <w:rPr>
          <w:rFonts w:ascii="Times New Roman" w:hAnsi="Times New Roman" w:cs="Times New Roman"/>
          <w:sz w:val="24"/>
          <w:szCs w:val="24"/>
        </w:rPr>
        <w:t>l and the whole grid has a volume of 1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ml.</w:t>
      </w:r>
    </w:p>
    <w:p w:rsidR="005F2189" w:rsidRDefault="005F2189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6"/>
          <w:szCs w:val="16"/>
        </w:rPr>
        <w:t>total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6"/>
          <w:szCs w:val="16"/>
        </w:rPr>
        <w:t>average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16"/>
          <w:szCs w:val="16"/>
        </w:rPr>
        <w:t>tissue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 10,000 </w:t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  <w:t>(1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16"/>
          <w:szCs w:val="16"/>
        </w:rPr>
        <w:t>zoox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16"/>
          <w:szCs w:val="16"/>
        </w:rPr>
        <w:t>total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F2189">
        <w:rPr>
          <w:rFonts w:ascii="Times New Roman" w:hAnsi="Times New Roman" w:cs="Times New Roman"/>
          <w:sz w:val="24"/>
          <w:szCs w:val="24"/>
        </w:rPr>
        <w:t xml:space="preserve">/ SA </w:t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</w:r>
      <w:r w:rsidR="005F2189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2189" w:rsidRDefault="005F2189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estimate zooxanthellae health for each coral samples, the counting was carried out as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zooxanthellae density with difference being that every symbiont cell was categorized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 degradation scale from 1 to 5 as follows: 1 = cell is healthy, 2= initiation of degradation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(cell-wall starts to disintegrate), 3= in degradation process (cell wall has been disrupted), 4=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degraded and dead cell (content has been dissolved), 5= totally degraded (some contents to</w:t>
      </w:r>
      <w:proofErr w:type="gramEnd"/>
    </w:p>
    <w:p w:rsidR="002B6EF7" w:rsidRDefault="002B6EF7" w:rsidP="002B6EF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seen </w:t>
      </w:r>
      <w:r w:rsidR="005F2189">
        <w:rPr>
          <w:rFonts w:ascii="Times New Roman" w:hAnsi="Times New Roman" w:cs="Times New Roman"/>
          <w:sz w:val="24"/>
          <w:szCs w:val="24"/>
        </w:rPr>
        <w:t xml:space="preserve">in form of bubbles; </w:t>
      </w:r>
      <w:proofErr w:type="spellStart"/>
      <w:r w:rsidR="005F2189">
        <w:rPr>
          <w:rFonts w:ascii="Times New Roman" w:hAnsi="Times New Roman" w:cs="Times New Roman"/>
          <w:sz w:val="24"/>
          <w:szCs w:val="24"/>
        </w:rPr>
        <w:t>Supp</w:t>
      </w:r>
      <w:proofErr w:type="spellEnd"/>
      <w:r w:rsidR="005F2189">
        <w:rPr>
          <w:rFonts w:ascii="Times New Roman" w:hAnsi="Times New Roman" w:cs="Times New Roman"/>
          <w:sz w:val="24"/>
          <w:szCs w:val="24"/>
        </w:rPr>
        <w:t xml:space="preserve"> fig 1</w:t>
      </w:r>
      <w:r>
        <w:rPr>
          <w:rFonts w:ascii="Times New Roman" w:hAnsi="Times New Roman" w:cs="Times New Roman"/>
          <w:sz w:val="24"/>
          <w:szCs w:val="24"/>
        </w:rPr>
        <w:t>).</w:t>
      </w:r>
      <w:r w:rsidR="005F2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189" w:rsidRDefault="005F2189" w:rsidP="002B6EF7">
      <w:pPr>
        <w:rPr>
          <w:rFonts w:ascii="Times New Roman" w:hAnsi="Times New Roman" w:cs="Times New Roman"/>
          <w:sz w:val="24"/>
          <w:szCs w:val="24"/>
        </w:rPr>
      </w:pP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Chlorophyll a content</w:t>
      </w: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Measuring pigments in the symbiont cells is a good early warning indicator of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nitrification in waters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Marubini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al., 1999;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Fabricius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al., 2005b-b) and essential to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measured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together with sediment dynamics to understand the factors causing health decline.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second tissue pellet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 resuspended in 10 ml of FSW and homogenized with a tissue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grinder on an ice bath in the dark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The resulting suspension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 centrifuged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9,500 rpm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 30 minutes in 4 degrees. The supernatant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 discarded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and the pellet resuspended in 6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ml of 90% acetone and left in dark for 20-24 hours. The next day, the algal suspension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centrifuged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at 8,000 rpm, at 4 degrees for 12 minutes. Chlorophyll a absorbance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measured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an SHIMAZU, UVmini-1240 automated spectrophotometer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the following wavelengths: 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664, 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λ</w:t>
      </w:r>
      <w:r>
        <w:rPr>
          <w:rFonts w:ascii="Times New Roman" w:hAnsi="Times New Roman" w:cs="Times New Roman"/>
          <w:color w:val="000000"/>
          <w:sz w:val="16"/>
          <w:szCs w:val="16"/>
        </w:rPr>
        <w:t>647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λ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λ</w:t>
      </w:r>
      <w:r>
        <w:rPr>
          <w:rFonts w:ascii="Times New Roman" w:hAnsi="Times New Roman" w:cs="Times New Roman"/>
          <w:color w:val="000000"/>
          <w:sz w:val="16"/>
          <w:szCs w:val="16"/>
        </w:rPr>
        <w:t>691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Glass cuvettes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avoid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fogging by the acetone solution. Chlorophyll a content </w:t>
      </w:r>
      <w:proofErr w:type="gramStart"/>
      <w:r w:rsidR="00753DF9">
        <w:rPr>
          <w:rFonts w:ascii="Times New Roman" w:hAnsi="Times New Roman" w:cs="Times New Roman"/>
          <w:color w:val="000000"/>
          <w:sz w:val="24"/>
          <w:szCs w:val="24"/>
        </w:rPr>
        <w:t>was calculated</w:t>
      </w:r>
      <w:proofErr w:type="gramEnd"/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using equation (3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derived from Jeffrey et al. (1975)</w:t>
      </w:r>
    </w:p>
    <w:p w:rsidR="00753DF9" w:rsidRDefault="00753DF9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Chlorophyll a (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μ</w:t>
      </w:r>
      <w:r>
        <w:rPr>
          <w:rFonts w:ascii="Times New Roman" w:hAnsi="Times New Roman" w:cs="Times New Roman"/>
          <w:color w:val="000000"/>
          <w:sz w:val="24"/>
          <w:szCs w:val="24"/>
        </w:rPr>
        <w:t>g/ml) = 11.85 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664 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1.54E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647 </w:t>
      </w:r>
      <w:r>
        <w:rPr>
          <w:rFonts w:ascii="TimesNewRomanPSMT" w:eastAsia="TimesNewRomanPSMT" w:hAnsi="Times New Roman" w:cs="TimesNewRomanPSMT" w:hint="eastAsia"/>
          <w:color w:val="000000"/>
          <w:sz w:val="24"/>
          <w:szCs w:val="24"/>
        </w:rPr>
        <w:t>–</w:t>
      </w:r>
      <w:r>
        <w:rPr>
          <w:rFonts w:ascii="TimesNewRomanPSMT" w:eastAsia="TimesNewRomanPSMT" w:hAnsi="Times New Roman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0.08E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630 </w:t>
      </w:r>
      <w:r w:rsidR="00753DF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53DF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53DF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53DF9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3DF9" w:rsidRDefault="00753DF9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Surface area estimations</w:t>
      </w:r>
    </w:p>
    <w:p w:rsidR="002B6EF7" w:rsidRDefault="002B6EF7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assessing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surface area of the coral samples, the popular wax coating method was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(Strickland, 2010). According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Naumann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 al. (2009), this technique has an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intermediate accuracy but performs well in estimating surface areas for branching forms.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Additionally, it is time and cost efficient. Coral samples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were dipped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1 second into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melted paraffin wax that was kept at 70</w:t>
      </w:r>
      <w:r>
        <w:rPr>
          <w:rFonts w:ascii="Times New Roman" w:hAnsi="Times New Roman" w:cs="Times New Roman"/>
          <w:color w:val="000000"/>
          <w:sz w:val="16"/>
          <w:szCs w:val="16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and were weighed to the nearest 0.01 g. This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repeated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weight of the second wax (W2) coating was calculated by subtracting it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the first weight (W1).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Calibration objects (cubed coral samples of different sizes)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were used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reference to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estimate the surface area (SA) of the unknown samples. A photograph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was taken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each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face of the calibration objects and images were imported in the software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CPCe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surface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area calculations. These data were used to produce a reference graph of known surface area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against weight (r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0.96). The equation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trendline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(y =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+ b) of this graph was then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used to calculate the SA of unknown </w:t>
      </w:r>
      <w:r w:rsidR="00753DF9">
        <w:rPr>
          <w:rFonts w:ascii="Times New Roman" w:hAnsi="Times New Roman" w:cs="Times New Roman"/>
          <w:color w:val="000000"/>
          <w:sz w:val="24"/>
          <w:szCs w:val="24"/>
        </w:rPr>
        <w:t>coral fragments as in formula (4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53DF9" w:rsidRDefault="00753DF9" w:rsidP="002B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6EF7" w:rsidRDefault="00753DF9" w:rsidP="002B6EF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SA = [a x (W2-W1)] + b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(4</w:t>
      </w:r>
      <w:r w:rsidR="002B6EF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53DF9" w:rsidRDefault="00753DF9" w:rsidP="002B6EF7"/>
    <w:sectPr w:rsidR="00753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F7"/>
    <w:rsid w:val="002B6EF7"/>
    <w:rsid w:val="005662F4"/>
    <w:rsid w:val="005F2189"/>
    <w:rsid w:val="0075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B854"/>
  <w15:chartTrackingRefBased/>
  <w15:docId w15:val="{681A8564-4A77-4276-B23D-36167FE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Browne</dc:creator>
  <cp:keywords/>
  <dc:description/>
  <cp:lastModifiedBy>Nicola Browne</cp:lastModifiedBy>
  <cp:revision>3</cp:revision>
  <dcterms:created xsi:type="dcterms:W3CDTF">2019-03-09T02:28:00Z</dcterms:created>
  <dcterms:modified xsi:type="dcterms:W3CDTF">2019-03-09T02:35:00Z</dcterms:modified>
</cp:coreProperties>
</file>